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304A5CCE">
      <w:pPr>
        <w:spacing w:line="560" w:lineRule="exact"/>
        <w:ind w:firstLine="160" w:firstLineChars="57"/>
        <w:rPr>
          <w:rFonts w:ascii="宋体" w:hAnsi="宋体"/>
          <w:b/>
          <w:bCs/>
          <w:color w:val="000000"/>
          <w:spacing w:val="34"/>
          <w:sz w:val="28"/>
          <w:szCs w:val="28"/>
        </w:rPr>
      </w:pPr>
      <w:r>
        <w:rPr>
          <w:rFonts w:ascii="宋体" w:hAnsi="宋体" w:cs="宋体" w:hint="eastAsia"/>
          <w:b/>
          <w:bCs/>
          <w:color w:val="000000"/>
          <w:spacing w:val="34"/>
          <w:sz w:val="28"/>
          <w:szCs w:val="28"/>
        </w:rPr>
        <w:t>寿县十八届人大</w:t>
      </w:r>
    </w:p>
    <w:p w14:paraId="2825408B">
      <w:pPr>
        <w:spacing w:line="560" w:lineRule="exact"/>
        <w:ind w:firstLine="199" w:firstLineChars="71"/>
        <w:rPr>
          <w:rFonts w:ascii="宋体" w:hAnsi="宋体" w:cs="宋体" w:hint="eastAsia"/>
          <w:b/>
          <w:bCs/>
          <w:color w:val="000000"/>
          <w:sz w:val="28"/>
          <w:szCs w:val="28"/>
        </w:rPr>
      </w:pPr>
      <w:r>
        <w:rPr>
          <w:rFonts w:ascii="宋体" w:hAnsi="宋体" w:cs="宋体" w:hint="eastAsia"/>
          <w:b/>
          <w:bCs/>
          <w:color w:val="000000"/>
          <w:sz w:val="28"/>
          <w:szCs w:val="28"/>
        </w:rPr>
        <w:t>三次会议文件（三）</w:t>
      </w:r>
    </w:p>
    <w:p w14:paraId="04E72D12">
      <w:pPr>
        <w:topLinePunct/>
        <w:spacing w:line="600" w:lineRule="exact"/>
        <w:jc w:val="center"/>
        <w:rPr>
          <w:rFonts w:ascii="方正小标宋简体" w:eastAsia="方正小标宋简体" w:hAnsi="仿宋" w:hint="eastAsia"/>
          <w:bCs/>
          <w:color w:val="000000"/>
          <w:sz w:val="44"/>
          <w:szCs w:val="44"/>
        </w:rPr>
      </w:pPr>
    </w:p>
    <w:p w14:paraId="4D23D262">
      <w:pPr>
        <w:topLinePunct/>
        <w:spacing w:line="760" w:lineRule="exact"/>
        <w:jc w:val="center"/>
        <w:rPr>
          <w:rFonts w:ascii="楷体_GB2312" w:eastAsia="楷体_GB2312" w:hAnsi="仿宋" w:hint="eastAsia"/>
          <w:b/>
          <w:bCs/>
          <w:color w:val="000000"/>
          <w:sz w:val="48"/>
          <w:szCs w:val="48"/>
        </w:rPr>
      </w:pPr>
      <w:r>
        <w:rPr>
          <w:rFonts w:ascii="楷体_GB2312" w:eastAsia="楷体_GB2312" w:hAnsi="仿宋" w:hint="eastAsia"/>
          <w:b/>
          <w:bCs/>
          <w:color w:val="000000"/>
          <w:sz w:val="48"/>
          <w:szCs w:val="48"/>
        </w:rPr>
        <w:t>关于寿县2023年预算执行情况</w:t>
      </w:r>
    </w:p>
    <w:p w14:paraId="38F1933A">
      <w:pPr>
        <w:topLinePunct/>
        <w:spacing w:line="760" w:lineRule="exact"/>
        <w:jc w:val="center"/>
        <w:rPr>
          <w:rFonts w:ascii="楷体_GB2312" w:eastAsia="楷体_GB2312" w:hAnsi="仿宋" w:hint="eastAsia"/>
          <w:b/>
          <w:bCs/>
          <w:color w:val="000000"/>
          <w:sz w:val="48"/>
          <w:szCs w:val="48"/>
        </w:rPr>
      </w:pPr>
      <w:r>
        <w:rPr>
          <w:rFonts w:ascii="楷体_GB2312" w:eastAsia="楷体_GB2312" w:hAnsi="仿宋" w:hint="eastAsia"/>
          <w:b/>
          <w:bCs/>
          <w:color w:val="000000"/>
          <w:sz w:val="48"/>
          <w:szCs w:val="48"/>
        </w:rPr>
        <w:t>与2024年预算草案的报告</w:t>
      </w:r>
    </w:p>
    <w:p w14:paraId="38E91275">
      <w:pPr>
        <w:pStyle w:val="Heading1"/>
        <w:spacing w:line="680" w:lineRule="exact"/>
        <w:jc w:val="center"/>
        <w:rPr>
          <w:rFonts w:ascii="楷体_GB2312" w:eastAsia="楷体_GB2312" w:hAnsi="宋体" w:cs="华文仿宋" w:hint="eastAsia"/>
          <w:color w:val="000000"/>
          <w:sz w:val="32"/>
          <w:szCs w:val="32"/>
        </w:rPr>
      </w:pPr>
      <w:r>
        <w:rPr>
          <w:rFonts w:ascii="Times New Roman" w:hAnsi="Times New Roman"/>
          <w:b w:val="0"/>
          <w:color w:val="000000"/>
          <w:sz w:val="32"/>
          <w:szCs w:val="32"/>
        </w:rPr>
        <w:t>——</w:t>
      </w:r>
      <w:r>
        <w:rPr>
          <w:rFonts w:ascii="楷体_GB2312" w:eastAsia="楷体_GB2312" w:hAnsi="宋体" w:cs="华文仿宋" w:hint="eastAsia"/>
          <w:color w:val="000000"/>
          <w:sz w:val="32"/>
          <w:szCs w:val="32"/>
        </w:rPr>
        <w:t>2023</w:t>
      </w:r>
      <w:r>
        <w:rPr>
          <w:rFonts w:ascii="楷体_GB2312" w:eastAsia="楷体_GB2312" w:hAnsi="宋体" w:cs="楷体_GB2312" w:hint="eastAsia"/>
          <w:color w:val="000000"/>
          <w:sz w:val="32"/>
          <w:szCs w:val="32"/>
        </w:rPr>
        <w:t>年12月28</w:t>
      </w:r>
      <w:r>
        <w:rPr>
          <w:rFonts w:ascii="楷体_GB2312" w:eastAsia="楷体_GB2312" w:hAnsi="宋体" w:cs="华文仿宋" w:hint="eastAsia"/>
          <w:color w:val="000000"/>
          <w:sz w:val="32"/>
          <w:szCs w:val="32"/>
        </w:rPr>
        <w:t>日</w:t>
      </w:r>
      <w:r>
        <w:rPr>
          <w:rFonts w:ascii="楷体_GB2312" w:eastAsia="楷体_GB2312" w:hAnsi="宋体" w:cs="楷体_GB2312" w:hint="eastAsia"/>
          <w:color w:val="000000"/>
          <w:sz w:val="32"/>
          <w:szCs w:val="32"/>
        </w:rPr>
        <w:t>在</w:t>
      </w:r>
      <w:r>
        <w:rPr>
          <w:rFonts w:ascii="楷体_GB2312" w:eastAsia="楷体_GB2312" w:hAnsi="宋体" w:cs="华文仿宋" w:hint="eastAsia"/>
          <w:color w:val="000000"/>
          <w:sz w:val="32"/>
          <w:szCs w:val="32"/>
        </w:rPr>
        <w:t>寿县第十八届人民代表大会</w:t>
      </w:r>
    </w:p>
    <w:p w14:paraId="0D1078E5">
      <w:pPr>
        <w:spacing w:line="680" w:lineRule="exact"/>
        <w:jc w:val="center"/>
        <w:rPr>
          <w:rFonts w:ascii="楷体_GB2312" w:eastAsia="楷体_GB2312" w:hAnsi="宋体" w:cs="华文仿宋" w:hint="eastAsia"/>
          <w:b/>
          <w:color w:val="000000"/>
          <w:kern w:val="44"/>
          <w:sz w:val="32"/>
          <w:szCs w:val="32"/>
        </w:rPr>
      </w:pPr>
      <w:r>
        <w:rPr>
          <w:rFonts w:ascii="楷体_GB2312" w:eastAsia="楷体_GB2312" w:hAnsi="宋体" w:cs="华文仿宋" w:hint="eastAsia"/>
          <w:b/>
          <w:color w:val="000000"/>
          <w:kern w:val="44"/>
          <w:sz w:val="32"/>
          <w:szCs w:val="32"/>
        </w:rPr>
        <w:t>第三次会议上</w:t>
      </w:r>
    </w:p>
    <w:p w14:paraId="2D660090">
      <w:pPr>
        <w:spacing w:line="560" w:lineRule="exact"/>
        <w:jc w:val="center"/>
        <w:rPr>
          <w:rFonts w:ascii="楷体_GB2312" w:eastAsia="楷体_GB2312" w:hAnsi="宋体" w:cs="华文仿宋" w:hint="eastAsia"/>
          <w:b/>
          <w:color w:val="000000"/>
          <w:kern w:val="44"/>
          <w:sz w:val="32"/>
          <w:szCs w:val="32"/>
        </w:rPr>
      </w:pPr>
    </w:p>
    <w:p w14:paraId="7C5D8462">
      <w:pPr>
        <w:spacing w:line="560" w:lineRule="exact"/>
        <w:jc w:val="center"/>
        <w:rPr>
          <w:rFonts w:ascii="楷体_GB2312" w:eastAsia="楷体_GB2312" w:hAnsi="宋体" w:cs="华文仿宋" w:hint="eastAsia"/>
          <w:color w:val="000000"/>
          <w:kern w:val="44"/>
          <w:sz w:val="32"/>
          <w:szCs w:val="32"/>
        </w:rPr>
      </w:pPr>
      <w:r>
        <w:rPr>
          <w:rFonts w:ascii="楷体_GB2312" w:eastAsia="楷体_GB2312" w:hAnsi="宋体" w:cs="宋体" w:hint="eastAsia"/>
          <w:bCs/>
          <w:color w:val="000000"/>
          <w:sz w:val="32"/>
          <w:szCs w:val="32"/>
        </w:rPr>
        <w:t>县财政局局长  李大庆</w:t>
      </w:r>
    </w:p>
    <w:p w14:paraId="2C7AE93D">
      <w:pPr>
        <w:topLinePunct/>
        <w:spacing w:line="560" w:lineRule="exact"/>
        <w:rPr>
          <w:rFonts w:ascii="方正大标宋简体" w:eastAsia="方正大标宋简体" w:hAnsi="宋体" w:cs="宋体" w:hint="eastAsia"/>
          <w:color w:val="000000"/>
          <w:kern w:val="0"/>
          <w:sz w:val="32"/>
          <w:szCs w:val="32"/>
        </w:rPr>
      </w:pPr>
    </w:p>
    <w:p w14:paraId="16B81A3B">
      <w:pPr>
        <w:topLinePunct/>
        <w:spacing w:line="600" w:lineRule="exact"/>
        <w:rPr>
          <w:rFonts w:ascii="仿宋_GB2312" w:eastAsia="仿宋_GB2312" w:hAnsi="仿宋" w:hint="eastAsia"/>
          <w:bCs/>
          <w:color w:val="000000"/>
          <w:sz w:val="32"/>
          <w:szCs w:val="32"/>
        </w:rPr>
      </w:pPr>
      <w:r>
        <w:rPr>
          <w:rFonts w:ascii="仿宋_GB2312" w:eastAsia="仿宋_GB2312" w:hAnsi="仿宋" w:hint="eastAsia"/>
          <w:bCs/>
          <w:color w:val="000000"/>
          <w:sz w:val="32"/>
          <w:szCs w:val="32"/>
        </w:rPr>
        <w:t>各位代表：</w:t>
      </w:r>
    </w:p>
    <w:p w14:paraId="61569140">
      <w:pPr>
        <w:topLinePunct/>
        <w:spacing w:line="600" w:lineRule="exact"/>
        <w:ind w:firstLine="640" w:firstLineChars="200"/>
        <w:rPr>
          <w:rFonts w:ascii="黑体" w:eastAsia="黑体" w:hAnsi="黑体" w:hint="eastAsia"/>
          <w:b/>
          <w:bCs/>
          <w:color w:val="000000"/>
          <w:sz w:val="32"/>
          <w:szCs w:val="32"/>
        </w:rPr>
      </w:pPr>
      <w:r>
        <w:rPr>
          <w:rFonts w:ascii="仿宋_GB2312" w:eastAsia="仿宋_GB2312" w:hAnsi="仿宋" w:hint="eastAsia"/>
          <w:bCs/>
          <w:color w:val="000000"/>
          <w:sz w:val="32"/>
          <w:szCs w:val="32"/>
        </w:rPr>
        <w:t>受县政府委托，现将寿县2023年预算执行情况与2024年预算草案书面报告如下，请予审议，并请县政协委员和其他列席人员提出意见。</w:t>
      </w:r>
    </w:p>
    <w:p w14:paraId="11D3D999">
      <w:pPr>
        <w:topLinePunct/>
        <w:spacing w:line="560" w:lineRule="exact"/>
        <w:ind w:firstLine="640" w:firstLineChars="200"/>
        <w:rPr>
          <w:rFonts w:ascii="黑体" w:eastAsia="黑体" w:hAnsi="黑体" w:cs="宋体"/>
          <w:color w:val="000000"/>
          <w:kern w:val="0"/>
          <w:sz w:val="32"/>
          <w:szCs w:val="32"/>
        </w:rPr>
      </w:pPr>
      <w:r>
        <w:rPr>
          <w:rFonts w:ascii="黑体" w:eastAsia="黑体" w:hAnsi="黑体" w:cs="宋体" w:hint="eastAsia"/>
          <w:color w:val="000000"/>
          <w:kern w:val="0"/>
          <w:sz w:val="32"/>
          <w:szCs w:val="32"/>
        </w:rPr>
        <w:t>一、</w:t>
      </w:r>
      <w:r>
        <w:rPr>
          <w:rFonts w:ascii="黑体" w:eastAsia="黑体" w:hAnsi="黑体" w:cs="宋体"/>
          <w:color w:val="000000"/>
          <w:kern w:val="0"/>
          <w:sz w:val="32"/>
          <w:szCs w:val="32"/>
        </w:rPr>
        <w:t>202</w:t>
      </w:r>
      <w:r>
        <w:rPr>
          <w:rFonts w:ascii="黑体" w:eastAsia="黑体" w:hAnsi="黑体" w:cs="宋体" w:hint="eastAsia"/>
          <w:color w:val="000000"/>
          <w:kern w:val="0"/>
          <w:sz w:val="32"/>
          <w:szCs w:val="32"/>
        </w:rPr>
        <w:t>3年财政预算执行情况</w:t>
      </w:r>
    </w:p>
    <w:p w14:paraId="51FB29E8">
      <w:pPr>
        <w:topLinePunct/>
        <w:spacing w:line="560" w:lineRule="exact"/>
        <w:ind w:firstLine="640" w:firstLineChars="200"/>
        <w:rPr>
          <w:rFonts w:ascii="仿宋_GB2312" w:eastAsia="仿宋_GB2312" w:hAnsi="华文楷体"/>
          <w:color w:val="000000"/>
          <w:sz w:val="32"/>
          <w:szCs w:val="32"/>
        </w:rPr>
      </w:pPr>
      <w:r>
        <w:rPr>
          <w:rFonts w:ascii="仿宋_GB2312" w:eastAsia="仿宋_GB2312" w:hAnsi="华文楷体" w:hint="eastAsia"/>
          <w:color w:val="000000"/>
          <w:sz w:val="32"/>
          <w:szCs w:val="32"/>
        </w:rPr>
        <w:t>2023年，全县财税部门坚持以习近平新时代中国特色社会主义思想为指导，深入学习贯彻党的二十大和习近平总书记视察安徽重要讲话重要指示精神，认真落实上级决策部署及县委工作要求，按照县政府工作安排，严格执行县十八届人大二次会议审查批准的预算，坚持稳中求进工作总基调，完整、准确、全面贯彻新发展理念，服务和融入新发展格局，统筹财力，保障县委县政府重大项目资金需求，着力推动县域经济社会高质量发展，统筹发展和安全，保持了全县经济社会大局稳定。</w:t>
      </w:r>
    </w:p>
    <w:p w14:paraId="3B1EF209">
      <w:pPr>
        <w:topLinePunct/>
        <w:spacing w:line="560" w:lineRule="exact"/>
        <w:ind w:firstLine="640" w:firstLineChars="200"/>
        <w:rPr>
          <w:rFonts w:ascii="楷体_GB2312" w:eastAsia="楷体_GB2312" w:hAnsi="楷体"/>
          <w:b/>
          <w:color w:val="000000"/>
          <w:sz w:val="32"/>
          <w:szCs w:val="32"/>
        </w:rPr>
      </w:pPr>
      <w:r>
        <w:rPr>
          <w:rFonts w:ascii="楷体_GB2312" w:eastAsia="楷体_GB2312" w:hAnsi="楷体" w:hint="eastAsia"/>
          <w:b/>
          <w:color w:val="000000"/>
          <w:sz w:val="32"/>
          <w:szCs w:val="32"/>
        </w:rPr>
        <w:t>（一）</w:t>
      </w:r>
      <w:r>
        <w:rPr>
          <w:rFonts w:ascii="楷体_GB2312" w:eastAsia="楷体_GB2312" w:hAnsi="楷体"/>
          <w:b/>
          <w:color w:val="000000"/>
          <w:sz w:val="32"/>
          <w:szCs w:val="32"/>
        </w:rPr>
        <w:t>202</w:t>
      </w:r>
      <w:r>
        <w:rPr>
          <w:rFonts w:ascii="楷体_GB2312" w:eastAsia="楷体_GB2312" w:hAnsi="楷体" w:hint="eastAsia"/>
          <w:b/>
          <w:color w:val="000000"/>
          <w:sz w:val="32"/>
          <w:szCs w:val="32"/>
        </w:rPr>
        <w:t>3年财政预算执行情况</w:t>
      </w:r>
    </w:p>
    <w:p w14:paraId="52668612">
      <w:pPr>
        <w:topLinePunct/>
        <w:spacing w:line="560" w:lineRule="exact"/>
        <w:ind w:firstLine="640" w:firstLineChars="200"/>
        <w:rPr>
          <w:rFonts w:ascii="仿宋_GB2312" w:eastAsia="仿宋_GB2312" w:hAnsi="仿宋"/>
          <w:color w:val="000000"/>
          <w:sz w:val="32"/>
          <w:szCs w:val="32"/>
        </w:rPr>
      </w:pPr>
      <w:r>
        <w:rPr>
          <w:rFonts w:ascii="仿宋_GB2312" w:eastAsia="仿宋_GB2312" w:hAnsi="华文楷体"/>
          <w:b/>
          <w:color w:val="000000"/>
          <w:sz w:val="32"/>
          <w:szCs w:val="32"/>
        </w:rPr>
        <w:t>1</w:t>
      </w:r>
      <w:r>
        <w:rPr>
          <w:rFonts w:ascii="仿宋_GB2312" w:eastAsia="仿宋_GB2312" w:hAnsi="华文楷体" w:hint="eastAsia"/>
          <w:b/>
          <w:color w:val="000000"/>
          <w:sz w:val="32"/>
          <w:szCs w:val="32"/>
        </w:rPr>
        <w:t>.一般公共预算执行情况</w:t>
      </w:r>
    </w:p>
    <w:p w14:paraId="75DC93AC">
      <w:pPr>
        <w:topLinePunct/>
        <w:spacing w:line="560" w:lineRule="exact"/>
        <w:ind w:firstLine="640" w:firstLineChars="200"/>
        <w:textAlignment w:val="baseline"/>
        <w:rPr>
          <w:rFonts w:ascii="仿宋_GB2312" w:eastAsia="仿宋_GB2312" w:hAnsi="仿宋"/>
          <w:bCs/>
          <w:color w:val="000000"/>
          <w:sz w:val="32"/>
          <w:szCs w:val="32"/>
        </w:rPr>
      </w:pPr>
      <w:r>
        <w:rPr>
          <w:rFonts w:ascii="仿宋_GB2312" w:eastAsia="仿宋_GB2312" w:hAnsi="仿宋"/>
          <w:bCs/>
          <w:color w:val="000000"/>
          <w:sz w:val="32"/>
          <w:szCs w:val="32"/>
        </w:rPr>
        <w:t>1-1</w:t>
      </w:r>
      <w:r>
        <w:rPr>
          <w:rFonts w:ascii="仿宋_GB2312" w:eastAsia="仿宋_GB2312" w:hAnsi="仿宋" w:hint="eastAsia"/>
          <w:bCs/>
          <w:color w:val="000000"/>
          <w:sz w:val="32"/>
          <w:szCs w:val="32"/>
        </w:rPr>
        <w:t>1月份，一般公共预算收入完成186198万元，增长1.07</w:t>
      </w:r>
      <w:r>
        <w:rPr>
          <w:rFonts w:ascii="仿宋_GB2312" w:eastAsia="仿宋_GB2312" w:hAnsi="仿宋"/>
          <w:bCs/>
          <w:color w:val="000000"/>
          <w:sz w:val="32"/>
          <w:szCs w:val="32"/>
        </w:rPr>
        <w:t>%</w:t>
      </w:r>
      <w:r>
        <w:rPr>
          <w:rFonts w:ascii="仿宋_GB2312" w:eastAsia="仿宋_GB2312" w:hAnsi="仿宋" w:hint="eastAsia"/>
          <w:bCs/>
          <w:color w:val="000000"/>
          <w:sz w:val="32"/>
          <w:szCs w:val="32"/>
        </w:rPr>
        <w:t>，占预算87.79</w:t>
      </w:r>
      <w:r>
        <w:rPr>
          <w:rFonts w:ascii="仿宋_GB2312" w:eastAsia="仿宋_GB2312" w:hAnsi="仿宋"/>
          <w:bCs/>
          <w:color w:val="000000"/>
          <w:sz w:val="32"/>
          <w:szCs w:val="32"/>
        </w:rPr>
        <w:t>%</w:t>
      </w:r>
      <w:r>
        <w:rPr>
          <w:rFonts w:ascii="仿宋_GB2312" w:eastAsia="仿宋_GB2312" w:hAnsi="仿宋" w:hint="eastAsia"/>
          <w:bCs/>
          <w:color w:val="000000"/>
          <w:sz w:val="32"/>
          <w:szCs w:val="32"/>
        </w:rPr>
        <w:t>。非税占比46.56</w:t>
      </w:r>
      <w:r>
        <w:rPr>
          <w:rFonts w:ascii="仿宋_GB2312" w:eastAsia="仿宋_GB2312" w:hAnsi="仿宋"/>
          <w:bCs/>
          <w:color w:val="000000"/>
          <w:sz w:val="32"/>
          <w:szCs w:val="32"/>
        </w:rPr>
        <w:t>%</w:t>
      </w:r>
      <w:r>
        <w:rPr>
          <w:rFonts w:ascii="仿宋_GB2312" w:eastAsia="仿宋_GB2312" w:hAnsi="仿宋" w:hint="eastAsia"/>
          <w:bCs/>
          <w:color w:val="000000"/>
          <w:sz w:val="32"/>
          <w:szCs w:val="32"/>
        </w:rPr>
        <w:t>,下降12个百分点。</w:t>
      </w:r>
      <w:r>
        <w:rPr>
          <w:rFonts w:ascii="仿宋_GB2312" w:eastAsia="仿宋_GB2312" w:hAnsi="仿宋" w:hint="eastAsia"/>
          <w:b/>
          <w:bCs/>
          <w:color w:val="000000"/>
          <w:sz w:val="32"/>
          <w:szCs w:val="32"/>
        </w:rPr>
        <w:t>分部门：</w:t>
      </w:r>
      <w:r>
        <w:rPr>
          <w:rFonts w:ascii="仿宋_GB2312" w:eastAsia="仿宋_GB2312" w:hAnsi="仿宋" w:hint="eastAsia"/>
          <w:bCs/>
          <w:color w:val="000000"/>
          <w:sz w:val="32"/>
          <w:szCs w:val="32"/>
        </w:rPr>
        <w:t>税务101961万元（全口径167387万元，占预算82.88</w:t>
      </w:r>
      <w:r>
        <w:rPr>
          <w:rFonts w:ascii="仿宋_GB2312" w:eastAsia="仿宋_GB2312" w:hAnsi="仿宋"/>
          <w:bCs/>
          <w:color w:val="000000"/>
          <w:sz w:val="32"/>
          <w:szCs w:val="32"/>
        </w:rPr>
        <w:t>%</w:t>
      </w:r>
      <w:r>
        <w:rPr>
          <w:rFonts w:ascii="仿宋_GB2312" w:eastAsia="仿宋_GB2312" w:hAnsi="仿宋" w:hint="eastAsia"/>
          <w:bCs/>
          <w:color w:val="000000"/>
          <w:sz w:val="32"/>
          <w:szCs w:val="32"/>
        </w:rPr>
        <w:t>，增长43.54</w:t>
      </w:r>
      <w:r>
        <w:rPr>
          <w:rFonts w:ascii="仿宋_GB2312" w:eastAsia="仿宋_GB2312" w:hAnsi="仿宋"/>
          <w:bCs/>
          <w:color w:val="000000"/>
          <w:sz w:val="32"/>
          <w:szCs w:val="32"/>
        </w:rPr>
        <w:t>%</w:t>
      </w:r>
      <w:r>
        <w:rPr>
          <w:rFonts w:ascii="仿宋_GB2312" w:eastAsia="仿宋_GB2312" w:hAnsi="仿宋" w:hint="eastAsia"/>
          <w:bCs/>
          <w:color w:val="000000"/>
          <w:sz w:val="32"/>
          <w:szCs w:val="32"/>
        </w:rPr>
        <w:t>）</w:t>
      </w:r>
      <w:r>
        <w:rPr>
          <w:rFonts w:ascii="仿宋_GB2312" w:eastAsia="仿宋_GB2312" w:hAnsi="仿宋"/>
          <w:bCs/>
          <w:color w:val="000000"/>
          <w:sz w:val="32"/>
          <w:szCs w:val="32"/>
        </w:rPr>
        <w:t>,</w:t>
      </w:r>
      <w:r>
        <w:rPr>
          <w:rFonts w:ascii="仿宋_GB2312" w:eastAsia="仿宋_GB2312" w:hAnsi="仿宋" w:hint="eastAsia"/>
          <w:bCs/>
          <w:color w:val="000000"/>
          <w:sz w:val="32"/>
          <w:szCs w:val="32"/>
        </w:rPr>
        <w:t>增长31.32</w:t>
      </w:r>
      <w:r>
        <w:rPr>
          <w:rFonts w:ascii="仿宋_GB2312" w:eastAsia="仿宋_GB2312" w:hAnsi="仿宋"/>
          <w:bCs/>
          <w:color w:val="000000"/>
          <w:sz w:val="32"/>
          <w:szCs w:val="32"/>
        </w:rPr>
        <w:t>%</w:t>
      </w:r>
      <w:r>
        <w:rPr>
          <w:rFonts w:ascii="仿宋_GB2312" w:eastAsia="仿宋_GB2312" w:hAnsi="仿宋" w:hint="eastAsia"/>
          <w:bCs/>
          <w:color w:val="000000"/>
          <w:sz w:val="32"/>
          <w:szCs w:val="32"/>
        </w:rPr>
        <w:t>，占预算90.23</w:t>
      </w:r>
      <w:r>
        <w:rPr>
          <w:rFonts w:ascii="仿宋_GB2312" w:eastAsia="仿宋_GB2312" w:hAnsi="仿宋"/>
          <w:bCs/>
          <w:color w:val="000000"/>
          <w:sz w:val="32"/>
          <w:szCs w:val="32"/>
        </w:rPr>
        <w:t>%</w:t>
      </w:r>
      <w:r>
        <w:rPr>
          <w:rFonts w:ascii="仿宋_GB2312" w:eastAsia="仿宋_GB2312" w:hAnsi="仿宋" w:hint="eastAsia"/>
          <w:bCs/>
          <w:color w:val="000000"/>
          <w:sz w:val="32"/>
          <w:szCs w:val="32"/>
        </w:rPr>
        <w:t>；财政84237万元，下降21.96</w:t>
      </w:r>
      <w:r>
        <w:rPr>
          <w:rFonts w:ascii="仿宋_GB2312" w:eastAsia="仿宋_GB2312" w:hAnsi="仿宋"/>
          <w:bCs/>
          <w:color w:val="000000"/>
          <w:sz w:val="32"/>
          <w:szCs w:val="32"/>
        </w:rPr>
        <w:t>%</w:t>
      </w:r>
      <w:r>
        <w:rPr>
          <w:rFonts w:ascii="仿宋_GB2312" w:eastAsia="仿宋_GB2312" w:hAnsi="仿宋" w:hint="eastAsia"/>
          <w:bCs/>
          <w:color w:val="000000"/>
          <w:sz w:val="32"/>
          <w:szCs w:val="32"/>
        </w:rPr>
        <w:t>，占预算85</w:t>
      </w:r>
      <w:r>
        <w:rPr>
          <w:rFonts w:ascii="仿宋_GB2312" w:eastAsia="仿宋_GB2312" w:hAnsi="仿宋"/>
          <w:bCs/>
          <w:color w:val="000000"/>
          <w:sz w:val="32"/>
          <w:szCs w:val="32"/>
        </w:rPr>
        <w:t>%</w:t>
      </w:r>
      <w:r>
        <w:rPr>
          <w:rFonts w:ascii="仿宋_GB2312" w:eastAsia="仿宋_GB2312" w:hAnsi="仿宋" w:hint="eastAsia"/>
          <w:bCs/>
          <w:color w:val="000000"/>
          <w:sz w:val="32"/>
          <w:szCs w:val="32"/>
        </w:rPr>
        <w:t>。一般公共预算支出完成742369万元，下降0.6％，占预算</w:t>
      </w:r>
      <w:r>
        <w:rPr>
          <w:rFonts w:ascii="仿宋_GB2312" w:eastAsia="仿宋_GB2312" w:hAnsi="仿宋" w:hint="eastAsia"/>
          <w:color w:val="000000"/>
          <w:sz w:val="32"/>
          <w:szCs w:val="32"/>
        </w:rPr>
        <w:t>100.47</w:t>
      </w:r>
      <w:r>
        <w:rPr>
          <w:rFonts w:ascii="仿宋_GB2312" w:eastAsia="仿宋_GB2312" w:hAnsi="仿宋" w:hint="eastAsia"/>
          <w:bCs/>
          <w:color w:val="000000"/>
          <w:sz w:val="32"/>
          <w:szCs w:val="32"/>
        </w:rPr>
        <w:t>％。十三大类民生支出633538万元，占一般公共预算总支出85.34</w:t>
      </w:r>
      <w:r>
        <w:rPr>
          <w:rFonts w:ascii="仿宋_GB2312" w:eastAsia="仿宋_GB2312" w:hAnsi="仿宋"/>
          <w:bCs/>
          <w:color w:val="000000"/>
          <w:sz w:val="32"/>
          <w:szCs w:val="32"/>
        </w:rPr>
        <w:t>%</w:t>
      </w:r>
      <w:r>
        <w:rPr>
          <w:rFonts w:ascii="仿宋_GB2312" w:eastAsia="仿宋_GB2312" w:hAnsi="仿宋" w:hint="eastAsia"/>
          <w:bCs/>
          <w:color w:val="000000"/>
          <w:sz w:val="32"/>
          <w:szCs w:val="32"/>
        </w:rPr>
        <w:t>。</w:t>
      </w:r>
    </w:p>
    <w:p w14:paraId="438A9E94">
      <w:pPr>
        <w:topLinePunct/>
        <w:spacing w:line="560" w:lineRule="exact"/>
        <w:ind w:firstLine="640" w:firstLineChars="200"/>
        <w:rPr>
          <w:color w:val="000000"/>
        </w:rPr>
      </w:pPr>
      <w:r>
        <w:rPr>
          <w:rFonts w:ascii="仿宋_GB2312" w:eastAsia="仿宋_GB2312" w:hAnsi="仿宋" w:hint="eastAsia"/>
          <w:bCs/>
          <w:color w:val="000000"/>
          <w:sz w:val="32"/>
          <w:szCs w:val="32"/>
        </w:rPr>
        <w:t>预计全年完成一般公共预算收入198100万元，增长3</w:t>
      </w:r>
      <w:r>
        <w:rPr>
          <w:rFonts w:ascii="仿宋_GB2312" w:eastAsia="仿宋_GB2312" w:hAnsi="仿宋"/>
          <w:bCs/>
          <w:color w:val="000000"/>
          <w:sz w:val="32"/>
          <w:szCs w:val="32"/>
        </w:rPr>
        <w:t>%</w:t>
      </w:r>
      <w:r>
        <w:rPr>
          <w:rFonts w:ascii="仿宋_GB2312" w:eastAsia="仿宋_GB2312" w:hAnsi="仿宋" w:hint="eastAsia"/>
          <w:bCs/>
          <w:color w:val="000000"/>
          <w:sz w:val="32"/>
          <w:szCs w:val="32"/>
        </w:rPr>
        <w:t>，上级转移支付收入529043万元，新增一般债券</w:t>
      </w:r>
      <w:r>
        <w:rPr>
          <w:rFonts w:ascii="仿宋_GB2312" w:eastAsia="仿宋_GB2312" w:hAnsi="仿宋"/>
          <w:bCs/>
          <w:color w:val="000000"/>
          <w:sz w:val="32"/>
          <w:szCs w:val="32"/>
        </w:rPr>
        <w:t>1</w:t>
      </w:r>
      <w:r>
        <w:rPr>
          <w:rFonts w:ascii="仿宋_GB2312" w:eastAsia="仿宋_GB2312" w:hAnsi="仿宋" w:hint="eastAsia"/>
          <w:bCs/>
          <w:color w:val="000000"/>
          <w:sz w:val="32"/>
          <w:szCs w:val="32"/>
        </w:rPr>
        <w:t>0129万元，世行贷款3487万元，动用预算稳定调节基金1035万元，再融资一般债券资金63166万元，上年结转32547万元，调入资金13800万元，预算总收入851307万元。预计完成一般公共预算支出</w:t>
      </w:r>
      <w:r>
        <w:rPr>
          <w:rFonts w:ascii="仿宋_GB2312" w:eastAsia="仿宋_GB2312" w:hAnsi="仿宋"/>
          <w:bCs/>
          <w:color w:val="000000"/>
          <w:sz w:val="32"/>
          <w:szCs w:val="32"/>
        </w:rPr>
        <w:t>78</w:t>
      </w:r>
      <w:r>
        <w:rPr>
          <w:rFonts w:ascii="仿宋_GB2312" w:eastAsia="仿宋_GB2312" w:hAnsi="仿宋" w:hint="eastAsia"/>
          <w:bCs/>
          <w:color w:val="000000"/>
          <w:sz w:val="32"/>
          <w:szCs w:val="32"/>
        </w:rPr>
        <w:t>3362万元，再融资一般债券还本支出63166万元，世行贷款还本支出179万元</w:t>
      </w:r>
      <w:r>
        <w:rPr>
          <w:rFonts w:ascii="仿宋_GB2312" w:eastAsia="仿宋_GB2312" w:hAnsi="仿宋"/>
          <w:bCs/>
          <w:color w:val="000000"/>
          <w:sz w:val="32"/>
          <w:szCs w:val="32"/>
        </w:rPr>
        <w:t>,</w:t>
      </w:r>
      <w:r>
        <w:rPr>
          <w:rFonts w:ascii="仿宋_GB2312" w:eastAsia="仿宋_GB2312" w:hAnsi="仿宋" w:hint="eastAsia"/>
          <w:bCs/>
          <w:color w:val="000000"/>
          <w:sz w:val="32"/>
          <w:szCs w:val="32"/>
        </w:rPr>
        <w:t>上解支出4600万元，预算总支出851307万元。</w:t>
      </w:r>
    </w:p>
    <w:p w14:paraId="2FA6C8B2">
      <w:pPr>
        <w:topLinePunct/>
        <w:spacing w:line="560" w:lineRule="exact"/>
        <w:ind w:firstLine="640" w:firstLineChars="200"/>
        <w:rPr>
          <w:rFonts w:ascii="仿宋_GB2312" w:eastAsia="仿宋_GB2312" w:hAnsi="仿宋"/>
          <w:color w:val="000000"/>
          <w:sz w:val="32"/>
          <w:szCs w:val="32"/>
        </w:rPr>
      </w:pPr>
      <w:r>
        <w:rPr>
          <w:rFonts w:ascii="仿宋_GB2312" w:eastAsia="仿宋_GB2312" w:hAnsi="华文楷体"/>
          <w:b/>
          <w:color w:val="000000"/>
          <w:sz w:val="32"/>
          <w:szCs w:val="32"/>
        </w:rPr>
        <w:t>2</w:t>
      </w:r>
      <w:r>
        <w:rPr>
          <w:rFonts w:ascii="仿宋_GB2312" w:eastAsia="仿宋_GB2312" w:hAnsi="华文楷体" w:hint="eastAsia"/>
          <w:b/>
          <w:color w:val="000000"/>
          <w:sz w:val="32"/>
          <w:szCs w:val="32"/>
        </w:rPr>
        <w:t>.政府性基金预算执行情况</w:t>
      </w:r>
    </w:p>
    <w:p w14:paraId="2DE3488C">
      <w:pPr>
        <w:topLinePunct/>
        <w:spacing w:line="560" w:lineRule="exact"/>
        <w:ind w:firstLine="640" w:firstLineChars="200"/>
        <w:rPr>
          <w:rFonts w:ascii="仿宋_GB2312" w:eastAsia="仿宋_GB2312" w:hAnsi="仿宋"/>
          <w:color w:val="000000"/>
          <w:sz w:val="32"/>
          <w:szCs w:val="32"/>
        </w:rPr>
      </w:pPr>
      <w:r>
        <w:rPr>
          <w:rFonts w:ascii="仿宋_GB2312" w:eastAsia="仿宋_GB2312" w:hAnsi="仿宋"/>
          <w:color w:val="000000"/>
          <w:sz w:val="32"/>
          <w:szCs w:val="32"/>
        </w:rPr>
        <w:t>1-1</w:t>
      </w:r>
      <w:r>
        <w:rPr>
          <w:rFonts w:ascii="仿宋_GB2312" w:eastAsia="仿宋_GB2312" w:hAnsi="仿宋" w:hint="eastAsia"/>
          <w:color w:val="000000"/>
          <w:sz w:val="32"/>
          <w:szCs w:val="32"/>
        </w:rPr>
        <w:t>1月份，政府性基金收入完成206536万元，占预算57.89</w:t>
      </w:r>
      <w:r>
        <w:rPr>
          <w:rFonts w:ascii="仿宋_GB2312" w:eastAsia="仿宋_GB2312" w:hAnsi="仿宋"/>
          <w:color w:val="000000"/>
          <w:sz w:val="32"/>
          <w:szCs w:val="32"/>
        </w:rPr>
        <w:t>%</w:t>
      </w:r>
      <w:r>
        <w:rPr>
          <w:rFonts w:ascii="仿宋_GB2312" w:eastAsia="仿宋_GB2312" w:hAnsi="仿宋" w:hint="eastAsia"/>
          <w:color w:val="000000"/>
          <w:sz w:val="32"/>
          <w:szCs w:val="32"/>
        </w:rPr>
        <w:t>，增长4.95</w:t>
      </w:r>
      <w:r>
        <w:rPr>
          <w:rFonts w:ascii="仿宋_GB2312" w:eastAsia="仿宋_GB2312" w:hAnsi="仿宋"/>
          <w:color w:val="000000"/>
          <w:sz w:val="32"/>
          <w:szCs w:val="32"/>
        </w:rPr>
        <w:t>%</w:t>
      </w:r>
      <w:r>
        <w:rPr>
          <w:rFonts w:ascii="仿宋_GB2312" w:eastAsia="仿宋_GB2312" w:hAnsi="仿宋" w:hint="eastAsia"/>
          <w:color w:val="000000"/>
          <w:sz w:val="32"/>
          <w:szCs w:val="32"/>
        </w:rPr>
        <w:t>，其中：县本级100513万元，占预算54.93%，下降17.55%；新桥产业园83898万元，占预算61.69%，增长106.27%；寿蜀现代产业园11170万元，占预算37.23%，下降54.5%；乡镇8825万元，占预算176.49%，增长23.59%;其他基金收入2131万元, 占预算76.11%，下降15.94%。政府性基金支出（不含专项债券）完成252257万元，占预算70.7</w:t>
      </w:r>
      <w:r>
        <w:rPr>
          <w:rFonts w:ascii="仿宋_GB2312" w:eastAsia="仿宋_GB2312" w:hAnsi="仿宋"/>
          <w:color w:val="000000"/>
          <w:sz w:val="32"/>
          <w:szCs w:val="32"/>
        </w:rPr>
        <w:t>%</w:t>
      </w:r>
      <w:r>
        <w:rPr>
          <w:rFonts w:ascii="仿宋_GB2312" w:eastAsia="仿宋_GB2312" w:hAnsi="仿宋" w:hint="eastAsia"/>
          <w:color w:val="000000"/>
          <w:sz w:val="32"/>
          <w:szCs w:val="32"/>
        </w:rPr>
        <w:t>，增长3.78</w:t>
      </w:r>
      <w:r>
        <w:rPr>
          <w:rFonts w:ascii="仿宋_GB2312" w:eastAsia="仿宋_GB2312" w:hAnsi="仿宋"/>
          <w:color w:val="000000"/>
          <w:sz w:val="32"/>
          <w:szCs w:val="32"/>
        </w:rPr>
        <w:t>%</w:t>
      </w:r>
      <w:r>
        <w:rPr>
          <w:rFonts w:ascii="仿宋_GB2312" w:eastAsia="仿宋_GB2312" w:hAnsi="仿宋" w:hint="eastAsia"/>
          <w:color w:val="000000"/>
          <w:sz w:val="32"/>
          <w:szCs w:val="32"/>
        </w:rPr>
        <w:t>。</w:t>
      </w:r>
    </w:p>
    <w:p w14:paraId="7AFFCC6F">
      <w:pPr>
        <w:topLinePunct/>
        <w:spacing w:line="560" w:lineRule="exact"/>
        <w:ind w:firstLine="640" w:firstLineChars="200"/>
        <w:rPr>
          <w:rFonts w:ascii="仿宋_GB2312" w:eastAsia="仿宋_GB2312" w:hAnsi="仿宋"/>
          <w:bCs/>
          <w:color w:val="000000"/>
          <w:sz w:val="32"/>
          <w:szCs w:val="32"/>
        </w:rPr>
      </w:pPr>
      <w:r>
        <w:rPr>
          <w:rFonts w:ascii="仿宋_GB2312" w:eastAsia="仿宋_GB2312" w:hAnsi="仿宋" w:hint="eastAsia"/>
          <w:bCs/>
          <w:color w:val="000000"/>
          <w:sz w:val="32"/>
          <w:szCs w:val="32"/>
        </w:rPr>
        <w:t>预计全年完成政府性基金收入</w:t>
      </w:r>
      <w:r>
        <w:rPr>
          <w:rFonts w:ascii="仿宋_GB2312" w:eastAsia="仿宋_GB2312" w:hAnsi="仿宋"/>
          <w:bCs/>
          <w:color w:val="000000"/>
          <w:sz w:val="32"/>
          <w:szCs w:val="32"/>
        </w:rPr>
        <w:t>2</w:t>
      </w:r>
      <w:r>
        <w:rPr>
          <w:rFonts w:ascii="仿宋_GB2312" w:eastAsia="仿宋_GB2312" w:hAnsi="仿宋" w:hint="eastAsia"/>
          <w:bCs/>
          <w:color w:val="000000"/>
          <w:sz w:val="32"/>
          <w:szCs w:val="32"/>
        </w:rPr>
        <w:t>4</w:t>
      </w:r>
      <w:r>
        <w:rPr>
          <w:rFonts w:ascii="仿宋_GB2312" w:eastAsia="仿宋_GB2312" w:hAnsi="仿宋"/>
          <w:bCs/>
          <w:color w:val="000000"/>
          <w:sz w:val="32"/>
          <w:szCs w:val="32"/>
        </w:rPr>
        <w:t>0000</w:t>
      </w:r>
      <w:r>
        <w:rPr>
          <w:rFonts w:ascii="仿宋_GB2312" w:eastAsia="仿宋_GB2312" w:hAnsi="仿宋" w:hint="eastAsia"/>
          <w:bCs/>
          <w:color w:val="000000"/>
          <w:sz w:val="32"/>
          <w:szCs w:val="32"/>
        </w:rPr>
        <w:t>万元，增长18.8</w:t>
      </w:r>
      <w:r>
        <w:rPr>
          <w:rFonts w:ascii="仿宋_GB2312" w:eastAsia="仿宋_GB2312" w:hAnsi="仿宋"/>
          <w:bCs/>
          <w:color w:val="000000"/>
          <w:sz w:val="32"/>
          <w:szCs w:val="32"/>
        </w:rPr>
        <w:t>%</w:t>
      </w:r>
      <w:r>
        <w:rPr>
          <w:rFonts w:ascii="仿宋_GB2312" w:eastAsia="仿宋_GB2312" w:hAnsi="仿宋" w:hint="eastAsia"/>
          <w:bCs/>
          <w:color w:val="000000"/>
          <w:sz w:val="32"/>
          <w:szCs w:val="32"/>
        </w:rPr>
        <w:t>；上级转移支付收入13998万元，新增专项债券收入289100万元，再融资专项债券49041万元，上年结转12502万元，预算总收入604641万元。预计政府性基金支出555300万元，增长64.77</w:t>
      </w:r>
      <w:r>
        <w:rPr>
          <w:rFonts w:ascii="仿宋_GB2312" w:eastAsia="仿宋_GB2312" w:hAnsi="仿宋"/>
          <w:bCs/>
          <w:color w:val="000000"/>
          <w:sz w:val="32"/>
          <w:szCs w:val="32"/>
        </w:rPr>
        <w:t>%</w:t>
      </w:r>
      <w:r>
        <w:rPr>
          <w:rFonts w:ascii="仿宋_GB2312" w:eastAsia="仿宋_GB2312" w:hAnsi="仿宋" w:hint="eastAsia"/>
          <w:bCs/>
          <w:color w:val="000000"/>
          <w:sz w:val="32"/>
          <w:szCs w:val="32"/>
        </w:rPr>
        <w:t>，再融资专项债券还本支出49341万元</w:t>
      </w:r>
      <w:r>
        <w:rPr>
          <w:rFonts w:ascii="仿宋_GB2312" w:eastAsia="仿宋_GB2312" w:hAnsi="仿宋"/>
          <w:bCs/>
          <w:color w:val="000000"/>
          <w:sz w:val="32"/>
          <w:szCs w:val="32"/>
        </w:rPr>
        <w:t>,</w:t>
      </w:r>
      <w:r>
        <w:rPr>
          <w:rFonts w:ascii="仿宋_GB2312" w:eastAsia="仿宋_GB2312" w:hAnsi="仿宋" w:hint="eastAsia"/>
          <w:bCs/>
          <w:color w:val="000000"/>
          <w:sz w:val="32"/>
          <w:szCs w:val="32"/>
        </w:rPr>
        <w:t>预算总支出604641万元。</w:t>
      </w:r>
    </w:p>
    <w:p w14:paraId="4C9092DA">
      <w:pPr>
        <w:topLinePunct/>
        <w:spacing w:line="560" w:lineRule="exact"/>
        <w:ind w:firstLine="640" w:firstLineChars="200"/>
        <w:rPr>
          <w:rFonts w:ascii="仿宋_GB2312" w:eastAsia="仿宋_GB2312" w:hAnsi="华文楷体"/>
          <w:b/>
          <w:color w:val="000000"/>
          <w:sz w:val="32"/>
          <w:szCs w:val="32"/>
        </w:rPr>
      </w:pPr>
      <w:r>
        <w:rPr>
          <w:rFonts w:ascii="仿宋_GB2312" w:eastAsia="仿宋_GB2312" w:hAnsi="华文楷体"/>
          <w:b/>
          <w:color w:val="000000"/>
          <w:sz w:val="32"/>
          <w:szCs w:val="32"/>
        </w:rPr>
        <w:t>3</w:t>
      </w:r>
      <w:r>
        <w:rPr>
          <w:rFonts w:ascii="仿宋_GB2312" w:eastAsia="仿宋_GB2312" w:hAnsi="华文楷体" w:hint="eastAsia"/>
          <w:b/>
          <w:color w:val="000000"/>
          <w:sz w:val="32"/>
          <w:szCs w:val="32"/>
        </w:rPr>
        <w:t>.国有资本经营预算执行情况</w:t>
      </w:r>
    </w:p>
    <w:p w14:paraId="602D5023">
      <w:pPr>
        <w:topLinePunct/>
        <w:spacing w:line="560" w:lineRule="exact"/>
        <w:ind w:firstLine="640" w:firstLineChars="200"/>
        <w:rPr>
          <w:rFonts w:ascii="仿宋_GB2312" w:eastAsia="仿宋_GB2312" w:hAnsi="仿宋" w:hint="eastAsia"/>
          <w:bCs/>
          <w:color w:val="000000"/>
          <w:sz w:val="32"/>
          <w:szCs w:val="32"/>
        </w:rPr>
      </w:pPr>
      <w:r>
        <w:rPr>
          <w:rFonts w:ascii="仿宋_GB2312" w:eastAsia="仿宋_GB2312" w:hAnsi="仿宋"/>
          <w:bCs/>
          <w:color w:val="000000"/>
          <w:sz w:val="32"/>
          <w:szCs w:val="32"/>
        </w:rPr>
        <w:t>1-1</w:t>
      </w:r>
      <w:r>
        <w:rPr>
          <w:rFonts w:ascii="仿宋_GB2312" w:eastAsia="仿宋_GB2312" w:hAnsi="仿宋" w:hint="eastAsia"/>
          <w:bCs/>
          <w:color w:val="000000"/>
          <w:sz w:val="32"/>
          <w:szCs w:val="32"/>
        </w:rPr>
        <w:t>1月份，国有资本经营预算收入完成200万元，占预算15.38</w:t>
      </w:r>
      <w:r>
        <w:rPr>
          <w:rFonts w:ascii="仿宋_GB2312" w:eastAsia="仿宋_GB2312" w:hAnsi="仿宋"/>
          <w:bCs/>
          <w:color w:val="000000"/>
          <w:sz w:val="32"/>
          <w:szCs w:val="32"/>
        </w:rPr>
        <w:t>%</w:t>
      </w:r>
      <w:r>
        <w:rPr>
          <w:rFonts w:ascii="仿宋_GB2312" w:eastAsia="仿宋_GB2312" w:hAnsi="仿宋" w:hint="eastAsia"/>
          <w:bCs/>
          <w:color w:val="000000"/>
          <w:sz w:val="32"/>
          <w:szCs w:val="32"/>
        </w:rPr>
        <w:t>，国有资本经营预算支出完成</w:t>
      </w:r>
      <w:r>
        <w:rPr>
          <w:rStyle w:val="15"/>
          <w:rFonts w:ascii="仿宋_GB2312" w:eastAsia="仿宋_GB2312" w:hAnsi="仿宋" w:hint="eastAsia"/>
          <w:bCs/>
          <w:sz w:val="32"/>
          <w:szCs w:val="32"/>
        </w:rPr>
        <w:t>436</w:t>
      </w:r>
      <w:r>
        <w:rPr>
          <w:rFonts w:ascii="仿宋_GB2312" w:eastAsia="仿宋_GB2312" w:hAnsi="仿宋" w:hint="eastAsia"/>
          <w:bCs/>
          <w:color w:val="000000"/>
          <w:sz w:val="32"/>
          <w:szCs w:val="32"/>
        </w:rPr>
        <w:t>万元，占预算</w:t>
      </w:r>
      <w:r>
        <w:rPr>
          <w:rStyle w:val="15"/>
          <w:rFonts w:ascii="仿宋_GB2312" w:eastAsia="仿宋_GB2312" w:hAnsi="仿宋" w:hint="eastAsia"/>
          <w:bCs/>
          <w:sz w:val="32"/>
          <w:szCs w:val="32"/>
        </w:rPr>
        <w:t>33.54</w:t>
      </w:r>
      <w:r>
        <w:rPr>
          <w:rFonts w:ascii="仿宋_GB2312" w:eastAsia="仿宋_GB2312" w:hAnsi="仿宋" w:hint="eastAsia"/>
          <w:bCs/>
          <w:color w:val="000000"/>
          <w:sz w:val="32"/>
          <w:szCs w:val="32"/>
        </w:rPr>
        <w:t>%。</w:t>
      </w:r>
    </w:p>
    <w:p w14:paraId="37A9CBA2">
      <w:pPr>
        <w:topLinePunct/>
        <w:spacing w:line="560" w:lineRule="exact"/>
        <w:ind w:firstLine="640" w:firstLineChars="200"/>
        <w:rPr>
          <w:rFonts w:ascii="仿宋_GB2312" w:eastAsia="仿宋_GB2312" w:hAnsi="仿宋"/>
          <w:bCs/>
          <w:color w:val="000000"/>
          <w:sz w:val="32"/>
          <w:szCs w:val="32"/>
        </w:rPr>
      </w:pPr>
      <w:r>
        <w:rPr>
          <w:rFonts w:ascii="仿宋_GB2312" w:eastAsia="仿宋_GB2312" w:hAnsi="仿宋" w:hint="eastAsia"/>
          <w:bCs/>
          <w:color w:val="000000"/>
          <w:sz w:val="32"/>
          <w:szCs w:val="32"/>
        </w:rPr>
        <w:t>预计全年完成国有资本经营预算收入</w:t>
      </w:r>
      <w:r>
        <w:rPr>
          <w:rFonts w:ascii="仿宋_GB2312" w:eastAsia="仿宋_GB2312" w:hAnsi="仿宋"/>
          <w:bCs/>
          <w:color w:val="000000"/>
          <w:sz w:val="32"/>
          <w:szCs w:val="32"/>
        </w:rPr>
        <w:t>1300</w:t>
      </w:r>
      <w:r>
        <w:rPr>
          <w:rFonts w:ascii="仿宋_GB2312" w:eastAsia="仿宋_GB2312" w:hAnsi="仿宋" w:hint="eastAsia"/>
          <w:bCs/>
          <w:color w:val="000000"/>
          <w:sz w:val="32"/>
          <w:szCs w:val="32"/>
        </w:rPr>
        <w:t>万元，主要是国有企业利润收入，预计国有资本经营预算支出完成500万元，占预算38.46%，主要是其他解决历史遗留问题及改革成本支出;调出资金800万元。</w:t>
      </w:r>
    </w:p>
    <w:p w14:paraId="461E9ABA">
      <w:pPr>
        <w:topLinePunct/>
        <w:spacing w:line="560" w:lineRule="exact"/>
        <w:ind w:firstLine="640" w:firstLineChars="200"/>
        <w:rPr>
          <w:rFonts w:ascii="仿宋_GB2312" w:eastAsia="仿宋_GB2312" w:hAnsi="仿宋"/>
          <w:bCs/>
          <w:color w:val="000000"/>
          <w:sz w:val="32"/>
          <w:szCs w:val="32"/>
        </w:rPr>
      </w:pPr>
      <w:r>
        <w:rPr>
          <w:rFonts w:ascii="仿宋_GB2312" w:eastAsia="仿宋_GB2312" w:hAnsi="华文楷体"/>
          <w:b/>
          <w:color w:val="000000"/>
          <w:sz w:val="32"/>
          <w:szCs w:val="32"/>
        </w:rPr>
        <w:t>4</w:t>
      </w:r>
      <w:r>
        <w:rPr>
          <w:rFonts w:ascii="仿宋_GB2312" w:eastAsia="仿宋_GB2312" w:hAnsi="华文楷体" w:hint="eastAsia"/>
          <w:b/>
          <w:color w:val="000000"/>
          <w:sz w:val="32"/>
          <w:szCs w:val="32"/>
        </w:rPr>
        <w:t>.社会保险基金预算执行情况</w:t>
      </w:r>
    </w:p>
    <w:p w14:paraId="155A21F7">
      <w:pPr>
        <w:topLinePunct/>
        <w:spacing w:line="560" w:lineRule="exact"/>
        <w:ind w:firstLine="640" w:firstLineChars="200"/>
        <w:rPr>
          <w:rStyle w:val="NormalCharacter"/>
          <w:rFonts w:ascii="仿宋_GB2312" w:eastAsia="仿宋_GB2312" w:hAnsi="仿宋" w:hint="eastAsia"/>
          <w:kern w:val="0"/>
          <w:sz w:val="32"/>
          <w:szCs w:val="32"/>
        </w:rPr>
      </w:pPr>
      <w:r>
        <w:rPr>
          <w:rStyle w:val="NormalCharacter"/>
          <w:rFonts w:ascii="仿宋_GB2312" w:eastAsia="仿宋_GB2312" w:hAnsi="仿宋" w:hint="eastAsia"/>
          <w:kern w:val="0"/>
          <w:sz w:val="32"/>
          <w:szCs w:val="32"/>
        </w:rPr>
        <w:t>我县企业职工养老、工伤、机关事业单位养老、城乡居民基本医疗、职工基本医疗和失业等保险为省、市统筹险种；城乡居民养老保险为县级统筹险种。</w:t>
      </w:r>
      <w:r>
        <w:rPr>
          <w:rStyle w:val="NormalCharacter"/>
          <w:rFonts w:ascii="仿宋_GB2312" w:eastAsia="仿宋_GB2312" w:hAnsi="仿宋"/>
          <w:kern w:val="0"/>
          <w:sz w:val="32"/>
          <w:szCs w:val="32"/>
        </w:rPr>
        <w:t>1-11月，涉及县级统筹的社保基金预算收入完成78858万元，增长34.9%，占预算117.2%；社保基金预算支出41871万元，增长17.8%，占预算98%，收支结余36987万元。</w:t>
      </w:r>
    </w:p>
    <w:p w14:paraId="738FE2DC">
      <w:pPr>
        <w:topLinePunct/>
        <w:spacing w:line="560" w:lineRule="exact"/>
        <w:ind w:firstLine="640" w:firstLineChars="200"/>
        <w:rPr>
          <w:rStyle w:val="NormalCharacter"/>
          <w:rFonts w:ascii="仿宋_GB2312" w:eastAsia="仿宋_GB2312" w:hAnsi="仿宋" w:hint="eastAsia"/>
          <w:kern w:val="0"/>
          <w:sz w:val="32"/>
          <w:szCs w:val="32"/>
        </w:rPr>
      </w:pPr>
      <w:r>
        <w:rPr>
          <w:rStyle w:val="NormalCharacter"/>
          <w:rFonts w:ascii="仿宋_GB2312" w:eastAsia="仿宋_GB2312" w:hAnsi="仿宋"/>
          <w:kern w:val="0"/>
          <w:sz w:val="32"/>
          <w:szCs w:val="32"/>
        </w:rPr>
        <w:t>2023年社保基金收入预计完成88723万元,增长48.8%；基金支出预计完成46067万元，增长18.18%，收支结余42656万元。</w:t>
      </w:r>
    </w:p>
    <w:p w14:paraId="2E6F8041">
      <w:pPr>
        <w:topLinePunct/>
        <w:spacing w:line="560" w:lineRule="exact"/>
        <w:ind w:firstLine="640" w:firstLineChars="200"/>
        <w:rPr>
          <w:rFonts w:ascii="楷体_GB2312" w:eastAsia="楷体_GB2312" w:hAnsi="楷体"/>
          <w:b/>
          <w:color w:val="000000"/>
          <w:sz w:val="32"/>
          <w:szCs w:val="32"/>
        </w:rPr>
      </w:pPr>
      <w:r>
        <w:rPr>
          <w:rFonts w:ascii="楷体_GB2312" w:eastAsia="楷体_GB2312" w:hAnsi="楷体" w:hint="eastAsia"/>
          <w:b/>
          <w:color w:val="000000"/>
          <w:sz w:val="32"/>
          <w:szCs w:val="32"/>
        </w:rPr>
        <w:t>（二）地方政府债务情况</w:t>
      </w:r>
    </w:p>
    <w:p w14:paraId="037DB8B6">
      <w:pPr>
        <w:topLinePunct/>
        <w:spacing w:line="560" w:lineRule="exact"/>
        <w:ind w:firstLine="640" w:firstLineChars="200"/>
        <w:rPr>
          <w:rFonts w:ascii="仿宋_GB2312" w:eastAsia="仿宋_GB2312" w:hAnsi="仿宋" w:hint="eastAsia"/>
          <w:color w:val="000000"/>
          <w:sz w:val="32"/>
          <w:szCs w:val="32"/>
          <w:lang w:bidi="en-US"/>
        </w:rPr>
      </w:pPr>
      <w:r>
        <w:rPr>
          <w:rFonts w:ascii="仿宋_GB2312" w:eastAsia="仿宋_GB2312" w:hAnsi="仿宋" w:hint="eastAsia"/>
          <w:color w:val="000000"/>
          <w:sz w:val="32"/>
          <w:szCs w:val="32"/>
          <w:lang w:bidi="en-US"/>
        </w:rPr>
        <w:t>截至2023年11月底，我县政府债务余额</w:t>
      </w:r>
      <w:r>
        <w:rPr>
          <w:rFonts w:ascii="仿宋_GB2312" w:eastAsia="仿宋_GB2312" w:hAnsi="仿宋_GB2312" w:cs="仿宋_GB2312" w:hint="eastAsia"/>
          <w:color w:val="000000"/>
          <w:kern w:val="0"/>
          <w:sz w:val="32"/>
          <w:szCs w:val="32"/>
          <w:lang w:bidi="en-US"/>
        </w:rPr>
        <w:t>1318695</w:t>
      </w:r>
      <w:r>
        <w:rPr>
          <w:rFonts w:ascii="仿宋_GB2312" w:eastAsia="仿宋_GB2312" w:hAnsi="仿宋" w:hint="eastAsia"/>
          <w:color w:val="000000"/>
          <w:sz w:val="32"/>
          <w:szCs w:val="32"/>
          <w:lang w:bidi="en-US"/>
        </w:rPr>
        <w:t>万元，其中：一般债务</w:t>
      </w:r>
      <w:r>
        <w:rPr>
          <w:rFonts w:ascii="仿宋_GB2312" w:eastAsia="仿宋_GB2312" w:hAnsi="仿宋_GB2312" w:cs="仿宋_GB2312" w:hint="eastAsia"/>
          <w:color w:val="000000"/>
          <w:kern w:val="0"/>
          <w:sz w:val="32"/>
          <w:szCs w:val="32"/>
          <w:lang w:bidi="en-US"/>
        </w:rPr>
        <w:t>426492</w:t>
      </w:r>
      <w:r>
        <w:rPr>
          <w:rFonts w:ascii="仿宋_GB2312" w:eastAsia="仿宋_GB2312" w:hAnsi="仿宋" w:hint="eastAsia"/>
          <w:color w:val="000000"/>
          <w:sz w:val="32"/>
          <w:szCs w:val="32"/>
          <w:lang w:bidi="en-US"/>
        </w:rPr>
        <w:t>万元，专项债务</w:t>
      </w:r>
      <w:r>
        <w:rPr>
          <w:rFonts w:ascii="仿宋_GB2312" w:eastAsia="仿宋_GB2312" w:hAnsi="仿宋_GB2312" w:cs="仿宋_GB2312" w:hint="eastAsia"/>
          <w:color w:val="000000"/>
          <w:kern w:val="0"/>
          <w:sz w:val="32"/>
          <w:szCs w:val="32"/>
          <w:lang w:bidi="en-US"/>
        </w:rPr>
        <w:t>892203</w:t>
      </w:r>
      <w:r>
        <w:rPr>
          <w:rFonts w:ascii="仿宋_GB2312" w:eastAsia="仿宋_GB2312" w:hAnsi="仿宋" w:hint="eastAsia"/>
          <w:color w:val="000000"/>
          <w:sz w:val="32"/>
          <w:szCs w:val="32"/>
          <w:lang w:bidi="en-US"/>
        </w:rPr>
        <w:t>万元。</w:t>
      </w:r>
      <w:r>
        <w:rPr>
          <w:rFonts w:ascii="仿宋_GB2312" w:eastAsia="仿宋_GB2312" w:hAnsi="宋体" w:hint="eastAsia"/>
          <w:color w:val="000000"/>
          <w:sz w:val="32"/>
          <w:szCs w:val="32"/>
        </w:rPr>
        <w:t>2023年我县通过省财政厅代发地方政府债券</w:t>
      </w:r>
      <w:r>
        <w:rPr>
          <w:rFonts w:ascii="仿宋_GB2312" w:eastAsia="仿宋_GB2312" w:hAnsi="仿宋_GB2312" w:cs="仿宋_GB2312" w:hint="eastAsia"/>
          <w:bCs/>
          <w:color w:val="000000"/>
          <w:sz w:val="32"/>
          <w:szCs w:val="32"/>
        </w:rPr>
        <w:t>411436</w:t>
      </w:r>
      <w:r>
        <w:rPr>
          <w:rFonts w:ascii="仿宋_GB2312" w:eastAsia="仿宋_GB2312" w:hAnsi="宋体" w:hint="eastAsia"/>
          <w:color w:val="000000"/>
          <w:sz w:val="32"/>
          <w:szCs w:val="32"/>
        </w:rPr>
        <w:t>万元，</w:t>
      </w:r>
      <w:r>
        <w:rPr>
          <w:rFonts w:ascii="仿宋_GB2312" w:eastAsia="仿宋_GB2312" w:hAnsi="仿宋" w:hint="eastAsia"/>
          <w:b/>
          <w:color w:val="000000"/>
          <w:sz w:val="32"/>
          <w:szCs w:val="32"/>
          <w:lang w:bidi="en-US"/>
        </w:rPr>
        <w:t>其中：一般债券10</w:t>
      </w:r>
      <w:r>
        <w:rPr>
          <w:rFonts w:ascii="仿宋_GB2312" w:eastAsia="仿宋_GB2312" w:hAnsi="仿宋_GB2312" w:cs="仿宋_GB2312" w:hint="eastAsia"/>
          <w:color w:val="000000"/>
          <w:kern w:val="0"/>
          <w:sz w:val="32"/>
          <w:szCs w:val="32"/>
          <w:lang w:bidi="en-US"/>
        </w:rPr>
        <w:t>129</w:t>
      </w:r>
      <w:r>
        <w:rPr>
          <w:rFonts w:ascii="仿宋_GB2312" w:eastAsia="仿宋_GB2312" w:hAnsi="仿宋" w:hint="eastAsia"/>
          <w:b/>
          <w:color w:val="000000"/>
          <w:sz w:val="32"/>
          <w:szCs w:val="32"/>
          <w:lang w:bidi="en-US"/>
        </w:rPr>
        <w:t>万元，</w:t>
      </w:r>
      <w:r>
        <w:rPr>
          <w:rFonts w:ascii="仿宋_GB2312" w:eastAsia="仿宋_GB2312" w:hAnsi="华文仿宋" w:hint="eastAsia"/>
          <w:bCs/>
          <w:color w:val="000000"/>
          <w:sz w:val="32"/>
          <w:szCs w:val="32"/>
        </w:rPr>
        <w:t>主要用于</w:t>
      </w:r>
      <w:r>
        <w:rPr>
          <w:rFonts w:ascii="仿宋_GB2312" w:eastAsia="仿宋_GB2312" w:hAnsi="仿宋_GB2312" w:cs="仿宋_GB2312" w:hint="eastAsia"/>
          <w:bCs/>
          <w:color w:val="000000"/>
          <w:sz w:val="32"/>
          <w:szCs w:val="32"/>
        </w:rPr>
        <w:t>寿县2023年高标准农田建设项目、寿县2023年农村户厕改造及粪污资源化利用项目、寿县2023年美丽乡村中心村建设项目、瓦埠湖大桥连接线工程项目、寿县和美乡村精品示范村大泉村建设项目;</w:t>
      </w:r>
      <w:r>
        <w:rPr>
          <w:rFonts w:ascii="仿宋_GB2312" w:eastAsia="仿宋_GB2312" w:hAnsi="仿宋" w:hint="eastAsia"/>
          <w:b/>
          <w:color w:val="000000"/>
          <w:sz w:val="32"/>
          <w:szCs w:val="32"/>
        </w:rPr>
        <w:t>专项债券资金</w:t>
      </w:r>
      <w:r>
        <w:rPr>
          <w:rFonts w:ascii="仿宋_GB2312" w:eastAsia="仿宋_GB2312" w:hAnsi="仿宋_GB2312" w:cs="仿宋_GB2312" w:hint="eastAsia"/>
          <w:color w:val="000000"/>
          <w:kern w:val="0"/>
          <w:sz w:val="32"/>
          <w:szCs w:val="32"/>
          <w:lang w:bidi="en-US"/>
        </w:rPr>
        <w:t>289100</w:t>
      </w:r>
      <w:r>
        <w:rPr>
          <w:rFonts w:ascii="仿宋_GB2312" w:eastAsia="仿宋_GB2312" w:hAnsi="仿宋" w:hint="eastAsia"/>
          <w:b/>
          <w:color w:val="000000"/>
          <w:sz w:val="32"/>
          <w:szCs w:val="32"/>
        </w:rPr>
        <w:t>万元，</w:t>
      </w:r>
      <w:r>
        <w:rPr>
          <w:rFonts w:ascii="仿宋_GB2312" w:eastAsia="仿宋_GB2312" w:hAnsi="华文仿宋" w:hint="eastAsia"/>
          <w:bCs/>
          <w:color w:val="000000"/>
          <w:sz w:val="32"/>
          <w:szCs w:val="32"/>
        </w:rPr>
        <w:t>主要用于</w:t>
      </w:r>
      <w:r>
        <w:rPr>
          <w:rFonts w:ascii="仿宋_GB2312" w:eastAsia="仿宋_GB2312" w:hAnsi="仿宋_GB2312" w:cs="仿宋_GB2312" w:hint="eastAsia"/>
          <w:bCs/>
          <w:color w:val="000000"/>
          <w:sz w:val="32"/>
          <w:szCs w:val="32"/>
        </w:rPr>
        <w:t>肖严湖排灌站涵项目、寿县科技学校（职教中心）和寿县技工学校建设项目、寿县第二净水厂项目、寿县新桥国际产业园基础设施及服务配套工程二期项目、寿县县医院南区及配套设施建设项目、寿县县域区域规模化（城乡供水一体化）工程（北部片区、新桥片区）项目、</w:t>
      </w:r>
      <w:r>
        <w:rPr>
          <w:rFonts w:ascii="仿宋_GB2312" w:eastAsia="仿宋_GB2312" w:hAnsi="仿宋_GB2312" w:cs="仿宋_GB2312" w:hint="eastAsia"/>
          <w:color w:val="000000"/>
          <w:sz w:val="32"/>
          <w:szCs w:val="32"/>
        </w:rPr>
        <w:t>寿县中医院国医楼建设项目、寿县红十字会医院综合楼项目、G328寿县至霍邱一级公路改扩建工程项目、合肥新桥机场S1线工程（寿县建设段）项目、寿县明珠佳园项目等</w:t>
      </w:r>
      <w:r>
        <w:rPr>
          <w:rFonts w:ascii="仿宋_GB2312" w:eastAsia="仿宋_GB2312" w:hAnsi="仿宋" w:hint="eastAsia"/>
          <w:bCs/>
          <w:color w:val="000000"/>
          <w:sz w:val="32"/>
          <w:szCs w:val="32"/>
        </w:rPr>
        <w:t>；</w:t>
      </w:r>
      <w:r>
        <w:rPr>
          <w:rFonts w:ascii="仿宋_GB2312" w:eastAsia="仿宋_GB2312" w:hAnsi="仿宋" w:hint="eastAsia"/>
          <w:b/>
          <w:color w:val="000000"/>
          <w:sz w:val="32"/>
          <w:szCs w:val="32"/>
          <w:lang w:bidi="en-US"/>
        </w:rPr>
        <w:t>再融资债券</w:t>
      </w:r>
      <w:r>
        <w:rPr>
          <w:rFonts w:ascii="仿宋_GB2312" w:eastAsia="仿宋_GB2312" w:hAnsi="仿宋_GB2312" w:cs="仿宋_GB2312" w:hint="eastAsia"/>
          <w:b/>
          <w:bCs/>
          <w:color w:val="000000"/>
          <w:kern w:val="0"/>
          <w:sz w:val="32"/>
          <w:szCs w:val="32"/>
          <w:lang w:bidi="en-US"/>
        </w:rPr>
        <w:t>112207</w:t>
      </w:r>
      <w:r>
        <w:rPr>
          <w:rFonts w:ascii="仿宋_GB2312" w:eastAsia="仿宋_GB2312" w:hAnsi="仿宋" w:hint="eastAsia"/>
          <w:b/>
          <w:color w:val="000000"/>
          <w:sz w:val="32"/>
          <w:szCs w:val="32"/>
          <w:lang w:bidi="en-US"/>
        </w:rPr>
        <w:t>万元，</w:t>
      </w:r>
      <w:r>
        <w:rPr>
          <w:rFonts w:ascii="仿宋_GB2312" w:eastAsia="仿宋_GB2312" w:hAnsi="仿宋" w:hint="eastAsia"/>
          <w:color w:val="000000"/>
          <w:sz w:val="32"/>
          <w:szCs w:val="32"/>
          <w:lang w:bidi="en-US"/>
        </w:rPr>
        <w:t>全部用于偿还到期政府债券本金。</w:t>
      </w:r>
    </w:p>
    <w:p w14:paraId="04998CB1">
      <w:pPr>
        <w:pStyle w:val="NormalWeb"/>
        <w:shd w:val="clear" w:color="auto" w:fill="FFFFFF"/>
        <w:topLinePunct/>
        <w:spacing w:beforeAutospacing="0" w:afterAutospacing="0" w:line="560" w:lineRule="exact"/>
        <w:ind w:firstLine="640" w:firstLineChars="200"/>
        <w:jc w:val="both"/>
        <w:rPr>
          <w:rFonts w:ascii="仿宋_GB2312" w:eastAsia="仿宋_GB2312" w:hAnsi="华文仿宋" w:hint="eastAsia"/>
          <w:bCs/>
          <w:color w:val="000000"/>
          <w:sz w:val="32"/>
          <w:szCs w:val="32"/>
        </w:rPr>
      </w:pPr>
      <w:r>
        <w:rPr>
          <w:rFonts w:ascii="仿宋_GB2312" w:eastAsia="仿宋_GB2312" w:hAnsi="华文仿宋" w:hint="eastAsia"/>
          <w:bCs/>
          <w:color w:val="000000"/>
          <w:sz w:val="32"/>
          <w:szCs w:val="32"/>
        </w:rPr>
        <w:t>预计年底我县政府法定债务率129%</w:t>
      </w:r>
      <w:r>
        <w:rPr>
          <w:rFonts w:ascii="仿宋_GB2312" w:eastAsia="仿宋_GB2312" w:hAnsi="华文仿宋" w:hint="eastAsia"/>
          <w:bCs/>
          <w:color w:val="000000"/>
          <w:sz w:val="32"/>
          <w:szCs w:val="32"/>
          <w:lang w:eastAsia="zh-CN"/>
        </w:rPr>
        <w:t>，</w:t>
      </w:r>
      <w:bookmarkStart w:id="0" w:name="_GoBack"/>
      <w:bookmarkEnd w:id="0"/>
      <w:r>
        <w:rPr>
          <w:rFonts w:ascii="仿宋_GB2312" w:eastAsia="仿宋_GB2312" w:hAnsi="华文仿宋" w:hint="eastAsia"/>
          <w:bCs/>
          <w:color w:val="000000"/>
          <w:sz w:val="32"/>
          <w:szCs w:val="32"/>
        </w:rPr>
        <w:t>达到</w:t>
      </w:r>
      <w:r>
        <w:rPr>
          <w:rFonts w:ascii="仿宋_GB2312" w:eastAsia="仿宋_GB2312" w:hAnsi="仿宋_GB2312" w:cs="仿宋_GB2312" w:hint="eastAsia"/>
          <w:color w:val="000000"/>
          <w:sz w:val="32"/>
          <w:szCs w:val="32"/>
        </w:rPr>
        <w:t>黄</w:t>
      </w:r>
      <w:r>
        <w:rPr>
          <w:rFonts w:ascii="仿宋_GB2312" w:eastAsia="仿宋_GB2312" w:hAnsi="华文仿宋" w:hint="eastAsia"/>
          <w:bCs/>
          <w:color w:val="000000"/>
          <w:sz w:val="32"/>
          <w:szCs w:val="32"/>
        </w:rPr>
        <w:t>色区间。</w:t>
      </w:r>
    </w:p>
    <w:p w14:paraId="75722899">
      <w:pPr>
        <w:pStyle w:val="NormalWeb"/>
        <w:shd w:val="clear" w:color="auto" w:fill="FFFFFF"/>
        <w:topLinePunct/>
        <w:spacing w:beforeAutospacing="0" w:afterAutospacing="0" w:line="560" w:lineRule="exact"/>
        <w:ind w:firstLine="640" w:firstLineChars="200"/>
        <w:jc w:val="both"/>
        <w:rPr>
          <w:rFonts w:ascii="楷体_GB2312" w:eastAsia="楷体_GB2312" w:hAnsi="楷体"/>
          <w:b/>
          <w:color w:val="000000"/>
          <w:kern w:val="2"/>
          <w:sz w:val="32"/>
          <w:szCs w:val="32"/>
        </w:rPr>
      </w:pPr>
      <w:r>
        <w:rPr>
          <w:rFonts w:ascii="楷体_GB2312" w:eastAsia="楷体_GB2312" w:hAnsi="楷体" w:hint="eastAsia"/>
          <w:b/>
          <w:color w:val="000000"/>
          <w:kern w:val="2"/>
          <w:sz w:val="32"/>
          <w:szCs w:val="32"/>
        </w:rPr>
        <w:t>（三）预算绩效管理情况</w:t>
      </w:r>
    </w:p>
    <w:p w14:paraId="69134334">
      <w:pPr>
        <w:topLinePunct/>
        <w:spacing w:line="560" w:lineRule="exact"/>
        <w:ind w:firstLine="640" w:firstLineChars="200"/>
        <w:rPr>
          <w:rFonts w:ascii="仿宋_GB2312" w:eastAsia="仿宋_GB2312" w:hint="eastAsia"/>
          <w:color w:val="000000"/>
          <w:sz w:val="32"/>
          <w:szCs w:val="32"/>
        </w:rPr>
      </w:pPr>
      <w:r>
        <w:rPr>
          <w:rFonts w:ascii="仿宋_GB2312" w:eastAsia="仿宋_GB2312" w:hint="eastAsia"/>
          <w:color w:val="000000"/>
          <w:sz w:val="32"/>
          <w:szCs w:val="32"/>
        </w:rPr>
        <w:t>2023年，将预算管理一体化改革与推进预算绩效管理信息化有机衔接,基本建立“全方位、全过程、全覆盖”的预算绩效管理体系。</w:t>
      </w:r>
      <w:r>
        <w:rPr>
          <w:rFonts w:ascii="仿宋_GB2312" w:eastAsia="仿宋_GB2312" w:hint="eastAsia"/>
          <w:b/>
          <w:color w:val="000000"/>
          <w:sz w:val="32"/>
          <w:szCs w:val="32"/>
        </w:rPr>
        <w:t>实现绩效目标全覆盖。</w:t>
      </w:r>
      <w:r>
        <w:rPr>
          <w:rFonts w:ascii="仿宋_GB2312" w:eastAsia="仿宋_GB2312" w:hint="eastAsia"/>
          <w:color w:val="000000"/>
          <w:sz w:val="32"/>
          <w:szCs w:val="32"/>
        </w:rPr>
        <w:t>坚持“花钱必问效，无效必问责”，各部门申报预算项目同步编制绩效目标，同时按照“两上两下”的预算编审流程，做到绩效目标与预算安排同部署、同批复、同公开。2023年纳入绩效目标项目431个，涉及资金45.95亿元。</w:t>
      </w:r>
      <w:r>
        <w:rPr>
          <w:rFonts w:ascii="仿宋_GB2312" w:eastAsia="仿宋_GB2312" w:hint="eastAsia"/>
          <w:b/>
          <w:color w:val="000000"/>
          <w:sz w:val="32"/>
          <w:szCs w:val="32"/>
        </w:rPr>
        <w:t>推进预算项目事前评审。</w:t>
      </w:r>
      <w:r>
        <w:rPr>
          <w:rFonts w:ascii="仿宋_GB2312" w:eastAsia="仿宋_GB2312" w:hint="eastAsia"/>
          <w:color w:val="000000"/>
          <w:sz w:val="32"/>
          <w:szCs w:val="32"/>
        </w:rPr>
        <w:t>对县级预算安排的新设立的或调整金额较大的项目和重大政策，金额在200万元以上的开展预算绩效事前评审，评审项目9个，涉及金额0.78亿元。</w:t>
      </w:r>
      <w:r>
        <w:rPr>
          <w:rFonts w:ascii="仿宋_GB2312" w:eastAsia="仿宋_GB2312" w:hint="eastAsia"/>
          <w:b/>
          <w:color w:val="000000"/>
          <w:sz w:val="32"/>
          <w:szCs w:val="32"/>
        </w:rPr>
        <w:t>大力开展绩效评价。</w:t>
      </w:r>
      <w:r>
        <w:rPr>
          <w:rFonts w:ascii="仿宋_GB2312" w:eastAsia="仿宋_GB2312" w:hint="eastAsia"/>
          <w:color w:val="000000"/>
          <w:sz w:val="32"/>
          <w:szCs w:val="32"/>
        </w:rPr>
        <w:t>组织县直单位对所属单位项目支出开展预算绩效自评;选取2022年41个项目支出开展重点绩效评价，涉及财政资金9.47亿元;对县直6个部门和4个乡镇开展整体支出绩效评价，涉及资金16.49亿元；目前，正在进行2022-2023年债券资金项目支出绩效评价，涉及10个项目，资金9.94亿元。</w:t>
      </w:r>
      <w:r>
        <w:rPr>
          <w:rFonts w:ascii="仿宋_GB2312" w:eastAsia="仿宋_GB2312" w:hint="eastAsia"/>
          <w:b/>
          <w:color w:val="000000"/>
          <w:sz w:val="32"/>
          <w:szCs w:val="32"/>
        </w:rPr>
        <w:t>强化绩效评价结果运用。</w:t>
      </w:r>
      <w:r>
        <w:rPr>
          <w:rFonts w:ascii="仿宋_GB2312" w:eastAsia="仿宋_GB2312" w:hint="eastAsia"/>
          <w:color w:val="000000"/>
          <w:sz w:val="32"/>
          <w:szCs w:val="32"/>
        </w:rPr>
        <w:t>全面建立评价反馈整改机制，跟踪整改落实情况。对去年10个部门整体支出和41个项目支出开展财政重点绩效评价，梳理出117条部门整体支出和重点支出等方面问题，逐单位下发整改通知书和整改提示函，同时将评价结果作为下年度安排预算的重要参考依据。</w:t>
      </w:r>
    </w:p>
    <w:p w14:paraId="599CF9EF">
      <w:pPr>
        <w:topLinePunct/>
        <w:spacing w:line="560" w:lineRule="exact"/>
        <w:ind w:firstLine="640" w:firstLineChars="200"/>
        <w:rPr>
          <w:rFonts w:ascii="仿宋_GB2312" w:eastAsia="仿宋_GB2312" w:hAnsi="仿宋"/>
          <w:bCs/>
          <w:color w:val="000000"/>
          <w:sz w:val="32"/>
          <w:szCs w:val="32"/>
        </w:rPr>
      </w:pPr>
      <w:r>
        <w:rPr>
          <w:rFonts w:ascii="仿宋_GB2312" w:eastAsia="仿宋_GB2312" w:hAnsi="仿宋" w:hint="eastAsia"/>
          <w:bCs/>
          <w:color w:val="000000"/>
          <w:sz w:val="32"/>
          <w:szCs w:val="32"/>
        </w:rPr>
        <w:t>上述预算执行数字</w:t>
      </w:r>
      <w:r>
        <w:rPr>
          <w:rFonts w:ascii="仿宋_GB2312" w:eastAsia="仿宋_GB2312" w:hAnsi="仿宋"/>
          <w:bCs/>
          <w:color w:val="000000"/>
          <w:sz w:val="32"/>
          <w:szCs w:val="32"/>
        </w:rPr>
        <w:t>,</w:t>
      </w:r>
      <w:r>
        <w:rPr>
          <w:rFonts w:ascii="仿宋_GB2312" w:eastAsia="仿宋_GB2312" w:hAnsi="仿宋" w:hint="eastAsia"/>
          <w:bCs/>
          <w:color w:val="000000"/>
          <w:sz w:val="32"/>
          <w:szCs w:val="32"/>
        </w:rPr>
        <w:t>在决算编制中还会有变化，决算编成后再按规定程序报县人大常委会审议批准。</w:t>
      </w:r>
    </w:p>
    <w:p w14:paraId="57082542">
      <w:pPr>
        <w:topLinePunct/>
        <w:spacing w:line="560" w:lineRule="exact"/>
        <w:ind w:firstLine="640" w:firstLineChars="200"/>
        <w:rPr>
          <w:rFonts w:ascii="黑体" w:eastAsia="黑体" w:hAnsi="黑体" w:cs="黑体" w:hint="eastAsia"/>
          <w:color w:val="000000"/>
          <w:sz w:val="32"/>
          <w:szCs w:val="32"/>
        </w:rPr>
      </w:pPr>
      <w:r>
        <w:rPr>
          <w:rFonts w:ascii="黑体" w:eastAsia="黑体" w:hAnsi="黑体" w:cs="黑体" w:hint="eastAsia"/>
          <w:color w:val="000000"/>
          <w:sz w:val="32"/>
          <w:szCs w:val="32"/>
        </w:rPr>
        <w:t>二、2023年主要工作完成情况</w:t>
      </w:r>
    </w:p>
    <w:p w14:paraId="10D61D38">
      <w:pPr>
        <w:topLinePunct/>
        <w:spacing w:line="560" w:lineRule="exact"/>
        <w:ind w:firstLine="640" w:firstLineChars="200"/>
        <w:rPr>
          <w:rFonts w:ascii="仿宋_GB2312" w:eastAsia="仿宋_GB2312" w:hAnsi="仿宋_GB2312" w:cs="仿宋_GB2312" w:hint="eastAsia"/>
          <w:color w:val="000000"/>
          <w:sz w:val="32"/>
          <w:szCs w:val="32"/>
        </w:rPr>
      </w:pPr>
      <w:r>
        <w:rPr>
          <w:rFonts w:ascii="楷体_GB2312" w:eastAsia="楷体_GB2312" w:hAnsi="仿宋_GB2312" w:cs="仿宋_GB2312" w:hint="eastAsia"/>
          <w:b/>
          <w:bCs/>
          <w:color w:val="000000"/>
          <w:sz w:val="32"/>
          <w:szCs w:val="32"/>
        </w:rPr>
        <w:t>（一）强化预算收支管理，保障财政平稳运行。</w:t>
      </w:r>
      <w:r>
        <w:rPr>
          <w:rFonts w:ascii="仿宋_GB2312" w:eastAsia="仿宋_GB2312" w:hAnsi="仿宋_GB2312" w:cs="仿宋_GB2312" w:hint="eastAsia"/>
          <w:color w:val="000000"/>
          <w:sz w:val="32"/>
          <w:szCs w:val="32"/>
        </w:rPr>
        <w:t>坚持围绕中心、服务大局，统筹各类资金，增强县委县政府重点工作财力保障。</w:t>
      </w:r>
      <w:r>
        <w:rPr>
          <w:rFonts w:ascii="仿宋_GB2312" w:eastAsia="仿宋_GB2312" w:hAnsi="仿宋" w:hint="eastAsia"/>
          <w:color w:val="000000"/>
          <w:sz w:val="32"/>
          <w:szCs w:val="32"/>
        </w:rPr>
        <w:t>加强与上级财政部门沟通汇报</w:t>
      </w:r>
      <w:r>
        <w:rPr>
          <w:rFonts w:ascii="仿宋_GB2312" w:eastAsia="仿宋_GB2312" w:hAnsi="仿宋_GB2312" w:cs="仿宋_GB2312" w:hint="eastAsia"/>
          <w:color w:val="000000"/>
          <w:sz w:val="32"/>
          <w:szCs w:val="32"/>
        </w:rPr>
        <w:t>，争取上级转移支付资金54.3亿元、债券资金41.1亿元，有力保障全县重点项目资金需求。加强资金统筹，全面盘活用好各类存量资金</w:t>
      </w:r>
      <w:r>
        <w:rPr>
          <w:rFonts w:ascii="仿宋_GB2312" w:eastAsia="仿宋_GB2312" w:hAnsi="仿宋" w:hint="eastAsia"/>
          <w:color w:val="000000"/>
          <w:sz w:val="32"/>
          <w:szCs w:val="32"/>
        </w:rPr>
        <w:t>7.28亿元，</w:t>
      </w:r>
      <w:r>
        <w:rPr>
          <w:rFonts w:ascii="仿宋_GB2312" w:eastAsia="仿宋_GB2312" w:hint="eastAsia"/>
          <w:color w:val="000000"/>
          <w:sz w:val="32"/>
          <w:szCs w:val="32"/>
        </w:rPr>
        <w:t>用于教育、乡村振兴等亟需领域。</w:t>
      </w:r>
      <w:r>
        <w:rPr>
          <w:rFonts w:ascii="仿宋_GB2312" w:eastAsia="仿宋_GB2312" w:hAnsi="仿宋_GB2312" w:cs="仿宋_GB2312" w:hint="eastAsia"/>
          <w:color w:val="000000"/>
          <w:sz w:val="32"/>
          <w:szCs w:val="32"/>
        </w:rPr>
        <w:t>正视困难和挑战，积极主动作为，有效履职，将抓好财政收入征管作为首要政治任务，预计全年一般公共预算收入完成19.81亿元，增长3%。围绕</w:t>
      </w:r>
      <w:r>
        <w:rPr>
          <w:rFonts w:ascii="仿宋_GB2312" w:eastAsia="仿宋_GB2312" w:hAnsi="仿宋" w:hint="eastAsia"/>
          <w:color w:val="000000"/>
          <w:sz w:val="32"/>
          <w:szCs w:val="32"/>
        </w:rPr>
        <w:t>乡村振兴衔接、教育、科技、债券和直达资金等重要指标纳入监控范围，通过大数据比对</w:t>
      </w:r>
      <w:r>
        <w:rPr>
          <w:rFonts w:ascii="仿宋_GB2312" w:eastAsia="仿宋_GB2312" w:hAnsi="仿宋_GB2312" w:cs="仿宋_GB2312" w:hint="eastAsia"/>
          <w:color w:val="000000"/>
          <w:sz w:val="32"/>
          <w:szCs w:val="32"/>
        </w:rPr>
        <w:t>，进一步提高支出的均衡性、科学性。严格控制一般性支出，压减</w:t>
      </w:r>
      <w:r>
        <w:rPr>
          <w:rFonts w:ascii="仿宋_GB2312" w:eastAsia="仿宋_GB2312" w:hAnsi="华文仿宋" w:hint="eastAsia"/>
          <w:color w:val="000000"/>
          <w:sz w:val="32"/>
          <w:szCs w:val="32"/>
        </w:rPr>
        <w:t>“三公”经费预算，</w:t>
      </w:r>
      <w:r>
        <w:rPr>
          <w:rFonts w:ascii="仿宋_GB2312" w:eastAsia="仿宋_GB2312" w:hAnsi="仿宋_GB2312" w:cs="仿宋_GB2312" w:hint="eastAsia"/>
          <w:color w:val="000000"/>
          <w:sz w:val="32"/>
          <w:szCs w:val="32"/>
        </w:rPr>
        <w:t>紧紧兜牢“三保”底线，把有限的资金全部用在“刀刃上”。预计全年一般公共预算支出78.3亿元，与去年基本持平。落实审计整改责任，成立往来款项清理领导小组,</w:t>
      </w:r>
      <w:r>
        <w:rPr>
          <w:rFonts w:ascii="仿宋_GB2312" w:eastAsia="仿宋_GB2312" w:hint="eastAsia"/>
          <w:color w:val="000000"/>
          <w:sz w:val="32"/>
          <w:szCs w:val="32"/>
        </w:rPr>
        <w:t>制定</w:t>
      </w:r>
      <w:r>
        <w:rPr>
          <w:rFonts w:ascii="仿宋_GB2312" w:eastAsia="仿宋_GB2312" w:hAnsi="仿宋_GB2312" w:cs="仿宋_GB2312" w:hint="eastAsia"/>
          <w:color w:val="000000"/>
          <w:sz w:val="32"/>
          <w:szCs w:val="32"/>
        </w:rPr>
        <w:t>《寿县财政局暂付性款项和暂存性款项清理整改工作方案》,明确整改措施，压实整改责任，累计清理消化暂付款项4.81亿元、暂存款项3.17亿元，清理工作实现了预期成效。</w:t>
      </w:r>
    </w:p>
    <w:p w14:paraId="1DCDEE9E">
      <w:pPr>
        <w:tabs>
          <w:tab w:val="left" w:pos="845"/>
        </w:tabs>
        <w:spacing w:line="560" w:lineRule="exact"/>
        <w:ind w:firstLine="640" w:firstLineChars="200"/>
        <w:jc w:val="left"/>
        <w:rPr>
          <w:rFonts w:ascii="仿宋_GB2312" w:eastAsia="仿宋_GB2312" w:hAnsi="仿宋_GB2312" w:cs="仿宋_GB2312" w:hint="eastAsia"/>
          <w:b/>
          <w:bCs/>
          <w:color w:val="000000"/>
          <w:sz w:val="32"/>
          <w:szCs w:val="32"/>
        </w:rPr>
      </w:pPr>
      <w:r>
        <w:rPr>
          <w:rFonts w:ascii="楷体_GB2312" w:eastAsia="楷体_GB2312" w:hAnsi="仿宋_GB2312" w:cs="仿宋_GB2312" w:hint="eastAsia"/>
          <w:b/>
          <w:bCs/>
          <w:color w:val="000000"/>
          <w:sz w:val="32"/>
          <w:szCs w:val="32"/>
        </w:rPr>
        <w:t>（二）强化政策加力提效，服务实体经济发展。</w:t>
      </w:r>
      <w:r>
        <w:rPr>
          <w:rFonts w:ascii="仿宋_GB2312" w:eastAsia="仿宋_GB2312" w:hAnsi="仿宋_GB2312" w:cs="仿宋_GB2312" w:hint="eastAsia"/>
          <w:color w:val="000000"/>
          <w:sz w:val="32"/>
          <w:szCs w:val="32"/>
        </w:rPr>
        <w:t>服务“双招双引”工作，持续落实减税降费相关政策，坚持应减尽减、应缓尽缓，累计办理增值税留抵退税5561万元，落实组合式减税降费3.5亿元。安排中小企业（民营经济)发展专项资金7000万元、“互联网+”产业发展扶持资金（原电子商务发展资金）1000万元，支持企业物流补贴、技术创新等。强化科技人才赋能，投入资金2000万元，支持科技创新、平台建设和人才引进。通过“免申即享”平台，加快涉企资金拨付，完成168家企业1793万元资金兑付工作。</w:t>
      </w:r>
      <w:r>
        <w:rPr>
          <w:rFonts w:ascii="仿宋_GB2312" w:eastAsia="仿宋_GB2312" w:hAnsi="仿宋_GB2312" w:cs="仿宋_GB2312" w:hint="eastAsia"/>
          <w:color w:val="000000"/>
          <w:kern w:val="0"/>
          <w:sz w:val="32"/>
          <w:szCs w:val="32"/>
        </w:rPr>
        <w:t>搭建政银企对接平台，</w:t>
      </w:r>
      <w:r>
        <w:rPr>
          <w:rFonts w:ascii="仿宋_GB2312" w:eastAsia="仿宋_GB2312" w:hAnsi="仿宋_GB2312" w:cs="仿宋_GB2312" w:hint="eastAsia"/>
          <w:color w:val="000000"/>
          <w:sz w:val="32"/>
          <w:szCs w:val="32"/>
        </w:rPr>
        <w:t>组织开展6场政银企对接活动，</w:t>
      </w:r>
      <w:r>
        <w:rPr>
          <w:rFonts w:ascii="仿宋_GB2312" w:eastAsia="仿宋_GB2312" w:hAnsi="仿宋_GB2312" w:cs="仿宋_GB2312" w:hint="eastAsia"/>
          <w:color w:val="000000"/>
          <w:kern w:val="0"/>
          <w:sz w:val="32"/>
          <w:szCs w:val="32"/>
        </w:rPr>
        <w:t>发挥续贷过桥资金扶持作用，与9家银行建立合作关系，着力解决企业续贷资金难题</w:t>
      </w:r>
      <w:r>
        <w:rPr>
          <w:rFonts w:ascii="仿宋_GB2312" w:eastAsia="仿宋_GB2312" w:hAnsi="仿宋_GB2312" w:cs="仿宋_GB2312" w:hint="eastAsia"/>
          <w:color w:val="000000"/>
          <w:sz w:val="32"/>
          <w:szCs w:val="32"/>
        </w:rPr>
        <w:t>。发挥政府融资担保职能，</w:t>
      </w:r>
      <w:r>
        <w:rPr>
          <w:rFonts w:ascii="仿宋_GB2312" w:eastAsia="仿宋_GB2312" w:hAnsi="仿宋_GB2312" w:cs="仿宋_GB2312" w:hint="eastAsia"/>
          <w:color w:val="000000"/>
          <w:kern w:val="0"/>
          <w:sz w:val="32"/>
          <w:szCs w:val="32"/>
        </w:rPr>
        <w:t>为1480户中小企业、农户提供担保82614万元。</w:t>
      </w:r>
      <w:r>
        <w:rPr>
          <w:rFonts w:ascii="仿宋_GB2312" w:eastAsia="仿宋_GB2312" w:hAnsi="仿宋" w:hint="eastAsia"/>
          <w:color w:val="000000"/>
          <w:sz w:val="32"/>
          <w:szCs w:val="32"/>
        </w:rPr>
        <w:t>鼓励</w:t>
      </w:r>
      <w:r>
        <w:rPr>
          <w:rFonts w:ascii="仿宋_GB2312" w:eastAsia="仿宋_GB2312" w:hAnsi="宋体" w:cs="仿宋_GB2312" w:hint="eastAsia"/>
          <w:color w:val="000000"/>
          <w:sz w:val="32"/>
          <w:szCs w:val="32"/>
        </w:rPr>
        <w:t>企业上市（挂牌），兑现财政奖励资金216万元，新增四板挂牌企业47家，增加企业直接融资渠道。</w:t>
      </w:r>
      <w:r>
        <w:rPr>
          <w:rFonts w:ascii="仿宋_GB2312" w:eastAsia="仿宋_GB2312" w:hAnsi="仿宋_GB2312" w:cs="仿宋_GB2312" w:hint="eastAsia"/>
          <w:color w:val="000000"/>
          <w:sz w:val="32"/>
          <w:szCs w:val="32"/>
        </w:rPr>
        <w:t>加大贴息资金保障力度，为78户发放创业担保贷款1530万元，财政贴息资金支出53万元。印发《寿县财政局关于进一步规范政府采购行为的通知》《寿县财政局转发安徽省财政厅关于进一步贯彻落实优化政府采购营商环境有关规定的通知》等文件，规范政府采购行为，杜绝采购过程中出现违反公平性竞争原则情况。对政府采购流程进行优化简化，完成合同签订和合同款支付，助推中小企业持续发展。</w:t>
      </w:r>
    </w:p>
    <w:p w14:paraId="7F3E4E68">
      <w:pPr>
        <w:spacing w:line="560" w:lineRule="exact"/>
        <w:ind w:firstLine="640" w:firstLineChars="200"/>
        <w:rPr>
          <w:rFonts w:ascii="楷体_GB2312" w:eastAsia="楷体_GB2312" w:hAnsi="楷体_GB2312" w:cs="楷体_GB2312" w:hint="eastAsia"/>
          <w:b/>
          <w:bCs/>
          <w:color w:val="000000"/>
          <w:sz w:val="32"/>
          <w:szCs w:val="32"/>
        </w:rPr>
      </w:pPr>
      <w:r>
        <w:rPr>
          <w:rFonts w:ascii="楷体_GB2312" w:eastAsia="楷体_GB2312" w:hAnsi="仿宋_GB2312" w:cs="仿宋_GB2312" w:hint="eastAsia"/>
          <w:b/>
          <w:bCs/>
          <w:color w:val="000000"/>
          <w:sz w:val="32"/>
          <w:szCs w:val="32"/>
        </w:rPr>
        <w:t>（三）强化民生财政理念，支持推进乡村振兴。</w:t>
      </w:r>
      <w:r>
        <w:rPr>
          <w:rFonts w:ascii="仿宋_GB2312" w:eastAsia="仿宋_GB2312" w:hAnsi="仿宋_GB2312" w:cs="仿宋_GB2312" w:hint="eastAsia"/>
          <w:color w:val="000000"/>
          <w:sz w:val="32"/>
          <w:szCs w:val="32"/>
        </w:rPr>
        <w:t>始终</w:t>
      </w:r>
      <w:r>
        <w:rPr>
          <w:rStyle w:val="NormalCharacter"/>
          <w:rFonts w:ascii="仿宋_GB2312" w:eastAsia="仿宋_GB2312" w:hAnsi="仿宋_GB2312" w:hint="eastAsia"/>
          <w:sz w:val="32"/>
          <w:szCs w:val="32"/>
        </w:rPr>
        <w:t>坚持在发展中保障和改善民生，在县财政十分困难的情况下，全力做好13</w:t>
      </w:r>
      <w:r>
        <w:rPr>
          <w:rStyle w:val="NormalCharacter"/>
          <w:rFonts w:ascii="仿宋_GB2312" w:eastAsia="仿宋_GB2312" w:hAnsi="仿宋_GB2312"/>
          <w:sz w:val="32"/>
          <w:szCs w:val="32"/>
        </w:rPr>
        <w:t>项民生实事</w:t>
      </w:r>
      <w:r>
        <w:rPr>
          <w:rStyle w:val="NormalCharacter"/>
          <w:rFonts w:ascii="仿宋_GB2312" w:eastAsia="仿宋_GB2312" w:hAnsi="仿宋_GB2312" w:hint="eastAsia"/>
          <w:sz w:val="32"/>
          <w:szCs w:val="32"/>
        </w:rPr>
        <w:t>资金保障，坚持以财政资金投入为主，统筹各级各类资金27.22亿元，用于全县民生实事和暖民心行动。落实教育投入“两个只增不减”要求，加大财政教育投入，提高教育在一般公共预算支出的比重。</w:t>
      </w:r>
      <w:r>
        <w:rPr>
          <w:rFonts w:ascii="仿宋_GB2312" w:eastAsia="仿宋_GB2312" w:hAnsi="仿宋_GB2312" w:cs="仿宋_GB2312" w:hint="eastAsia"/>
          <w:bCs/>
          <w:color w:val="000000"/>
          <w:sz w:val="32"/>
          <w:szCs w:val="32"/>
        </w:rPr>
        <w:t>坚持良好的生态环境是最普惠的民生福祉，</w:t>
      </w:r>
      <w:r>
        <w:rPr>
          <w:rFonts w:ascii="仿宋_GB2312" w:eastAsia="仿宋_GB2312" w:hAnsi="仿宋_GB2312" w:cs="仿宋_GB2312" w:hint="eastAsia"/>
          <w:color w:val="000000"/>
          <w:sz w:val="32"/>
          <w:szCs w:val="32"/>
        </w:rPr>
        <w:t>投入3.78亿元着力解决大气、土壤、水污染防治等突出环境问题</w:t>
      </w:r>
      <w:r>
        <w:rPr>
          <w:rFonts w:ascii="仿宋_GB2312" w:eastAsia="仿宋_GB2312" w:hAnsi="仿宋_GB2312" w:cs="仿宋_GB2312" w:hint="eastAsia"/>
          <w:bCs/>
          <w:color w:val="000000"/>
          <w:sz w:val="32"/>
          <w:szCs w:val="32"/>
        </w:rPr>
        <w:t>，提升环保管理服务和能力建设。</w:t>
      </w:r>
      <w:r>
        <w:rPr>
          <w:rFonts w:ascii="仿宋_GB2312" w:eastAsia="仿宋_GB2312" w:hAnsi="仿宋_GB2312" w:cs="仿宋_GB2312" w:hint="eastAsia"/>
          <w:color w:val="000000"/>
          <w:sz w:val="32"/>
          <w:szCs w:val="32"/>
        </w:rPr>
        <w:t>落实“四个不摘”要求，</w:t>
      </w:r>
      <w:r>
        <w:rPr>
          <w:rFonts w:ascii="仿宋_GB2312" w:eastAsia="仿宋_GB2312" w:hint="eastAsia"/>
          <w:color w:val="000000"/>
          <w:sz w:val="32"/>
          <w:szCs w:val="32"/>
        </w:rPr>
        <w:t>投入各类巩固拓展脱贫攻坚成果同衔接推进乡村振兴补助资金9.2亿元，其中县本级投入衔接推进乡村振兴补助资金9850万元，比上年增长0.51%，支持脱贫地区发展各具特色的现代乡村富民产业，促进脱贫人口就业和持续增收，增强脱贫地区自我发展能力。</w:t>
      </w:r>
      <w:r>
        <w:rPr>
          <w:rFonts w:ascii="仿宋_GB2312" w:eastAsia="仿宋_GB2312" w:hAnsi="仿宋_GB2312" w:cs="仿宋_GB2312" w:hint="eastAsia"/>
          <w:color w:val="000000"/>
          <w:sz w:val="32"/>
          <w:szCs w:val="32"/>
        </w:rPr>
        <w:t>稳定实施耕地地力保护补贴、稻谷目标价格补贴、农机购置补贴等惠农补贴政策，落实相关补贴资金</w:t>
      </w:r>
      <w:r>
        <w:rPr>
          <w:rFonts w:ascii="仿宋_GB2312" w:eastAsia="仿宋_GB2312" w:hAnsi="微软雅黑" w:cs="宋体" w:hint="eastAsia"/>
          <w:color w:val="000000"/>
          <w:kern w:val="0"/>
          <w:sz w:val="32"/>
          <w:szCs w:val="32"/>
        </w:rPr>
        <w:t>4.2亿</w:t>
      </w:r>
      <w:r>
        <w:rPr>
          <w:rFonts w:ascii="仿宋_GB2312" w:eastAsia="仿宋_GB2312" w:hAnsi="仿宋_GB2312" w:cs="仿宋_GB2312" w:hint="eastAsia"/>
          <w:color w:val="000000"/>
          <w:sz w:val="32"/>
          <w:szCs w:val="32"/>
        </w:rPr>
        <w:t>元。加强惠农惠民财政补贴资金“一卡通”管理，</w:t>
      </w:r>
      <w:r>
        <w:rPr>
          <w:rFonts w:ascii="仿宋_GB2312" w:eastAsia="仿宋_GB2312" w:hAnsi="仿宋_GB2312" w:cs="仿宋_GB2312" w:hint="eastAsia"/>
          <w:color w:val="000000"/>
          <w:kern w:val="0"/>
          <w:sz w:val="32"/>
          <w:szCs w:val="32"/>
        </w:rPr>
        <w:t>打卡发放各类补贴等资</w:t>
      </w:r>
      <w:r>
        <w:rPr>
          <w:rFonts w:ascii="仿宋_GB2312" w:eastAsia="仿宋_GB2312" w:hAnsi="Calibri" w:hint="eastAsia"/>
          <w:color w:val="000000"/>
          <w:sz w:val="32"/>
          <w:szCs w:val="32"/>
        </w:rPr>
        <w:t>金</w:t>
      </w:r>
      <w:r>
        <w:rPr>
          <w:rFonts w:ascii="仿宋_GB2312" w:eastAsia="仿宋_GB2312" w:hint="eastAsia"/>
          <w:color w:val="000000"/>
          <w:sz w:val="32"/>
          <w:szCs w:val="32"/>
        </w:rPr>
        <w:t>49</w:t>
      </w:r>
      <w:r>
        <w:rPr>
          <w:rFonts w:ascii="仿宋_GB2312" w:eastAsia="仿宋_GB2312" w:hAnsi="Calibri" w:hint="eastAsia"/>
          <w:color w:val="000000"/>
          <w:sz w:val="32"/>
          <w:szCs w:val="32"/>
        </w:rPr>
        <w:t>项</w:t>
      </w:r>
      <w:r>
        <w:rPr>
          <w:rFonts w:ascii="仿宋_GB2312" w:eastAsia="仿宋_GB2312" w:hint="eastAsia"/>
          <w:color w:val="000000"/>
          <w:sz w:val="32"/>
          <w:szCs w:val="32"/>
        </w:rPr>
        <w:t>10.6</w:t>
      </w:r>
      <w:r>
        <w:rPr>
          <w:rFonts w:ascii="仿宋_GB2312" w:eastAsia="仿宋_GB2312" w:hAnsi="Calibri" w:hint="eastAsia"/>
          <w:color w:val="000000"/>
          <w:sz w:val="32"/>
          <w:szCs w:val="32"/>
        </w:rPr>
        <w:t>亿元。</w:t>
      </w:r>
      <w:r>
        <w:rPr>
          <w:rFonts w:ascii="仿宋_GB2312" w:eastAsia="仿宋_GB2312" w:hAnsi="仿宋_GB2312" w:cs="仿宋_GB2312" w:hint="eastAsia"/>
          <w:color w:val="000000"/>
          <w:sz w:val="32"/>
          <w:szCs w:val="32"/>
        </w:rPr>
        <w:t>全力推进农业保险“扩面、增品、提标”，2023年特色农产品保险品种增加到12个。落实配套保费600万</w:t>
      </w:r>
      <w:r>
        <w:rPr>
          <w:rFonts w:ascii="仿宋_GB2312" w:eastAsia="仿宋_GB2312" w:hAnsi="Calibri" w:hint="eastAsia"/>
          <w:color w:val="000000"/>
          <w:sz w:val="32"/>
          <w:szCs w:val="32"/>
        </w:rPr>
        <w:t>元，继续实施“防贫保”综合保险，累计参保“防贫保”综合保险224532人次、3511户次。</w:t>
      </w:r>
    </w:p>
    <w:p w14:paraId="3FB23CD6">
      <w:pPr>
        <w:topLinePunct/>
        <w:spacing w:line="560" w:lineRule="exact"/>
        <w:ind w:firstLine="640" w:firstLineChars="200"/>
        <w:rPr>
          <w:rFonts w:ascii="仿宋_GB2312" w:eastAsia="仿宋_GB2312" w:hAnsi="仿宋"/>
          <w:bCs/>
          <w:color w:val="000000"/>
          <w:sz w:val="32"/>
          <w:szCs w:val="32"/>
        </w:rPr>
      </w:pPr>
      <w:r>
        <w:rPr>
          <w:rFonts w:ascii="楷体_GB2312" w:eastAsia="楷体_GB2312" w:hAnsi="仿宋_GB2312" w:cs="仿宋_GB2312" w:hint="eastAsia"/>
          <w:b/>
          <w:bCs/>
          <w:color w:val="000000"/>
          <w:sz w:val="32"/>
          <w:szCs w:val="32"/>
        </w:rPr>
        <w:t>（四）强化风险防范意识，保障财政金融安全。</w:t>
      </w:r>
      <w:r>
        <w:rPr>
          <w:rFonts w:ascii="仿宋_GB2312" w:eastAsia="仿宋_GB2312" w:hAnsi="仿宋_GB2312" w:cs="仿宋_GB2312" w:hint="eastAsia"/>
          <w:color w:val="000000"/>
          <w:sz w:val="32"/>
          <w:szCs w:val="32"/>
        </w:rPr>
        <w:t>严格执行政府债务限额管理和预算管理制度，完成地方政府隐性债务化解任务，</w:t>
      </w:r>
      <w:r>
        <w:rPr>
          <w:rFonts w:ascii="仿宋_GB2312" w:eastAsia="仿宋_GB2312" w:hAnsi="仿宋_GB2312" w:cs="仿宋_GB2312" w:hint="eastAsia"/>
          <w:color w:val="000000"/>
          <w:kern w:val="0"/>
          <w:sz w:val="32"/>
          <w:szCs w:val="32"/>
        </w:rPr>
        <w:t>足额偿还到期债务，</w:t>
      </w:r>
      <w:r>
        <w:rPr>
          <w:rFonts w:ascii="仿宋_GB2312" w:eastAsia="仿宋_GB2312" w:hAnsi="仿宋_GB2312" w:cs="仿宋_GB2312" w:hint="eastAsia"/>
          <w:color w:val="000000"/>
          <w:sz w:val="32"/>
          <w:szCs w:val="32"/>
        </w:rPr>
        <w:t>2023年法定债务额度较上年略有增长，债务率刚达黄色区间。不断强化债务监控分析，守住不发生区域性债务风险的底线。加强县级国库资金运行管理，统筹兼顾最低库款保障、资金运行双控监管，坚持大额支付先核后支等机制。全力推进审计、巡视、巡察等查出问题整改，切实防范财政收支管理风险。加大对信达融资担保公司监管力度，有效防控经营风险，严密防控非法金融活动发生，聘请第三方开展寿县信达融资担保公司现场检查工作。在全县范围内开展以“守住钱袋子·护好幸福家”为主题的防范非法集资宣传月活动，</w:t>
      </w:r>
      <w:r>
        <w:rPr>
          <w:rFonts w:ascii="仿宋_GB2312" w:eastAsia="仿宋_GB2312" w:hint="eastAsia"/>
          <w:color w:val="000000"/>
          <w:sz w:val="32"/>
          <w:szCs w:val="32"/>
        </w:rPr>
        <w:t>联合市场监管、公安部门开展“双随机一公开”抽查工作，今年已对26家企业进行了现场核查，切实防范和处置非法金融活动。</w:t>
      </w:r>
      <w:r>
        <w:rPr>
          <w:rFonts w:ascii="仿宋_GB2312" w:eastAsia="仿宋_GB2312" w:hAnsi="仿宋_GB2312" w:cs="仿宋_GB2312" w:hint="eastAsia"/>
          <w:color w:val="000000"/>
          <w:sz w:val="32"/>
          <w:szCs w:val="32"/>
        </w:rPr>
        <w:t>坚持“三保”支出在财政支出中的优先顺序，落实</w:t>
      </w:r>
      <w:r>
        <w:rPr>
          <w:rFonts w:ascii="仿宋_GB2312" w:eastAsia="仿宋_GB2312" w:hAnsi="华文仿宋" w:hint="eastAsia"/>
          <w:color w:val="000000"/>
          <w:sz w:val="32"/>
          <w:szCs w:val="32"/>
        </w:rPr>
        <w:t>预算安排“三保”支出54.86亿元,开展</w:t>
      </w:r>
      <w:r>
        <w:rPr>
          <w:rFonts w:ascii="仿宋_GB2312" w:eastAsia="仿宋_GB2312" w:hAnsi="仿宋_GB2312" w:cs="仿宋_GB2312" w:hint="eastAsia"/>
          <w:color w:val="000000"/>
          <w:sz w:val="32"/>
          <w:szCs w:val="32"/>
        </w:rPr>
        <w:t>“三保”预算运行监测，</w:t>
      </w:r>
      <w:r>
        <w:rPr>
          <w:rFonts w:ascii="仿宋_GB2312" w:eastAsia="仿宋_GB2312" w:hAnsi="宋体" w:hint="eastAsia"/>
          <w:color w:val="000000"/>
          <w:sz w:val="32"/>
          <w:szCs w:val="32"/>
        </w:rPr>
        <w:t>切实</w:t>
      </w:r>
      <w:r>
        <w:rPr>
          <w:rFonts w:ascii="仿宋_GB2312" w:eastAsia="仿宋_GB2312" w:hAnsi="仿宋_GB2312" w:cs="仿宋_GB2312" w:hint="eastAsia"/>
          <w:color w:val="000000"/>
          <w:sz w:val="32"/>
          <w:szCs w:val="32"/>
        </w:rPr>
        <w:t>兜牢县级“三保”底线。</w:t>
      </w:r>
    </w:p>
    <w:p w14:paraId="7A020D2A">
      <w:pPr>
        <w:topLinePunct/>
        <w:spacing w:line="560" w:lineRule="exact"/>
        <w:ind w:firstLine="640" w:firstLineChars="200"/>
        <w:rPr>
          <w:rFonts w:ascii="仿宋_GB2312" w:eastAsia="仿宋_GB2312" w:hAnsi="仿宋"/>
          <w:color w:val="000000"/>
          <w:sz w:val="32"/>
          <w:szCs w:val="32"/>
        </w:rPr>
      </w:pPr>
      <w:r>
        <w:rPr>
          <w:rFonts w:ascii="楷体_GB2312" w:eastAsia="楷体_GB2312" w:hAnsi="仿宋_GB2312" w:cs="仿宋_GB2312" w:hint="eastAsia"/>
          <w:b/>
          <w:bCs/>
          <w:color w:val="000000"/>
          <w:sz w:val="32"/>
          <w:szCs w:val="32"/>
        </w:rPr>
        <w:t>（五）强化财政改革创新，实现管理机制优化。</w:t>
      </w:r>
      <w:r>
        <w:rPr>
          <w:rFonts w:ascii="仿宋_GB2312" w:eastAsia="仿宋_GB2312" w:hAnsi="仿宋" w:cs="仿宋" w:hint="eastAsia"/>
          <w:color w:val="000000"/>
          <w:spacing w:val="5"/>
          <w:sz w:val="32"/>
          <w:szCs w:val="32"/>
        </w:rPr>
        <w:t>将零基预</w:t>
      </w:r>
      <w:r>
        <w:rPr>
          <w:rFonts w:ascii="仿宋_GB2312" w:eastAsia="仿宋_GB2312" w:hAnsi="仿宋" w:cs="仿宋" w:hint="eastAsia"/>
          <w:color w:val="000000"/>
          <w:spacing w:val="4"/>
          <w:sz w:val="32"/>
          <w:szCs w:val="32"/>
        </w:rPr>
        <w:t>算理念贯穿于各领</w:t>
      </w:r>
      <w:r>
        <w:rPr>
          <w:rFonts w:ascii="仿宋_GB2312" w:eastAsia="仿宋_GB2312" w:hAnsi="仿宋" w:cs="仿宋" w:hint="eastAsia"/>
          <w:color w:val="000000"/>
          <w:spacing w:val="5"/>
          <w:sz w:val="32"/>
          <w:szCs w:val="32"/>
        </w:rPr>
        <w:t>域、各部门的预算编制中，打破支出固化格局，不断</w:t>
      </w:r>
      <w:r>
        <w:rPr>
          <w:rFonts w:ascii="仿宋_GB2312" w:eastAsia="仿宋_GB2312" w:hAnsi="仿宋" w:hint="eastAsia"/>
          <w:bCs/>
          <w:color w:val="000000"/>
          <w:sz w:val="32"/>
          <w:szCs w:val="32"/>
        </w:rPr>
        <w:t>巩固改革成果，2023年预算创新编制公共服务、产业发展、重点建设项目三类县级年度重点保障事项清单，全面提高财政资金配置效率。</w:t>
      </w:r>
      <w:r>
        <w:rPr>
          <w:rFonts w:ascii="仿宋_GB2312" w:eastAsia="仿宋_GB2312" w:hAnsi="仿宋_GB2312" w:cs="仿宋_GB2312" w:hint="eastAsia"/>
          <w:color w:val="000000"/>
          <w:sz w:val="32"/>
          <w:szCs w:val="32"/>
        </w:rPr>
        <w:t>将绩效理念和方法深度融入预算编制、执行、监督全过程，做到预算绩效目标与部门预算同申报、同审核、同批复、同公开。完成2022年度10个部门整体和41个重点项目支出绩效评价，涉及资金25.96亿元，</w:t>
      </w:r>
      <w:r>
        <w:rPr>
          <w:rFonts w:ascii="仿宋_GB2312" w:eastAsia="仿宋_GB2312" w:hAnsi="仿宋" w:hint="eastAsia"/>
          <w:bCs/>
          <w:color w:val="000000"/>
          <w:sz w:val="32"/>
          <w:szCs w:val="32"/>
        </w:rPr>
        <w:t>预算绩效管理规范化水平进一步提升</w:t>
      </w:r>
      <w:r>
        <w:rPr>
          <w:rFonts w:ascii="仿宋_GB2312" w:eastAsia="仿宋_GB2312" w:hAnsi="仿宋_GB2312" w:cs="仿宋_GB2312" w:hint="eastAsia"/>
          <w:color w:val="000000"/>
          <w:sz w:val="32"/>
          <w:szCs w:val="32"/>
        </w:rPr>
        <w:t>。</w:t>
      </w:r>
      <w:r>
        <w:rPr>
          <w:rFonts w:ascii="仿宋_GB2312" w:eastAsia="仿宋_GB2312" w:hAnsi="华文仿宋" w:cs="Calibri" w:hint="eastAsia"/>
          <w:color w:val="000000"/>
          <w:sz w:val="32"/>
          <w:szCs w:val="32"/>
        </w:rPr>
        <w:t>出台</w:t>
      </w:r>
      <w:r>
        <w:rPr>
          <w:rFonts w:ascii="仿宋_GB2312" w:eastAsia="仿宋_GB2312" w:hAnsi="仿宋" w:cs="仿宋" w:hint="eastAsia"/>
          <w:color w:val="000000"/>
          <w:spacing w:val="5"/>
          <w:sz w:val="32"/>
          <w:szCs w:val="32"/>
        </w:rPr>
        <w:t>《寿县人民政府办公室关于进一步加强县级预算管理有关工作的通知》，</w:t>
      </w:r>
      <w:r>
        <w:rPr>
          <w:rFonts w:ascii="仿宋_GB2312" w:eastAsia="仿宋_GB2312" w:hAnsi="华文仿宋" w:cs="Calibri" w:hint="eastAsia"/>
          <w:color w:val="000000"/>
          <w:sz w:val="32"/>
          <w:szCs w:val="32"/>
        </w:rPr>
        <w:t>进一步强化预算管理，履行预算法定程序，加大财政资金统筹，增强预算刚性约束</w:t>
      </w:r>
      <w:r>
        <w:rPr>
          <w:rFonts w:ascii="仿宋_GB2312" w:eastAsia="仿宋_GB2312" w:hAnsi="仿宋_GB2312" w:cs="仿宋_GB2312" w:hint="eastAsia"/>
          <w:color w:val="000000"/>
          <w:sz w:val="32"/>
          <w:szCs w:val="32"/>
        </w:rPr>
        <w:t>。</w:t>
      </w:r>
      <w:r>
        <w:rPr>
          <w:rFonts w:ascii="仿宋_GB2312" w:eastAsia="仿宋_GB2312" w:hAnsi="仿宋" w:hint="eastAsia"/>
          <w:bCs/>
          <w:color w:val="000000"/>
          <w:sz w:val="32"/>
          <w:szCs w:val="32"/>
        </w:rPr>
        <w:t>持续拓展预算公开广度深度，强化部门预算公开主体责任，</w:t>
      </w:r>
      <w:r>
        <w:rPr>
          <w:rFonts w:ascii="仿宋_GB2312" w:eastAsia="仿宋_GB2312" w:hAnsi="仿宋" w:hint="eastAsia"/>
          <w:color w:val="000000"/>
          <w:sz w:val="32"/>
          <w:szCs w:val="32"/>
        </w:rPr>
        <w:t>政府和195家预算编制单位严格按照统一时间和格式要求公开政府预算、部门预算和“三公”经费预算</w:t>
      </w:r>
      <w:r>
        <w:rPr>
          <w:rFonts w:ascii="仿宋_GB2312" w:eastAsia="仿宋_GB2312" w:hAnsi="仿宋" w:hint="eastAsia"/>
          <w:bCs/>
          <w:color w:val="000000"/>
          <w:sz w:val="32"/>
          <w:szCs w:val="32"/>
        </w:rPr>
        <w:t>。</w:t>
      </w:r>
    </w:p>
    <w:p w14:paraId="03939CBE">
      <w:pPr>
        <w:spacing w:line="560" w:lineRule="exact"/>
        <w:ind w:firstLine="640" w:firstLineChars="200"/>
        <w:rPr>
          <w:rFonts w:ascii="仿宋_GB2312" w:eastAsia="仿宋_GB2312" w:hAnsi="仿宋_GB2312" w:cs="仿宋_GB2312" w:hint="eastAsia"/>
          <w:color w:val="000000"/>
          <w:sz w:val="32"/>
          <w:szCs w:val="32"/>
        </w:rPr>
      </w:pPr>
      <w:r>
        <w:rPr>
          <w:rFonts w:ascii="楷体_GB2312" w:eastAsia="楷体_GB2312" w:hAnsi="仿宋_GB2312" w:cs="仿宋_GB2312" w:hint="eastAsia"/>
          <w:b/>
          <w:bCs/>
          <w:color w:val="000000"/>
          <w:sz w:val="32"/>
          <w:szCs w:val="32"/>
        </w:rPr>
        <w:t>（六）强化国资国企监管，推进资产保值增值。</w:t>
      </w:r>
      <w:r>
        <w:rPr>
          <w:rFonts w:ascii="仿宋_GB2312" w:eastAsia="仿宋_GB2312" w:hAnsi="仿宋_GB2312" w:cs="仿宋_GB2312" w:hint="eastAsia"/>
          <w:color w:val="000000"/>
          <w:sz w:val="32"/>
          <w:szCs w:val="32"/>
        </w:rPr>
        <w:t>持续推进国有企业改革，落实《中共寿县县委 寿县人民政府关于深化县直属国有企业改革的实施意见》，出台《寿县县直属企业工作人员管理实施意见》《寿县县直属企业负责人经营业绩考核与薪酬管理办法（试行）》等配套文件，顺利完成国企改革三年行动（2020-2022）评估总结。</w:t>
      </w:r>
      <w:r>
        <w:rPr>
          <w:rStyle w:val="NormalCharacter"/>
          <w:rFonts w:ascii="仿宋_GB2312" w:eastAsia="仿宋_GB2312" w:hAnsi="仿宋_GB2312" w:cs="仿宋_GB2312" w:hint="eastAsia"/>
          <w:sz w:val="32"/>
          <w:szCs w:val="32"/>
        </w:rPr>
        <w:t>强化直属企业监管，</w:t>
      </w:r>
      <w:r>
        <w:rPr>
          <w:rFonts w:ascii="仿宋_GB2312" w:eastAsia="仿宋_GB2312" w:hAnsi="仿宋_GB2312" w:cs="仿宋_GB2312" w:hint="eastAsia"/>
          <w:bCs/>
          <w:color w:val="000000"/>
          <w:sz w:val="32"/>
          <w:szCs w:val="32"/>
        </w:rPr>
        <w:t>加强国有企业党建工作，完成县国投集团和县交发公司2022年度经营业绩考核工作</w:t>
      </w:r>
      <w:r>
        <w:rPr>
          <w:rStyle w:val="NormalCharacter"/>
          <w:rFonts w:ascii="仿宋_GB2312" w:eastAsia="仿宋_GB2312" w:hAnsi="仿宋_GB2312" w:cs="仿宋_GB2312" w:hint="eastAsia"/>
          <w:sz w:val="32"/>
          <w:szCs w:val="32"/>
        </w:rPr>
        <w:t>。</w:t>
      </w:r>
      <w:r>
        <w:rPr>
          <w:rFonts w:ascii="仿宋_GB2312" w:eastAsia="仿宋_GB2312" w:hAnsi="仿宋_GB2312" w:cs="仿宋_GB2312" w:hint="eastAsia"/>
          <w:color w:val="000000"/>
          <w:sz w:val="32"/>
          <w:szCs w:val="32"/>
        </w:rPr>
        <w:t>落实国有资产监督管理，完成148家行政事业单位资产配置审核、审批国有企业资产配置备案73笔。强化国有不动产的属地管理，加大盘活闲置资产力度，确保国有资产保值增值，审批备案行政事业单位国有资产出租、出借29笔，出租金额932万元，办结国有企业资产出租96处、处置33笔，实现租赁收入2167万元、处置资产价值3757万元。</w:t>
      </w:r>
    </w:p>
    <w:p w14:paraId="5A9C1994">
      <w:pPr>
        <w:spacing w:line="560" w:lineRule="exact"/>
        <w:ind w:firstLine="640" w:firstLineChars="200"/>
        <w:rPr>
          <w:rFonts w:ascii="仿宋_GB2312" w:eastAsia="仿宋_GB2312" w:hAnsi="仿宋" w:cs="仿宋" w:hint="eastAsia"/>
          <w:color w:val="000000"/>
          <w:sz w:val="32"/>
          <w:szCs w:val="32"/>
        </w:rPr>
      </w:pPr>
      <w:r>
        <w:rPr>
          <w:rFonts w:ascii="楷体_GB2312" w:eastAsia="楷体_GB2312" w:hAnsi="仿宋_GB2312" w:cs="仿宋_GB2312" w:hint="eastAsia"/>
          <w:b/>
          <w:bCs/>
          <w:color w:val="000000"/>
          <w:sz w:val="32"/>
          <w:szCs w:val="32"/>
        </w:rPr>
        <w:t>（七）强化金融保障作用，助力优化营商环境。</w:t>
      </w:r>
      <w:r>
        <w:rPr>
          <w:rFonts w:ascii="仿宋_GB2312" w:eastAsia="仿宋_GB2312" w:hAnsi="Calibri" w:hint="eastAsia"/>
          <w:snapToGrid w:val="0"/>
          <w:color w:val="000000"/>
          <w:kern w:val="0"/>
          <w:sz w:val="32"/>
          <w:szCs w:val="32"/>
        </w:rPr>
        <w:t>引导全县金融机构投入稳经济工作，</w:t>
      </w:r>
      <w:r>
        <w:rPr>
          <w:rFonts w:ascii="仿宋_GB2312" w:eastAsia="仿宋_GB2312" w:hint="eastAsia"/>
          <w:snapToGrid w:val="0"/>
          <w:color w:val="000000"/>
          <w:kern w:val="0"/>
          <w:sz w:val="32"/>
          <w:szCs w:val="32"/>
        </w:rPr>
        <w:t>截至</w:t>
      </w:r>
      <w:r>
        <w:rPr>
          <w:rFonts w:ascii="仿宋_GB2312" w:eastAsia="仿宋_GB2312" w:hint="eastAsia"/>
          <w:color w:val="000000"/>
          <w:sz w:val="32"/>
          <w:szCs w:val="32"/>
        </w:rPr>
        <w:t>11月底，全县金融机构人民币各项存款余额581.4亿元，较年初增加61.04亿元；全县金融机构人民币各项贷款余额552.8亿元，较年初增加86.99亿元。</w:t>
      </w:r>
      <w:r>
        <w:rPr>
          <w:rFonts w:ascii="仿宋_GB2312" w:eastAsia="仿宋_GB2312" w:hAnsi="仿宋_GB2312" w:cs="仿宋_GB2312" w:hint="eastAsia"/>
          <w:color w:val="000000"/>
          <w:sz w:val="32"/>
          <w:szCs w:val="32"/>
        </w:rPr>
        <w:t>创新举措大力促进投融资供需对接，引导财政金融资源不断强化对实体经济的服务支持，</w:t>
      </w:r>
      <w:r>
        <w:rPr>
          <w:rFonts w:ascii="仿宋_GB2312" w:eastAsia="仿宋_GB2312" w:hint="eastAsia"/>
          <w:color w:val="000000"/>
          <w:sz w:val="32"/>
          <w:szCs w:val="32"/>
        </w:rPr>
        <w:t>建立健全融资担保体系。截</w:t>
      </w:r>
      <w:r>
        <w:rPr>
          <w:rFonts w:ascii="仿宋_GB2312" w:eastAsia="仿宋_GB2312" w:hint="eastAsia"/>
          <w:snapToGrid w:val="0"/>
          <w:color w:val="000000"/>
          <w:kern w:val="0"/>
          <w:sz w:val="32"/>
          <w:szCs w:val="32"/>
        </w:rPr>
        <w:t>至</w:t>
      </w:r>
      <w:r>
        <w:rPr>
          <w:rFonts w:ascii="仿宋_GB2312" w:eastAsia="仿宋_GB2312" w:hint="eastAsia"/>
          <w:color w:val="000000"/>
          <w:sz w:val="32"/>
          <w:szCs w:val="32"/>
        </w:rPr>
        <w:t>11月底，政策性融资担保机构融资放大倍数为2.74倍，新型政银担在保余额10.41亿元，在保户数1523户；“税融通”通过担保公司担保贷款在保24笔，在保贷款余额8140万元。</w:t>
      </w:r>
      <w:r>
        <w:rPr>
          <w:rFonts w:ascii="仿宋_GB2312" w:eastAsia="仿宋_GB2312" w:hAnsi="仿宋_GB2312" w:cs="仿宋_GB2312" w:hint="eastAsia"/>
          <w:color w:val="000000"/>
          <w:sz w:val="32"/>
          <w:szCs w:val="32"/>
        </w:rPr>
        <w:t>深入开展“五进”走访活动，</w:t>
      </w:r>
      <w:r>
        <w:rPr>
          <w:rFonts w:ascii="仿宋_GB2312" w:eastAsia="仿宋_GB2312" w:hAnsi="仿宋" w:cs="仿宋" w:hint="eastAsia"/>
          <w:color w:val="000000"/>
          <w:sz w:val="32"/>
          <w:szCs w:val="32"/>
        </w:rPr>
        <w:t>全县各部门完成 “安徽省综合金融服务平台”线上走访</w:t>
      </w:r>
      <w:r>
        <w:rPr>
          <w:rFonts w:ascii="仿宋_GB2312" w:eastAsia="仿宋_GB2312" w:hAnsi="华文仿宋" w:hint="eastAsia"/>
          <w:color w:val="000000"/>
          <w:sz w:val="32"/>
          <w:szCs w:val="32"/>
        </w:rPr>
        <w:t>17924户</w:t>
      </w:r>
      <w:r>
        <w:rPr>
          <w:rFonts w:ascii="仿宋_GB2312" w:eastAsia="仿宋_GB2312" w:hAnsi="仿宋" w:cs="仿宋" w:hint="eastAsia"/>
          <w:color w:val="000000"/>
          <w:sz w:val="32"/>
          <w:szCs w:val="32"/>
        </w:rPr>
        <w:t>。认真落实党中央防范化解重大金融风险政策，支持信达融资担保公司开展追偿挽损工作，防范</w:t>
      </w:r>
      <w:r>
        <w:rPr>
          <w:rFonts w:ascii="仿宋_GB2312" w:eastAsia="仿宋_GB2312" w:hint="eastAsia"/>
          <w:color w:val="000000"/>
          <w:sz w:val="32"/>
          <w:szCs w:val="32"/>
        </w:rPr>
        <w:t>担保公司代偿风险，</w:t>
      </w:r>
      <w:r>
        <w:rPr>
          <w:rFonts w:ascii="仿宋_GB2312" w:eastAsia="仿宋_GB2312" w:hAnsi="仿宋" w:cs="仿宋" w:hint="eastAsia"/>
          <w:color w:val="000000"/>
          <w:sz w:val="32"/>
          <w:szCs w:val="32"/>
        </w:rPr>
        <w:t>累计已收回代偿款5930万元。</w:t>
      </w:r>
    </w:p>
    <w:p w14:paraId="742CB83C">
      <w:pPr>
        <w:spacing w:line="560" w:lineRule="exact"/>
        <w:ind w:firstLine="640" w:firstLineChars="20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各位代表，一年来寿县财政工作取得了一定成绩，但我们也清醒地认识到，还存在一些问题和短板，主要为</w:t>
      </w:r>
      <w:r>
        <w:rPr>
          <w:rFonts w:ascii="仿宋_GB2312" w:eastAsia="仿宋_GB2312" w:hAnsi="宋体" w:cs="宋体" w:hint="eastAsia"/>
          <w:color w:val="000000"/>
          <w:kern w:val="0"/>
          <w:sz w:val="32"/>
          <w:szCs w:val="32"/>
        </w:rPr>
        <w:t>经济发展相对滞后，财政收入基础不稳，可用财力总量有限,</w:t>
      </w:r>
      <w:r>
        <w:rPr>
          <w:rFonts w:hint="eastAsia"/>
          <w:color w:val="000000"/>
        </w:rPr>
        <w:t xml:space="preserve"> </w:t>
      </w:r>
      <w:r>
        <w:rPr>
          <w:rFonts w:ascii="仿宋_GB2312" w:eastAsia="仿宋_GB2312" w:hAnsi="宋体" w:cs="宋体" w:hint="eastAsia"/>
          <w:color w:val="000000"/>
          <w:kern w:val="0"/>
          <w:sz w:val="32"/>
          <w:szCs w:val="32"/>
        </w:rPr>
        <w:t>收入增长不稳定，财政收支始终处于紧平衡状态，保障改善民生、债务还本付息等刚性支出增长较快，预算平衡难度逐年增大，</w:t>
      </w:r>
      <w:r>
        <w:rPr>
          <w:rFonts w:ascii="仿宋_GB2312" w:eastAsia="仿宋_GB2312" w:hAnsi="仿宋_GB2312" w:cs="仿宋_GB2312" w:hint="eastAsia"/>
          <w:color w:val="000000"/>
          <w:sz w:val="32"/>
          <w:szCs w:val="32"/>
        </w:rPr>
        <w:t>政府债务进入还本付息高峰期，风险防范不容忽视，部分单位预算编制不够精准细化，没有树立过紧日子的理念，预算执行严肃性还需进一步加强，部分单位预算绩效管理主体责任不够到位，绩效管理质量和结果运用有待提升，</w:t>
      </w:r>
      <w:r>
        <w:rPr>
          <w:rFonts w:ascii="仿宋_GB2312" w:eastAsia="仿宋_GB2312" w:hAnsi="仿宋" w:hint="eastAsia"/>
          <w:snapToGrid w:val="0"/>
          <w:color w:val="000000"/>
          <w:kern w:val="0"/>
          <w:sz w:val="32"/>
          <w:szCs w:val="32"/>
        </w:rPr>
        <w:t>面对这些困难和问题，我们将高度重视，切实采取措施加以解决。</w:t>
      </w:r>
    </w:p>
    <w:p w14:paraId="05A64613">
      <w:pPr>
        <w:topLinePunct/>
        <w:spacing w:line="560" w:lineRule="exact"/>
        <w:ind w:firstLine="640" w:firstLineChars="200"/>
        <w:rPr>
          <w:rFonts w:ascii="黑体" w:eastAsia="黑体" w:hAnsi="黑体" w:cs="宋体"/>
          <w:color w:val="000000"/>
          <w:kern w:val="0"/>
          <w:sz w:val="32"/>
          <w:szCs w:val="32"/>
        </w:rPr>
      </w:pPr>
      <w:r>
        <w:rPr>
          <w:rFonts w:ascii="黑体" w:eastAsia="黑体" w:hAnsi="黑体" w:cs="宋体" w:hint="eastAsia"/>
          <w:color w:val="000000"/>
          <w:kern w:val="0"/>
          <w:sz w:val="32"/>
          <w:szCs w:val="32"/>
        </w:rPr>
        <w:t>三、</w:t>
      </w:r>
      <w:r>
        <w:rPr>
          <w:rFonts w:ascii="黑体" w:eastAsia="黑体" w:hAnsi="黑体" w:cs="宋体"/>
          <w:color w:val="000000"/>
          <w:kern w:val="0"/>
          <w:sz w:val="32"/>
          <w:szCs w:val="32"/>
        </w:rPr>
        <w:t>202</w:t>
      </w:r>
      <w:r>
        <w:rPr>
          <w:rFonts w:ascii="黑体" w:eastAsia="黑体" w:hAnsi="黑体" w:cs="宋体" w:hint="eastAsia"/>
          <w:color w:val="000000"/>
          <w:kern w:val="0"/>
          <w:sz w:val="32"/>
          <w:szCs w:val="32"/>
        </w:rPr>
        <w:t>4年财政预算草案</w:t>
      </w:r>
    </w:p>
    <w:p w14:paraId="08A2CDA7">
      <w:pPr>
        <w:spacing w:line="560" w:lineRule="exact"/>
        <w:ind w:firstLine="640" w:firstLineChars="200"/>
        <w:rPr>
          <w:rFonts w:ascii="仿宋_GB2312" w:eastAsia="仿宋_GB2312" w:hAnsi="楷体" w:cs="楷体" w:hint="eastAsia"/>
          <w:b/>
          <w:bCs/>
          <w:color w:val="000000"/>
          <w:kern w:val="0"/>
          <w:sz w:val="32"/>
          <w:szCs w:val="32"/>
        </w:rPr>
      </w:pPr>
      <w:r>
        <w:rPr>
          <w:rFonts w:ascii="仿宋_GB2312" w:eastAsia="仿宋_GB2312" w:hAnsi="仿宋"/>
          <w:color w:val="000000"/>
          <w:sz w:val="32"/>
          <w:szCs w:val="32"/>
        </w:rPr>
        <w:t>202</w:t>
      </w:r>
      <w:r>
        <w:rPr>
          <w:rFonts w:ascii="仿宋_GB2312" w:eastAsia="仿宋_GB2312" w:hAnsi="仿宋" w:hint="eastAsia"/>
          <w:color w:val="000000"/>
          <w:sz w:val="32"/>
          <w:szCs w:val="32"/>
        </w:rPr>
        <w:t>4年，全县财政系统在县委、县政府的坚强领导下，坚持以习近平新时代中国特色社会主义思想为指导，全面贯彻党的二十大、二十届二中全会精神，落实中央经济工作会议部署，</w:t>
      </w:r>
      <w:r>
        <w:rPr>
          <w:rFonts w:ascii="仿宋_GB2312" w:eastAsia="仿宋_GB2312" w:hint="eastAsia"/>
          <w:color w:val="000000"/>
          <w:sz w:val="32"/>
          <w:szCs w:val="32"/>
        </w:rPr>
        <w:t>按照县委、县政府工作安排，</w:t>
      </w:r>
      <w:r>
        <w:rPr>
          <w:rFonts w:ascii="仿宋_GB2312" w:eastAsia="仿宋_GB2312" w:hAnsi="仿宋" w:hint="eastAsia"/>
          <w:snapToGrid w:val="0"/>
          <w:color w:val="000000"/>
          <w:kern w:val="0"/>
          <w:sz w:val="32"/>
          <w:szCs w:val="32"/>
        </w:rPr>
        <w:t>坚持稳中求进、以进促稳、先立后破，严格按照“保重点、压一般、促统筹、提绩效”要求，扎实推进预算执行各项工作，为寿县高质量发展提供财政支撑。</w:t>
      </w:r>
      <w:r>
        <w:rPr>
          <w:rFonts w:ascii="仿宋_GB2312" w:eastAsia="仿宋_GB2312" w:hAnsi="仿宋" w:hint="eastAsia"/>
          <w:color w:val="000000"/>
          <w:sz w:val="32"/>
          <w:szCs w:val="32"/>
        </w:rPr>
        <w:t>按照上述总体思路，结合我县实际，2024年收入和支出预算安排如下：从</w:t>
      </w:r>
      <w:r>
        <w:rPr>
          <w:rFonts w:ascii="仿宋_GB2312" w:eastAsia="仿宋_GB2312" w:hAnsi="仿宋" w:hint="eastAsia"/>
          <w:bCs/>
          <w:color w:val="000000"/>
          <w:sz w:val="32"/>
          <w:szCs w:val="32"/>
        </w:rPr>
        <w:t>财政收入稳预期、有质量、可持续，兜牢“三保”底线出发，按照2024年收入预期与经济社会发展预期相适应、与落实结构性减税降费政策预期相适应，综合考虑现实因素，经测算，2024年一般公共预算收入预期目标21.4亿元，预计较上年增长8%左右,其中税收收入11.77亿元，占一般公共预算收入</w:t>
      </w:r>
      <w:r>
        <w:rPr>
          <w:rFonts w:ascii="仿宋_GB2312" w:eastAsia="仿宋_GB2312" w:hAnsi="仿宋"/>
          <w:bCs/>
          <w:color w:val="000000"/>
          <w:sz w:val="32"/>
          <w:szCs w:val="32"/>
        </w:rPr>
        <w:t>5</w:t>
      </w:r>
      <w:r>
        <w:rPr>
          <w:rFonts w:ascii="仿宋_GB2312" w:eastAsia="仿宋_GB2312" w:hAnsi="仿宋" w:hint="eastAsia"/>
          <w:bCs/>
          <w:color w:val="000000"/>
          <w:sz w:val="32"/>
          <w:szCs w:val="32"/>
        </w:rPr>
        <w:t>5</w:t>
      </w:r>
      <w:r>
        <w:rPr>
          <w:rFonts w:ascii="仿宋_GB2312" w:eastAsia="仿宋_GB2312" w:hAnsi="仿宋"/>
          <w:bCs/>
          <w:color w:val="000000"/>
          <w:sz w:val="32"/>
          <w:szCs w:val="32"/>
        </w:rPr>
        <w:t>%</w:t>
      </w:r>
      <w:r>
        <w:rPr>
          <w:rFonts w:ascii="仿宋_GB2312" w:eastAsia="仿宋_GB2312" w:hAnsi="仿宋" w:hint="eastAsia"/>
          <w:bCs/>
          <w:color w:val="000000"/>
          <w:sz w:val="32"/>
          <w:szCs w:val="32"/>
        </w:rPr>
        <w:t>。</w:t>
      </w:r>
    </w:p>
    <w:p w14:paraId="6A1B09C9">
      <w:pPr>
        <w:topLinePunct/>
        <w:spacing w:line="560" w:lineRule="exact"/>
        <w:ind w:firstLine="640" w:firstLineChars="200"/>
        <w:rPr>
          <w:rFonts w:ascii="楷体_GB2312" w:eastAsia="楷体_GB2312" w:hAnsi="楷体" w:hint="eastAsia"/>
          <w:b/>
          <w:color w:val="000000"/>
          <w:sz w:val="32"/>
          <w:szCs w:val="32"/>
        </w:rPr>
      </w:pPr>
      <w:r>
        <w:rPr>
          <w:rFonts w:ascii="楷体_GB2312" w:eastAsia="楷体_GB2312" w:hAnsi="楷体" w:hint="eastAsia"/>
          <w:b/>
          <w:color w:val="000000"/>
          <w:sz w:val="32"/>
          <w:szCs w:val="32"/>
        </w:rPr>
        <w:t>（一）全县预算安排情况</w:t>
      </w:r>
    </w:p>
    <w:p w14:paraId="058DFCAC">
      <w:pPr>
        <w:topLinePunct/>
        <w:spacing w:line="560" w:lineRule="exact"/>
        <w:ind w:firstLine="640" w:firstLineChars="200"/>
        <w:rPr>
          <w:rFonts w:ascii="仿宋_GB2312" w:eastAsia="仿宋_GB2312" w:hAnsi="仿宋" w:hint="eastAsia"/>
          <w:bCs/>
          <w:color w:val="000000"/>
          <w:sz w:val="32"/>
          <w:szCs w:val="32"/>
        </w:rPr>
      </w:pPr>
      <w:r>
        <w:rPr>
          <w:rFonts w:ascii="楷体_GB2312" w:eastAsia="楷体_GB2312" w:hAnsi="楷体" w:hint="eastAsia"/>
          <w:b/>
          <w:color w:val="000000"/>
          <w:sz w:val="32"/>
          <w:szCs w:val="32"/>
        </w:rPr>
        <w:t>一般公共预算。</w:t>
      </w:r>
      <w:r>
        <w:rPr>
          <w:rFonts w:ascii="仿宋_GB2312" w:eastAsia="仿宋_GB2312" w:hAnsi="仿宋" w:hint="eastAsia"/>
          <w:bCs/>
          <w:color w:val="000000"/>
          <w:sz w:val="32"/>
          <w:szCs w:val="32"/>
        </w:rPr>
        <w:t>一般公共预算收入</w:t>
      </w:r>
      <w:r>
        <w:rPr>
          <w:rFonts w:ascii="仿宋_GB2312" w:eastAsia="仿宋_GB2312" w:hAnsi="仿宋"/>
          <w:bCs/>
          <w:color w:val="000000"/>
          <w:sz w:val="32"/>
          <w:szCs w:val="32"/>
        </w:rPr>
        <w:t>21.</w:t>
      </w:r>
      <w:r>
        <w:rPr>
          <w:rFonts w:ascii="仿宋_GB2312" w:eastAsia="仿宋_GB2312" w:hAnsi="仿宋" w:hint="eastAsia"/>
          <w:bCs/>
          <w:color w:val="000000"/>
          <w:sz w:val="32"/>
          <w:szCs w:val="32"/>
        </w:rPr>
        <w:t>4亿元、上级财力补助收入23.92亿元、上级专项收入20.58亿元、</w:t>
      </w:r>
      <w:r>
        <w:rPr>
          <w:rFonts w:ascii="仿宋_GB2312" w:eastAsia="仿宋_GB2312" w:hAnsi="仿宋" w:hint="eastAsia"/>
          <w:color w:val="000000"/>
          <w:kern w:val="0"/>
          <w:sz w:val="32"/>
          <w:szCs w:val="32"/>
        </w:rPr>
        <w:t>调入资金8.09亿元</w:t>
      </w:r>
      <w:r>
        <w:rPr>
          <w:rFonts w:ascii="仿宋_GB2312" w:eastAsia="仿宋_GB2312" w:hAnsi="仿宋" w:hint="eastAsia"/>
          <w:bCs/>
          <w:color w:val="000000"/>
          <w:sz w:val="32"/>
          <w:szCs w:val="32"/>
        </w:rPr>
        <w:t>。全县一般公共预算支出预计</w:t>
      </w:r>
      <w:r>
        <w:rPr>
          <w:rFonts w:ascii="仿宋_GB2312" w:eastAsia="仿宋_GB2312" w:hAnsi="仿宋"/>
          <w:bCs/>
          <w:color w:val="000000"/>
          <w:sz w:val="32"/>
          <w:szCs w:val="32"/>
        </w:rPr>
        <w:t>7</w:t>
      </w:r>
      <w:r>
        <w:rPr>
          <w:rFonts w:ascii="仿宋_GB2312" w:eastAsia="仿宋_GB2312" w:hAnsi="仿宋" w:hint="eastAsia"/>
          <w:bCs/>
          <w:color w:val="000000"/>
          <w:sz w:val="32"/>
          <w:szCs w:val="32"/>
        </w:rPr>
        <w:t>3.99亿元，与上年预算持平。</w:t>
      </w:r>
    </w:p>
    <w:p w14:paraId="03600E44">
      <w:pPr>
        <w:topLinePunct/>
        <w:spacing w:line="560" w:lineRule="exact"/>
        <w:ind w:firstLine="640" w:firstLineChars="200"/>
        <w:rPr>
          <w:rFonts w:ascii="仿宋_GB2312" w:eastAsia="仿宋_GB2312" w:hAnsi="仿宋"/>
          <w:bCs/>
          <w:color w:val="000000"/>
          <w:sz w:val="32"/>
          <w:szCs w:val="32"/>
        </w:rPr>
      </w:pPr>
      <w:r>
        <w:rPr>
          <w:rFonts w:ascii="楷体_GB2312" w:eastAsia="楷体_GB2312" w:hAnsi="楷体" w:hint="eastAsia"/>
          <w:b/>
          <w:color w:val="000000"/>
          <w:sz w:val="32"/>
          <w:szCs w:val="32"/>
        </w:rPr>
        <w:t>政府性基金预算。</w:t>
      </w:r>
      <w:r>
        <w:rPr>
          <w:rFonts w:ascii="仿宋_GB2312" w:eastAsia="仿宋_GB2312" w:hAnsi="仿宋"/>
          <w:bCs/>
          <w:color w:val="000000"/>
          <w:sz w:val="32"/>
          <w:szCs w:val="32"/>
        </w:rPr>
        <w:t>202</w:t>
      </w:r>
      <w:r>
        <w:rPr>
          <w:rFonts w:ascii="仿宋_GB2312" w:eastAsia="仿宋_GB2312" w:hAnsi="仿宋" w:hint="eastAsia"/>
          <w:bCs/>
          <w:color w:val="000000"/>
          <w:sz w:val="32"/>
          <w:szCs w:val="32"/>
        </w:rPr>
        <w:t>4年政府性基金预算收入安排32.98亿元，其中：县本级（新城区）土地出让收入20亿元，新桥产业园土地出让收入10亿元，</w:t>
      </w:r>
      <w:r>
        <w:rPr>
          <w:rFonts w:ascii="仿宋_GB2312" w:eastAsia="仿宋_GB2312" w:hAnsi="仿宋" w:hint="eastAsia"/>
          <w:color w:val="000000"/>
          <w:sz w:val="32"/>
          <w:szCs w:val="32"/>
        </w:rPr>
        <w:t>寿县蜀山现代产业园</w:t>
      </w:r>
      <w:r>
        <w:rPr>
          <w:rFonts w:ascii="仿宋_GB2312" w:eastAsia="仿宋_GB2312" w:hAnsi="仿宋" w:hint="eastAsia"/>
          <w:bCs/>
          <w:color w:val="000000"/>
          <w:sz w:val="32"/>
          <w:szCs w:val="32"/>
        </w:rPr>
        <w:t>2亿元，乡镇土地出让收入</w:t>
      </w:r>
      <w:r>
        <w:rPr>
          <w:rFonts w:ascii="仿宋_GB2312" w:eastAsia="仿宋_GB2312" w:hAnsi="仿宋"/>
          <w:bCs/>
          <w:color w:val="000000"/>
          <w:sz w:val="32"/>
          <w:szCs w:val="32"/>
        </w:rPr>
        <w:t>0.</w:t>
      </w:r>
      <w:r>
        <w:rPr>
          <w:rFonts w:ascii="仿宋_GB2312" w:eastAsia="仿宋_GB2312" w:hAnsi="仿宋" w:hint="eastAsia"/>
          <w:bCs/>
          <w:color w:val="000000"/>
          <w:sz w:val="32"/>
          <w:szCs w:val="32"/>
        </w:rPr>
        <w:t>7亿元，城市基础设施配套费收入</w:t>
      </w:r>
      <w:r>
        <w:rPr>
          <w:rFonts w:ascii="仿宋_GB2312" w:eastAsia="仿宋_GB2312" w:hAnsi="仿宋"/>
          <w:bCs/>
          <w:color w:val="000000"/>
          <w:sz w:val="32"/>
          <w:szCs w:val="32"/>
        </w:rPr>
        <w:t>0.2</w:t>
      </w:r>
      <w:r>
        <w:rPr>
          <w:rFonts w:ascii="仿宋_GB2312" w:eastAsia="仿宋_GB2312" w:hAnsi="仿宋" w:hint="eastAsia"/>
          <w:bCs/>
          <w:color w:val="000000"/>
          <w:sz w:val="32"/>
          <w:szCs w:val="32"/>
        </w:rPr>
        <w:t>亿元，污水处理费收入</w:t>
      </w:r>
      <w:r>
        <w:rPr>
          <w:rFonts w:ascii="仿宋_GB2312" w:eastAsia="仿宋_GB2312" w:hAnsi="仿宋"/>
          <w:bCs/>
          <w:color w:val="000000"/>
          <w:sz w:val="32"/>
          <w:szCs w:val="32"/>
        </w:rPr>
        <w:t>0.08</w:t>
      </w:r>
      <w:r>
        <w:rPr>
          <w:rFonts w:ascii="仿宋_GB2312" w:eastAsia="仿宋_GB2312" w:hAnsi="仿宋" w:hint="eastAsia"/>
          <w:bCs/>
          <w:color w:val="000000"/>
          <w:sz w:val="32"/>
          <w:szCs w:val="32"/>
        </w:rPr>
        <w:t>亿元。政府性基金预算支出24.89亿元，其中：城乡建设支出21.93亿元（含实施PPP项目政府付费、</w:t>
      </w:r>
      <w:r>
        <w:rPr>
          <w:rFonts w:ascii="仿宋_GB2312" w:eastAsia="仿宋_GB2312" w:hAnsi="华文仿宋" w:hint="eastAsia"/>
          <w:color w:val="000000"/>
          <w:kern w:val="0"/>
          <w:sz w:val="32"/>
          <w:szCs w:val="32"/>
        </w:rPr>
        <w:t>老城区基础设施改造和保护、乡镇和园区土地出让金安排的支出</w:t>
      </w:r>
      <w:r>
        <w:rPr>
          <w:rFonts w:ascii="仿宋_GB2312" w:eastAsia="仿宋_GB2312" w:hAnsi="仿宋" w:hint="eastAsia"/>
          <w:bCs/>
          <w:color w:val="000000"/>
          <w:sz w:val="32"/>
          <w:szCs w:val="32"/>
        </w:rPr>
        <w:t>等），债务付息支出2.83亿元，其他支出</w:t>
      </w:r>
      <w:r>
        <w:rPr>
          <w:rFonts w:ascii="仿宋_GB2312" w:eastAsia="仿宋_GB2312" w:hAnsi="仿宋"/>
          <w:bCs/>
          <w:color w:val="000000"/>
          <w:sz w:val="32"/>
          <w:szCs w:val="32"/>
        </w:rPr>
        <w:t>0.13</w:t>
      </w:r>
      <w:r>
        <w:rPr>
          <w:rFonts w:ascii="仿宋_GB2312" w:eastAsia="仿宋_GB2312" w:hAnsi="仿宋" w:hint="eastAsia"/>
          <w:bCs/>
          <w:color w:val="000000"/>
          <w:sz w:val="32"/>
          <w:szCs w:val="32"/>
        </w:rPr>
        <w:t>亿元、调出资金8.09亿元。</w:t>
      </w:r>
    </w:p>
    <w:p w14:paraId="3E2EAC0E">
      <w:pPr>
        <w:topLinePunct/>
        <w:spacing w:line="560" w:lineRule="exact"/>
        <w:ind w:firstLine="640" w:firstLineChars="200"/>
        <w:rPr>
          <w:rFonts w:ascii="仿宋" w:eastAsia="仿宋" w:hAnsi="仿宋"/>
          <w:bCs/>
          <w:color w:val="000000"/>
          <w:sz w:val="32"/>
          <w:szCs w:val="32"/>
        </w:rPr>
      </w:pPr>
      <w:r>
        <w:rPr>
          <w:rFonts w:ascii="楷体_GB2312" w:eastAsia="楷体_GB2312" w:hAnsi="楷体" w:hint="eastAsia"/>
          <w:b/>
          <w:color w:val="000000"/>
          <w:sz w:val="32"/>
          <w:szCs w:val="32"/>
        </w:rPr>
        <w:t>国有资本经营预算。</w:t>
      </w:r>
      <w:r>
        <w:rPr>
          <w:rFonts w:ascii="仿宋_GB2312" w:eastAsia="仿宋_GB2312" w:hAnsi="仿宋"/>
          <w:bCs/>
          <w:color w:val="000000"/>
          <w:sz w:val="32"/>
          <w:szCs w:val="32"/>
        </w:rPr>
        <w:t>202</w:t>
      </w:r>
      <w:r>
        <w:rPr>
          <w:rFonts w:ascii="仿宋_GB2312" w:eastAsia="仿宋_GB2312" w:hAnsi="仿宋" w:hint="eastAsia"/>
          <w:bCs/>
          <w:color w:val="000000"/>
          <w:sz w:val="32"/>
          <w:szCs w:val="32"/>
        </w:rPr>
        <w:t>4年国有资本经营预算收入20</w:t>
      </w:r>
      <w:r>
        <w:rPr>
          <w:rFonts w:ascii="仿宋_GB2312" w:eastAsia="仿宋_GB2312" w:hAnsi="仿宋"/>
          <w:bCs/>
          <w:color w:val="000000"/>
          <w:sz w:val="32"/>
          <w:szCs w:val="32"/>
        </w:rPr>
        <w:t>00</w:t>
      </w:r>
      <w:r>
        <w:rPr>
          <w:rFonts w:ascii="仿宋_GB2312" w:eastAsia="仿宋_GB2312" w:hAnsi="仿宋" w:hint="eastAsia"/>
          <w:bCs/>
          <w:color w:val="000000"/>
          <w:sz w:val="32"/>
          <w:szCs w:val="32"/>
        </w:rPr>
        <w:t>万元，为国有企业产权转让收入和国有企业分得的利润收入等。国有资本经营预算支出20</w:t>
      </w:r>
      <w:r>
        <w:rPr>
          <w:rFonts w:ascii="仿宋_GB2312" w:eastAsia="仿宋_GB2312" w:hAnsi="仿宋"/>
          <w:bCs/>
          <w:color w:val="000000"/>
          <w:sz w:val="32"/>
          <w:szCs w:val="32"/>
        </w:rPr>
        <w:t>00</w:t>
      </w:r>
      <w:r>
        <w:rPr>
          <w:rFonts w:ascii="仿宋_GB2312" w:eastAsia="仿宋_GB2312" w:hAnsi="仿宋" w:hint="eastAsia"/>
          <w:bCs/>
          <w:color w:val="000000"/>
          <w:sz w:val="32"/>
          <w:szCs w:val="32"/>
        </w:rPr>
        <w:t>万元，</w:t>
      </w:r>
      <w:r>
        <w:rPr>
          <w:rFonts w:ascii="仿宋_GB2312" w:eastAsia="仿宋_GB2312" w:hAnsi="华文仿宋" w:hint="eastAsia"/>
          <w:color w:val="000000"/>
          <w:kern w:val="0"/>
          <w:sz w:val="32"/>
          <w:szCs w:val="32"/>
        </w:rPr>
        <w:t>主要为解决国有企业历史遗留问题及改革成本支出。</w:t>
      </w:r>
    </w:p>
    <w:p w14:paraId="5F541AF4">
      <w:pPr>
        <w:topLinePunct/>
        <w:spacing w:line="560" w:lineRule="exact"/>
        <w:ind w:firstLine="640" w:firstLineChars="200"/>
        <w:rPr>
          <w:rFonts w:ascii="仿宋_GB2312" w:eastAsia="仿宋_GB2312" w:hAnsi="仿宋" w:hint="eastAsia"/>
          <w:bCs/>
          <w:color w:val="000000"/>
          <w:sz w:val="32"/>
          <w:szCs w:val="32"/>
        </w:rPr>
      </w:pPr>
      <w:r>
        <w:rPr>
          <w:rFonts w:ascii="楷体_GB2312" w:eastAsia="楷体_GB2312" w:hAnsi="楷体" w:hint="eastAsia"/>
          <w:b/>
          <w:color w:val="000000"/>
          <w:sz w:val="32"/>
          <w:szCs w:val="32"/>
        </w:rPr>
        <w:t>社会保险基金预算。</w:t>
      </w:r>
      <w:r>
        <w:rPr>
          <w:rFonts w:ascii="仿宋_GB2312" w:eastAsia="仿宋_GB2312" w:hAnsi="仿宋" w:hint="eastAsia"/>
          <w:bCs/>
          <w:color w:val="000000"/>
          <w:sz w:val="32"/>
          <w:szCs w:val="32"/>
        </w:rPr>
        <w:t>根据现行政策规定，结合各项基金的统筹级次，我县的企业职工养老保险、机关事业单位养老保险、失业保险、工伤保险、职工医疗保险、城乡居民医疗保险基金实行省、市统筹，由省级、市级统一编制；城乡居民基本养老保险基金由县级编制。</w:t>
      </w:r>
      <w:r>
        <w:rPr>
          <w:rFonts w:ascii="仿宋_GB2312" w:eastAsia="仿宋_GB2312" w:hAnsi="仿宋"/>
          <w:bCs/>
          <w:color w:val="000000"/>
          <w:sz w:val="32"/>
          <w:szCs w:val="32"/>
        </w:rPr>
        <w:t>202</w:t>
      </w:r>
      <w:r>
        <w:rPr>
          <w:rFonts w:ascii="仿宋_GB2312" w:eastAsia="仿宋_GB2312" w:hAnsi="仿宋" w:hint="eastAsia"/>
          <w:bCs/>
          <w:color w:val="000000"/>
          <w:sz w:val="32"/>
          <w:szCs w:val="32"/>
        </w:rPr>
        <w:t>4年县级社会保险基金预算收入8.45亿元，预算支出5.39亿元，当年收支结余3.06亿元。</w:t>
      </w:r>
    </w:p>
    <w:p w14:paraId="5EBC4031">
      <w:pPr>
        <w:topLinePunct/>
        <w:spacing w:line="560" w:lineRule="exact"/>
        <w:ind w:left="420" w:firstLine="320" w:leftChars="200" w:firstLineChars="100"/>
        <w:rPr>
          <w:rFonts w:ascii="楷体_GB2312" w:eastAsia="楷体_GB2312" w:hAnsi="楷体" w:hint="eastAsia"/>
          <w:b/>
          <w:color w:val="000000"/>
          <w:sz w:val="32"/>
          <w:szCs w:val="32"/>
        </w:rPr>
      </w:pPr>
      <w:r>
        <w:rPr>
          <w:rFonts w:ascii="楷体_GB2312" w:eastAsia="楷体_GB2312" w:hAnsi="楷体" w:hint="eastAsia"/>
          <w:b/>
          <w:color w:val="000000"/>
          <w:sz w:val="32"/>
          <w:szCs w:val="32"/>
        </w:rPr>
        <w:t>（二）园区预算安排情况</w:t>
      </w:r>
    </w:p>
    <w:p w14:paraId="72DC0124">
      <w:pPr>
        <w:topLinePunct/>
        <w:spacing w:line="560" w:lineRule="exact"/>
        <w:ind w:firstLine="704" w:firstLineChars="220"/>
        <w:rPr>
          <w:rFonts w:ascii="仿宋_GB2312" w:eastAsia="仿宋_GB2312" w:hAnsi="宋体" w:cs="宋体" w:hint="eastAsia"/>
          <w:color w:val="000000"/>
          <w:kern w:val="0"/>
          <w:sz w:val="32"/>
          <w:szCs w:val="32"/>
        </w:rPr>
      </w:pPr>
      <w:r>
        <w:rPr>
          <w:rFonts w:ascii="仿宋_GB2312" w:eastAsia="仿宋_GB2312" w:hAnsi="仿宋" w:hint="eastAsia"/>
          <w:b/>
          <w:color w:val="000000"/>
          <w:sz w:val="32"/>
          <w:szCs w:val="32"/>
        </w:rPr>
        <w:t>寿县新桥国际产业园。</w:t>
      </w:r>
      <w:r>
        <w:rPr>
          <w:rFonts w:ascii="仿宋_GB2312" w:eastAsia="仿宋_GB2312" w:hAnsi="仿宋" w:hint="eastAsia"/>
          <w:b/>
          <w:bCs/>
          <w:color w:val="000000"/>
          <w:sz w:val="32"/>
          <w:szCs w:val="32"/>
        </w:rPr>
        <w:t>一般公共预算。</w:t>
      </w:r>
      <w:r>
        <w:rPr>
          <w:rFonts w:ascii="仿宋_GB2312" w:eastAsia="仿宋_GB2312" w:hAnsi="仿宋" w:hint="eastAsia"/>
          <w:bCs/>
          <w:color w:val="000000"/>
          <w:sz w:val="32"/>
          <w:szCs w:val="32"/>
        </w:rPr>
        <w:t>一般公共预算收入3亿元。按照现行财政体制测算，可用财力3亿</w:t>
      </w:r>
      <w:r>
        <w:rPr>
          <w:rFonts w:ascii="仿宋_GB2312" w:eastAsia="仿宋_GB2312" w:hAnsi="宋体" w:cs="宋体" w:hint="eastAsia"/>
          <w:color w:val="000000"/>
          <w:kern w:val="0"/>
          <w:sz w:val="32"/>
          <w:szCs w:val="32"/>
        </w:rPr>
        <w:t>元，年初预算安排人员和运转支出0.03亿元，加省级转移支付资金0.19亿元，安排财政支出预算3.22亿元。</w:t>
      </w:r>
      <w:r>
        <w:rPr>
          <w:rFonts w:ascii="仿宋_GB2312" w:eastAsia="仿宋_GB2312" w:hAnsi="仿宋" w:hint="eastAsia"/>
          <w:b/>
          <w:bCs/>
          <w:color w:val="000000"/>
          <w:sz w:val="32"/>
          <w:szCs w:val="32"/>
        </w:rPr>
        <w:t>政府性基金预算。</w:t>
      </w:r>
      <w:r>
        <w:rPr>
          <w:rFonts w:ascii="仿宋_GB2312" w:eastAsia="仿宋_GB2312" w:hAnsi="仿宋" w:hint="eastAsia"/>
          <w:bCs/>
          <w:color w:val="000000"/>
          <w:sz w:val="32"/>
          <w:szCs w:val="32"/>
        </w:rPr>
        <w:t>政府性基金预算收入10亿元。按照现行财政体制测算，可用财力8.24亿</w:t>
      </w:r>
      <w:r>
        <w:rPr>
          <w:rFonts w:ascii="仿宋_GB2312" w:eastAsia="仿宋_GB2312" w:hAnsi="宋体" w:cs="宋体" w:hint="eastAsia"/>
          <w:color w:val="000000"/>
          <w:kern w:val="0"/>
          <w:sz w:val="32"/>
          <w:szCs w:val="32"/>
        </w:rPr>
        <w:t>元，年初预算安排财政支出预算8.24亿元。</w:t>
      </w:r>
    </w:p>
    <w:p w14:paraId="39898132">
      <w:pPr>
        <w:topLinePunct/>
        <w:spacing w:line="560" w:lineRule="exact"/>
        <w:ind w:firstLine="704" w:firstLineChars="220"/>
        <w:rPr>
          <w:rFonts w:ascii="黑体" w:eastAsia="黑体" w:hAnsi="黑体" w:cs="宋体" w:hint="eastAsia"/>
          <w:color w:val="000000"/>
          <w:kern w:val="0"/>
          <w:sz w:val="32"/>
          <w:szCs w:val="32"/>
        </w:rPr>
      </w:pPr>
      <w:r>
        <w:rPr>
          <w:rFonts w:ascii="仿宋_GB2312" w:eastAsia="仿宋_GB2312" w:hAnsi="宋体" w:cs="宋体" w:hint="eastAsia"/>
          <w:b/>
          <w:bCs/>
          <w:color w:val="000000"/>
          <w:kern w:val="0"/>
          <w:sz w:val="32"/>
          <w:szCs w:val="32"/>
        </w:rPr>
        <w:t>寿县蜀山现代产业园。</w:t>
      </w:r>
      <w:r>
        <w:rPr>
          <w:rFonts w:ascii="仿宋_GB2312" w:eastAsia="仿宋_GB2312" w:hAnsi="仿宋" w:hint="eastAsia"/>
          <w:b/>
          <w:bCs/>
          <w:color w:val="000000"/>
          <w:sz w:val="32"/>
          <w:szCs w:val="32"/>
        </w:rPr>
        <w:t>一般公共预算。</w:t>
      </w:r>
      <w:r>
        <w:rPr>
          <w:rFonts w:ascii="仿宋_GB2312" w:eastAsia="仿宋_GB2312" w:hAnsi="宋体" w:cs="宋体" w:hint="eastAsia"/>
          <w:color w:val="000000"/>
          <w:kern w:val="0"/>
          <w:sz w:val="32"/>
          <w:szCs w:val="32"/>
        </w:rPr>
        <w:t>一般公共预算收入1亿元。按照现行财政体制测算，可用财力1亿元，全年安排财政支出预算1亿元。</w:t>
      </w:r>
      <w:r>
        <w:rPr>
          <w:rFonts w:ascii="仿宋_GB2312" w:eastAsia="仿宋_GB2312" w:hAnsi="仿宋" w:hint="eastAsia"/>
          <w:b/>
          <w:bCs/>
          <w:color w:val="000000"/>
          <w:sz w:val="32"/>
          <w:szCs w:val="32"/>
        </w:rPr>
        <w:t>政府性基金预算。</w:t>
      </w:r>
      <w:r>
        <w:rPr>
          <w:rFonts w:ascii="仿宋_GB2312" w:eastAsia="仿宋_GB2312" w:hAnsi="仿宋" w:hint="eastAsia"/>
          <w:bCs/>
          <w:color w:val="000000"/>
          <w:sz w:val="32"/>
          <w:szCs w:val="32"/>
        </w:rPr>
        <w:t>政府性基金预算收入2亿元。按照现行财政体制测算，可用财力1.88亿</w:t>
      </w:r>
      <w:r>
        <w:rPr>
          <w:rFonts w:ascii="仿宋_GB2312" w:eastAsia="仿宋_GB2312" w:hAnsi="宋体" w:cs="宋体" w:hint="eastAsia"/>
          <w:color w:val="000000"/>
          <w:kern w:val="0"/>
          <w:sz w:val="32"/>
          <w:szCs w:val="32"/>
        </w:rPr>
        <w:t>元，年初预算安排财政支出预算</w:t>
      </w:r>
      <w:r>
        <w:rPr>
          <w:rFonts w:ascii="仿宋_GB2312" w:eastAsia="仿宋_GB2312" w:hAnsi="仿宋" w:hint="eastAsia"/>
          <w:bCs/>
          <w:color w:val="000000"/>
          <w:sz w:val="32"/>
          <w:szCs w:val="32"/>
        </w:rPr>
        <w:t>1.88</w:t>
      </w:r>
      <w:r>
        <w:rPr>
          <w:rFonts w:ascii="仿宋_GB2312" w:eastAsia="仿宋_GB2312" w:hAnsi="宋体" w:cs="宋体" w:hint="eastAsia"/>
          <w:color w:val="000000"/>
          <w:kern w:val="0"/>
          <w:sz w:val="32"/>
          <w:szCs w:val="32"/>
        </w:rPr>
        <w:t>亿元。</w:t>
      </w:r>
    </w:p>
    <w:p w14:paraId="7791E57C">
      <w:pPr>
        <w:topLinePunct/>
        <w:spacing w:line="560" w:lineRule="exact"/>
        <w:ind w:firstLine="640" w:firstLineChars="200"/>
        <w:rPr>
          <w:rFonts w:ascii="黑体" w:eastAsia="黑体" w:hAnsi="黑体" w:cs="宋体" w:hint="eastAsia"/>
          <w:color w:val="000000"/>
          <w:kern w:val="0"/>
          <w:sz w:val="32"/>
          <w:szCs w:val="32"/>
        </w:rPr>
      </w:pPr>
      <w:r>
        <w:rPr>
          <w:rFonts w:ascii="黑体" w:eastAsia="黑体" w:hAnsi="黑体" w:cs="宋体" w:hint="eastAsia"/>
          <w:color w:val="000000"/>
          <w:kern w:val="0"/>
          <w:sz w:val="32"/>
          <w:szCs w:val="32"/>
        </w:rPr>
        <w:t>四、</w:t>
      </w:r>
      <w:r>
        <w:rPr>
          <w:rFonts w:ascii="黑体" w:eastAsia="黑体" w:hAnsi="黑体" w:cs="宋体"/>
          <w:color w:val="000000"/>
          <w:kern w:val="0"/>
          <w:sz w:val="32"/>
          <w:szCs w:val="32"/>
        </w:rPr>
        <w:t>202</w:t>
      </w:r>
      <w:r>
        <w:rPr>
          <w:rFonts w:ascii="黑体" w:eastAsia="黑体" w:hAnsi="黑体" w:cs="宋体" w:hint="eastAsia"/>
          <w:color w:val="000000"/>
          <w:kern w:val="0"/>
          <w:sz w:val="32"/>
          <w:szCs w:val="32"/>
        </w:rPr>
        <w:t>4年财政主要工作</w:t>
      </w:r>
    </w:p>
    <w:p w14:paraId="785F3359">
      <w:pPr>
        <w:topLinePunct/>
        <w:spacing w:line="560" w:lineRule="exact"/>
        <w:ind w:firstLine="642"/>
        <w:jc w:val="left"/>
        <w:rPr>
          <w:rFonts w:ascii="仿宋_GB2312" w:eastAsia="仿宋_GB2312" w:hAnsi="宋体" w:cs="宋体"/>
          <w:color w:val="000000"/>
          <w:kern w:val="0"/>
          <w:sz w:val="32"/>
          <w:szCs w:val="32"/>
        </w:rPr>
      </w:pPr>
      <w:r>
        <w:rPr>
          <w:rFonts w:ascii="楷体_GB2312" w:eastAsia="楷体_GB2312" w:hAnsi="黑体" w:cs="宋体" w:hint="eastAsia"/>
          <w:b/>
          <w:color w:val="000000"/>
          <w:kern w:val="0"/>
          <w:sz w:val="32"/>
          <w:szCs w:val="32"/>
        </w:rPr>
        <w:t>一是落实积极财政政策。</w:t>
      </w:r>
      <w:r>
        <w:rPr>
          <w:rFonts w:ascii="仿宋_GB2312" w:eastAsia="仿宋_GB2312" w:hAnsi="仿宋_GB2312" w:cs="仿宋_GB2312" w:hint="eastAsia"/>
          <w:color w:val="000000"/>
          <w:sz w:val="32"/>
          <w:szCs w:val="32"/>
        </w:rPr>
        <w:t>落实结构</w:t>
      </w:r>
      <w:r>
        <w:rPr>
          <w:rFonts w:ascii="仿宋_GB2312" w:eastAsia="仿宋_GB2312" w:hAnsi="宋体" w:cs="宋体" w:hint="eastAsia"/>
          <w:color w:val="000000"/>
          <w:kern w:val="0"/>
          <w:sz w:val="32"/>
          <w:szCs w:val="32"/>
        </w:rPr>
        <w:t>性减税降费和</w:t>
      </w:r>
      <w:r>
        <w:rPr>
          <w:rFonts w:ascii="仿宋_GB2312" w:eastAsia="仿宋_GB2312" w:hAnsi="仿宋" w:hint="eastAsia"/>
          <w:bCs/>
          <w:color w:val="000000"/>
          <w:sz w:val="32"/>
          <w:szCs w:val="32"/>
        </w:rPr>
        <w:t>适度加力、提质增效的积极财政</w:t>
      </w:r>
      <w:r>
        <w:rPr>
          <w:rFonts w:ascii="仿宋_GB2312" w:eastAsia="仿宋_GB2312" w:hAnsi="宋体" w:cs="宋体" w:hint="eastAsia"/>
          <w:color w:val="000000"/>
          <w:kern w:val="0"/>
          <w:sz w:val="32"/>
          <w:szCs w:val="32"/>
        </w:rPr>
        <w:t>政策</w:t>
      </w:r>
      <w:r>
        <w:rPr>
          <w:rFonts w:ascii="仿宋_GB2312" w:eastAsia="仿宋_GB2312" w:hAnsi="仿宋" w:hint="eastAsia"/>
          <w:bCs/>
          <w:color w:val="000000"/>
          <w:sz w:val="32"/>
          <w:szCs w:val="32"/>
        </w:rPr>
        <w:t>，预算安</w:t>
      </w:r>
      <w:r>
        <w:rPr>
          <w:rFonts w:ascii="仿宋_GB2312" w:eastAsia="仿宋_GB2312" w:hAnsi="宋体" w:cs="宋体" w:hint="eastAsia"/>
          <w:color w:val="000000"/>
          <w:kern w:val="0"/>
          <w:sz w:val="32"/>
          <w:szCs w:val="32"/>
        </w:rPr>
        <w:t>排3.04亿</w:t>
      </w:r>
      <w:r>
        <w:rPr>
          <w:rFonts w:ascii="仿宋_GB2312" w:eastAsia="仿宋_GB2312" w:hAnsi="仿宋" w:hint="eastAsia"/>
          <w:bCs/>
          <w:color w:val="000000"/>
          <w:sz w:val="32"/>
          <w:szCs w:val="32"/>
        </w:rPr>
        <w:t>元三产发展资金，</w:t>
      </w:r>
      <w:r>
        <w:rPr>
          <w:rFonts w:ascii="仿宋_GB2312" w:eastAsia="仿宋_GB2312" w:hAnsi="仿宋_GB2312" w:cs="仿宋_GB2312" w:hint="eastAsia"/>
          <w:color w:val="000000"/>
          <w:sz w:val="32"/>
          <w:szCs w:val="32"/>
        </w:rPr>
        <w:t>继续加大财政支持力度，利用奖补、贴息等方式，支持实体经济、民营经济及小微企业发展，</w:t>
      </w:r>
      <w:r>
        <w:rPr>
          <w:rFonts w:ascii="仿宋_GB2312" w:eastAsia="仿宋_GB2312" w:hAnsi="宋体" w:cs="宋体" w:hint="eastAsia"/>
          <w:color w:val="000000"/>
          <w:kern w:val="0"/>
          <w:sz w:val="32"/>
          <w:szCs w:val="32"/>
        </w:rPr>
        <w:t>助力县域经济运行高质量发展。支持开展“双招双引”，依托新桥科技创新示范区、县经开区平台，支持新兴产业集聚发展，培育税源。</w:t>
      </w:r>
      <w:r>
        <w:rPr>
          <w:rFonts w:ascii="仿宋_GB2312" w:eastAsia="仿宋_GB2312" w:hAnsi="仿宋_GB2312" w:cs="仿宋_GB2312" w:hint="eastAsia"/>
          <w:color w:val="000000"/>
          <w:sz w:val="32"/>
          <w:szCs w:val="32"/>
        </w:rPr>
        <w:t>推进财政政策与金融政策、产业政策、人才政策的协调联动，充分发挥财政资金的杠杆效应和倍增效应，推进产业高质量发展。积极</w:t>
      </w:r>
      <w:r>
        <w:rPr>
          <w:rFonts w:ascii="仿宋_GB2312" w:eastAsia="仿宋_GB2312" w:hAnsi="仿宋" w:hint="eastAsia"/>
          <w:bCs/>
          <w:color w:val="000000"/>
          <w:sz w:val="32"/>
          <w:szCs w:val="32"/>
        </w:rPr>
        <w:t>支持房地产业平稳健康发展。</w:t>
      </w:r>
      <w:r>
        <w:rPr>
          <w:rFonts w:ascii="仿宋_GB2312" w:eastAsia="仿宋_GB2312" w:hAnsi="宋体" w:cs="宋体" w:hint="eastAsia"/>
          <w:color w:val="000000"/>
          <w:kern w:val="0"/>
          <w:sz w:val="32"/>
          <w:szCs w:val="32"/>
        </w:rPr>
        <w:t>用足用好专项债券政策，最大限度向省财政厅争取新增政府债务限额，提前谋划债券申报发行，加快形成实物工作量。严格控制一般性支出，落实党政机关过紧日子要求。定期清理盘活存量资金，腾出更多资金用于保稳定促发展。认真落实财政资金直达机制，</w:t>
      </w:r>
      <w:r>
        <w:rPr>
          <w:rFonts w:ascii="仿宋_GB2312" w:eastAsia="仿宋_GB2312" w:hAnsi="仿宋_GB2312" w:cs="仿宋_GB2312" w:hint="eastAsia"/>
          <w:color w:val="000000"/>
          <w:sz w:val="32"/>
          <w:szCs w:val="32"/>
        </w:rPr>
        <w:t>确保资金直达基层，直接惠企利民。</w:t>
      </w:r>
    </w:p>
    <w:p w14:paraId="68750719">
      <w:pPr>
        <w:topLinePunct/>
        <w:spacing w:line="560" w:lineRule="exact"/>
        <w:ind w:firstLine="640" w:firstLineChars="200"/>
        <w:rPr>
          <w:rFonts w:ascii="仿宋_GB2312" w:eastAsia="仿宋_GB2312" w:hAnsi="仿宋_GB2312" w:cs="仿宋_GB2312" w:hint="eastAsia"/>
          <w:color w:val="000000"/>
          <w:sz w:val="32"/>
          <w:szCs w:val="32"/>
        </w:rPr>
      </w:pPr>
      <w:r>
        <w:rPr>
          <w:rFonts w:ascii="楷体_GB2312" w:eastAsia="楷体_GB2312" w:hAnsi="黑体" w:cs="宋体" w:hint="eastAsia"/>
          <w:b/>
          <w:color w:val="000000"/>
          <w:kern w:val="0"/>
          <w:sz w:val="32"/>
          <w:szCs w:val="32"/>
        </w:rPr>
        <w:t>二是提升群众民生福祉。</w:t>
      </w:r>
      <w:r>
        <w:rPr>
          <w:rFonts w:ascii="仿宋_GB2312" w:eastAsia="仿宋_GB2312" w:hAnsi="宋体" w:cs="宋体" w:hint="eastAsia"/>
          <w:color w:val="000000"/>
          <w:kern w:val="0"/>
          <w:sz w:val="32"/>
          <w:szCs w:val="32"/>
        </w:rPr>
        <w:t>安排县级资金0.99亿元，持续推进巩固拓展脱贫攻坚成果同乡村振兴有效衔接，</w:t>
      </w:r>
      <w:r>
        <w:rPr>
          <w:rFonts w:ascii="仿宋_GB2312" w:eastAsia="仿宋_GB2312" w:hAnsi="黑体" w:cs="宋体" w:hint="eastAsia"/>
          <w:color w:val="000000"/>
          <w:kern w:val="0"/>
          <w:sz w:val="32"/>
          <w:szCs w:val="32"/>
        </w:rPr>
        <w:t>落实“四个不摘”要求</w:t>
      </w:r>
      <w:r>
        <w:rPr>
          <w:rFonts w:ascii="仿宋_GB2312" w:eastAsia="仿宋_GB2312" w:hAnsi="宋体" w:cs="宋体" w:hint="eastAsia"/>
          <w:color w:val="000000"/>
          <w:kern w:val="0"/>
          <w:sz w:val="32"/>
          <w:szCs w:val="32"/>
        </w:rPr>
        <w:t>。</w:t>
      </w:r>
      <w:r>
        <w:rPr>
          <w:rFonts w:ascii="仿宋_GB2312" w:eastAsia="仿宋_GB2312" w:hAnsi="仿宋_GB2312" w:cs="仿宋_GB2312" w:hint="eastAsia"/>
          <w:color w:val="000000"/>
          <w:sz w:val="32"/>
          <w:szCs w:val="32"/>
        </w:rPr>
        <w:t>围绕项目建设“</w:t>
      </w:r>
      <w:r>
        <w:rPr>
          <w:rFonts w:ascii="仿宋_GB2312" w:eastAsia="仿宋_GB2312" w:hAnsi="仿宋_GB2312" w:cs="仿宋_GB2312"/>
          <w:color w:val="000000"/>
          <w:sz w:val="32"/>
          <w:szCs w:val="32"/>
        </w:rPr>
        <w:t>3133</w:t>
      </w:r>
      <w:r>
        <w:rPr>
          <w:rFonts w:ascii="仿宋_GB2312" w:eastAsia="仿宋_GB2312" w:hAnsi="仿宋_GB2312" w:cs="仿宋_GB2312" w:hint="eastAsia"/>
          <w:color w:val="000000"/>
          <w:sz w:val="32"/>
          <w:szCs w:val="32"/>
        </w:rPr>
        <w:t>”行动计划，加大专项债券、国债、中央预算内项目资金争取力度，持续推进合肥新桥机场</w:t>
      </w:r>
      <w:r>
        <w:rPr>
          <w:rFonts w:ascii="仿宋_GB2312" w:eastAsia="仿宋_GB2312" w:hAnsi="仿宋_GB2312" w:cs="仿宋_GB2312"/>
          <w:color w:val="000000"/>
          <w:sz w:val="32"/>
          <w:szCs w:val="32"/>
        </w:rPr>
        <w:t>S1</w:t>
      </w:r>
      <w:r>
        <w:rPr>
          <w:rFonts w:ascii="仿宋_GB2312" w:eastAsia="仿宋_GB2312" w:hAnsi="仿宋_GB2312" w:cs="仿宋_GB2312" w:hint="eastAsia"/>
          <w:color w:val="000000"/>
          <w:sz w:val="32"/>
          <w:szCs w:val="32"/>
        </w:rPr>
        <w:t>线（寿县段）、寿霍路</w:t>
      </w:r>
      <w:r>
        <w:rPr>
          <w:rFonts w:ascii="仿宋_GB2312" w:eastAsia="仿宋_GB2312" w:hAnsi="仿宋" w:hint="eastAsia"/>
          <w:bCs/>
          <w:color w:val="000000"/>
          <w:sz w:val="32"/>
          <w:szCs w:val="32"/>
        </w:rPr>
        <w:t>升级改造、城乡供水一体化、城乡公交一体化等一批重大项目建设。大力统筹整合涉农资金，推动土地治理、高标准农田建设、农村人居环境整治与和美乡村建设，有力有效推进乡村全面振兴。</w:t>
      </w:r>
      <w:r>
        <w:rPr>
          <w:rFonts w:ascii="仿宋_GB2312" w:eastAsia="仿宋_GB2312" w:hAnsi="宋体" w:cs="宋体" w:hint="eastAsia"/>
          <w:color w:val="000000"/>
          <w:kern w:val="0"/>
          <w:sz w:val="32"/>
          <w:szCs w:val="32"/>
        </w:rPr>
        <w:t>聚焦民生短板弱项，</w:t>
      </w:r>
      <w:r>
        <w:rPr>
          <w:rFonts w:ascii="仿宋_GB2312" w:eastAsia="仿宋_GB2312" w:hAnsi="仿宋_GB2312" w:cs="仿宋_GB2312" w:hint="eastAsia"/>
          <w:color w:val="000000"/>
          <w:sz w:val="32"/>
          <w:szCs w:val="32"/>
        </w:rPr>
        <w:t>持续推进暖民心行动，抓好民生实事，</w:t>
      </w:r>
      <w:r>
        <w:rPr>
          <w:rFonts w:ascii="仿宋_GB2312" w:eastAsia="仿宋_GB2312" w:hAnsi="宋体" w:cs="宋体" w:hint="eastAsia"/>
          <w:color w:val="000000"/>
          <w:kern w:val="0"/>
          <w:sz w:val="32"/>
          <w:szCs w:val="32"/>
        </w:rPr>
        <w:t>加大民生领域投入力度，确保民生支出占一般公共预算支出比例达85％以上，增强民生政策可持续性。坚持教育优先，落实教育经费“两个只增不减”要求，不断加大教育投入，支持普惠性学前教育、职教中心等重点项目建设。健全社会保障体系，足额落实各项社会保障待遇支出，着力解决好群众急难愁盼问题。支持老旧小区、棚户区改造及保障性租赁住房建设。安排0.88亿元投入古</w:t>
      </w:r>
      <w:r>
        <w:rPr>
          <w:rFonts w:ascii="仿宋_GB2312" w:eastAsia="仿宋_GB2312" w:hAnsi="仿宋" w:hint="eastAsia"/>
          <w:bCs/>
          <w:color w:val="000000"/>
          <w:sz w:val="32"/>
          <w:szCs w:val="32"/>
        </w:rPr>
        <w:t>城</w:t>
      </w:r>
      <w:r>
        <w:rPr>
          <w:rFonts w:ascii="仿宋_GB2312" w:eastAsia="仿宋_GB2312" w:hAnsi="仿宋"/>
          <w:bCs/>
          <w:color w:val="000000"/>
          <w:sz w:val="32"/>
          <w:szCs w:val="32"/>
        </w:rPr>
        <w:t>5A</w:t>
      </w:r>
      <w:r>
        <w:rPr>
          <w:rFonts w:ascii="仿宋_GB2312" w:eastAsia="仿宋_GB2312" w:hAnsi="仿宋" w:hint="eastAsia"/>
          <w:bCs/>
          <w:color w:val="000000"/>
          <w:sz w:val="32"/>
          <w:szCs w:val="32"/>
        </w:rPr>
        <w:t>创建，努力争创全省文明城市、全省卫生县城，</w:t>
      </w:r>
      <w:r>
        <w:rPr>
          <w:rFonts w:ascii="仿宋_GB2312" w:eastAsia="仿宋_GB2312" w:hAnsi="仿宋_GB2312" w:cs="仿宋_GB2312" w:hint="eastAsia"/>
          <w:color w:val="000000"/>
          <w:sz w:val="32"/>
          <w:szCs w:val="32"/>
        </w:rPr>
        <w:t>大力支持中国文学之乡申创。</w:t>
      </w:r>
    </w:p>
    <w:p w14:paraId="7508266C">
      <w:pPr>
        <w:topLinePunct/>
        <w:spacing w:line="560" w:lineRule="exact"/>
        <w:ind w:firstLine="642"/>
        <w:jc w:val="left"/>
        <w:rPr>
          <w:rFonts w:ascii="仿宋_GB2312" w:eastAsia="仿宋_GB2312" w:hAnsi="仿宋_GB2312" w:cs="仿宋_GB2312" w:hint="eastAsia"/>
          <w:color w:val="000000"/>
          <w:sz w:val="32"/>
          <w:szCs w:val="32"/>
        </w:rPr>
      </w:pPr>
      <w:r>
        <w:rPr>
          <w:rFonts w:ascii="楷体_GB2312" w:eastAsia="楷体_GB2312" w:hAnsi="黑体" w:cs="宋体" w:hint="eastAsia"/>
          <w:b/>
          <w:color w:val="000000"/>
          <w:kern w:val="0"/>
          <w:sz w:val="32"/>
          <w:szCs w:val="32"/>
        </w:rPr>
        <w:t>三是增强财政调控能力。</w:t>
      </w:r>
      <w:r>
        <w:rPr>
          <w:rFonts w:ascii="仿宋_GB2312" w:eastAsia="仿宋_GB2312" w:hAnsi="宋体" w:cs="宋体" w:hint="eastAsia"/>
          <w:color w:val="000000"/>
          <w:kern w:val="0"/>
          <w:sz w:val="32"/>
          <w:szCs w:val="32"/>
        </w:rPr>
        <w:t>认真落实预算法及其实施条例规定，严格执行人大批准的预算，增强预算约束力。加强财政资源统筹，</w:t>
      </w:r>
      <w:r>
        <w:rPr>
          <w:rFonts w:ascii="仿宋_GB2312" w:eastAsia="仿宋_GB2312" w:hAnsi="仿宋_GB2312" w:cs="仿宋_GB2312" w:hint="eastAsia"/>
          <w:color w:val="000000"/>
          <w:sz w:val="32"/>
          <w:szCs w:val="32"/>
        </w:rPr>
        <w:t>狠抓</w:t>
      </w:r>
      <w:r>
        <w:rPr>
          <w:rFonts w:ascii="仿宋_GB2312" w:eastAsia="仿宋_GB2312" w:hAnsi="仿宋" w:hint="eastAsia"/>
          <w:color w:val="000000"/>
          <w:sz w:val="32"/>
          <w:szCs w:val="32"/>
        </w:rPr>
        <w:t>税费协同共治</w:t>
      </w:r>
      <w:r>
        <w:rPr>
          <w:rFonts w:ascii="仿宋_GB2312" w:eastAsia="仿宋_GB2312" w:hAnsi="仿宋_GB2312" w:cs="仿宋_GB2312" w:hint="eastAsia"/>
          <w:color w:val="000000"/>
          <w:sz w:val="32"/>
          <w:szCs w:val="32"/>
        </w:rPr>
        <w:t>，</w:t>
      </w:r>
      <w:r>
        <w:rPr>
          <w:rFonts w:ascii="仿宋_GB2312" w:eastAsia="仿宋_GB2312" w:hAnsi="宋体" w:cs="宋体" w:hint="eastAsia"/>
          <w:color w:val="000000"/>
          <w:kern w:val="0"/>
          <w:sz w:val="32"/>
          <w:szCs w:val="32"/>
        </w:rPr>
        <w:t>挖掘增收潜力。</w:t>
      </w:r>
      <w:r>
        <w:rPr>
          <w:rFonts w:ascii="仿宋_GB2312" w:eastAsia="仿宋_GB2312" w:hAnsi="仿宋_GB2312" w:cs="仿宋_GB2312" w:hint="eastAsia"/>
          <w:color w:val="000000"/>
          <w:sz w:val="32"/>
          <w:szCs w:val="32"/>
        </w:rPr>
        <w:t>大力盘活部门闲置资金、资产和资源，增强县级财力统筹调度能力，</w:t>
      </w:r>
      <w:r>
        <w:rPr>
          <w:rFonts w:ascii="仿宋_GB2312" w:eastAsia="仿宋_GB2312" w:hAnsi="宋体" w:cs="宋体" w:hint="eastAsia"/>
          <w:color w:val="000000"/>
          <w:kern w:val="0"/>
          <w:sz w:val="32"/>
          <w:szCs w:val="32"/>
        </w:rPr>
        <w:t>推动形成“大财政大预算大资产”格局，</w:t>
      </w:r>
      <w:r>
        <w:rPr>
          <w:rFonts w:ascii="仿宋_GB2312" w:eastAsia="仿宋_GB2312" w:hAnsi="仿宋_GB2312" w:cs="仿宋_GB2312" w:hint="eastAsia"/>
          <w:color w:val="000000"/>
          <w:sz w:val="32"/>
          <w:szCs w:val="32"/>
        </w:rPr>
        <w:t>增强县域财政可持续性。</w:t>
      </w:r>
      <w:r>
        <w:rPr>
          <w:rFonts w:ascii="仿宋_GB2312" w:eastAsia="仿宋_GB2312" w:hAnsi="宋体" w:cs="宋体" w:hint="eastAsia"/>
          <w:color w:val="000000"/>
          <w:kern w:val="0"/>
          <w:sz w:val="32"/>
          <w:szCs w:val="32"/>
        </w:rPr>
        <w:t>坚持“三保”最优先位置，</w:t>
      </w:r>
      <w:r>
        <w:rPr>
          <w:rFonts w:ascii="仿宋_GB2312" w:eastAsia="仿宋_GB2312" w:hAnsi="黑体" w:cs="宋体" w:hint="eastAsia"/>
          <w:color w:val="000000"/>
          <w:kern w:val="0"/>
          <w:sz w:val="32"/>
          <w:szCs w:val="32"/>
        </w:rPr>
        <w:t>筑牢兜实“三保”底线。加强政府债务管理，规范政府举债融资，加大存量隐性债务化解力度，坚决防止新增隐性债务，健全化债长效机制，有效防范化解地方债务风险。加强国库资金运行监控，确保库款最低保障要求，持续清理往来款项。</w:t>
      </w:r>
      <w:r>
        <w:rPr>
          <w:rFonts w:ascii="仿宋_GB2312" w:eastAsia="仿宋_GB2312" w:hAnsi="仿宋_GB2312" w:cs="仿宋_GB2312" w:hint="eastAsia"/>
          <w:color w:val="000000"/>
          <w:sz w:val="32"/>
          <w:szCs w:val="32"/>
        </w:rPr>
        <w:t>严格落实《寿县人民政府办公室关于进一步加强县级预算管理有关工作的通知》，硬化预算约束，严控预算追加，优化财政支出结构，强化绩效管理，严肃财经纪律、</w:t>
      </w:r>
      <w:r>
        <w:rPr>
          <w:rFonts w:ascii="仿宋_GB2312" w:eastAsia="仿宋_GB2312" w:hAnsi="黑体" w:cs="宋体" w:hint="eastAsia"/>
          <w:color w:val="000000"/>
          <w:kern w:val="0"/>
          <w:sz w:val="32"/>
          <w:szCs w:val="32"/>
        </w:rPr>
        <w:t>继续压减非急需非刚性支出，</w:t>
      </w:r>
      <w:r>
        <w:rPr>
          <w:rFonts w:ascii="仿宋_GB2312" w:eastAsia="仿宋_GB2312" w:hAnsi="仿宋_GB2312" w:cs="仿宋_GB2312" w:hint="eastAsia"/>
          <w:color w:val="000000"/>
          <w:sz w:val="32"/>
          <w:szCs w:val="32"/>
        </w:rPr>
        <w:t>全力保障县委、县政府重大决策支出需要。</w:t>
      </w:r>
    </w:p>
    <w:p w14:paraId="4DEB94C2">
      <w:pPr>
        <w:topLinePunct/>
        <w:spacing w:line="560" w:lineRule="exact"/>
        <w:ind w:firstLine="640" w:firstLineChars="200"/>
        <w:rPr>
          <w:rFonts w:ascii="仿宋_GB2312" w:eastAsia="仿宋_GB2312" w:hAnsi="黑体" w:cs="宋体" w:hint="eastAsia"/>
          <w:color w:val="000000"/>
          <w:kern w:val="0"/>
          <w:sz w:val="32"/>
          <w:szCs w:val="32"/>
        </w:rPr>
      </w:pPr>
      <w:r>
        <w:rPr>
          <w:rFonts w:ascii="楷体_GB2312" w:eastAsia="楷体_GB2312" w:hAnsi="黑体" w:cs="宋体" w:hint="eastAsia"/>
          <w:b/>
          <w:color w:val="000000"/>
          <w:kern w:val="0"/>
          <w:sz w:val="32"/>
          <w:szCs w:val="32"/>
        </w:rPr>
        <w:t>四是深化财政管理改革。</w:t>
      </w:r>
      <w:r>
        <w:rPr>
          <w:rFonts w:ascii="仿宋_GB2312" w:eastAsia="仿宋_GB2312" w:hAnsi="仿宋_GB2312" w:cs="仿宋_GB2312" w:hint="eastAsia"/>
          <w:color w:val="000000"/>
          <w:sz w:val="32"/>
          <w:szCs w:val="32"/>
        </w:rPr>
        <w:t>持续推进零基预算</w:t>
      </w:r>
      <w:r>
        <w:rPr>
          <w:rFonts w:ascii="仿宋_GB2312" w:eastAsia="仿宋_GB2312" w:hAnsi="黑体" w:cs="宋体" w:hint="eastAsia"/>
          <w:color w:val="000000"/>
          <w:kern w:val="0"/>
          <w:sz w:val="32"/>
          <w:szCs w:val="32"/>
        </w:rPr>
        <w:t>改革。深化国资国企改革，盘活整合各类国有资产，支持县</w:t>
      </w:r>
      <w:r>
        <w:rPr>
          <w:rFonts w:ascii="仿宋_GB2312" w:eastAsia="仿宋_GB2312" w:hAnsi="仿宋" w:hint="eastAsia"/>
          <w:bCs/>
          <w:color w:val="000000"/>
          <w:sz w:val="32"/>
          <w:szCs w:val="32"/>
        </w:rPr>
        <w:t>寿州控股集团、县交发公司、县信达融资担保公司、新桥投资公司等做大做强，提高国有企业经营能力。开展新一轮县乡财政体制调整，优化县乡财力格局，建立具有导向作用的收入分配机制，增强基层公共服务保障能力。</w:t>
      </w:r>
      <w:r>
        <w:rPr>
          <w:rFonts w:ascii="仿宋_GB2312" w:eastAsia="仿宋_GB2312" w:hAnsi="宋体" w:cs="宋体" w:hint="eastAsia"/>
          <w:color w:val="000000"/>
          <w:kern w:val="0"/>
          <w:sz w:val="32"/>
          <w:szCs w:val="32"/>
        </w:rPr>
        <w:t>推动预算绩效管理不断提质增效。</w:t>
      </w:r>
      <w:r>
        <w:rPr>
          <w:rFonts w:ascii="仿宋_GB2312" w:eastAsia="仿宋_GB2312" w:hAnsi="黑体" w:cs="宋体" w:hint="eastAsia"/>
          <w:color w:val="000000"/>
          <w:kern w:val="0"/>
          <w:sz w:val="32"/>
          <w:szCs w:val="32"/>
        </w:rPr>
        <w:t>不断完善财政预算管理一体化核心业务应用，</w:t>
      </w:r>
      <w:r>
        <w:rPr>
          <w:rFonts w:ascii="仿宋_GB2312" w:eastAsia="仿宋_GB2312" w:hAnsi="仿宋" w:hint="eastAsia"/>
          <w:bCs/>
          <w:color w:val="000000"/>
          <w:spacing w:val="-6"/>
          <w:sz w:val="32"/>
          <w:szCs w:val="32"/>
        </w:rPr>
        <w:t>对</w:t>
      </w:r>
      <w:r>
        <w:rPr>
          <w:rFonts w:ascii="仿宋_GB2312" w:eastAsia="仿宋_GB2312" w:hAnsi="仿宋"/>
          <w:bCs/>
          <w:color w:val="000000"/>
          <w:spacing w:val="-6"/>
          <w:sz w:val="32"/>
          <w:szCs w:val="32"/>
        </w:rPr>
        <w:t>地方政府法定债务管理等系统进行整合</w:t>
      </w:r>
      <w:r>
        <w:rPr>
          <w:rFonts w:ascii="仿宋_GB2312" w:eastAsia="仿宋_GB2312" w:hAnsi="仿宋" w:hint="eastAsia"/>
          <w:bCs/>
          <w:color w:val="000000"/>
          <w:spacing w:val="-6"/>
          <w:sz w:val="32"/>
          <w:szCs w:val="32"/>
        </w:rPr>
        <w:t>纳入，加快“数字财政”建设。充分发挥政府采购政策功能，全面落实政府采购惠企政策，持续提升政府采购监管水平，着力营造公平竞争的政府采购环境。推动财会监督和各类监督融合贯通，围绕重点领域强化监督检查，维护良好财经秩序。</w:t>
      </w:r>
      <w:r>
        <w:rPr>
          <w:rFonts w:ascii="仿宋_GB2312" w:eastAsia="仿宋_GB2312" w:hAnsi="黑体" w:cs="宋体" w:hint="eastAsia"/>
          <w:color w:val="000000"/>
          <w:kern w:val="0"/>
          <w:sz w:val="32"/>
          <w:szCs w:val="32"/>
        </w:rPr>
        <w:t>落实审计发现问题整改，促进财政规范有序安全运行。大力推行公务卡结算制度，提高财政资金使用规范性。</w:t>
      </w:r>
      <w:r>
        <w:rPr>
          <w:rFonts w:ascii="仿宋_GB2312" w:eastAsia="仿宋_GB2312" w:hAnsi="仿宋" w:hint="eastAsia"/>
          <w:bCs/>
          <w:color w:val="000000"/>
          <w:spacing w:val="-6"/>
          <w:sz w:val="32"/>
          <w:szCs w:val="32"/>
        </w:rPr>
        <w:t>强化地方金融监管，严厉打击非法集资，规范股权投资行为，支持地方法人金融机构健康发展，防范化解金融风</w:t>
      </w:r>
      <w:r>
        <w:rPr>
          <w:rFonts w:ascii="仿宋_GB2312" w:eastAsia="仿宋_GB2312" w:hAnsi="黑体" w:cs="宋体" w:hint="eastAsia"/>
          <w:color w:val="000000"/>
          <w:kern w:val="0"/>
          <w:sz w:val="32"/>
          <w:szCs w:val="32"/>
        </w:rPr>
        <w:t>险。完善金融考核激励机制结果应用，进一步激发金融活力，持续改善县域金融发展环境。完善服务人大代表工作，主动回应人大代表关切，不断提高议案、建议办理质量。加强财政干部队伍建设，巩固主题教育成果，严格落实</w:t>
      </w:r>
      <w:r>
        <w:rPr>
          <w:rFonts w:ascii="仿宋_GB2312" w:eastAsia="仿宋_GB2312" w:hAnsi="黑体" w:cs="宋体" w:hint="eastAsia"/>
          <w:color w:val="000000"/>
          <w:kern w:val="0"/>
          <w:sz w:val="32"/>
          <w:szCs w:val="32"/>
        </w:rPr>
        <w:t>全面从严治党主体责任</w:t>
      </w:r>
      <w:r>
        <w:rPr>
          <w:rFonts w:ascii="仿宋_GB2312" w:eastAsia="仿宋_GB2312" w:hAnsi="黑体" w:cs="宋体" w:hint="eastAsia"/>
          <w:color w:val="000000"/>
          <w:kern w:val="0"/>
          <w:sz w:val="32"/>
          <w:szCs w:val="32"/>
        </w:rPr>
        <w:t>，深入推进党风廉政建设，打造高素质专业化财政干部人才队伍，不断提升财政服务经济发展能力和业务水平。</w:t>
      </w:r>
    </w:p>
    <w:p w14:paraId="593B46DF">
      <w:pPr>
        <w:topLinePunct/>
        <w:spacing w:line="560" w:lineRule="exact"/>
        <w:ind w:firstLine="640" w:firstLineChars="200"/>
        <w:rPr>
          <w:rFonts w:ascii="仿宋_GB2312" w:eastAsia="仿宋_GB2312" w:hAnsi="仿宋" w:hint="eastAsia"/>
          <w:bCs/>
          <w:color w:val="000000"/>
          <w:sz w:val="32"/>
          <w:szCs w:val="32"/>
        </w:rPr>
      </w:pPr>
      <w:r>
        <w:rPr>
          <w:rFonts w:ascii="仿宋_GB2312" w:eastAsia="仿宋_GB2312" w:hAnsi="仿宋" w:hint="eastAsia"/>
          <w:bCs/>
          <w:color w:val="000000"/>
          <w:sz w:val="32"/>
          <w:szCs w:val="32"/>
        </w:rPr>
        <w:t>各位代表！一分部署，九分落实。我们将坚持以习近平新时代中国特色社会主义思想为指导，更加紧密地团结在以习近平同志为核心的党中央周围，在县委、县政府的坚强领导下，</w:t>
      </w:r>
      <w:r>
        <w:rPr>
          <w:rFonts w:ascii="仿宋_GB2312" w:eastAsia="仿宋_GB2312" w:hAnsi="仿宋_GB2312" w:cs="仿宋_GB2312" w:hint="eastAsia"/>
          <w:color w:val="000000"/>
          <w:sz w:val="32"/>
          <w:szCs w:val="32"/>
        </w:rPr>
        <w:t>自觉接受县人大监督，虚心听取县政协的意见建议，开拓进取、</w:t>
      </w:r>
      <w:r>
        <w:rPr>
          <w:rFonts w:ascii="仿宋_GB2312" w:eastAsia="仿宋_GB2312" w:hAnsi="仿宋" w:hint="eastAsia"/>
          <w:bCs/>
          <w:color w:val="000000"/>
          <w:sz w:val="32"/>
          <w:szCs w:val="32"/>
        </w:rPr>
        <w:t>埋头苦干、勇毅前行，</w:t>
      </w:r>
      <w:r>
        <w:rPr>
          <w:rFonts w:ascii="仿宋_GB2312" w:eastAsia="仿宋_GB2312" w:hAnsi="仿宋_GB2312" w:cs="仿宋_GB2312" w:hint="eastAsia"/>
          <w:color w:val="000000"/>
          <w:sz w:val="32"/>
          <w:szCs w:val="32"/>
        </w:rPr>
        <w:t>扎实做好财政各项工作，</w:t>
      </w:r>
      <w:r>
        <w:rPr>
          <w:rFonts w:ascii="仿宋_GB2312" w:eastAsia="仿宋_GB2312" w:hAnsi="仿宋" w:hint="eastAsia"/>
          <w:bCs/>
          <w:color w:val="000000"/>
          <w:sz w:val="32"/>
          <w:szCs w:val="32"/>
        </w:rPr>
        <w:t>为全面推进中国式现代化寿县实践而努力奋斗！</w:t>
      </w:r>
    </w:p>
    <w:p w14:paraId="4113D1A4">
      <w:pPr>
        <w:topLinePunct/>
        <w:spacing w:line="560" w:lineRule="exact"/>
        <w:ind w:firstLine="640" w:firstLineChars="200"/>
        <w:rPr>
          <w:rFonts w:ascii="黑体" w:eastAsia="黑体" w:hAnsi="黑体" w:hint="eastAsia"/>
          <w:color w:val="000000"/>
          <w:spacing w:val="10"/>
          <w:sz w:val="32"/>
          <w:szCs w:val="32"/>
        </w:rPr>
      </w:pPr>
    </w:p>
    <w:p w14:paraId="4B7E3665">
      <w:pPr>
        <w:tabs>
          <w:tab w:val="left" w:pos="900"/>
        </w:tabs>
        <w:spacing w:line="620" w:lineRule="exact"/>
        <w:jc w:val="left"/>
        <w:rPr>
          <w:rFonts w:ascii="黑体" w:eastAsia="黑体" w:hAnsi="黑体" w:hint="eastAsia"/>
          <w:color w:val="000000"/>
          <w:spacing w:val="10"/>
          <w:sz w:val="32"/>
          <w:szCs w:val="32"/>
        </w:rPr>
      </w:pPr>
      <w:r>
        <w:rPr>
          <w:rFonts w:ascii="黑体" w:eastAsia="黑体" w:hAnsi="黑体" w:hint="eastAsia"/>
          <w:color w:val="000000"/>
          <w:spacing w:val="10"/>
          <w:sz w:val="32"/>
          <w:szCs w:val="32"/>
        </w:rPr>
        <w:t>附件</w:t>
      </w:r>
    </w:p>
    <w:p w14:paraId="5CA56070">
      <w:pPr>
        <w:tabs>
          <w:tab w:val="left" w:pos="900"/>
        </w:tabs>
        <w:spacing w:line="620" w:lineRule="exact"/>
        <w:jc w:val="center"/>
        <w:rPr>
          <w:rFonts w:ascii="方正小标宋简体" w:eastAsia="方正小标宋简体" w:hint="eastAsia"/>
          <w:color w:val="000000"/>
          <w:spacing w:val="10"/>
          <w:sz w:val="44"/>
          <w:szCs w:val="44"/>
        </w:rPr>
      </w:pPr>
    </w:p>
    <w:p w14:paraId="0815AC87">
      <w:pPr>
        <w:tabs>
          <w:tab w:val="left" w:pos="900"/>
        </w:tabs>
        <w:spacing w:line="620" w:lineRule="exact"/>
        <w:jc w:val="center"/>
        <w:rPr>
          <w:rFonts w:ascii="方正小标宋简体" w:eastAsia="方正小标宋简体"/>
          <w:color w:val="000000"/>
          <w:spacing w:val="10"/>
          <w:sz w:val="44"/>
          <w:szCs w:val="44"/>
        </w:rPr>
      </w:pPr>
      <w:r>
        <w:rPr>
          <w:rFonts w:ascii="方正小标宋简体" w:eastAsia="方正小标宋简体" w:hint="eastAsia"/>
          <w:color w:val="000000"/>
          <w:spacing w:val="10"/>
          <w:sz w:val="44"/>
          <w:szCs w:val="44"/>
        </w:rPr>
        <w:t>名　词　解　释</w:t>
      </w:r>
    </w:p>
    <w:p w14:paraId="5586E420">
      <w:pPr>
        <w:spacing w:line="620" w:lineRule="exact"/>
        <w:jc w:val="center"/>
        <w:rPr>
          <w:rFonts w:ascii="黑体" w:eastAsia="黑体" w:hAnsi="黑体"/>
          <w:color w:val="000000"/>
          <w:sz w:val="44"/>
          <w:szCs w:val="44"/>
        </w:rPr>
      </w:pPr>
    </w:p>
    <w:p w14:paraId="153EB482">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1</w:t>
      </w:r>
      <w:r>
        <w:rPr>
          <w:rFonts w:ascii="黑体" w:eastAsia="黑体" w:hAnsi="黑体" w:hint="eastAsia"/>
          <w:color w:val="000000"/>
          <w:sz w:val="32"/>
          <w:szCs w:val="32"/>
        </w:rPr>
        <w:t>.零基预算：</w:t>
      </w:r>
      <w:r>
        <w:rPr>
          <w:rFonts w:ascii="仿宋_GB2312" w:eastAsia="仿宋_GB2312"/>
          <w:color w:val="000000"/>
          <w:sz w:val="32"/>
          <w:szCs w:val="32"/>
        </w:rPr>
        <w:t>2022</w:t>
      </w:r>
      <w:r>
        <w:rPr>
          <w:rFonts w:ascii="仿宋_GB2312" w:eastAsia="仿宋_GB2312" w:hint="eastAsia"/>
          <w:color w:val="000000"/>
          <w:sz w:val="32"/>
          <w:szCs w:val="32"/>
        </w:rPr>
        <w:t>年</w:t>
      </w:r>
      <w:r>
        <w:rPr>
          <w:rFonts w:ascii="仿宋_GB2312" w:eastAsia="仿宋_GB2312"/>
          <w:color w:val="000000"/>
          <w:sz w:val="32"/>
          <w:szCs w:val="32"/>
        </w:rPr>
        <w:t>6</w:t>
      </w:r>
      <w:r>
        <w:rPr>
          <w:rFonts w:ascii="仿宋_GB2312" w:eastAsia="仿宋_GB2312" w:hint="eastAsia"/>
          <w:color w:val="000000"/>
          <w:sz w:val="32"/>
          <w:szCs w:val="32"/>
        </w:rPr>
        <w:t>月</w:t>
      </w:r>
      <w:r>
        <w:rPr>
          <w:rFonts w:ascii="仿宋_GB2312" w:eastAsia="仿宋_GB2312"/>
          <w:color w:val="000000"/>
          <w:sz w:val="32"/>
          <w:szCs w:val="32"/>
        </w:rPr>
        <w:t>1</w:t>
      </w:r>
      <w:r>
        <w:rPr>
          <w:rFonts w:ascii="仿宋_GB2312" w:eastAsia="仿宋_GB2312" w:hint="eastAsia"/>
          <w:color w:val="000000"/>
          <w:sz w:val="32"/>
          <w:szCs w:val="32"/>
        </w:rPr>
        <w:t>日，省政府印发</w:t>
      </w:r>
      <w:r>
        <w:rPr>
          <w:rFonts w:ascii="仿宋_GB2312" w:eastAsia="仿宋_GB2312" w:hAnsi="宋体" w:cs="宋体" w:hint="eastAsia"/>
          <w:color w:val="000000"/>
          <w:kern w:val="0"/>
          <w:sz w:val="32"/>
          <w:szCs w:val="32"/>
        </w:rPr>
        <w:t>《安徽省全面实施零基预算改革方案》</w:t>
      </w:r>
      <w:r>
        <w:rPr>
          <w:rFonts w:ascii="仿宋_GB2312" w:eastAsia="仿宋_GB2312" w:hint="eastAsia"/>
          <w:color w:val="000000"/>
          <w:sz w:val="32"/>
          <w:szCs w:val="32"/>
        </w:rPr>
        <w:t>（皖政〔</w:t>
      </w:r>
      <w:r>
        <w:rPr>
          <w:rFonts w:ascii="仿宋_GB2312" w:eastAsia="仿宋_GB2312"/>
          <w:color w:val="000000"/>
          <w:sz w:val="32"/>
          <w:szCs w:val="32"/>
        </w:rPr>
        <w:t>2022</w:t>
      </w:r>
      <w:r>
        <w:rPr>
          <w:rFonts w:ascii="仿宋_GB2312" w:eastAsia="仿宋_GB2312" w:hint="eastAsia"/>
          <w:color w:val="000000"/>
          <w:sz w:val="32"/>
          <w:szCs w:val="32"/>
        </w:rPr>
        <w:t>〕</w:t>
      </w:r>
      <w:r>
        <w:rPr>
          <w:rFonts w:ascii="仿宋_GB2312" w:eastAsia="仿宋_GB2312"/>
          <w:color w:val="000000"/>
          <w:sz w:val="32"/>
          <w:szCs w:val="32"/>
        </w:rPr>
        <w:t>60</w:t>
      </w:r>
      <w:r>
        <w:rPr>
          <w:rFonts w:ascii="仿宋_GB2312" w:eastAsia="仿宋_GB2312" w:hint="eastAsia"/>
          <w:color w:val="000000"/>
          <w:sz w:val="32"/>
          <w:szCs w:val="32"/>
        </w:rPr>
        <w:t>号）要求，</w:t>
      </w:r>
      <w:r>
        <w:rPr>
          <w:rFonts w:ascii="仿宋_GB2312" w:eastAsia="仿宋_GB2312" w:hAnsi="宋体" w:cs="宋体" w:hint="eastAsia"/>
          <w:color w:val="000000"/>
          <w:kern w:val="0"/>
          <w:sz w:val="32"/>
          <w:szCs w:val="32"/>
        </w:rPr>
        <w:t>进一步完善预算管理制度，创新预算管理方式，从编制</w:t>
      </w:r>
      <w:r>
        <w:rPr>
          <w:rFonts w:ascii="仿宋_GB2312" w:eastAsia="仿宋_GB2312" w:hAnsi="宋体" w:cs="宋体"/>
          <w:color w:val="000000"/>
          <w:kern w:val="0"/>
          <w:sz w:val="32"/>
          <w:szCs w:val="32"/>
        </w:rPr>
        <w:t>2023</w:t>
      </w:r>
      <w:r>
        <w:rPr>
          <w:rFonts w:ascii="仿宋_GB2312" w:eastAsia="仿宋_GB2312" w:hAnsi="宋体" w:cs="宋体" w:hint="eastAsia"/>
          <w:color w:val="000000"/>
          <w:kern w:val="0"/>
          <w:sz w:val="32"/>
          <w:szCs w:val="32"/>
        </w:rPr>
        <w:t>年预算起，在全省范围内全面实施零基预算改革，打破支出固化格局，</w:t>
      </w:r>
      <w:r>
        <w:rPr>
          <w:rFonts w:ascii="仿宋_GB2312" w:eastAsia="仿宋_GB2312" w:hint="eastAsia"/>
          <w:color w:val="000000"/>
          <w:sz w:val="32"/>
          <w:szCs w:val="32"/>
        </w:rPr>
        <w:t>取消支出基数，所有预算支出均以零为基点，根据不同类型支出分类编制预算。健全支出预算排序机制，进一步提高预算安排的科学性。</w:t>
      </w:r>
      <w:r>
        <w:rPr>
          <w:rFonts w:ascii="仿宋_GB2312" w:eastAsia="仿宋_GB2312" w:hAnsi="宋体" w:cs="宋体" w:hint="eastAsia"/>
          <w:color w:val="000000"/>
          <w:kern w:val="0"/>
          <w:sz w:val="32"/>
          <w:szCs w:val="32"/>
        </w:rPr>
        <w:t>构建该保必保、应省尽省、讲求绩效的资金安排机制，增强党委、政府决策部署保障能力，推动经济社会高质量发展。</w:t>
      </w:r>
    </w:p>
    <w:p w14:paraId="06DD47A9">
      <w:pPr>
        <w:pStyle w:val="NormalWeb"/>
        <w:shd w:val="clear" w:color="auto" w:fill="FFFFFF"/>
        <w:topLinePunct/>
        <w:spacing w:beforeAutospacing="0" w:afterAutospacing="0" w:line="600" w:lineRule="exact"/>
        <w:ind w:firstLine="640" w:firstLineChars="200"/>
        <w:jc w:val="both"/>
        <w:rPr>
          <w:rFonts w:ascii="仿宋_GB2312" w:eastAsia="仿宋_GB2312" w:hAnsi="仿宋"/>
          <w:color w:val="000000"/>
          <w:kern w:val="2"/>
          <w:sz w:val="32"/>
          <w:szCs w:val="32"/>
        </w:rPr>
      </w:pPr>
      <w:r>
        <w:rPr>
          <w:rFonts w:ascii="黑体" w:eastAsia="黑体" w:hAnsi="黑体"/>
          <w:color w:val="000000"/>
          <w:kern w:val="2"/>
          <w:sz w:val="32"/>
          <w:szCs w:val="32"/>
        </w:rPr>
        <w:t>2.</w:t>
      </w:r>
      <w:r>
        <w:rPr>
          <w:rFonts w:ascii="黑体" w:eastAsia="黑体" w:hAnsi="黑体" w:hint="eastAsia"/>
          <w:color w:val="000000"/>
          <w:kern w:val="2"/>
          <w:sz w:val="32"/>
          <w:szCs w:val="32"/>
        </w:rPr>
        <w:t>“三保”支出：</w:t>
      </w:r>
      <w:r>
        <w:rPr>
          <w:rFonts w:ascii="仿宋_GB2312" w:eastAsia="仿宋_GB2312" w:hAnsi="仿宋" w:hint="eastAsia"/>
          <w:color w:val="000000"/>
          <w:kern w:val="2"/>
          <w:sz w:val="32"/>
          <w:szCs w:val="32"/>
        </w:rPr>
        <w:t>指“保基本民生、保工资、保运转”支出的简称。为落实结构性减税降费政策，中央要求党政机关要习惯过“紧日子”，大力压缩一般性支出，同时要求坚持“两个优先”，即坚持“三保”支出在财政支出中的优先顺序，坚持国家标准的“保”支出在“三保”支出中的优先顺序。</w:t>
      </w:r>
    </w:p>
    <w:p w14:paraId="678E2632">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3.</w:t>
      </w:r>
      <w:r>
        <w:rPr>
          <w:rFonts w:ascii="黑体" w:eastAsia="黑体" w:hAnsi="黑体" w:hint="eastAsia"/>
          <w:color w:val="000000"/>
          <w:sz w:val="32"/>
          <w:szCs w:val="32"/>
        </w:rPr>
        <w:t>直达资金：</w:t>
      </w:r>
      <w:r>
        <w:rPr>
          <w:rFonts w:ascii="仿宋_GB2312" w:eastAsia="仿宋_GB2312" w:hAnsi="仿宋" w:hint="eastAsia"/>
          <w:color w:val="000000"/>
          <w:sz w:val="32"/>
          <w:szCs w:val="32"/>
        </w:rPr>
        <w:t>指为全力支持做好“六稳”“六保”相关工作，加强预算执行管理，确保财政政策和资金尽快见到实效，财政部利用现有扶贫资金动态监控平台，建立资金直达基层直达民生的工作机制，确保中央财政安排的直达资金直接惠企利民，全部落到企业特别是中小微企业，落到社保、低保、失业、养老和特困人员身上，发挥好稳定经济增长的关键作用。</w:t>
      </w:r>
    </w:p>
    <w:p w14:paraId="530FB973">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4.</w:t>
      </w:r>
      <w:r>
        <w:rPr>
          <w:rFonts w:ascii="黑体" w:eastAsia="黑体" w:hAnsi="黑体" w:hint="eastAsia"/>
          <w:color w:val="000000"/>
          <w:sz w:val="32"/>
          <w:szCs w:val="32"/>
        </w:rPr>
        <w:t>一般性支出：</w:t>
      </w:r>
      <w:r>
        <w:rPr>
          <w:rFonts w:ascii="仿宋_GB2312" w:eastAsia="仿宋_GB2312" w:hAnsi="仿宋" w:hint="eastAsia"/>
          <w:color w:val="000000"/>
          <w:sz w:val="32"/>
          <w:szCs w:val="32"/>
        </w:rPr>
        <w:t>一般性支出是指包括因公出国</w:t>
      </w:r>
      <w:r>
        <w:rPr>
          <w:rFonts w:ascii="仿宋_GB2312" w:eastAsia="仿宋_GB2312" w:hAnsi="仿宋"/>
          <w:color w:val="000000"/>
          <w:sz w:val="32"/>
          <w:szCs w:val="32"/>
        </w:rPr>
        <w:t>(</w:t>
      </w:r>
      <w:r>
        <w:rPr>
          <w:rFonts w:ascii="仿宋_GB2312" w:eastAsia="仿宋_GB2312" w:hAnsi="仿宋" w:hint="eastAsia"/>
          <w:color w:val="000000"/>
          <w:sz w:val="32"/>
          <w:szCs w:val="32"/>
        </w:rPr>
        <w:t>境</w:t>
      </w:r>
      <w:r>
        <w:rPr>
          <w:rFonts w:ascii="仿宋_GB2312" w:eastAsia="仿宋_GB2312" w:hAnsi="仿宋"/>
          <w:color w:val="000000"/>
          <w:sz w:val="32"/>
          <w:szCs w:val="32"/>
        </w:rPr>
        <w:t>)</w:t>
      </w:r>
      <w:r>
        <w:rPr>
          <w:rFonts w:ascii="仿宋_GB2312" w:eastAsia="仿宋_GB2312" w:hAnsi="仿宋" w:hint="eastAsia"/>
          <w:color w:val="000000"/>
          <w:sz w:val="32"/>
          <w:szCs w:val="32"/>
        </w:rPr>
        <w:t>经费、公务车购置及运行费、公务招待费等“三公”经费在内的，用于维护国家机关单位正常运转、满足社会公共部门的开支需要的财政支出。</w:t>
      </w:r>
    </w:p>
    <w:p w14:paraId="7078AFFA">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5.</w:t>
      </w:r>
      <w:r>
        <w:rPr>
          <w:rFonts w:ascii="黑体" w:eastAsia="黑体" w:hAnsi="黑体" w:hint="eastAsia"/>
          <w:color w:val="000000"/>
          <w:sz w:val="32"/>
          <w:szCs w:val="32"/>
        </w:rPr>
        <w:t>预算绩效管理：</w:t>
      </w:r>
      <w:r>
        <w:rPr>
          <w:rFonts w:ascii="仿宋_GB2312" w:eastAsia="仿宋_GB2312" w:hAnsi="仿宋" w:hint="eastAsia"/>
          <w:color w:val="000000"/>
          <w:sz w:val="32"/>
          <w:szCs w:val="32"/>
        </w:rPr>
        <w:t>财政预算绩效管理是以一级政府财政预算</w:t>
      </w:r>
      <w:r>
        <w:rPr>
          <w:rFonts w:ascii="仿宋_GB2312" w:eastAsia="仿宋_GB2312" w:hAnsi="仿宋"/>
          <w:color w:val="000000"/>
          <w:sz w:val="32"/>
          <w:szCs w:val="32"/>
        </w:rPr>
        <w:t>(</w:t>
      </w:r>
      <w:r>
        <w:rPr>
          <w:rFonts w:ascii="仿宋_GB2312" w:eastAsia="仿宋_GB2312" w:hAnsi="仿宋" w:hint="eastAsia"/>
          <w:color w:val="000000"/>
          <w:sz w:val="32"/>
          <w:szCs w:val="32"/>
        </w:rPr>
        <w:t>包括收入和支出</w:t>
      </w:r>
      <w:r>
        <w:rPr>
          <w:rFonts w:ascii="仿宋_GB2312" w:eastAsia="仿宋_GB2312" w:hAnsi="仿宋"/>
          <w:color w:val="000000"/>
          <w:sz w:val="32"/>
          <w:szCs w:val="32"/>
        </w:rPr>
        <w:t>)</w:t>
      </w:r>
      <w:r>
        <w:rPr>
          <w:rFonts w:ascii="仿宋_GB2312" w:eastAsia="仿宋_GB2312" w:hAnsi="仿宋" w:hint="eastAsia"/>
          <w:color w:val="000000"/>
          <w:sz w:val="32"/>
          <w:szCs w:val="32"/>
        </w:rPr>
        <w:t>为对象，以政府财政预算在一定时期内所达到的总体产出和结果为内容，以促进政府透明、责任、高效履职为目的所开展的绩效管理活动。预算绩效结果纳入政府目标管理绩效和干部政绩考核体系。</w:t>
      </w:r>
    </w:p>
    <w:p w14:paraId="0FACDF7B">
      <w:pPr>
        <w:pStyle w:val="NormalWeb"/>
        <w:shd w:val="clear" w:color="auto" w:fill="FFFFFF"/>
        <w:topLinePunct/>
        <w:spacing w:beforeAutospacing="0" w:afterAutospacing="0" w:line="600" w:lineRule="exact"/>
        <w:ind w:firstLine="640" w:firstLineChars="200"/>
        <w:jc w:val="both"/>
        <w:rPr>
          <w:rFonts w:ascii="仿宋" w:eastAsia="仿宋" w:hAnsi="仿宋"/>
          <w:color w:val="000000"/>
          <w:sz w:val="32"/>
          <w:szCs w:val="32"/>
        </w:rPr>
      </w:pPr>
      <w:r>
        <w:rPr>
          <w:rFonts w:ascii="黑体" w:eastAsia="黑体" w:hAnsi="黑体" w:hint="eastAsia"/>
          <w:color w:val="000000"/>
          <w:kern w:val="2"/>
          <w:sz w:val="32"/>
          <w:szCs w:val="32"/>
        </w:rPr>
        <w:t>6.政府年度重点保障事项清单：</w:t>
      </w:r>
      <w:r>
        <w:rPr>
          <w:rFonts w:ascii="仿宋_GB2312" w:eastAsia="仿宋_GB2312" w:hint="eastAsia"/>
          <w:color w:val="000000"/>
          <w:sz w:val="32"/>
          <w:szCs w:val="32"/>
        </w:rPr>
        <w:t>围绕县委、县政府决策部署，编制具有战略性、全局性、基础性的公共服务、产业扶持、重点建设项目三类政府年度重点保障事项清单，强化重大战略任务财力保障。</w:t>
      </w:r>
      <w:r>
        <w:rPr>
          <w:rFonts w:ascii="仿宋_GB2312" w:eastAsia="仿宋_GB2312" w:hAnsi="微软雅黑" w:hint="eastAsia"/>
          <w:color w:val="000000"/>
          <w:sz w:val="32"/>
          <w:szCs w:val="32"/>
        </w:rPr>
        <w:t>公共服务项目清单主要包括</w:t>
      </w:r>
      <w:hyperlink r:id="rId5" w:tgtFrame="_blank" w:history="1">
        <w:r>
          <w:rPr>
            <w:rFonts w:ascii="仿宋_GB2312" w:eastAsia="仿宋_GB2312" w:hAnsi="微软雅黑" w:hint="eastAsia"/>
            <w:color w:val="000000"/>
            <w:sz w:val="32"/>
            <w:szCs w:val="32"/>
          </w:rPr>
          <w:t>教育</w:t>
        </w:r>
      </w:hyperlink>
      <w:r>
        <w:rPr>
          <w:rFonts w:ascii="仿宋_GB2312" w:eastAsia="仿宋_GB2312" w:hAnsi="微软雅黑" w:hint="eastAsia"/>
          <w:color w:val="000000"/>
          <w:sz w:val="32"/>
          <w:szCs w:val="32"/>
        </w:rPr>
        <w:t>、卫生健康、养老托幼、社会救助、文化体育等领域重大公共服务事项，重点是普惠性、基础性、兜底性的基本公共服务事项；产业扶持项目清单主要根据各级国民经济发展规划要求的产业发展方向、需重点扶持的关键领域及关键环节确定，重点是三次产业高质量协同发展领域重大项目；重点建设项目清单主要包括交通、水利、农业等领域重大基础设施建设项目，以及</w:t>
      </w:r>
      <w:hyperlink r:id="rId6" w:tgtFrame="_blank" w:history="1">
        <w:r>
          <w:rPr>
            <w:rFonts w:ascii="仿宋_GB2312" w:eastAsia="仿宋_GB2312" w:hAnsi="微软雅黑" w:hint="eastAsia"/>
            <w:color w:val="000000"/>
            <w:sz w:val="32"/>
            <w:szCs w:val="32"/>
          </w:rPr>
          <w:t>数据中心</w:t>
        </w:r>
      </w:hyperlink>
      <w:r>
        <w:rPr>
          <w:rFonts w:ascii="仿宋_GB2312" w:eastAsia="仿宋_GB2312" w:hAnsi="微软雅黑" w:hint="eastAsia"/>
          <w:color w:val="000000"/>
          <w:sz w:val="32"/>
          <w:szCs w:val="32"/>
        </w:rPr>
        <w:t>等重大信息化建设项目。政府年度重点保障事项清单与年度预算同步编制，并实行动态管理，每年根据实施情况、资金使用绩效、年度重点工作变化等调整和完善。</w:t>
      </w:r>
    </w:p>
    <w:p w14:paraId="5D78F64B">
      <w:pPr>
        <w:topLinePunct/>
        <w:spacing w:line="600" w:lineRule="exact"/>
        <w:ind w:firstLine="640" w:firstLineChars="200"/>
        <w:rPr>
          <w:rFonts w:ascii="仿宋_GB2312" w:eastAsia="仿宋_GB2312" w:hAnsi="仿宋"/>
          <w:color w:val="000000"/>
          <w:sz w:val="32"/>
          <w:szCs w:val="32"/>
        </w:rPr>
      </w:pPr>
      <w:r>
        <w:rPr>
          <w:rFonts w:ascii="黑体" w:eastAsia="黑体" w:hAnsi="黑体" w:hint="eastAsia"/>
          <w:color w:val="000000"/>
          <w:sz w:val="32"/>
          <w:szCs w:val="32"/>
        </w:rPr>
        <w:t>7</w:t>
      </w:r>
      <w:r>
        <w:rPr>
          <w:rFonts w:ascii="黑体" w:eastAsia="黑体" w:hAnsi="黑体"/>
          <w:color w:val="000000"/>
          <w:sz w:val="32"/>
          <w:szCs w:val="32"/>
        </w:rPr>
        <w:t>.</w:t>
      </w:r>
      <w:r>
        <w:rPr>
          <w:rFonts w:ascii="黑体" w:eastAsia="黑体" w:hAnsi="黑体" w:hint="eastAsia"/>
          <w:color w:val="000000"/>
          <w:sz w:val="32"/>
          <w:szCs w:val="32"/>
        </w:rPr>
        <w:t>结转结余资金：</w:t>
      </w:r>
      <w:r>
        <w:rPr>
          <w:rFonts w:ascii="仿宋_GB2312" w:eastAsia="仿宋_GB2312" w:hAnsi="仿宋" w:hint="eastAsia"/>
          <w:color w:val="000000"/>
          <w:sz w:val="32"/>
          <w:szCs w:val="32"/>
        </w:rPr>
        <w:t>结转资金是指预算安排项目的支出年度终了时尚未执行完毕，或者因故未执行但下一年度需要按原用途继续使用的资金；连续两年未用完的结转资金，是指预算安排项目的支出在下一年度终了时仍未用完的资金。结余资金，是指年度预算执行终了时，预算收入实际完成数扣除预算支出实际完成数和结转资金后剩余的资金。</w:t>
      </w:r>
    </w:p>
    <w:p w14:paraId="2BD3DDB2">
      <w:pPr>
        <w:topLinePunct/>
        <w:spacing w:line="600" w:lineRule="exact"/>
        <w:ind w:firstLine="640" w:firstLineChars="200"/>
        <w:rPr>
          <w:rFonts w:ascii="仿宋" w:eastAsia="仿宋" w:hAnsi="仿宋"/>
          <w:color w:val="000000"/>
          <w:sz w:val="32"/>
          <w:szCs w:val="32"/>
        </w:rPr>
      </w:pPr>
      <w:r>
        <w:rPr>
          <w:rFonts w:ascii="黑体" w:eastAsia="黑体" w:hAnsi="黑体" w:hint="eastAsia"/>
          <w:color w:val="000000"/>
          <w:sz w:val="32"/>
          <w:szCs w:val="32"/>
        </w:rPr>
        <w:t>8</w:t>
      </w:r>
      <w:r>
        <w:rPr>
          <w:rFonts w:ascii="黑体" w:eastAsia="黑体" w:hAnsi="黑体"/>
          <w:color w:val="000000"/>
          <w:sz w:val="32"/>
          <w:szCs w:val="32"/>
        </w:rPr>
        <w:t>.</w:t>
      </w:r>
      <w:r>
        <w:rPr>
          <w:rFonts w:ascii="黑体" w:eastAsia="黑体" w:hAnsi="黑体" w:hint="eastAsia"/>
          <w:color w:val="000000"/>
          <w:sz w:val="32"/>
          <w:szCs w:val="32"/>
        </w:rPr>
        <w:t>财政专户：</w:t>
      </w:r>
      <w:r>
        <w:rPr>
          <w:rFonts w:ascii="仿宋_GB2312" w:eastAsia="仿宋_GB2312" w:hAnsi="仿宋" w:hint="eastAsia"/>
          <w:color w:val="000000"/>
          <w:sz w:val="32"/>
          <w:szCs w:val="32"/>
        </w:rPr>
        <w:t>财政部门为履行财政管理职能，根据法律规定或者经国务院批准开设的用于管理核算特定专用资金的银行结算账户；所称特定专用资金，包括法律规定可以设立财政专户的资金，外国政府和国际经济组织的贷款、赠款，按照规定存储的人民币以外的货币，财政部会同有关部门报国务院批准的其他特定专用资金。开设、变更财政专户应当经财政部核准，撤销财政专户应当报财政部备案，中国人民银行应当加强对银行业金融机构开户的核准、管理和监督工作。财政专户资金由本级政府财政部门管理。除法律另有规定外，未经本级政府财政部门同意，任何部门、单位和个人都无权冻结、动用财政专户资金。</w:t>
      </w:r>
    </w:p>
    <w:p w14:paraId="33909C55">
      <w:pPr>
        <w:topLinePunct/>
        <w:spacing w:line="600" w:lineRule="exact"/>
        <w:ind w:firstLine="640" w:firstLineChars="200"/>
        <w:rPr>
          <w:rFonts w:ascii="仿宋_GB2312" w:eastAsia="仿宋_GB2312" w:hAnsi="仿宋"/>
          <w:color w:val="000000"/>
          <w:sz w:val="32"/>
          <w:szCs w:val="32"/>
        </w:rPr>
      </w:pPr>
      <w:r>
        <w:rPr>
          <w:rFonts w:ascii="黑体" w:eastAsia="黑体" w:hAnsi="黑体" w:hint="eastAsia"/>
          <w:color w:val="000000"/>
          <w:sz w:val="32"/>
          <w:szCs w:val="32"/>
        </w:rPr>
        <w:t>9</w:t>
      </w:r>
      <w:r>
        <w:rPr>
          <w:rFonts w:ascii="黑体" w:eastAsia="黑体" w:hAnsi="黑体"/>
          <w:color w:val="000000"/>
          <w:sz w:val="32"/>
          <w:szCs w:val="32"/>
        </w:rPr>
        <w:t>.</w:t>
      </w:r>
      <w:r>
        <w:rPr>
          <w:rFonts w:ascii="黑体" w:eastAsia="黑体" w:hAnsi="黑体" w:hint="eastAsia"/>
          <w:color w:val="000000"/>
          <w:sz w:val="32"/>
          <w:szCs w:val="32"/>
        </w:rPr>
        <w:t>地方政府债券：</w:t>
      </w:r>
      <w:r>
        <w:rPr>
          <w:rFonts w:ascii="仿宋_GB2312" w:eastAsia="仿宋_GB2312" w:hAnsi="仿宋" w:hint="eastAsia"/>
          <w:color w:val="000000"/>
          <w:sz w:val="32"/>
          <w:szCs w:val="32"/>
        </w:rPr>
        <w:t>地方政府债券包括一般债券和专项债券。一般债券是为没有收益的公益性项目发行，主要以一般公共预算收入作为还本付息资金来源的政府债券；专项债券是为有一定收益的公益性项目发行，以公益性项目对应的政府性基金收入或专项收入作为还本付息资金来源的政府债券。根据地方政府法定债务的债务率水平由高至低设置红（债务率≥</w:t>
      </w:r>
      <w:r>
        <w:rPr>
          <w:rFonts w:ascii="仿宋_GB2312" w:eastAsia="仿宋_GB2312" w:hAnsi="仿宋"/>
          <w:color w:val="000000"/>
          <w:sz w:val="32"/>
          <w:szCs w:val="32"/>
        </w:rPr>
        <w:t>300%</w:t>
      </w:r>
      <w:r>
        <w:rPr>
          <w:rFonts w:ascii="仿宋_GB2312" w:eastAsia="仿宋_GB2312" w:hAnsi="仿宋" w:hint="eastAsia"/>
          <w:color w:val="000000"/>
          <w:sz w:val="32"/>
          <w:szCs w:val="32"/>
        </w:rPr>
        <w:t>）、橙（</w:t>
      </w:r>
      <w:r>
        <w:rPr>
          <w:rFonts w:ascii="仿宋_GB2312" w:eastAsia="仿宋_GB2312" w:hAnsi="仿宋"/>
          <w:color w:val="000000"/>
          <w:sz w:val="32"/>
          <w:szCs w:val="32"/>
        </w:rPr>
        <w:t>200%</w:t>
      </w:r>
      <w:r>
        <w:rPr>
          <w:rFonts w:ascii="仿宋_GB2312" w:eastAsia="仿宋_GB2312" w:hAnsi="仿宋" w:hint="eastAsia"/>
          <w:color w:val="000000"/>
          <w:sz w:val="32"/>
          <w:szCs w:val="32"/>
        </w:rPr>
        <w:t>≤债务率＜</w:t>
      </w:r>
      <w:r>
        <w:rPr>
          <w:rFonts w:ascii="仿宋_GB2312" w:eastAsia="仿宋_GB2312" w:hAnsi="仿宋"/>
          <w:color w:val="000000"/>
          <w:sz w:val="32"/>
          <w:szCs w:val="32"/>
        </w:rPr>
        <w:t>300%</w:t>
      </w:r>
      <w:r>
        <w:rPr>
          <w:rFonts w:ascii="仿宋_GB2312" w:eastAsia="仿宋_GB2312" w:hAnsi="仿宋" w:hint="eastAsia"/>
          <w:color w:val="000000"/>
          <w:sz w:val="32"/>
          <w:szCs w:val="32"/>
        </w:rPr>
        <w:t>）、黄（</w:t>
      </w:r>
      <w:r>
        <w:rPr>
          <w:rFonts w:ascii="仿宋_GB2312" w:eastAsia="仿宋_GB2312" w:hAnsi="仿宋"/>
          <w:color w:val="000000"/>
          <w:sz w:val="32"/>
          <w:szCs w:val="32"/>
        </w:rPr>
        <w:t>120%</w:t>
      </w:r>
      <w:r>
        <w:rPr>
          <w:rFonts w:ascii="仿宋_GB2312" w:eastAsia="仿宋_GB2312" w:hAnsi="仿宋" w:hint="eastAsia"/>
          <w:color w:val="000000"/>
          <w:sz w:val="32"/>
          <w:szCs w:val="32"/>
        </w:rPr>
        <w:t>≤债务率＜</w:t>
      </w:r>
      <w:r>
        <w:rPr>
          <w:rFonts w:ascii="仿宋_GB2312" w:eastAsia="仿宋_GB2312" w:hAnsi="仿宋"/>
          <w:color w:val="000000"/>
          <w:sz w:val="32"/>
          <w:szCs w:val="32"/>
        </w:rPr>
        <w:t>200%</w:t>
      </w:r>
      <w:r>
        <w:rPr>
          <w:rFonts w:ascii="仿宋_GB2312" w:eastAsia="仿宋_GB2312" w:hAnsi="仿宋" w:hint="eastAsia"/>
          <w:color w:val="000000"/>
          <w:sz w:val="32"/>
          <w:szCs w:val="32"/>
        </w:rPr>
        <w:t>）、绿（债务率＜</w:t>
      </w:r>
      <w:r>
        <w:rPr>
          <w:rFonts w:ascii="仿宋_GB2312" w:eastAsia="仿宋_GB2312" w:hAnsi="仿宋"/>
          <w:color w:val="000000"/>
          <w:sz w:val="32"/>
          <w:szCs w:val="32"/>
        </w:rPr>
        <w:t>120%</w:t>
      </w:r>
      <w:r>
        <w:rPr>
          <w:rFonts w:ascii="仿宋_GB2312" w:eastAsia="仿宋_GB2312" w:hAnsi="仿宋" w:hint="eastAsia"/>
          <w:color w:val="000000"/>
          <w:sz w:val="32"/>
          <w:szCs w:val="32"/>
        </w:rPr>
        <w:t>）四个风险等级档次。法定债务率水平处于红色等级的地区，列入风险预警地区；法定债务率水平处于橙色或黄色等级的地区，列入风险提示地区；绿色的在安全区间。</w:t>
      </w:r>
    </w:p>
    <w:p w14:paraId="41AD0AB8">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1</w:t>
      </w:r>
      <w:r>
        <w:rPr>
          <w:rFonts w:ascii="黑体" w:eastAsia="黑体" w:hAnsi="黑体" w:hint="eastAsia"/>
          <w:color w:val="000000"/>
          <w:sz w:val="32"/>
          <w:szCs w:val="32"/>
        </w:rPr>
        <w:t>0</w:t>
      </w:r>
      <w:r>
        <w:rPr>
          <w:rFonts w:ascii="黑体" w:eastAsia="黑体" w:hAnsi="黑体"/>
          <w:color w:val="000000"/>
          <w:sz w:val="32"/>
          <w:szCs w:val="32"/>
        </w:rPr>
        <w:t>.</w:t>
      </w:r>
      <w:r>
        <w:rPr>
          <w:rFonts w:ascii="黑体" w:eastAsia="黑体" w:hAnsi="黑体" w:hint="eastAsia"/>
          <w:color w:val="000000"/>
          <w:sz w:val="32"/>
          <w:szCs w:val="32"/>
        </w:rPr>
        <w:t>一般公共预算收入：</w:t>
      </w:r>
      <w:r>
        <w:rPr>
          <w:rFonts w:ascii="仿宋_GB2312" w:eastAsia="仿宋_GB2312" w:hAnsi="仿宋" w:hint="eastAsia"/>
          <w:color w:val="000000"/>
          <w:sz w:val="32"/>
          <w:szCs w:val="32"/>
        </w:rPr>
        <w:t>一般公共预算收入是指地方财政上划完中央、省级收入之后地方留成部分收入，它主要是体现地方三级财政分税制体系的税收分成情况。安徽省公共预算收入统计口径不再统计财政总收入，只统计一般公共预算收入。</w:t>
      </w:r>
    </w:p>
    <w:p w14:paraId="1FD83A9D">
      <w:pPr>
        <w:topLinePunct/>
        <w:spacing w:line="600" w:lineRule="exact"/>
        <w:ind w:firstLine="640" w:firstLineChars="200"/>
        <w:rPr>
          <w:rFonts w:ascii="仿宋_GB2312" w:eastAsia="仿宋_GB2312" w:hAnsi="仿宋"/>
          <w:color w:val="000000"/>
          <w:sz w:val="32"/>
          <w:szCs w:val="32"/>
        </w:rPr>
      </w:pPr>
      <w:r>
        <w:rPr>
          <w:rFonts w:ascii="黑体" w:eastAsia="黑体" w:hAnsi="黑体"/>
          <w:color w:val="000000"/>
          <w:sz w:val="32"/>
          <w:szCs w:val="32"/>
        </w:rPr>
        <w:t>1</w:t>
      </w:r>
      <w:r>
        <w:rPr>
          <w:rFonts w:ascii="黑体" w:eastAsia="黑体" w:hAnsi="黑体" w:hint="eastAsia"/>
          <w:color w:val="000000"/>
          <w:sz w:val="32"/>
          <w:szCs w:val="32"/>
        </w:rPr>
        <w:t>1</w:t>
      </w:r>
      <w:r>
        <w:rPr>
          <w:rFonts w:ascii="黑体" w:eastAsia="黑体" w:hAnsi="黑体"/>
          <w:color w:val="000000"/>
          <w:sz w:val="32"/>
          <w:szCs w:val="32"/>
        </w:rPr>
        <w:t>.</w:t>
      </w:r>
      <w:r>
        <w:rPr>
          <w:rFonts w:ascii="黑体" w:eastAsia="黑体" w:hAnsi="黑体" w:hint="eastAsia"/>
          <w:color w:val="000000"/>
          <w:sz w:val="32"/>
          <w:szCs w:val="32"/>
        </w:rPr>
        <w:t>预算管理一体化</w:t>
      </w:r>
      <w:r>
        <w:rPr>
          <w:rFonts w:ascii="黑体" w:eastAsia="黑体" w:hAnsi="黑体"/>
          <w:color w:val="000000"/>
          <w:sz w:val="32"/>
          <w:szCs w:val="32"/>
        </w:rPr>
        <w:t>:</w:t>
      </w:r>
      <w:r>
        <w:rPr>
          <w:rFonts w:ascii="仿宋_GB2312" w:eastAsia="仿宋_GB2312" w:hAnsi="仿宋" w:hint="eastAsia"/>
          <w:color w:val="000000"/>
          <w:sz w:val="32"/>
          <w:szCs w:val="32"/>
        </w:rPr>
        <w:t>预算管理一体化是以系统化思维整合预算管理全流程，建立各级财政统一的预算管理一体化规范，将管理规则嵌入到信息系统，构建现代信息技术条件下“制度</w:t>
      </w:r>
      <w:r>
        <w:rPr>
          <w:rFonts w:ascii="仿宋_GB2312" w:eastAsia="仿宋_GB2312" w:hAnsi="仿宋"/>
          <w:color w:val="000000"/>
          <w:sz w:val="32"/>
          <w:szCs w:val="32"/>
        </w:rPr>
        <w:t>+</w:t>
      </w:r>
      <w:r>
        <w:rPr>
          <w:rFonts w:ascii="仿宋_GB2312" w:eastAsia="仿宋_GB2312" w:hAnsi="仿宋" w:hint="eastAsia"/>
          <w:color w:val="000000"/>
          <w:sz w:val="32"/>
          <w:szCs w:val="32"/>
        </w:rPr>
        <w:t>技术”的管理机制，全面提高各级预算管理规范化、标准化和自动化水平。</w:t>
      </w:r>
    </w:p>
    <w:p w14:paraId="74154AF4">
      <w:pPr>
        <w:topLinePunct/>
        <w:spacing w:line="600" w:lineRule="exact"/>
        <w:ind w:firstLine="640" w:firstLineChars="200"/>
        <w:rPr>
          <w:rFonts w:ascii="仿宋_GB2312" w:eastAsia="仿宋_GB2312" w:hint="eastAsia"/>
          <w:color w:val="000000"/>
          <w:sz w:val="32"/>
          <w:szCs w:val="32"/>
        </w:rPr>
      </w:pPr>
      <w:r>
        <w:rPr>
          <w:rFonts w:ascii="楷体_GB2312" w:eastAsia="楷体_GB2312" w:hAnsi="仿宋" w:hint="eastAsia"/>
          <w:b/>
          <w:bCs/>
          <w:color w:val="000000"/>
          <w:sz w:val="32"/>
        </w:rPr>
        <w:t>主要内容：一是全国政府预算管理的一体化。</w:t>
      </w:r>
      <w:r>
        <w:rPr>
          <w:rFonts w:ascii="仿宋_GB2312" w:eastAsia="仿宋_GB2312" w:hAnsi="仿宋" w:hint="eastAsia"/>
          <w:bCs/>
          <w:color w:val="000000"/>
          <w:sz w:val="32"/>
        </w:rPr>
        <w:t>统一全国各级财政预算管理规则和管理要素，建立健全上下级预算的衔接机制，实现逐级汇总编制真实完整的全国预算，动态实时反映全国预算资源的分配、拨付、使用情况，及时掌握各级预算落实党中央、国务院决策部署情况，增强政府宏观调控能力。</w:t>
      </w:r>
      <w:r>
        <w:rPr>
          <w:rFonts w:ascii="楷体_GB2312" w:eastAsia="楷体_GB2312" w:hAnsi="仿宋" w:hint="eastAsia"/>
          <w:b/>
          <w:bCs/>
          <w:color w:val="000000"/>
          <w:sz w:val="32"/>
        </w:rPr>
        <w:t>二是各部门预算管理的一体化</w:t>
      </w:r>
      <w:r>
        <w:rPr>
          <w:rFonts w:ascii="楷体_GB2312" w:eastAsia="楷体_GB2312" w:hAnsi="仿宋" w:hint="eastAsia"/>
          <w:bCs/>
          <w:color w:val="000000"/>
          <w:sz w:val="32"/>
        </w:rPr>
        <w:t>。</w:t>
      </w:r>
      <w:r>
        <w:rPr>
          <w:rFonts w:ascii="仿宋_GB2312" w:eastAsia="仿宋_GB2312" w:hAnsi="仿宋" w:hint="eastAsia"/>
          <w:bCs/>
          <w:color w:val="000000"/>
          <w:sz w:val="32"/>
        </w:rPr>
        <w:t>各部门及所属单位依法依规将取得的各类收入纳入部门和单位预算，执行统一的预算管理制度。各部门统筹使用好本部门非财政拨款收入等各类收入和存量资金资产，突出保障重点支出需求。</w:t>
      </w:r>
      <w:r>
        <w:rPr>
          <w:rFonts w:ascii="楷体_GB2312" w:eastAsia="楷体_GB2312" w:hAnsi="仿宋" w:hint="eastAsia"/>
          <w:b/>
          <w:color w:val="000000"/>
          <w:sz w:val="32"/>
        </w:rPr>
        <w:t>三是</w:t>
      </w:r>
      <w:r>
        <w:rPr>
          <w:rFonts w:ascii="楷体_GB2312" w:eastAsia="楷体_GB2312" w:hAnsi="仿宋" w:hint="eastAsia"/>
          <w:b/>
          <w:bCs/>
          <w:color w:val="000000"/>
          <w:sz w:val="32"/>
        </w:rPr>
        <w:t>预算全过程管理的一体化</w:t>
      </w:r>
      <w:r>
        <w:rPr>
          <w:rFonts w:ascii="楷体_GB2312" w:eastAsia="楷体_GB2312" w:hAnsi="仿宋" w:hint="eastAsia"/>
          <w:bCs/>
          <w:color w:val="000000"/>
          <w:sz w:val="32"/>
        </w:rPr>
        <w:t>。</w:t>
      </w:r>
      <w:r>
        <w:rPr>
          <w:rFonts w:ascii="仿宋_GB2312" w:eastAsia="仿宋_GB2312" w:hAnsi="仿宋" w:hint="eastAsia"/>
          <w:bCs/>
          <w:color w:val="000000"/>
          <w:sz w:val="32"/>
        </w:rPr>
        <w:t>整合预算编制、预算执行、决算和报告、政府采购、资产管理等预算管理环节，强化顺向环环相扣的控制机制和逆向动态可溯的反馈机制，预算执行结果及形成资产情况作用于以后年度预算编制，形成预算全过程的管理闭环。</w:t>
      </w:r>
      <w:r>
        <w:rPr>
          <w:rFonts w:ascii="楷体_GB2312" w:eastAsia="楷体_GB2312" w:hAnsi="仿宋" w:hint="eastAsia"/>
          <w:b/>
          <w:bCs/>
          <w:color w:val="000000"/>
          <w:sz w:val="32"/>
        </w:rPr>
        <w:t>四是预算项目全生命周期管理的一体化</w:t>
      </w:r>
      <w:r>
        <w:rPr>
          <w:rFonts w:ascii="楷体_GB2312" w:eastAsia="楷体_GB2312" w:hAnsi="仿宋" w:hint="eastAsia"/>
          <w:bCs/>
          <w:color w:val="000000"/>
          <w:sz w:val="32"/>
        </w:rPr>
        <w:t>。</w:t>
      </w:r>
      <w:r>
        <w:rPr>
          <w:rFonts w:ascii="仿宋_GB2312" w:eastAsia="仿宋_GB2312" w:hAnsi="仿宋" w:hint="eastAsia"/>
          <w:bCs/>
          <w:color w:val="000000"/>
          <w:sz w:val="32"/>
        </w:rPr>
        <w:t>预算管理各环节以预算项目为基本单元，依托项目库对预算项目全生命周期实施管理。预算支出以预算项目形式全部纳入项目库，加强跨年度项目支出、政府偿债支出、政府承诺或做出的各类中长期支出事项等与各年度预算的衔接，更好地统筹未来财政收支，增强中期财政规划对年度预算的约束，加强跨年度预算平衡。</w:t>
      </w:r>
      <w:r>
        <w:rPr>
          <w:rFonts w:ascii="楷体_GB2312" w:eastAsia="楷体_GB2312" w:hAnsi="仿宋" w:hint="eastAsia"/>
          <w:b/>
          <w:bCs/>
          <w:color w:val="000000"/>
          <w:sz w:val="32"/>
        </w:rPr>
        <w:t>五是全国预算数据管理的一体化</w:t>
      </w:r>
      <w:r>
        <w:rPr>
          <w:rFonts w:ascii="楷体_GB2312" w:eastAsia="楷体_GB2312" w:hAnsi="仿宋" w:hint="eastAsia"/>
          <w:bCs/>
          <w:color w:val="000000"/>
          <w:sz w:val="32"/>
        </w:rPr>
        <w:t>。</w:t>
      </w:r>
      <w:r>
        <w:rPr>
          <w:rFonts w:ascii="仿宋_GB2312" w:eastAsia="仿宋_GB2312" w:hAnsi="仿宋" w:hint="eastAsia"/>
          <w:bCs/>
          <w:color w:val="000000"/>
          <w:sz w:val="32"/>
        </w:rPr>
        <w:t>实现各级财政预算数据生产和对接传输的标准化。坚持部门和单位财务管理主体责任的基础上，集中单位会计核算、资产管理、账户余额等预算数据，实现财政部门与单位主管部门共享共用。各省预算管理一体化系统集中地方各级财政预算数据，并与中央财政系统对接，实现全国预算数据的集中管理。</w:t>
      </w:r>
    </w:p>
    <w:p w14:paraId="0D4ED498">
      <w:pPr>
        <w:topLinePunct/>
        <w:spacing w:line="580" w:lineRule="exact"/>
        <w:ind w:firstLine="420" w:firstLineChars="200"/>
        <w:rPr>
          <w:szCs w:val="32"/>
        </w:rPr>
        <w:sectPr>
          <w:footerReference w:type="even" r:id="rId7"/>
          <w:footerReference w:type="default" r:id="rId8"/>
          <w:pgSz w:w="11907" w:h="16840"/>
          <w:pgMar w:top="2098" w:right="1474" w:bottom="1985" w:left="1588" w:header="851" w:footer="1021" w:gutter="0"/>
          <w:cols w:num="1" w:space="425"/>
          <w:docGrid w:type="linesAndChars" w:linePitch="312" w:charSpace="0"/>
        </w:sectPr>
      </w:pPr>
    </w:p>
    <w:p w14:paraId="2D286AF4">
      <w:pPr>
        <w:topLinePunct/>
        <w:spacing w:line="580" w:lineRule="exact"/>
        <w:ind w:firstLine="640" w:firstLineChars="200"/>
        <w:rPr>
          <w:rFonts w:ascii="仿宋_GB2312" w:eastAsia="仿宋_GB2312" w:hAnsi="仿宋" w:hint="eastAsia"/>
          <w:bCs/>
          <w:color w:val="000000"/>
          <w:sz w:val="32"/>
        </w:rPr>
      </w:pPr>
      <w:r>
        <w:rPr>
          <w:rFonts w:ascii="黑体" w:eastAsia="黑体" w:hAnsi="黑体" w:hint="eastAsia"/>
          <w:color w:val="000000"/>
          <w:sz w:val="32"/>
          <w:szCs w:val="32"/>
        </w:rPr>
        <w:t>12.</w:t>
      </w:r>
      <w:r>
        <w:rPr>
          <w:rFonts w:ascii="黑体" w:eastAsia="黑体" w:hAnsi="黑体"/>
          <w:color w:val="000000"/>
          <w:sz w:val="32"/>
          <w:szCs w:val="32"/>
        </w:rPr>
        <w:t>“税融通”</w:t>
      </w:r>
      <w:r>
        <w:rPr>
          <w:rFonts w:ascii="黑体" w:eastAsia="黑体" w:hAnsi="黑体" w:hint="eastAsia"/>
          <w:color w:val="000000"/>
          <w:sz w:val="32"/>
          <w:szCs w:val="32"/>
        </w:rPr>
        <w:t>：</w:t>
      </w:r>
      <w:r>
        <w:rPr>
          <w:rFonts w:ascii="仿宋_GB2312" w:eastAsia="仿宋_GB2312" w:hAnsi="仿宋"/>
          <w:bCs/>
          <w:color w:val="000000"/>
          <w:sz w:val="32"/>
        </w:rPr>
        <w:t>是指银行业金融机构根据中小微企业纳税情况，向依法诚信纳税的中小微企业提供一定数额的信用贷款或担保贷款。“税融通”业务面向注册地在寿县的中小微企业，申请业务企业应有2年（含）以上纳税记录、无不良信用记录、具有按期偿付贷款本息的能力、纳税信用级别不低于M级等要求,贷款用于合法生产经营。国家明令禁止的淘汰类、产能落后、环保不达标产业不在支持范围。</w:t>
      </w:r>
    </w:p>
    <w:p w14:paraId="5F1DB6D5">
      <w:pPr>
        <w:topLinePunct/>
        <w:spacing w:line="580" w:lineRule="exact"/>
        <w:ind w:firstLine="640" w:firstLineChars="200"/>
        <w:rPr>
          <w:rFonts w:ascii="仿宋_GB2312" w:eastAsia="仿宋_GB2312" w:hAnsi="仿宋"/>
          <w:bCs/>
          <w:color w:val="000000"/>
          <w:sz w:val="32"/>
        </w:rPr>
      </w:pPr>
      <w:r>
        <w:rPr>
          <w:rFonts w:ascii="黑体" w:eastAsia="黑体" w:hAnsi="黑体" w:hint="eastAsia"/>
          <w:color w:val="000000"/>
          <w:sz w:val="32"/>
          <w:szCs w:val="32"/>
        </w:rPr>
        <w:t>13.</w:t>
      </w:r>
      <w:r>
        <w:rPr>
          <w:rFonts w:ascii="黑体" w:eastAsia="黑体" w:hAnsi="黑体"/>
          <w:color w:val="000000"/>
          <w:sz w:val="32"/>
          <w:szCs w:val="32"/>
        </w:rPr>
        <w:t>“五进”：</w:t>
      </w:r>
      <w:r>
        <w:rPr>
          <w:rFonts w:ascii="仿宋_GB2312" w:eastAsia="仿宋_GB2312" w:hAnsi="仿宋"/>
          <w:bCs/>
          <w:color w:val="000000"/>
          <w:sz w:val="32"/>
        </w:rPr>
        <w:t>为推动国务院及安徽省加快稳经济一揽子政策措施落地生效，持续加大金融对实体经济的支持力度，2022年依托安徽省综合金融服务平台，全省统一开展进园区、进街道、进社区、进乡镇、进商圈（“五进”）活动，进行金融政策产品宣传和融资问题摸排对接，充分挖掘潜在信贷需求</w:t>
      </w:r>
      <w:r>
        <w:rPr>
          <w:rFonts w:ascii="仿宋_GB2312" w:eastAsia="仿宋_GB2312" w:hAnsi="仿宋" w:hint="eastAsia"/>
          <w:bCs/>
          <w:color w:val="000000"/>
          <w:sz w:val="32"/>
        </w:rPr>
        <w:t>。</w:t>
      </w:r>
    </w:p>
    <w:sectPr>
      <w:footerReference w:type="default" r:id="rId9"/>
      <w:type w:val="oddPage"/>
      <w:pgSz w:w="11907" w:h="16840"/>
      <w:pgMar w:top="2098" w:right="1474" w:bottom="1985" w:left="1588" w:header="851" w:footer="1021" w:gutter="0"/>
      <w:cols w:num="1" w:space="425"/>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大标宋简体">
    <w:panose1 w:val="02000000000000000000"/>
    <w:charset w:val="86"/>
    <w:family w:val="auto"/>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22344AA">
    <w:pPr>
      <w:pStyle w:val="Footer"/>
      <w:ind w:left="420" w:leftChars="200"/>
      <w:rPr>
        <w:rFonts w:ascii="宋体" w:hAnsi="宋体"/>
        <w:sz w:val="28"/>
        <w:szCs w:val="28"/>
      </w:rPr>
    </w:pPr>
    <w:r>
      <w:rPr>
        <w:rFonts w:ascii="宋体" w:hAnsi="宋体" w:hint="eastAsia"/>
        <w:sz w:val="28"/>
        <w:szCs w:val="28"/>
      </w:rPr>
      <w:t xml:space="preserve">— </w:t>
    </w:r>
    <w:r>
      <w:rPr>
        <w:rFonts w:ascii="宋体" w:hAnsi="宋体" w:hint="eastAsia"/>
        <w:sz w:val="28"/>
        <w:szCs w:val="28"/>
      </w:rPr>
      <w:fldChar w:fldCharType="begin"/>
    </w:r>
    <w:r>
      <w:rPr>
        <w:rFonts w:ascii="宋体" w:hAnsi="宋体" w:hint="eastAsia"/>
        <w:sz w:val="28"/>
        <w:szCs w:val="28"/>
      </w:rPr>
      <w:instrText xml:space="preserve"> PAGE   \* MERGEFORMAT </w:instrText>
    </w:r>
    <w:r>
      <w:rPr>
        <w:rFonts w:ascii="宋体" w:hAnsi="宋体" w:hint="eastAsia"/>
        <w:sz w:val="28"/>
        <w:szCs w:val="28"/>
      </w:rPr>
      <w:fldChar w:fldCharType="separate"/>
    </w:r>
    <w:r>
      <w:rPr>
        <w:rFonts w:ascii="宋体" w:hAnsi="宋体"/>
        <w:sz w:val="28"/>
        <w:szCs w:val="28"/>
        <w:lang w:val="zh-CN"/>
      </w:rPr>
      <w:t>22</w:t>
    </w:r>
    <w:r>
      <w:rPr>
        <w:rFonts w:ascii="宋体" w:hAnsi="宋体" w:hint="eastAsia"/>
        <w:sz w:val="28"/>
        <w:szCs w:val="28"/>
      </w:rPr>
      <w:fldChar w:fldCharType="end"/>
    </w:r>
    <w:r>
      <w:rPr>
        <w:rFonts w:ascii="宋体" w:hAnsi="宋体" w:hint="eastAsia"/>
        <w:sz w:val="28"/>
        <w:szCs w:val="28"/>
      </w:rPr>
      <w:t xml:space="preserve"> —</w:t>
    </w:r>
  </w:p>
  <w:p w14:paraId="7DE44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E3A1A20">
    <w:pPr>
      <w:pStyle w:val="Footer"/>
      <w:ind w:right="180"/>
      <w:jc w:val="right"/>
    </w:pPr>
    <w:r>
      <w:rPr>
        <w:rFonts w:ascii="宋体" w:hAnsi="宋体" w:hint="eastAsia"/>
        <w:sz w:val="28"/>
        <w:szCs w:val="28"/>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21</w:t>
    </w:r>
    <w:r>
      <w:rPr>
        <w:sz w:val="28"/>
        <w:szCs w:val="28"/>
      </w:rPr>
      <w:fldChar w:fldCharType="end"/>
    </w:r>
    <w:r>
      <w:rPr>
        <w:rFonts w:hint="eastAsia"/>
        <w:sz w:val="28"/>
        <w:szCs w:val="28"/>
      </w:rPr>
      <w:t xml:space="preserve"> </w:t>
    </w:r>
    <w:r>
      <w:rPr>
        <w:rFonts w:ascii="宋体" w:hAnsi="宋体" w:hint="eastAsia"/>
        <w:sz w:val="28"/>
        <w:szCs w:val="28"/>
      </w:rPr>
      <w:t xml:space="preserve">— </w:t>
    </w:r>
  </w:p>
  <w:p w14:paraId="1588BB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2F5C1DB">
    <w:pPr>
      <w:pStyle w:val="Footer"/>
      <w:ind w:right="180"/>
      <w:jc w:val="right"/>
    </w:pPr>
  </w:p>
  <w:p w14:paraId="65B11DF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embedSystemFont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3F"/>
    <w:rsid w:val="0000108C"/>
    <w:rsid w:val="0000232A"/>
    <w:rsid w:val="00010698"/>
    <w:rsid w:val="00015EBA"/>
    <w:rsid w:val="00016C9C"/>
    <w:rsid w:val="00017D67"/>
    <w:rsid w:val="00024256"/>
    <w:rsid w:val="00027E92"/>
    <w:rsid w:val="0004045B"/>
    <w:rsid w:val="00047204"/>
    <w:rsid w:val="00054053"/>
    <w:rsid w:val="000641D7"/>
    <w:rsid w:val="00067428"/>
    <w:rsid w:val="000826B6"/>
    <w:rsid w:val="000856A0"/>
    <w:rsid w:val="000929BA"/>
    <w:rsid w:val="000A2CBC"/>
    <w:rsid w:val="000A7B8C"/>
    <w:rsid w:val="000B27D8"/>
    <w:rsid w:val="000C2198"/>
    <w:rsid w:val="000C2532"/>
    <w:rsid w:val="000E6A6B"/>
    <w:rsid w:val="000E790E"/>
    <w:rsid w:val="000F4C68"/>
    <w:rsid w:val="001025DC"/>
    <w:rsid w:val="001041A9"/>
    <w:rsid w:val="00106094"/>
    <w:rsid w:val="001076D0"/>
    <w:rsid w:val="00110110"/>
    <w:rsid w:val="0011126C"/>
    <w:rsid w:val="00111F4B"/>
    <w:rsid w:val="00115FA0"/>
    <w:rsid w:val="001172E4"/>
    <w:rsid w:val="0013208E"/>
    <w:rsid w:val="0013671C"/>
    <w:rsid w:val="00147333"/>
    <w:rsid w:val="001521AF"/>
    <w:rsid w:val="001542E6"/>
    <w:rsid w:val="001645F9"/>
    <w:rsid w:val="00166D42"/>
    <w:rsid w:val="00173919"/>
    <w:rsid w:val="0018379A"/>
    <w:rsid w:val="00183A3A"/>
    <w:rsid w:val="00184793"/>
    <w:rsid w:val="00184BAF"/>
    <w:rsid w:val="00185520"/>
    <w:rsid w:val="001978B4"/>
    <w:rsid w:val="001A3D2A"/>
    <w:rsid w:val="001A52C2"/>
    <w:rsid w:val="001B25C7"/>
    <w:rsid w:val="001B694E"/>
    <w:rsid w:val="001C6A11"/>
    <w:rsid w:val="001D4D10"/>
    <w:rsid w:val="001D4E96"/>
    <w:rsid w:val="001D727A"/>
    <w:rsid w:val="001E0044"/>
    <w:rsid w:val="001E35D2"/>
    <w:rsid w:val="002049B3"/>
    <w:rsid w:val="00207369"/>
    <w:rsid w:val="00215700"/>
    <w:rsid w:val="0022408D"/>
    <w:rsid w:val="00233F27"/>
    <w:rsid w:val="00244B05"/>
    <w:rsid w:val="002503CA"/>
    <w:rsid w:val="00251C3B"/>
    <w:rsid w:val="0025231A"/>
    <w:rsid w:val="00255D60"/>
    <w:rsid w:val="00255F80"/>
    <w:rsid w:val="002576A1"/>
    <w:rsid w:val="00262599"/>
    <w:rsid w:val="002629C6"/>
    <w:rsid w:val="00262D76"/>
    <w:rsid w:val="00266CFB"/>
    <w:rsid w:val="00281714"/>
    <w:rsid w:val="002823D8"/>
    <w:rsid w:val="00282567"/>
    <w:rsid w:val="00282DBF"/>
    <w:rsid w:val="00282FB5"/>
    <w:rsid w:val="002861C6"/>
    <w:rsid w:val="00287EB7"/>
    <w:rsid w:val="002960DD"/>
    <w:rsid w:val="002A19D9"/>
    <w:rsid w:val="002A51B7"/>
    <w:rsid w:val="002A65E2"/>
    <w:rsid w:val="002A6E75"/>
    <w:rsid w:val="002A6EDB"/>
    <w:rsid w:val="002A7EA6"/>
    <w:rsid w:val="002B2A8E"/>
    <w:rsid w:val="002C23C3"/>
    <w:rsid w:val="002D3200"/>
    <w:rsid w:val="002E18B1"/>
    <w:rsid w:val="002E5B2B"/>
    <w:rsid w:val="002E64D6"/>
    <w:rsid w:val="002F505B"/>
    <w:rsid w:val="00304917"/>
    <w:rsid w:val="00306E22"/>
    <w:rsid w:val="00307133"/>
    <w:rsid w:val="00310D47"/>
    <w:rsid w:val="003232F6"/>
    <w:rsid w:val="00327655"/>
    <w:rsid w:val="00331A28"/>
    <w:rsid w:val="00331E02"/>
    <w:rsid w:val="0034225D"/>
    <w:rsid w:val="003455BC"/>
    <w:rsid w:val="0034617D"/>
    <w:rsid w:val="00350088"/>
    <w:rsid w:val="003503B4"/>
    <w:rsid w:val="0035121C"/>
    <w:rsid w:val="00351849"/>
    <w:rsid w:val="00352D7E"/>
    <w:rsid w:val="00353046"/>
    <w:rsid w:val="00354FB8"/>
    <w:rsid w:val="00360A44"/>
    <w:rsid w:val="00361598"/>
    <w:rsid w:val="00362A04"/>
    <w:rsid w:val="003713E8"/>
    <w:rsid w:val="00386720"/>
    <w:rsid w:val="00392C9C"/>
    <w:rsid w:val="003932D0"/>
    <w:rsid w:val="00396501"/>
    <w:rsid w:val="003A14CA"/>
    <w:rsid w:val="003B58A1"/>
    <w:rsid w:val="003B68D1"/>
    <w:rsid w:val="003B6CDE"/>
    <w:rsid w:val="003B6E7A"/>
    <w:rsid w:val="003C07E5"/>
    <w:rsid w:val="003C37B6"/>
    <w:rsid w:val="003C63E5"/>
    <w:rsid w:val="003D5322"/>
    <w:rsid w:val="003D65E2"/>
    <w:rsid w:val="003D75D1"/>
    <w:rsid w:val="003D7D24"/>
    <w:rsid w:val="003E47AD"/>
    <w:rsid w:val="003F135D"/>
    <w:rsid w:val="003F7095"/>
    <w:rsid w:val="0040512A"/>
    <w:rsid w:val="00405642"/>
    <w:rsid w:val="00405DFC"/>
    <w:rsid w:val="004068BA"/>
    <w:rsid w:val="00415D0F"/>
    <w:rsid w:val="0041651B"/>
    <w:rsid w:val="00431628"/>
    <w:rsid w:val="004330AB"/>
    <w:rsid w:val="00434B9B"/>
    <w:rsid w:val="00437DD1"/>
    <w:rsid w:val="0044132D"/>
    <w:rsid w:val="00441AF2"/>
    <w:rsid w:val="004455F6"/>
    <w:rsid w:val="00456DE2"/>
    <w:rsid w:val="00460261"/>
    <w:rsid w:val="00471E18"/>
    <w:rsid w:val="00474D75"/>
    <w:rsid w:val="00477779"/>
    <w:rsid w:val="004900A3"/>
    <w:rsid w:val="00490D5D"/>
    <w:rsid w:val="00492453"/>
    <w:rsid w:val="00496864"/>
    <w:rsid w:val="00496C53"/>
    <w:rsid w:val="004A4500"/>
    <w:rsid w:val="004A4AE8"/>
    <w:rsid w:val="004C2239"/>
    <w:rsid w:val="004C5C63"/>
    <w:rsid w:val="004D0512"/>
    <w:rsid w:val="004D3F38"/>
    <w:rsid w:val="004E05B6"/>
    <w:rsid w:val="004E27FD"/>
    <w:rsid w:val="004E2E7B"/>
    <w:rsid w:val="004E3E03"/>
    <w:rsid w:val="004E40B8"/>
    <w:rsid w:val="004E678E"/>
    <w:rsid w:val="004E738E"/>
    <w:rsid w:val="004E7C81"/>
    <w:rsid w:val="004F0D61"/>
    <w:rsid w:val="004F172C"/>
    <w:rsid w:val="004F3FC0"/>
    <w:rsid w:val="00500381"/>
    <w:rsid w:val="005007CB"/>
    <w:rsid w:val="00501118"/>
    <w:rsid w:val="00506D43"/>
    <w:rsid w:val="00507DC4"/>
    <w:rsid w:val="0052516D"/>
    <w:rsid w:val="00527A10"/>
    <w:rsid w:val="00530C6C"/>
    <w:rsid w:val="0053317E"/>
    <w:rsid w:val="00533F3F"/>
    <w:rsid w:val="005360CA"/>
    <w:rsid w:val="005378ED"/>
    <w:rsid w:val="00543CF0"/>
    <w:rsid w:val="00544A04"/>
    <w:rsid w:val="005458A5"/>
    <w:rsid w:val="00551CF0"/>
    <w:rsid w:val="00552B1D"/>
    <w:rsid w:val="00555658"/>
    <w:rsid w:val="005608ED"/>
    <w:rsid w:val="005616E9"/>
    <w:rsid w:val="005643DB"/>
    <w:rsid w:val="00564A24"/>
    <w:rsid w:val="00565E35"/>
    <w:rsid w:val="00571EB4"/>
    <w:rsid w:val="00574E9F"/>
    <w:rsid w:val="00580F5C"/>
    <w:rsid w:val="005913A3"/>
    <w:rsid w:val="005A58BE"/>
    <w:rsid w:val="005B288C"/>
    <w:rsid w:val="005B32C2"/>
    <w:rsid w:val="005B4A39"/>
    <w:rsid w:val="005C32DC"/>
    <w:rsid w:val="005C4469"/>
    <w:rsid w:val="005C79F8"/>
    <w:rsid w:val="005D1411"/>
    <w:rsid w:val="005D54F6"/>
    <w:rsid w:val="005D7114"/>
    <w:rsid w:val="005E360D"/>
    <w:rsid w:val="005E743E"/>
    <w:rsid w:val="005E7A20"/>
    <w:rsid w:val="005F4B44"/>
    <w:rsid w:val="00601CC4"/>
    <w:rsid w:val="006027A6"/>
    <w:rsid w:val="006124D4"/>
    <w:rsid w:val="0062014E"/>
    <w:rsid w:val="0062286C"/>
    <w:rsid w:val="00623B7D"/>
    <w:rsid w:val="00627622"/>
    <w:rsid w:val="0063256B"/>
    <w:rsid w:val="00632793"/>
    <w:rsid w:val="0063671C"/>
    <w:rsid w:val="00636F19"/>
    <w:rsid w:val="0064175E"/>
    <w:rsid w:val="0064211F"/>
    <w:rsid w:val="00642F12"/>
    <w:rsid w:val="00644C2E"/>
    <w:rsid w:val="00652A7F"/>
    <w:rsid w:val="00661556"/>
    <w:rsid w:val="00662384"/>
    <w:rsid w:val="00666478"/>
    <w:rsid w:val="00667DDC"/>
    <w:rsid w:val="00670EA3"/>
    <w:rsid w:val="0067147D"/>
    <w:rsid w:val="00674D75"/>
    <w:rsid w:val="006808D8"/>
    <w:rsid w:val="006865D6"/>
    <w:rsid w:val="00686A9C"/>
    <w:rsid w:val="0069149A"/>
    <w:rsid w:val="00691FB3"/>
    <w:rsid w:val="00695176"/>
    <w:rsid w:val="00696C1F"/>
    <w:rsid w:val="006A4913"/>
    <w:rsid w:val="006B2DFD"/>
    <w:rsid w:val="006B62CE"/>
    <w:rsid w:val="006B7323"/>
    <w:rsid w:val="006C2608"/>
    <w:rsid w:val="006C4FBF"/>
    <w:rsid w:val="006C5F43"/>
    <w:rsid w:val="006C6981"/>
    <w:rsid w:val="006C6EB8"/>
    <w:rsid w:val="006D6310"/>
    <w:rsid w:val="006D710E"/>
    <w:rsid w:val="006E1868"/>
    <w:rsid w:val="006E2099"/>
    <w:rsid w:val="006F39F8"/>
    <w:rsid w:val="006F7761"/>
    <w:rsid w:val="00701217"/>
    <w:rsid w:val="00705D45"/>
    <w:rsid w:val="00706BA7"/>
    <w:rsid w:val="00712917"/>
    <w:rsid w:val="00713712"/>
    <w:rsid w:val="0072528F"/>
    <w:rsid w:val="007270A9"/>
    <w:rsid w:val="00730690"/>
    <w:rsid w:val="007312A1"/>
    <w:rsid w:val="007322F0"/>
    <w:rsid w:val="0073320F"/>
    <w:rsid w:val="00735D3A"/>
    <w:rsid w:val="00736E25"/>
    <w:rsid w:val="007420C1"/>
    <w:rsid w:val="00744B44"/>
    <w:rsid w:val="00744D6C"/>
    <w:rsid w:val="00760F8D"/>
    <w:rsid w:val="00763AE0"/>
    <w:rsid w:val="00765CCF"/>
    <w:rsid w:val="007709AA"/>
    <w:rsid w:val="00771F64"/>
    <w:rsid w:val="0077216F"/>
    <w:rsid w:val="00773599"/>
    <w:rsid w:val="00775C90"/>
    <w:rsid w:val="00775E5A"/>
    <w:rsid w:val="00783B2D"/>
    <w:rsid w:val="00787CA8"/>
    <w:rsid w:val="00795685"/>
    <w:rsid w:val="00795F52"/>
    <w:rsid w:val="007A5B40"/>
    <w:rsid w:val="007B4FE4"/>
    <w:rsid w:val="007C12AC"/>
    <w:rsid w:val="007C1C69"/>
    <w:rsid w:val="007C667B"/>
    <w:rsid w:val="007C7F71"/>
    <w:rsid w:val="007D5300"/>
    <w:rsid w:val="007E1FD8"/>
    <w:rsid w:val="007E3E29"/>
    <w:rsid w:val="007E7BB1"/>
    <w:rsid w:val="007F4B6A"/>
    <w:rsid w:val="007F7831"/>
    <w:rsid w:val="00801518"/>
    <w:rsid w:val="00803279"/>
    <w:rsid w:val="00804E3F"/>
    <w:rsid w:val="00807C87"/>
    <w:rsid w:val="00810FC9"/>
    <w:rsid w:val="00815327"/>
    <w:rsid w:val="00815BCC"/>
    <w:rsid w:val="00815E0F"/>
    <w:rsid w:val="00820A39"/>
    <w:rsid w:val="008215F1"/>
    <w:rsid w:val="00842BED"/>
    <w:rsid w:val="00844C50"/>
    <w:rsid w:val="008477B8"/>
    <w:rsid w:val="008609B4"/>
    <w:rsid w:val="00860D5D"/>
    <w:rsid w:val="00862924"/>
    <w:rsid w:val="0086779B"/>
    <w:rsid w:val="00876B5D"/>
    <w:rsid w:val="008812EC"/>
    <w:rsid w:val="00897F2A"/>
    <w:rsid w:val="008A13CF"/>
    <w:rsid w:val="008A3D1F"/>
    <w:rsid w:val="008B0646"/>
    <w:rsid w:val="008B1591"/>
    <w:rsid w:val="008B1916"/>
    <w:rsid w:val="008B1ED9"/>
    <w:rsid w:val="008B4C5B"/>
    <w:rsid w:val="008C21BB"/>
    <w:rsid w:val="008D3985"/>
    <w:rsid w:val="008D3DDE"/>
    <w:rsid w:val="008D4D79"/>
    <w:rsid w:val="008D7724"/>
    <w:rsid w:val="008E0B9B"/>
    <w:rsid w:val="008E1783"/>
    <w:rsid w:val="008E4780"/>
    <w:rsid w:val="008E55A8"/>
    <w:rsid w:val="008E5937"/>
    <w:rsid w:val="008E73ED"/>
    <w:rsid w:val="008F1E7D"/>
    <w:rsid w:val="00901239"/>
    <w:rsid w:val="009040A7"/>
    <w:rsid w:val="00907320"/>
    <w:rsid w:val="00907A80"/>
    <w:rsid w:val="00907E2D"/>
    <w:rsid w:val="00914521"/>
    <w:rsid w:val="00921E57"/>
    <w:rsid w:val="00923EB2"/>
    <w:rsid w:val="00924A9C"/>
    <w:rsid w:val="0092624A"/>
    <w:rsid w:val="00926B03"/>
    <w:rsid w:val="00926DBC"/>
    <w:rsid w:val="00934481"/>
    <w:rsid w:val="0094235F"/>
    <w:rsid w:val="00952D0E"/>
    <w:rsid w:val="00955EC9"/>
    <w:rsid w:val="00961DC4"/>
    <w:rsid w:val="00961E01"/>
    <w:rsid w:val="009675AD"/>
    <w:rsid w:val="00967FB2"/>
    <w:rsid w:val="009736DA"/>
    <w:rsid w:val="009753FE"/>
    <w:rsid w:val="009768EE"/>
    <w:rsid w:val="0097694A"/>
    <w:rsid w:val="00984E06"/>
    <w:rsid w:val="00985A51"/>
    <w:rsid w:val="009876FB"/>
    <w:rsid w:val="009A65B1"/>
    <w:rsid w:val="009B1570"/>
    <w:rsid w:val="009C117E"/>
    <w:rsid w:val="009D1DE8"/>
    <w:rsid w:val="009D2AC4"/>
    <w:rsid w:val="009E1FE5"/>
    <w:rsid w:val="009E250F"/>
    <w:rsid w:val="009E40F4"/>
    <w:rsid w:val="009E50C3"/>
    <w:rsid w:val="009E5235"/>
    <w:rsid w:val="009F37CE"/>
    <w:rsid w:val="009F6863"/>
    <w:rsid w:val="009F6B49"/>
    <w:rsid w:val="00A10BF4"/>
    <w:rsid w:val="00A11F4A"/>
    <w:rsid w:val="00A126B0"/>
    <w:rsid w:val="00A142B3"/>
    <w:rsid w:val="00A21044"/>
    <w:rsid w:val="00A2325B"/>
    <w:rsid w:val="00A26D82"/>
    <w:rsid w:val="00A2782E"/>
    <w:rsid w:val="00A3573F"/>
    <w:rsid w:val="00A37D1F"/>
    <w:rsid w:val="00A41F93"/>
    <w:rsid w:val="00A448FA"/>
    <w:rsid w:val="00A46BA4"/>
    <w:rsid w:val="00A46D60"/>
    <w:rsid w:val="00A66634"/>
    <w:rsid w:val="00A76E4C"/>
    <w:rsid w:val="00A77491"/>
    <w:rsid w:val="00A83F75"/>
    <w:rsid w:val="00A84406"/>
    <w:rsid w:val="00A90719"/>
    <w:rsid w:val="00AB0625"/>
    <w:rsid w:val="00AB1310"/>
    <w:rsid w:val="00AB2A85"/>
    <w:rsid w:val="00AB3C90"/>
    <w:rsid w:val="00AC3651"/>
    <w:rsid w:val="00AC4DE1"/>
    <w:rsid w:val="00AC672C"/>
    <w:rsid w:val="00AD37C9"/>
    <w:rsid w:val="00AE493F"/>
    <w:rsid w:val="00AF54F0"/>
    <w:rsid w:val="00B02A69"/>
    <w:rsid w:val="00B02C2E"/>
    <w:rsid w:val="00B03AB4"/>
    <w:rsid w:val="00B10C4A"/>
    <w:rsid w:val="00B11F8C"/>
    <w:rsid w:val="00B12235"/>
    <w:rsid w:val="00B155E3"/>
    <w:rsid w:val="00B2142B"/>
    <w:rsid w:val="00B2273C"/>
    <w:rsid w:val="00B23A99"/>
    <w:rsid w:val="00B30E40"/>
    <w:rsid w:val="00B41B79"/>
    <w:rsid w:val="00B43C4B"/>
    <w:rsid w:val="00B50700"/>
    <w:rsid w:val="00B50DB7"/>
    <w:rsid w:val="00B53B9A"/>
    <w:rsid w:val="00B612F0"/>
    <w:rsid w:val="00B61833"/>
    <w:rsid w:val="00B670CA"/>
    <w:rsid w:val="00B72578"/>
    <w:rsid w:val="00B7330A"/>
    <w:rsid w:val="00B770D4"/>
    <w:rsid w:val="00B84855"/>
    <w:rsid w:val="00B94554"/>
    <w:rsid w:val="00B945A9"/>
    <w:rsid w:val="00BA120C"/>
    <w:rsid w:val="00BA25FD"/>
    <w:rsid w:val="00BC4BC9"/>
    <w:rsid w:val="00BC76D2"/>
    <w:rsid w:val="00BC7C40"/>
    <w:rsid w:val="00BD2C60"/>
    <w:rsid w:val="00BE0161"/>
    <w:rsid w:val="00BE20E9"/>
    <w:rsid w:val="00BE6343"/>
    <w:rsid w:val="00BF1E9B"/>
    <w:rsid w:val="00BF744A"/>
    <w:rsid w:val="00C13D24"/>
    <w:rsid w:val="00C17CCE"/>
    <w:rsid w:val="00C2319C"/>
    <w:rsid w:val="00C23C2F"/>
    <w:rsid w:val="00C24F93"/>
    <w:rsid w:val="00C27BE1"/>
    <w:rsid w:val="00C33F52"/>
    <w:rsid w:val="00C40344"/>
    <w:rsid w:val="00C4309A"/>
    <w:rsid w:val="00C44F2A"/>
    <w:rsid w:val="00C46A72"/>
    <w:rsid w:val="00C47394"/>
    <w:rsid w:val="00C55735"/>
    <w:rsid w:val="00C64827"/>
    <w:rsid w:val="00C702AE"/>
    <w:rsid w:val="00C706FB"/>
    <w:rsid w:val="00C74511"/>
    <w:rsid w:val="00C76C49"/>
    <w:rsid w:val="00C77988"/>
    <w:rsid w:val="00C803CA"/>
    <w:rsid w:val="00C80E7E"/>
    <w:rsid w:val="00C81630"/>
    <w:rsid w:val="00C82EF1"/>
    <w:rsid w:val="00C91952"/>
    <w:rsid w:val="00C93B01"/>
    <w:rsid w:val="00C965CF"/>
    <w:rsid w:val="00C96C10"/>
    <w:rsid w:val="00CA68E2"/>
    <w:rsid w:val="00CA7D6F"/>
    <w:rsid w:val="00CC650B"/>
    <w:rsid w:val="00CD2A13"/>
    <w:rsid w:val="00CD4E52"/>
    <w:rsid w:val="00CD7A85"/>
    <w:rsid w:val="00CE0214"/>
    <w:rsid w:val="00CE6C7E"/>
    <w:rsid w:val="00CE6E4F"/>
    <w:rsid w:val="00CF17E0"/>
    <w:rsid w:val="00CF2FF7"/>
    <w:rsid w:val="00CF3582"/>
    <w:rsid w:val="00CF4E72"/>
    <w:rsid w:val="00CF51ED"/>
    <w:rsid w:val="00D02B1E"/>
    <w:rsid w:val="00D07DF1"/>
    <w:rsid w:val="00D12260"/>
    <w:rsid w:val="00D3078E"/>
    <w:rsid w:val="00D330E8"/>
    <w:rsid w:val="00D35ABC"/>
    <w:rsid w:val="00D442E3"/>
    <w:rsid w:val="00D44E68"/>
    <w:rsid w:val="00D47DD0"/>
    <w:rsid w:val="00D52856"/>
    <w:rsid w:val="00D61080"/>
    <w:rsid w:val="00D62E29"/>
    <w:rsid w:val="00D67F8D"/>
    <w:rsid w:val="00D718D2"/>
    <w:rsid w:val="00D71E88"/>
    <w:rsid w:val="00D72E25"/>
    <w:rsid w:val="00D767F3"/>
    <w:rsid w:val="00D81AB3"/>
    <w:rsid w:val="00D8250E"/>
    <w:rsid w:val="00D91B0E"/>
    <w:rsid w:val="00D9215E"/>
    <w:rsid w:val="00D92A4C"/>
    <w:rsid w:val="00D93242"/>
    <w:rsid w:val="00D96B59"/>
    <w:rsid w:val="00DB21EA"/>
    <w:rsid w:val="00DB5D52"/>
    <w:rsid w:val="00DB5E06"/>
    <w:rsid w:val="00DC0935"/>
    <w:rsid w:val="00DC0AC4"/>
    <w:rsid w:val="00DC1908"/>
    <w:rsid w:val="00DD0B73"/>
    <w:rsid w:val="00DD103A"/>
    <w:rsid w:val="00DD145F"/>
    <w:rsid w:val="00DD4A6C"/>
    <w:rsid w:val="00DD7134"/>
    <w:rsid w:val="00DD71EA"/>
    <w:rsid w:val="00DD782C"/>
    <w:rsid w:val="00DE0D0C"/>
    <w:rsid w:val="00DE3FE8"/>
    <w:rsid w:val="00E006E2"/>
    <w:rsid w:val="00E00CD7"/>
    <w:rsid w:val="00E026E6"/>
    <w:rsid w:val="00E0749F"/>
    <w:rsid w:val="00E13891"/>
    <w:rsid w:val="00E13A67"/>
    <w:rsid w:val="00E14A7A"/>
    <w:rsid w:val="00E250DD"/>
    <w:rsid w:val="00E256D4"/>
    <w:rsid w:val="00E37D65"/>
    <w:rsid w:val="00E43D5E"/>
    <w:rsid w:val="00E51281"/>
    <w:rsid w:val="00E51A8A"/>
    <w:rsid w:val="00E52191"/>
    <w:rsid w:val="00E55818"/>
    <w:rsid w:val="00E572CF"/>
    <w:rsid w:val="00E67AF8"/>
    <w:rsid w:val="00E7470E"/>
    <w:rsid w:val="00E74BFD"/>
    <w:rsid w:val="00E753AC"/>
    <w:rsid w:val="00E76659"/>
    <w:rsid w:val="00E77F14"/>
    <w:rsid w:val="00E815A3"/>
    <w:rsid w:val="00E84042"/>
    <w:rsid w:val="00E90F7E"/>
    <w:rsid w:val="00E92FAA"/>
    <w:rsid w:val="00EA6A4C"/>
    <w:rsid w:val="00EB0B89"/>
    <w:rsid w:val="00EC3ABB"/>
    <w:rsid w:val="00EC6ABC"/>
    <w:rsid w:val="00EC6CA7"/>
    <w:rsid w:val="00ED6336"/>
    <w:rsid w:val="00EF0FB6"/>
    <w:rsid w:val="00EF361A"/>
    <w:rsid w:val="00EF6645"/>
    <w:rsid w:val="00EF7F92"/>
    <w:rsid w:val="00F0001B"/>
    <w:rsid w:val="00F01B3E"/>
    <w:rsid w:val="00F02567"/>
    <w:rsid w:val="00F028DD"/>
    <w:rsid w:val="00F02B6C"/>
    <w:rsid w:val="00F0667C"/>
    <w:rsid w:val="00F10CFE"/>
    <w:rsid w:val="00F14E50"/>
    <w:rsid w:val="00F16850"/>
    <w:rsid w:val="00F172EC"/>
    <w:rsid w:val="00F264E5"/>
    <w:rsid w:val="00F2680D"/>
    <w:rsid w:val="00F33284"/>
    <w:rsid w:val="00F348D3"/>
    <w:rsid w:val="00F42506"/>
    <w:rsid w:val="00F458A1"/>
    <w:rsid w:val="00F4792A"/>
    <w:rsid w:val="00F748D9"/>
    <w:rsid w:val="00F754F3"/>
    <w:rsid w:val="00F775C5"/>
    <w:rsid w:val="00F815C2"/>
    <w:rsid w:val="00F87F0F"/>
    <w:rsid w:val="00FA4CB9"/>
    <w:rsid w:val="00FA74E1"/>
    <w:rsid w:val="00FB2A91"/>
    <w:rsid w:val="00FB65E4"/>
    <w:rsid w:val="00FB6873"/>
    <w:rsid w:val="00FB775C"/>
    <w:rsid w:val="00FD03E4"/>
    <w:rsid w:val="00FD0E19"/>
    <w:rsid w:val="00FD130E"/>
    <w:rsid w:val="00FD2C8D"/>
    <w:rsid w:val="00FD3152"/>
    <w:rsid w:val="00FE4249"/>
    <w:rsid w:val="00FE7FAA"/>
    <w:rsid w:val="00FF1061"/>
    <w:rsid w:val="00FF15CF"/>
    <w:rsid w:val="00FF272F"/>
    <w:rsid w:val="4AB403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qFormat="1"/>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qFormat/>
    <w:pPr>
      <w:keepNext/>
      <w:keepLines/>
      <w:spacing w:line="576" w:lineRule="auto"/>
      <w:outlineLvl w:val="0"/>
    </w:pPr>
    <w:rPr>
      <w:rFonts w:ascii="Calibri" w:hAnsi="Calibri"/>
      <w:b/>
      <w:kern w:val="44"/>
      <w:sz w:val="44"/>
    </w:rPr>
  </w:style>
  <w:style w:type="paragraph" w:styleId="Heading2">
    <w:name w:val="heading 2"/>
    <w:basedOn w:val="Normal"/>
    <w:next w:val="Normal"/>
    <w:link w:val="2Char0"/>
    <w:semiHidden/>
    <w:unhideWhenUsed/>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link w:val="3Char"/>
    <w:unhideWhenUsed/>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styleId="NormalIndent">
    <w:name w:val="Normal Indent"/>
    <w:basedOn w:val="Normal"/>
    <w:qFormat/>
    <w:pPr>
      <w:ind w:firstLine="420" w:firstLineChars="200"/>
    </w:pPr>
    <w:rPr>
      <w:szCs w:val="21"/>
    </w:rPr>
  </w:style>
  <w:style w:type="paragraph" w:styleId="BodyText">
    <w:name w:val="Body Text"/>
    <w:basedOn w:val="Normal"/>
    <w:link w:val="Char2"/>
    <w:qFormat/>
    <w:pPr>
      <w:jc w:val="center"/>
    </w:pPr>
    <w:rPr>
      <w:rFonts w:eastAsia="黑体"/>
      <w:sz w:val="36"/>
      <w:szCs w:val="20"/>
    </w:rPr>
  </w:style>
  <w:style w:type="paragraph" w:styleId="BodyTextIndent">
    <w:name w:val="Body Text Indent"/>
    <w:basedOn w:val="Normal"/>
    <w:link w:val="Char10"/>
    <w:qFormat/>
    <w:pPr>
      <w:spacing w:after="120"/>
      <w:ind w:left="420" w:leftChars="200"/>
    </w:pPr>
  </w:style>
  <w:style w:type="paragraph" w:styleId="PlainText">
    <w:name w:val="Plain Text"/>
    <w:basedOn w:val="Normal"/>
    <w:link w:val="Char7"/>
    <w:qFormat/>
    <w:rPr>
      <w:rFonts w:ascii="宋体" w:hAnsi="Courier New"/>
    </w:rPr>
  </w:style>
  <w:style w:type="paragraph" w:styleId="Date">
    <w:name w:val="Date"/>
    <w:basedOn w:val="Normal"/>
    <w:next w:val="Normal"/>
    <w:link w:val="Char3"/>
    <w:qFormat/>
    <w:pPr>
      <w:ind w:left="100" w:leftChars="2500"/>
    </w:pPr>
  </w:style>
  <w:style w:type="paragraph" w:styleId="BodyTextIndent2">
    <w:name w:val="Body Text Indent 2"/>
    <w:basedOn w:val="Normal"/>
    <w:link w:val="2Char"/>
    <w:qFormat/>
    <w:pPr>
      <w:spacing w:after="120" w:line="480" w:lineRule="auto"/>
      <w:ind w:left="420" w:leftChars="200"/>
    </w:pPr>
  </w:style>
  <w:style w:type="paragraph" w:styleId="BalloonText">
    <w:name w:val="Balloon Text"/>
    <w:basedOn w:val="Normal"/>
    <w:link w:val="Char4"/>
    <w:qFormat/>
    <w:rPr>
      <w:sz w:val="18"/>
      <w:szCs w:val="18"/>
    </w:rPr>
  </w:style>
  <w:style w:type="paragraph" w:styleId="Footer">
    <w:name w:val="footer"/>
    <w:basedOn w:val="Normal"/>
    <w:link w:val="Char0"/>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Char5"/>
    <w:qFormat/>
    <w:pPr>
      <w:snapToGrid w:val="0"/>
      <w:jc w:val="left"/>
    </w:pPr>
    <w:rPr>
      <w:sz w:val="18"/>
      <w:szCs w:val="18"/>
    </w:rPr>
  </w:style>
  <w:style w:type="paragraph" w:styleId="NormalWeb">
    <w:name w:val="Normal (Web)"/>
    <w:basedOn w:val="Normal"/>
    <w:qFormat/>
    <w:pPr>
      <w:spacing w:beforeAutospacing="1" w:afterAutospacing="1"/>
      <w:jc w:val="left"/>
    </w:pPr>
    <w:rPr>
      <w:rFonts w:ascii="Calibri" w:hAnsi="Calibri"/>
      <w:kern w:val="0"/>
      <w:sz w:val="24"/>
    </w:rPr>
  </w:style>
  <w:style w:type="paragraph" w:styleId="BodyTextFirstIndent">
    <w:name w:val="Body Text First Indent"/>
    <w:basedOn w:val="BodyText"/>
    <w:link w:val="Char6"/>
    <w:pPr>
      <w:spacing w:after="120"/>
      <w:ind w:firstLine="420" w:firstLineChars="100"/>
      <w:jc w:val="both"/>
    </w:pPr>
    <w:rPr>
      <w:rFonts w:eastAsia="宋体"/>
      <w:sz w:val="21"/>
      <w:szCs w:val="24"/>
    </w:rPr>
  </w:style>
  <w:style w:type="paragraph" w:styleId="BodyTextFirstIndent2">
    <w:name w:val="Body Text First Indent 2"/>
    <w:basedOn w:val="BodyTextIndent"/>
    <w:next w:val="BodyTextFirstIndent"/>
    <w:link w:val="2Char1"/>
    <w:unhideWhenUsed/>
    <w:qFormat/>
    <w:pPr>
      <w:ind w:firstLine="420" w:firstLineChars="200"/>
    </w:pPr>
    <w:rPr>
      <w:rFonts w:ascii="Calibri" w:hAnsi="Calibri"/>
      <w:szCs w:val="22"/>
    </w:rPr>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character" w:customStyle="1" w:styleId="Char">
    <w:name w:val="页眉 Char"/>
    <w:basedOn w:val="DefaultParagraphFont"/>
    <w:link w:val="Header"/>
    <w:uiPriority w:val="99"/>
    <w:qFormat/>
    <w:rPr>
      <w:kern w:val="2"/>
      <w:sz w:val="18"/>
      <w:szCs w:val="18"/>
    </w:rPr>
  </w:style>
  <w:style w:type="character" w:customStyle="1" w:styleId="Char0">
    <w:name w:val="页脚 Char"/>
    <w:basedOn w:val="DefaultParagraphFont"/>
    <w:link w:val="Footer"/>
    <w:uiPriority w:val="99"/>
    <w:qFormat/>
    <w:rPr>
      <w:kern w:val="2"/>
      <w:sz w:val="18"/>
      <w:szCs w:val="18"/>
    </w:rPr>
  </w:style>
  <w:style w:type="character" w:customStyle="1" w:styleId="Char1">
    <w:name w:val="正文文本缩进 Char"/>
    <w:basedOn w:val="DefaultParagraphFont"/>
    <w:link w:val="BodyTextIndent"/>
    <w:qFormat/>
    <w:rPr>
      <w:kern w:val="2"/>
      <w:sz w:val="21"/>
      <w:szCs w:val="24"/>
    </w:rPr>
  </w:style>
  <w:style w:type="character" w:customStyle="1" w:styleId="Char2">
    <w:name w:val="正文文本 Char"/>
    <w:basedOn w:val="DefaultParagraphFont"/>
    <w:link w:val="BodyText"/>
    <w:uiPriority w:val="1"/>
    <w:qFormat/>
    <w:rPr>
      <w:rFonts w:eastAsia="黑体"/>
      <w:kern w:val="2"/>
      <w:sz w:val="36"/>
    </w:rPr>
  </w:style>
  <w:style w:type="character" w:customStyle="1" w:styleId="Char10">
    <w:name w:val="正文文本缩进 Char1"/>
    <w:basedOn w:val="DefaultParagraphFont"/>
    <w:link w:val="BodyTextIndent"/>
    <w:rPr>
      <w:kern w:val="2"/>
      <w:sz w:val="21"/>
      <w:szCs w:val="24"/>
    </w:rPr>
  </w:style>
  <w:style w:type="paragraph" w:customStyle="1" w:styleId="Heading20">
    <w:name w:val="Heading 2_0"/>
    <w:basedOn w:val="Normal"/>
    <w:uiPriority w:val="1"/>
    <w:qFormat/>
    <w:pPr>
      <w:jc w:val="left"/>
      <w:outlineLvl w:val="2"/>
    </w:pPr>
    <w:rPr>
      <w:rFonts w:ascii="宋体" w:hAnsi="宋体"/>
      <w:kern w:val="0"/>
      <w:sz w:val="31"/>
      <w:szCs w:val="31"/>
      <w:lang w:eastAsia="en-US"/>
    </w:rPr>
  </w:style>
  <w:style w:type="paragraph" w:customStyle="1" w:styleId="Heading10">
    <w:name w:val="Heading 1_0"/>
    <w:basedOn w:val="Normal"/>
    <w:uiPriority w:val="1"/>
    <w:qFormat/>
    <w:pPr>
      <w:spacing w:before="38"/>
      <w:ind w:left="118"/>
      <w:jc w:val="left"/>
      <w:outlineLvl w:val="1"/>
    </w:pPr>
    <w:rPr>
      <w:rFonts w:ascii="宋体" w:hAnsi="宋体"/>
      <w:kern w:val="0"/>
      <w:sz w:val="32"/>
      <w:szCs w:val="32"/>
      <w:lang w:eastAsia="en-US"/>
    </w:rPr>
  </w:style>
  <w:style w:type="character" w:customStyle="1" w:styleId="Char3">
    <w:name w:val="日期 Char"/>
    <w:basedOn w:val="DefaultParagraphFont"/>
    <w:link w:val="Date"/>
    <w:rPr>
      <w:kern w:val="2"/>
      <w:sz w:val="21"/>
      <w:szCs w:val="24"/>
    </w:rPr>
  </w:style>
  <w:style w:type="character" w:customStyle="1" w:styleId="1Char">
    <w:name w:val="标题 1 Char"/>
    <w:basedOn w:val="DefaultParagraphFont"/>
    <w:link w:val="Heading1"/>
    <w:rPr>
      <w:rFonts w:ascii="Calibri" w:eastAsia="宋体" w:hAnsi="Calibri" w:cs="Times New Roman"/>
      <w:b/>
      <w:kern w:val="44"/>
      <w:sz w:val="44"/>
      <w:szCs w:val="24"/>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1"/>
    <w:uiPriority w:val="99"/>
    <w:unhideWhenUsed/>
    <w:qFormat/>
    <w:locked/>
    <w:rPr>
      <w:rFonts w:ascii="PMingLiU" w:eastAsia="PMingLiU"/>
      <w:sz w:val="30"/>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unhideWhenUsed/>
    <w:qFormat/>
    <w:pPr>
      <w:shd w:val="clear" w:color="auto" w:fill="FFFFFF"/>
      <w:spacing w:before="560" w:after="280" w:line="300" w:lineRule="exact"/>
    </w:pPr>
    <w:rPr>
      <w:rFonts w:ascii="PMingLiU" w:eastAsia="PMingLiU" w:hint="eastAsia"/>
      <w:kern w:val="0"/>
      <w:sz w:val="30"/>
      <w:szCs w:val="20"/>
    </w:rPr>
  </w:style>
  <w:style w:type="character" w:customStyle="1" w:styleId="Char4">
    <w:name w:val="批注框文本 Char"/>
    <w:basedOn w:val="DefaultParagraphFont"/>
    <w:link w:val="BalloonText"/>
    <w:qFormat/>
    <w:rPr>
      <w:kern w:val="2"/>
      <w:sz w:val="18"/>
      <w:szCs w:val="18"/>
    </w:rPr>
  </w:style>
  <w:style w:type="character" w:customStyle="1" w:styleId="Char5">
    <w:name w:val="脚注文本 Char"/>
    <w:basedOn w:val="DefaultParagraphFont"/>
    <w:link w:val="FootnoteText"/>
    <w:uiPriority w:val="99"/>
    <w:qFormat/>
    <w:rPr>
      <w:kern w:val="2"/>
      <w:sz w:val="18"/>
      <w:szCs w:val="18"/>
    </w:rPr>
  </w:style>
  <w:style w:type="character" w:customStyle="1" w:styleId="a">
    <w:name w:val="正文文本_"/>
    <w:basedOn w:val="DefaultParagraphFont"/>
    <w:link w:val="1"/>
    <w:qFormat/>
    <w:rPr>
      <w:rFonts w:ascii="Arial Unicode MS" w:eastAsia="Arial Unicode MS" w:hAnsi="Arial Unicode MS" w:cs="Arial Unicode MS"/>
      <w:sz w:val="30"/>
      <w:szCs w:val="30"/>
      <w:shd w:val="clear" w:color="auto" w:fill="FFFFFF"/>
    </w:rPr>
  </w:style>
  <w:style w:type="paragraph" w:customStyle="1" w:styleId="1">
    <w:name w:val="正文文本1"/>
    <w:basedOn w:val="Normal"/>
    <w:link w:val="a"/>
    <w:qFormat/>
    <w:pPr>
      <w:shd w:val="clear" w:color="auto" w:fill="FFFFFF"/>
      <w:spacing w:line="619" w:lineRule="exact"/>
      <w:ind w:hanging="1100"/>
      <w:jc w:val="left"/>
    </w:pPr>
    <w:rPr>
      <w:rFonts w:ascii="Arial Unicode MS" w:eastAsia="Arial Unicode MS" w:hAnsi="Arial Unicode MS" w:cs="Arial Unicode MS"/>
      <w:kern w:val="0"/>
      <w:sz w:val="30"/>
      <w:szCs w:val="30"/>
    </w:rPr>
  </w:style>
  <w:style w:type="character" w:customStyle="1" w:styleId="17pt">
    <w:name w:val="正文文本 + 17 pt"/>
    <w:basedOn w:val="a"/>
    <w:qFormat/>
    <w:rPr>
      <w:color w:val="000000"/>
      <w:spacing w:val="0"/>
      <w:w w:val="80"/>
      <w:position w:val="0"/>
      <w:sz w:val="34"/>
      <w:szCs w:val="34"/>
      <w:lang w:val="zh-CN"/>
    </w:rPr>
  </w:style>
  <w:style w:type="character" w:customStyle="1" w:styleId="17pt1">
    <w:name w:val="正文文本 + 17 pt1"/>
    <w:basedOn w:val="a"/>
    <w:qFormat/>
    <w:rPr>
      <w:color w:val="000000"/>
      <w:spacing w:val="0"/>
      <w:w w:val="80"/>
      <w:position w:val="0"/>
      <w:sz w:val="34"/>
      <w:szCs w:val="34"/>
      <w:lang w:val="zh-CN"/>
    </w:rPr>
  </w:style>
  <w:style w:type="character" w:customStyle="1" w:styleId="4">
    <w:name w:val="正文文本 (4)_"/>
    <w:basedOn w:val="DefaultParagraphFont"/>
    <w:link w:val="40"/>
    <w:rPr>
      <w:rFonts w:ascii="Arial Unicode MS" w:eastAsia="Arial Unicode MS" w:hAnsi="Arial Unicode MS" w:cs="Arial Unicode MS"/>
      <w:sz w:val="30"/>
      <w:szCs w:val="30"/>
      <w:shd w:val="clear" w:color="auto" w:fill="FFFFFF"/>
    </w:rPr>
  </w:style>
  <w:style w:type="paragraph" w:customStyle="1" w:styleId="40">
    <w:name w:val="正文文本 (4)"/>
    <w:basedOn w:val="Normal"/>
    <w:link w:val="4"/>
    <w:qFormat/>
    <w:pPr>
      <w:shd w:val="clear" w:color="auto" w:fill="FFFFFF"/>
      <w:spacing w:line="619" w:lineRule="exact"/>
      <w:jc w:val="distribute"/>
    </w:pPr>
    <w:rPr>
      <w:rFonts w:ascii="Arial Unicode MS" w:eastAsia="Arial Unicode MS" w:hAnsi="Arial Unicode MS" w:cs="Arial Unicode MS"/>
      <w:kern w:val="0"/>
      <w:sz w:val="30"/>
      <w:szCs w:val="30"/>
    </w:rPr>
  </w:style>
  <w:style w:type="character" w:customStyle="1" w:styleId="80">
    <w:name w:val="正文文本 + 缩放 80%"/>
    <w:basedOn w:val="a"/>
    <w:qFormat/>
    <w:rPr>
      <w:color w:val="000000"/>
      <w:spacing w:val="0"/>
      <w:w w:val="80"/>
      <w:position w:val="0"/>
      <w:lang w:val="zh-CN"/>
    </w:rPr>
  </w:style>
  <w:style w:type="character" w:customStyle="1" w:styleId="9">
    <w:name w:val="正文文本 (9)_"/>
    <w:basedOn w:val="DefaultParagraphFont"/>
    <w:link w:val="90"/>
    <w:qFormat/>
    <w:rPr>
      <w:rFonts w:ascii="Arial Unicode MS" w:eastAsia="Arial Unicode MS" w:hAnsi="Arial Unicode MS" w:cs="Arial Unicode MS"/>
      <w:spacing w:val="20"/>
      <w:w w:val="80"/>
      <w:sz w:val="30"/>
      <w:szCs w:val="30"/>
      <w:shd w:val="clear" w:color="auto" w:fill="FFFFFF"/>
    </w:rPr>
  </w:style>
  <w:style w:type="paragraph" w:customStyle="1" w:styleId="90">
    <w:name w:val="正文文本 (9)"/>
    <w:basedOn w:val="Normal"/>
    <w:link w:val="9"/>
    <w:qFormat/>
    <w:pPr>
      <w:shd w:val="clear" w:color="auto" w:fill="FFFFFF"/>
      <w:spacing w:line="0" w:lineRule="atLeast"/>
      <w:jc w:val="left"/>
    </w:pPr>
    <w:rPr>
      <w:rFonts w:ascii="Arial Unicode MS" w:eastAsia="Arial Unicode MS" w:hAnsi="Arial Unicode MS" w:cs="Arial Unicode MS"/>
      <w:spacing w:val="20"/>
      <w:w w:val="80"/>
      <w:kern w:val="0"/>
      <w:sz w:val="30"/>
      <w:szCs w:val="30"/>
    </w:rPr>
  </w:style>
  <w:style w:type="character" w:customStyle="1" w:styleId="2">
    <w:name w:val="标题 #2_"/>
    <w:basedOn w:val="DefaultParagraphFont"/>
    <w:link w:val="20"/>
    <w:qFormat/>
    <w:rPr>
      <w:rFonts w:ascii="Arial Unicode MS" w:eastAsia="Arial Unicode MS" w:hAnsi="Arial Unicode MS" w:cs="Arial Unicode MS"/>
      <w:sz w:val="36"/>
      <w:szCs w:val="36"/>
      <w:shd w:val="clear" w:color="auto" w:fill="FFFFFF"/>
    </w:rPr>
  </w:style>
  <w:style w:type="paragraph" w:customStyle="1" w:styleId="20">
    <w:name w:val="标题 #2"/>
    <w:basedOn w:val="Normal"/>
    <w:link w:val="2"/>
    <w:qFormat/>
    <w:pPr>
      <w:shd w:val="clear" w:color="auto" w:fill="FFFFFF"/>
      <w:spacing w:after="420" w:line="0" w:lineRule="atLeast"/>
      <w:jc w:val="center"/>
      <w:outlineLvl w:val="1"/>
    </w:pPr>
    <w:rPr>
      <w:rFonts w:ascii="Arial Unicode MS" w:eastAsia="Arial Unicode MS" w:hAnsi="Arial Unicode MS" w:cs="Arial Unicode MS"/>
      <w:kern w:val="0"/>
      <w:sz w:val="36"/>
      <w:szCs w:val="36"/>
    </w:rPr>
  </w:style>
  <w:style w:type="character" w:customStyle="1" w:styleId="13">
    <w:name w:val="正文文本 (13)_"/>
    <w:basedOn w:val="DefaultParagraphFont"/>
    <w:link w:val="130"/>
    <w:qFormat/>
    <w:rPr>
      <w:rFonts w:ascii="Arial Unicode MS" w:eastAsia="Arial Unicode MS" w:hAnsi="Arial Unicode MS" w:cs="Arial Unicode MS"/>
      <w:sz w:val="28"/>
      <w:szCs w:val="28"/>
      <w:shd w:val="clear" w:color="auto" w:fill="FFFFFF"/>
    </w:rPr>
  </w:style>
  <w:style w:type="paragraph" w:customStyle="1" w:styleId="130">
    <w:name w:val="正文文本 (13)"/>
    <w:basedOn w:val="Normal"/>
    <w:link w:val="13"/>
    <w:qFormat/>
    <w:pPr>
      <w:shd w:val="clear" w:color="auto" w:fill="FFFFFF"/>
      <w:spacing w:after="360" w:line="0" w:lineRule="atLeast"/>
      <w:jc w:val="left"/>
    </w:pPr>
    <w:rPr>
      <w:rFonts w:ascii="Arial Unicode MS" w:eastAsia="Arial Unicode MS" w:hAnsi="Arial Unicode MS" w:cs="Arial Unicode MS"/>
      <w:kern w:val="0"/>
      <w:sz w:val="28"/>
      <w:szCs w:val="28"/>
    </w:rPr>
  </w:style>
  <w:style w:type="character" w:customStyle="1" w:styleId="10">
    <w:name w:val="标题 #1_"/>
    <w:basedOn w:val="DefaultParagraphFont"/>
    <w:link w:val="11"/>
    <w:qFormat/>
    <w:rPr>
      <w:rFonts w:ascii="Arial Unicode MS" w:eastAsia="Arial Unicode MS" w:hAnsi="Arial Unicode MS" w:cs="Arial Unicode MS"/>
      <w:sz w:val="46"/>
      <w:szCs w:val="46"/>
      <w:shd w:val="clear" w:color="auto" w:fill="FFFFFF"/>
    </w:rPr>
  </w:style>
  <w:style w:type="paragraph" w:customStyle="1" w:styleId="11">
    <w:name w:val="标题 #1"/>
    <w:basedOn w:val="Normal"/>
    <w:link w:val="10"/>
    <w:qFormat/>
    <w:pPr>
      <w:shd w:val="clear" w:color="auto" w:fill="FFFFFF"/>
      <w:spacing w:before="360" w:after="1020" w:line="946" w:lineRule="exact"/>
      <w:jc w:val="center"/>
      <w:outlineLvl w:val="0"/>
    </w:pPr>
    <w:rPr>
      <w:rFonts w:ascii="Arial Unicode MS" w:eastAsia="Arial Unicode MS" w:hAnsi="Arial Unicode MS" w:cs="Arial Unicode MS"/>
      <w:kern w:val="0"/>
      <w:sz w:val="46"/>
      <w:szCs w:val="46"/>
    </w:rPr>
  </w:style>
  <w:style w:type="character" w:customStyle="1" w:styleId="90pt1">
    <w:name w:val="正文文本 (9) + 间距 0 pt1"/>
    <w:basedOn w:val="9"/>
    <w:qFormat/>
    <w:rPr>
      <w:color w:val="000000"/>
      <w:spacing w:val="0"/>
      <w:w w:val="100"/>
      <w:position w:val="0"/>
      <w:lang w:val="zh-CN"/>
    </w:rPr>
  </w:style>
  <w:style w:type="character" w:customStyle="1" w:styleId="9100">
    <w:name w:val="正文文本 (9) + 缩放 100%"/>
    <w:basedOn w:val="9"/>
    <w:qFormat/>
    <w:rPr>
      <w:color w:val="000000"/>
      <w:w w:val="100"/>
      <w:position w:val="0"/>
      <w:lang w:val="zh-CN"/>
    </w:rPr>
  </w:style>
  <w:style w:type="character" w:customStyle="1" w:styleId="font11">
    <w:name w:val="font11"/>
    <w:basedOn w:val="DefaultParagraphFont"/>
    <w:qFormat/>
    <w:rPr>
      <w:rFonts w:ascii="仿宋_GB2312" w:eastAsia="仿宋_GB2312" w:cs="仿宋_GB2312" w:hint="eastAsia"/>
      <w:color w:val="000000"/>
      <w:sz w:val="32"/>
      <w:szCs w:val="32"/>
      <w:u w:val="none"/>
    </w:rPr>
  </w:style>
  <w:style w:type="character" w:customStyle="1" w:styleId="font41">
    <w:name w:val="font41"/>
    <w:basedOn w:val="DefaultParagraphFont"/>
    <w:qFormat/>
    <w:rPr>
      <w:rFonts w:ascii="宋体" w:eastAsia="宋体" w:hAnsi="宋体" w:cs="宋体" w:hint="eastAsia"/>
      <w:color w:val="000000"/>
      <w:sz w:val="32"/>
      <w:szCs w:val="32"/>
      <w:u w:val="none"/>
    </w:rPr>
  </w:style>
  <w:style w:type="character" w:customStyle="1" w:styleId="2Char">
    <w:name w:val="正文文本缩进 2 Char"/>
    <w:basedOn w:val="DefaultParagraphFont"/>
    <w:link w:val="BodyTextIndent2"/>
    <w:rPr>
      <w:kern w:val="2"/>
      <w:sz w:val="21"/>
      <w:szCs w:val="24"/>
    </w:rPr>
  </w:style>
  <w:style w:type="paragraph" w:styleId="ListParagraph">
    <w:name w:val="List Paragraph"/>
    <w:basedOn w:val="Normal"/>
    <w:uiPriority w:val="34"/>
    <w:qFormat/>
    <w:pPr>
      <w:ind w:firstLine="420" w:firstLineChars="200"/>
    </w:pPr>
    <w:rPr>
      <w:rFonts w:ascii="Calibri" w:hAnsi="Calibri"/>
      <w:szCs w:val="22"/>
    </w:rPr>
  </w:style>
  <w:style w:type="paragraph" w:customStyle="1" w:styleId="paragraphtext-align-type-centerpap-line-28ptpap-line-rule-exactpap-spacing-before-0ptpap-spacing-after-0pt">
    <w:name w:val="paragraph text-align-type-center pap-line-28pt pap-line-rule-exact pap-spacing-before-0pt pap-spacing-after-0pt"/>
    <w:basedOn w:val="Normal"/>
    <w:pPr>
      <w:widowControl/>
      <w:spacing w:before="100" w:beforeAutospacing="1" w:after="100" w:afterAutospacing="1"/>
      <w:jc w:val="left"/>
    </w:pPr>
    <w:rPr>
      <w:rFonts w:ascii="宋体" w:hAnsi="宋体" w:cs="宋体"/>
      <w:kern w:val="0"/>
      <w:sz w:val="24"/>
    </w:rPr>
  </w:style>
  <w:style w:type="paragraph" w:customStyle="1" w:styleId="paragraphtext-align-type-justifypap-line-28ptpap-line-rule-exactpap-spacing-before-0ptpap-spacing-after-0pt">
    <w:name w:val="paragraph text-align-type-justify pap-line-28pt pap-line-rule-exact pap-spacing-before-0pt pap-spacing-after-0pt"/>
    <w:basedOn w:val="Normal"/>
    <w:pPr>
      <w:widowControl/>
      <w:spacing w:before="100" w:beforeAutospacing="1" w:after="100" w:afterAutospacing="1"/>
      <w:jc w:val="left"/>
    </w:pPr>
    <w:rPr>
      <w:rFonts w:ascii="宋体" w:hAnsi="宋体" w:cs="宋体"/>
      <w:kern w:val="0"/>
      <w:sz w:val="24"/>
    </w:rPr>
  </w:style>
  <w:style w:type="character" w:customStyle="1" w:styleId="2Char0">
    <w:name w:val="标题 2 Char"/>
    <w:basedOn w:val="DefaultParagraphFont"/>
    <w:link w:val="Heading2"/>
    <w:semiHidden/>
    <w:rPr>
      <w:rFonts w:ascii="Cambria" w:eastAsia="宋体" w:hAnsi="Cambria" w:cs="Times New Roman"/>
      <w:b/>
      <w:bCs/>
      <w:kern w:val="2"/>
      <w:sz w:val="32"/>
      <w:szCs w:val="32"/>
    </w:rPr>
  </w:style>
  <w:style w:type="character" w:customStyle="1" w:styleId="Char6">
    <w:name w:val="正文首行缩进 Char"/>
    <w:basedOn w:val="Char2"/>
    <w:link w:val="BodyTextFirstIndent"/>
    <w:rPr>
      <w:sz w:val="21"/>
      <w:szCs w:val="24"/>
    </w:rPr>
  </w:style>
  <w:style w:type="character" w:customStyle="1" w:styleId="2Char1">
    <w:name w:val="正文首行缩进 2 Char"/>
    <w:basedOn w:val="Char1"/>
    <w:link w:val="BodyTextFirstIndent2"/>
    <w:uiPriority w:val="99"/>
    <w:rPr>
      <w:rFonts w:ascii="Calibri" w:hAnsi="Calibri"/>
      <w:szCs w:val="22"/>
    </w:rPr>
  </w:style>
  <w:style w:type="character" w:customStyle="1" w:styleId="NormalCharacter">
    <w:name w:val="NormalCharacter"/>
    <w:qFormat/>
  </w:style>
  <w:style w:type="paragraph" w:customStyle="1" w:styleId="ParaCharCharCharChar">
    <w:name w:val="默认段落字体 Para Char Char Char Char"/>
    <w:basedOn w:val="Normal"/>
    <w:rPr>
      <w:szCs w:val="21"/>
    </w:rPr>
  </w:style>
  <w:style w:type="paragraph" w:customStyle="1" w:styleId="Default">
    <w:name w:val="Default"/>
    <w:uiPriority w:val="99"/>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15">
    <w:name w:val="15"/>
    <w:basedOn w:val="DefaultParagraphFont"/>
    <w:qFormat/>
    <w:rPr>
      <w:rFonts w:ascii="Times New Roman" w:hAnsi="Times New Roman" w:cs="Times New Roman" w:hint="default"/>
    </w:rPr>
  </w:style>
  <w:style w:type="paragraph" w:customStyle="1" w:styleId="p0">
    <w:name w:val="p0"/>
    <w:basedOn w:val="Normal"/>
    <w:qFormat/>
    <w:rPr>
      <w:kern w:val="0"/>
      <w:szCs w:val="21"/>
    </w:rPr>
  </w:style>
  <w:style w:type="character" w:customStyle="1" w:styleId="16">
    <w:name w:val="16"/>
    <w:basedOn w:val="DefaultParagraphFont"/>
    <w:qFormat/>
    <w:rPr>
      <w:rFonts w:ascii="Times New Roman" w:eastAsia="楷体_GB2312" w:hAnsi="Times New Roman" w:cs="楷体_GB2312" w:hint="default"/>
      <w:sz w:val="32"/>
      <w:szCs w:val="32"/>
    </w:rPr>
  </w:style>
  <w:style w:type="character" w:customStyle="1" w:styleId="3Char">
    <w:name w:val="标题 3 Char"/>
    <w:basedOn w:val="DefaultParagraphFont"/>
    <w:link w:val="Heading3"/>
    <w:semiHidden/>
    <w:qFormat/>
    <w:rPr>
      <w:b/>
      <w:bCs/>
      <w:kern w:val="2"/>
      <w:sz w:val="32"/>
      <w:szCs w:val="32"/>
    </w:rPr>
  </w:style>
  <w:style w:type="character" w:customStyle="1" w:styleId="Char7">
    <w:name w:val="纯文本 Char"/>
    <w:basedOn w:val="DefaultParagraphFont"/>
    <w:link w:val="PlainText"/>
    <w:rPr>
      <w:rFonts w:ascii="宋体" w:hAnsi="Courier New"/>
      <w:kern w:val="2"/>
      <w:sz w:val="21"/>
      <w:szCs w:val="24"/>
    </w:rPr>
  </w:style>
  <w:style w:type="paragraph" w:customStyle="1" w:styleId="a0">
    <w:name w:val="正文格式"/>
    <w:basedOn w:val="Normal"/>
    <w:qFormat/>
    <w:pPr>
      <w:tabs>
        <w:tab w:val="left" w:pos="992"/>
      </w:tabs>
      <w:ind w:firstLine="200" w:firstLineChars="200"/>
    </w:pPr>
    <w:rPr>
      <w:rFonts w:ascii="宋体" w:hAnsi="宋体"/>
    </w:rPr>
  </w:style>
  <w:style w:type="paragraph" w:customStyle="1" w:styleId="12">
    <w:name w:val="样式1"/>
    <w:basedOn w:val="Normal"/>
    <w:qFormat/>
    <w:pPr>
      <w:spacing w:line="560" w:lineRule="exact"/>
    </w:pPr>
    <w:rPr>
      <w:rFonts w:ascii="Calibri" w:eastAsia="仿宋_GB2312" w:hAnsi="Calibri"/>
      <w:sz w:val="32"/>
    </w:rPr>
  </w:style>
  <w:style w:type="paragraph" w:customStyle="1" w:styleId="NormalIndent0">
    <w:name w:val="NormalIndent"/>
    <w:qFormat/>
    <w:pPr>
      <w:ind w:firstLine="420" w:firstLineChars="200"/>
      <w:jc w:val="both"/>
      <w:textAlignment w:val="baseline"/>
    </w:pPr>
    <w:rPr>
      <w:rFonts w:ascii="Times New Roman" w:eastAsia="仿宋_GB2312" w:hAnsi="Times New Roman" w:cs="Times New Roman"/>
      <w:kern w:val="2"/>
      <w:sz w:val="32"/>
      <w:szCs w:val="32"/>
      <w:lang w:val="en-US" w:eastAsia="zh-CN" w:bidi="ar-SA"/>
    </w:rPr>
  </w:style>
  <w:style w:type="paragraph" w:customStyle="1" w:styleId="09922">
    <w:name w:val="样式 四号 首行缩进:  0.99 厘米 行距: 固定值 22 磅"/>
    <w:basedOn w:val="Normal"/>
    <w:qFormat/>
    <w:pPr>
      <w:spacing w:line="520" w:lineRule="exact"/>
      <w:ind w:firstLine="567"/>
    </w:pPr>
    <w:rPr>
      <w:rFonts w:ascii="Calibri" w:hAnsi="Calibri" w:cs="宋体"/>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quote.eastmoney.com/unify/r/90.BK0740" TargetMode="External" /><Relationship Id="rId6" Type="http://schemas.openxmlformats.org/officeDocument/2006/relationships/hyperlink" Target="http://quote.eastmoney.com/unify/r/90.BK0922"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B31A1-C99C-41D5-B79A-15456AFDA7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11384</Words>
  <Characters>12277</Characters>
  <Application>Microsoft Office Word</Application>
  <DocSecurity>0</DocSecurity>
  <Lines>88</Lines>
  <Paragraphs>24</Paragraphs>
  <ScaleCrop>false</ScaleCrop>
  <Company>china</Company>
  <LinksUpToDate>false</LinksUpToDate>
  <CharactersWithSpaces>12286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杨洪顺律师</cp:lastModifiedBy>
  <cp:revision>2</cp:revision>
  <cp:lastPrinted>2023-11-28T00:56:00Z</cp:lastPrinted>
  <dcterms:created xsi:type="dcterms:W3CDTF">2024-05-16T07:43:00Z</dcterms:created>
  <dcterms:modified xsi:type="dcterms:W3CDTF">2026-07-10T06:59:04Z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80926058AF794B0DA5CCC0E549142CBE_13</vt:lpwstr>
  </property>
  <property fmtid="{D5CDD505-2E9C-101B-9397-08002B2CF9AE}" pid="3" name="KSOProductBuildVer">
    <vt:lpwstr>2052-12.1.0.26895</vt:lpwstr>
  </property>
  <property fmtid="{D5CDD505-2E9C-101B-9397-08002B2CF9AE}" pid="4" name="KSOTemplateDocerSaveRecord">
    <vt:lpwstr>eyJoZGlkIjoiNzYxMzU0MGNiODRkZjMxOTk4NmUxY2Y0OWNmZjRjMmQiLCJ1c2VySWQiOiI0MzQxNzY3NDUifQ==</vt:lpwstr>
  </property>
</Properties>
</file>