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F254C">
      <w:pPr>
        <w:spacing w:line="7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3"/>
          <w:sz w:val="44"/>
          <w:szCs w:val="44"/>
        </w:rPr>
        <w:t>关于寿县2025年财政决算草案的报告</w:t>
      </w:r>
    </w:p>
    <w:p w14:paraId="1C292A62">
      <w:pPr>
        <w:spacing w:line="550" w:lineRule="exact"/>
        <w:jc w:val="center"/>
        <w:rPr>
          <w:rFonts w:ascii="楷体_GB2312" w:hAnsi="宋体" w:eastAsia="楷体_GB2312" w:cs="楷体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b/>
          <w:bCs/>
          <w:color w:val="000000" w:themeColor="text1"/>
          <w:sz w:val="32"/>
          <w:szCs w:val="32"/>
          <w:shd w:val="clear" w:color="auto" w:fill="FFFFFF"/>
        </w:rPr>
        <w:t>——</w:t>
      </w:r>
      <w:r>
        <w:rPr>
          <w:rFonts w:hint="eastAsia" w:ascii="楷体_GB2312" w:hAnsi="宋体" w:eastAsia="楷体_GB2312" w:cs="楷体"/>
          <w:b/>
          <w:bCs/>
          <w:color w:val="000000" w:themeColor="text1"/>
          <w:sz w:val="32"/>
          <w:szCs w:val="32"/>
          <w:shd w:val="clear" w:color="auto" w:fill="FFFFFF"/>
        </w:rPr>
        <w:t>在2026年6月</w:t>
      </w:r>
      <w:r>
        <w:rPr>
          <w:rFonts w:ascii="楷体_GB2312" w:hAnsi="宋体" w:eastAsia="楷体_GB2312" w:cs="楷体"/>
          <w:b/>
          <w:bCs/>
          <w:color w:val="000000" w:themeColor="text1"/>
          <w:sz w:val="32"/>
          <w:szCs w:val="32"/>
          <w:shd w:val="clear" w:color="auto" w:fill="FFFFFF"/>
        </w:rPr>
        <w:t>17</w:t>
      </w:r>
      <w:r>
        <w:rPr>
          <w:rFonts w:hint="eastAsia" w:ascii="楷体_GB2312" w:hAnsi="宋体" w:eastAsia="楷体_GB2312" w:cs="楷体"/>
          <w:b/>
          <w:bCs/>
          <w:color w:val="000000" w:themeColor="text1"/>
          <w:sz w:val="32"/>
          <w:szCs w:val="32"/>
          <w:shd w:val="clear" w:color="auto" w:fill="FFFFFF"/>
        </w:rPr>
        <w:t>日寿县十八届人大常委会</w:t>
      </w:r>
    </w:p>
    <w:p w14:paraId="36334AD5">
      <w:pPr>
        <w:spacing w:line="550" w:lineRule="exact"/>
        <w:jc w:val="center"/>
        <w:rPr>
          <w:rFonts w:ascii="楷体_GB2312" w:hAnsi="宋体" w:eastAsia="楷体_GB2312" w:cs="楷体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楷体"/>
          <w:b/>
          <w:bCs/>
          <w:color w:val="000000" w:themeColor="text1"/>
          <w:sz w:val="32"/>
          <w:szCs w:val="32"/>
          <w:shd w:val="clear" w:color="auto" w:fill="FFFFFF"/>
        </w:rPr>
        <w:t>第三十八次会议上</w:t>
      </w:r>
    </w:p>
    <w:p w14:paraId="32C7759C">
      <w:pPr>
        <w:shd w:val="clear" w:color="auto" w:fill="FFFFFF"/>
        <w:topLinePunct/>
        <w:spacing w:line="550" w:lineRule="exact"/>
        <w:jc w:val="center"/>
        <w:rPr>
          <w:rFonts w:ascii="楷体_GB2312" w:hAnsi="宋体" w:eastAsia="楷体_GB2312" w:cs="楷体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楷体"/>
          <w:b/>
          <w:bCs/>
          <w:color w:val="000000" w:themeColor="text1"/>
          <w:sz w:val="32"/>
          <w:szCs w:val="32"/>
          <w:shd w:val="clear" w:color="auto" w:fill="FFFFFF"/>
        </w:rPr>
        <w:t>寿县财政局局长    李大庆</w:t>
      </w:r>
    </w:p>
    <w:p w14:paraId="76BA17B9">
      <w:pPr>
        <w:topLinePunct/>
        <w:spacing w:line="560" w:lineRule="exact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</w:rPr>
      </w:pPr>
    </w:p>
    <w:p w14:paraId="20BBBA61">
      <w:pPr>
        <w:topLinePunct/>
        <w:spacing w:line="560" w:lineRule="exact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县人大常委会主任、副主任，各位委员:</w:t>
      </w:r>
    </w:p>
    <w:p w14:paraId="075E0B12">
      <w:pPr>
        <w:topLinePunct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我受县政府委托，向县人大常委会报告2025年财政决算情况，请予审议。</w:t>
      </w:r>
    </w:p>
    <w:p w14:paraId="135017AF">
      <w:pPr>
        <w:topLinePunct/>
        <w:spacing w:line="56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一、2025年全县财政决算情况</w:t>
      </w:r>
    </w:p>
    <w:p w14:paraId="2A8A009C">
      <w:pPr>
        <w:topLinePunct/>
        <w:spacing w:line="560" w:lineRule="exact"/>
        <w:ind w:firstLine="640" w:firstLineChars="200"/>
        <w:rPr>
          <w:rFonts w:ascii="楷体_GB2312" w:hAnsi="楷体" w:eastAsia="楷体_GB2312" w:cs="宋体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color w:val="000000" w:themeColor="text1"/>
          <w:kern w:val="0"/>
          <w:sz w:val="32"/>
          <w:szCs w:val="32"/>
        </w:rPr>
        <w:t>（一）一般公共预算收支情况</w:t>
      </w:r>
    </w:p>
    <w:p w14:paraId="6EA96A2E">
      <w:pPr>
        <w:topLinePunct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ascii="仿宋_GB2312" w:hAnsi="仿宋" w:eastAsia="仿宋_GB2312"/>
          <w:color w:val="000000" w:themeColor="text1"/>
          <w:sz w:val="32"/>
          <w:szCs w:val="32"/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5年县人代会批准一般公共预算收入214000万元，全年完成</w:t>
      </w:r>
      <w:r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</w:rPr>
        <w:t>213158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万元，增长</w:t>
      </w:r>
      <w:r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</w:rPr>
        <w:t>8%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，占年初预算的99.6%。其中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</w:rPr>
        <w:t>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税收收入120498万元，增长4.4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；非税收入92660万元，增长0.8%。非税占比43.5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，较上年下降1个百分点。一般公共预算支出经县三十二次人大常委会批准调整为</w:t>
      </w:r>
      <w:r>
        <w:rPr>
          <w:rStyle w:val="63"/>
          <w:rFonts w:ascii="仿宋_GB2312" w:hAnsi="仿宋" w:eastAsia="仿宋_GB2312"/>
          <w:color w:val="000000"/>
          <w:kern w:val="0"/>
          <w:sz w:val="32"/>
          <w:szCs w:val="32"/>
        </w:rPr>
        <w:t>811864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万元，全年完成</w:t>
      </w:r>
      <w:r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</w:rPr>
        <w:t>819729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万元，增长</w:t>
      </w:r>
      <w:r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</w:rPr>
        <w:t>1.5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，完成调整预算的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10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1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。</w:t>
      </w:r>
    </w:p>
    <w:p w14:paraId="6200188E">
      <w:pPr>
        <w:topLinePunct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2025年决算收入总计859197万元，其中：一般公共预算收入213158万元、上级补助收入567117万元（返还收入15524万元、一般性转移支付收入512163万元、专项转移支付收入39430万元）、一般债券转贷收入33631万元</w:t>
      </w:r>
      <w:bookmarkStart w:id="0" w:name="OLE_LINK7"/>
      <w:bookmarkStart w:id="1" w:name="OLE_LINK13"/>
      <w:r>
        <w:rPr>
          <w:rFonts w:hint="eastAsia" w:ascii="仿宋_GB2312" w:hAnsi="仿宋" w:eastAsia="仿宋_GB2312"/>
          <w:sz w:val="32"/>
          <w:szCs w:val="32"/>
        </w:rPr>
        <w:t>（一般债券</w:t>
      </w:r>
      <w:r>
        <w:rPr>
          <w:rFonts w:ascii="仿宋_GB2312" w:hAnsi="仿宋" w:eastAsia="仿宋_GB2312"/>
          <w:sz w:val="32"/>
          <w:szCs w:val="32"/>
        </w:rPr>
        <w:t>14505万元、再融资债券19126万元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）</w:t>
      </w:r>
      <w:bookmarkEnd w:id="0"/>
      <w:bookmarkEnd w:id="1"/>
      <w:r>
        <w:rPr>
          <w:rFonts w:hint="eastAsia" w:ascii="仿宋_GB2312" w:hAnsi="仿宋" w:eastAsia="仿宋_GB2312"/>
          <w:sz w:val="32"/>
          <w:szCs w:val="32"/>
        </w:rPr>
        <w:t>、调入资金43728万元(其中：国有资本经营预算调入3228万元</w:t>
      </w:r>
      <w:r>
        <w:rPr>
          <w:rFonts w:ascii="仿宋_GB2312" w:hAnsi="仿宋" w:eastAsia="仿宋_GB2312"/>
          <w:sz w:val="32"/>
          <w:szCs w:val="32"/>
        </w:rPr>
        <w:t>、市级补助资金调入</w:t>
      </w:r>
      <w:r>
        <w:rPr>
          <w:rFonts w:hint="eastAsia" w:ascii="仿宋_GB2312" w:hAnsi="仿宋" w:eastAsia="仿宋_GB2312"/>
          <w:sz w:val="32"/>
          <w:szCs w:val="32"/>
        </w:rPr>
        <w:t>40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500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万元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）、上年结转1563万元。</w:t>
      </w:r>
    </w:p>
    <w:p w14:paraId="5BC14563">
      <w:pPr>
        <w:topLinePunct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2025年决算支出总计859197万元，其中：一般公共预算支出819729万元、上解上级支出2839万元、地方政府一般债券还本支出26155万元、结转下年支出10474万元。</w:t>
      </w:r>
    </w:p>
    <w:p w14:paraId="106F32F8">
      <w:pPr>
        <w:topLinePunct/>
        <w:spacing w:line="560" w:lineRule="exact"/>
        <w:ind w:firstLine="640" w:firstLineChars="200"/>
        <w:rPr>
          <w:rFonts w:ascii="楷体_GB2312" w:hAnsi="楷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color w:val="000000" w:themeColor="text1"/>
          <w:kern w:val="0"/>
          <w:sz w:val="32"/>
          <w:szCs w:val="32"/>
        </w:rPr>
        <w:t>（二）政府性基金预算收支情况</w:t>
      </w:r>
    </w:p>
    <w:p w14:paraId="325FC361">
      <w:pPr>
        <w:tabs>
          <w:tab w:val="left" w:pos="720"/>
        </w:tabs>
        <w:topLinePunct/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bookmarkStart w:id="2" w:name="OLE_LINK10"/>
      <w:bookmarkStart w:id="3" w:name="OLE_LINK11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2025年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县人代会批准</w:t>
      </w:r>
      <w:bookmarkEnd w:id="2"/>
      <w:bookmarkEnd w:id="3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政府性基金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年初预算收入</w:t>
      </w:r>
      <w:r>
        <w:rPr>
          <w:rFonts w:hint="eastAsia" w:ascii="仿宋_GB2312" w:hAnsi="华文仿宋" w:eastAsia="仿宋_GB2312"/>
          <w:bCs/>
          <w:color w:val="000000" w:themeColor="text1"/>
          <w:sz w:val="32"/>
          <w:szCs w:val="32"/>
        </w:rPr>
        <w:t>232460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万元，经县三十二次人大常委会批准调整为</w:t>
      </w:r>
      <w:r>
        <w:rPr>
          <w:rStyle w:val="63"/>
          <w:rFonts w:ascii="仿宋_GB2312" w:hAnsi="仿宋" w:eastAsia="仿宋_GB2312"/>
          <w:color w:val="000000"/>
          <w:kern w:val="0"/>
          <w:sz w:val="32"/>
          <w:szCs w:val="32"/>
        </w:rPr>
        <w:t>580626</w:t>
      </w:r>
      <w:r>
        <w:rPr>
          <w:rFonts w:hint="eastAsia" w:ascii="仿宋_GB2312" w:hAnsi="华文仿宋" w:eastAsia="仿宋_GB2312"/>
          <w:bCs/>
          <w:color w:val="000000" w:themeColor="text1"/>
          <w:sz w:val="32"/>
          <w:szCs w:val="32"/>
        </w:rPr>
        <w:t>万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元（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本级政府性基金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预算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收入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调整为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122460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万元）。全年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决算收入总计</w:t>
      </w:r>
      <w:bookmarkStart w:id="4" w:name="OLE_LINK64"/>
      <w:bookmarkStart w:id="5" w:name="OLE_LINK63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566639</w:t>
      </w:r>
      <w:bookmarkEnd w:id="4"/>
      <w:bookmarkEnd w:id="5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万元，其中：本级政府性基金收入完成99914万元，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增长22.7%，完成年初预算的43%，调整预算的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81.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6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；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上级</w:t>
      </w:r>
      <w:r>
        <w:rPr>
          <w:rFonts w:hint="eastAsia" w:ascii="仿宋_GB2312" w:hAnsi="仿宋" w:eastAsia="仿宋_GB2312"/>
          <w:sz w:val="32"/>
          <w:szCs w:val="32"/>
        </w:rPr>
        <w:t>补助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收入31865万元；专项债券转贷收入230520万元</w:t>
      </w:r>
      <w:r>
        <w:rPr>
          <w:rFonts w:hint="eastAsia" w:ascii="仿宋_GB2312" w:hAnsi="仿宋" w:eastAsia="仿宋_GB2312"/>
          <w:sz w:val="32"/>
          <w:szCs w:val="32"/>
        </w:rPr>
        <w:t>（专项债券</w:t>
      </w:r>
      <w:r>
        <w:rPr>
          <w:rFonts w:ascii="仿宋_GB2312" w:hAnsi="仿宋" w:eastAsia="仿宋_GB2312"/>
          <w:sz w:val="32"/>
          <w:szCs w:val="32"/>
        </w:rPr>
        <w:t>221900万元、再融资债券8620万元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en-US"/>
        </w:rPr>
        <w:t>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；上年结转13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5532万元；调入资金68808万元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(土地指标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交易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收入24361万元、2024年专项债券付息及发行费28435万元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、盘活存量16012万元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。</w:t>
      </w:r>
    </w:p>
    <w:p w14:paraId="7B5E59F2">
      <w:pPr>
        <w:tabs>
          <w:tab w:val="left" w:pos="720"/>
        </w:tabs>
        <w:topLinePunct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2025年政府性基金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年初预算支出</w:t>
      </w:r>
      <w:r>
        <w:rPr>
          <w:rFonts w:hint="eastAsia" w:ascii="仿宋_GB2312" w:hAnsi="华文仿宋" w:eastAsia="仿宋_GB2312"/>
          <w:bCs/>
          <w:color w:val="000000" w:themeColor="text1"/>
          <w:sz w:val="32"/>
          <w:szCs w:val="32"/>
        </w:rPr>
        <w:t>232460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万元，经县三十二次人大常委会批准调整为</w:t>
      </w:r>
      <w:r>
        <w:rPr>
          <w:rStyle w:val="63"/>
          <w:rFonts w:ascii="仿宋_GB2312" w:hAnsi="仿宋" w:eastAsia="仿宋_GB2312"/>
          <w:color w:val="000000"/>
          <w:kern w:val="0"/>
          <w:sz w:val="32"/>
          <w:szCs w:val="32"/>
        </w:rPr>
        <w:t>580626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万元。全年决算支出总计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566639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万元，其中：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政府性基金预算支出403685万元，增长53.1%，</w:t>
      </w:r>
      <w:bookmarkStart w:id="6" w:name="OLE_LINK34"/>
      <w:bookmarkStart w:id="7" w:name="OLE_LINK33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完成年初预算的222.9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t>%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，</w:t>
      </w:r>
      <w:bookmarkEnd w:id="6"/>
      <w:bookmarkEnd w:id="7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调整预算的101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t>%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；债务还本支出39878万元；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结转下年支出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123076万元。</w:t>
      </w:r>
    </w:p>
    <w:p w14:paraId="5DFB1227">
      <w:pPr>
        <w:topLinePunct/>
        <w:spacing w:line="560" w:lineRule="exact"/>
        <w:ind w:firstLine="640" w:firstLineChars="200"/>
        <w:rPr>
          <w:rFonts w:ascii="楷体_GB2312" w:hAnsi="楷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color w:val="000000" w:themeColor="text1"/>
          <w:kern w:val="0"/>
          <w:sz w:val="32"/>
          <w:szCs w:val="32"/>
        </w:rPr>
        <w:t>（三）国有资本经营预算收支情况</w:t>
      </w:r>
    </w:p>
    <w:p w14:paraId="403C031B">
      <w:pPr>
        <w:tabs>
          <w:tab w:val="left" w:pos="720"/>
        </w:tabs>
        <w:topLinePunct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2025年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县人代会批准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国有资本经营预算收入3000万元，全年完成3343万元，</w:t>
      </w:r>
      <w:bookmarkStart w:id="8" w:name="OLE_LINK38"/>
      <w:bookmarkStart w:id="9" w:name="OLE_LINK37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占年初预算的111.4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t>%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，</w:t>
      </w:r>
      <w:bookmarkEnd w:id="8"/>
      <w:bookmarkEnd w:id="9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主要为利润收入。</w:t>
      </w:r>
    </w:p>
    <w:p w14:paraId="5FFC3248">
      <w:pPr>
        <w:tabs>
          <w:tab w:val="left" w:pos="720"/>
        </w:tabs>
        <w:topLinePunct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2025年国有资本经营预算支出3000万元，全年完成3343万元，主要为解决历史遗留问题及改革成本支出115万元，下降41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t>%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，占年初预算的19.2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t>%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；调出资金3228万元。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收支相抵预算无结余。</w:t>
      </w:r>
    </w:p>
    <w:p w14:paraId="61249E49">
      <w:pPr>
        <w:topLinePunct/>
        <w:spacing w:line="560" w:lineRule="exact"/>
        <w:ind w:firstLine="640" w:firstLineChars="200"/>
        <w:rPr>
          <w:rFonts w:ascii="楷体_GB2312" w:hAnsi="楷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color w:val="000000" w:themeColor="text1"/>
          <w:kern w:val="0"/>
          <w:sz w:val="32"/>
          <w:szCs w:val="32"/>
        </w:rPr>
        <w:t>（四）社会保险基金预算收支情况</w:t>
      </w:r>
    </w:p>
    <w:p w14:paraId="0363622D">
      <w:pPr>
        <w:tabs>
          <w:tab w:val="left" w:pos="720"/>
        </w:tabs>
        <w:topLinePunct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我县企业职工养老保险、机关事业单位养老保险、工伤保险和失业保险为省级统筹险种；城乡居民基本医疗保险、职工基本医疗保险为市级统筹险种；城乡居民基本养老保险为县级统筹险种。2025年全县城乡居民基本养老保险基金收入完成177882万元，增长90.7%，占年初预算的165.5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t>%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，其中:社会保险费收入113380万元、利息收入3374万元、财政补贴收入53080万元、委托投资收益7369万元、转移收入237万元、集体补助收入318万元、其他收入124万元。</w:t>
      </w:r>
    </w:p>
    <w:p w14:paraId="31BCB664">
      <w:pPr>
        <w:tabs>
          <w:tab w:val="left" w:pos="720"/>
        </w:tabs>
        <w:topLinePunct/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2025年全县城乡居民基本养老保险基金支出完成65257万元，增长18.2%，占年初预算的108.7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</w:rPr>
        <w:t>%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，其中：社会保险待遇支出65039万元、转移支出218万元。当年收支相抵结余112625万元，上年结余253934万元，年末滚存结余366559万元。</w:t>
      </w:r>
    </w:p>
    <w:p w14:paraId="4E3F67A7">
      <w:pPr>
        <w:tabs>
          <w:tab w:val="left" w:pos="720"/>
        </w:tabs>
        <w:topLinePunct/>
        <w:spacing w:line="560" w:lineRule="exact"/>
        <w:ind w:firstLine="640" w:firstLineChars="200"/>
        <w:rPr>
          <w:rFonts w:ascii="楷体_GB2312" w:hAnsi="楷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color w:val="000000" w:themeColor="text1"/>
          <w:kern w:val="0"/>
          <w:sz w:val="32"/>
          <w:szCs w:val="32"/>
        </w:rPr>
        <w:t>（五）园区预算收支情况</w:t>
      </w:r>
    </w:p>
    <w:p w14:paraId="118D31CC">
      <w:pPr>
        <w:tabs>
          <w:tab w:val="left" w:pos="720"/>
        </w:tabs>
        <w:topLinePunct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 w:themeColor="text1"/>
          <w:kern w:val="0"/>
          <w:sz w:val="32"/>
          <w:szCs w:val="32"/>
        </w:rPr>
        <w:t>寿县新桥国际产业园。一般公共预算。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一般公共预算收入完成3.15亿元，占年初预算</w:t>
      </w:r>
      <w:r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  <w:t>105%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。一般公共预算支出</w:t>
      </w:r>
      <w:r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  <w:t>1.14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亿元</w:t>
      </w:r>
      <w:r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  <w:t>,</w:t>
      </w:r>
      <w:bookmarkStart w:id="10" w:name="OLE_LINK21"/>
      <w:bookmarkStart w:id="11" w:name="OLE_LINK20"/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占年初预算</w:t>
      </w:r>
      <w:r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  <w:t>37.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4</w:t>
      </w:r>
      <w:r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  <w:t>%。</w:t>
      </w:r>
      <w:bookmarkEnd w:id="10"/>
      <w:bookmarkEnd w:id="11"/>
      <w:r>
        <w:rPr>
          <w:rFonts w:hint="eastAsia" w:ascii="仿宋_GB2312" w:hAnsi="仿宋" w:eastAsia="仿宋_GB2312" w:cs="仿宋"/>
          <w:b/>
          <w:color w:val="000000" w:themeColor="text1"/>
          <w:kern w:val="0"/>
          <w:sz w:val="32"/>
          <w:szCs w:val="32"/>
        </w:rPr>
        <w:t>政府性基金预算。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政府性基金预算收入完成2.12亿元，占</w:t>
      </w:r>
      <w:bookmarkStart w:id="12" w:name="OLE_LINK15"/>
      <w:bookmarkStart w:id="13" w:name="OLE_LINK14"/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年初</w:t>
      </w:r>
      <w:bookmarkEnd w:id="12"/>
      <w:bookmarkEnd w:id="13"/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预算43.4</w:t>
      </w:r>
      <w:r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  <w:t>%。政府性基金预算支出10.02亿元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（本级预算4.07亿元、专项债券5.95亿元），占年初预算</w:t>
      </w:r>
      <w:r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  <w:t>248.6%。</w:t>
      </w:r>
    </w:p>
    <w:p w14:paraId="4B13D4A7">
      <w:pPr>
        <w:tabs>
          <w:tab w:val="left" w:pos="720"/>
        </w:tabs>
        <w:topLinePunct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</w:pPr>
      <w:bookmarkStart w:id="14" w:name="OLE_LINK1"/>
      <w:bookmarkStart w:id="15" w:name="OLE_LINK3"/>
      <w:r>
        <w:rPr>
          <w:rFonts w:hint="eastAsia" w:ascii="仿宋_GB2312" w:hAnsi="仿宋" w:eastAsia="仿宋_GB2312" w:cs="仿宋"/>
          <w:b/>
          <w:color w:val="000000" w:themeColor="text1"/>
          <w:kern w:val="0"/>
          <w:sz w:val="32"/>
          <w:szCs w:val="32"/>
        </w:rPr>
        <w:t>寿县蜀山现代产业园。一般公共预算。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一般公共预算收入完成0.97亿元，占</w:t>
      </w:r>
      <w:bookmarkStart w:id="16" w:name="OLE_LINK25"/>
      <w:bookmarkStart w:id="17" w:name="OLE_LINK24"/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年初预算</w:t>
      </w:r>
      <w:bookmarkEnd w:id="16"/>
      <w:bookmarkEnd w:id="17"/>
      <w:r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  <w:t>96%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。</w:t>
      </w:r>
      <w:bookmarkStart w:id="18" w:name="OLE_LINK19"/>
      <w:bookmarkStart w:id="19" w:name="OLE_LINK18"/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一般公共预算支出</w:t>
      </w:r>
      <w:r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  <w:t>0.33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亿元</w:t>
      </w:r>
      <w:bookmarkEnd w:id="18"/>
      <w:bookmarkEnd w:id="19"/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，</w:t>
      </w:r>
      <w:bookmarkStart w:id="20" w:name="OLE_LINK23"/>
      <w:bookmarkStart w:id="21" w:name="OLE_LINK22"/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占年初预算</w:t>
      </w:r>
      <w:r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  <w:t>31.4%</w:t>
      </w:r>
      <w:bookmarkEnd w:id="20"/>
      <w:bookmarkEnd w:id="21"/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b/>
          <w:color w:val="000000" w:themeColor="text1"/>
          <w:kern w:val="0"/>
          <w:sz w:val="32"/>
          <w:szCs w:val="32"/>
        </w:rPr>
        <w:t>政府性基金预算。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政府性基金预算收入完成0.61</w:t>
      </w:r>
      <w:r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  <w:t>亿元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，占年初预算30.3</w:t>
      </w:r>
      <w:r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  <w:t>%</w:t>
      </w:r>
      <w:bookmarkStart w:id="22" w:name="OLE_LINK17"/>
      <w:bookmarkStart w:id="23" w:name="OLE_LINK16"/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。政府性基金预算支出</w:t>
      </w:r>
      <w:r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  <w:t>0.35亿元</w:t>
      </w:r>
      <w:bookmarkEnd w:id="22"/>
      <w:bookmarkEnd w:id="23"/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，占年初预算</w:t>
      </w:r>
      <w:r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  <w:t>18.6%。</w:t>
      </w:r>
    </w:p>
    <w:bookmarkEnd w:id="14"/>
    <w:bookmarkEnd w:id="15"/>
    <w:p w14:paraId="37220135">
      <w:pPr>
        <w:topLinePunct/>
        <w:spacing w:line="560" w:lineRule="exact"/>
        <w:ind w:firstLine="640" w:firstLineChars="200"/>
        <w:rPr>
          <w:rFonts w:ascii="楷体_GB2312" w:hAnsi="楷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color w:val="000000" w:themeColor="text1"/>
          <w:kern w:val="0"/>
          <w:sz w:val="32"/>
          <w:szCs w:val="32"/>
        </w:rPr>
        <w:t>（六）地方政府债务情况</w:t>
      </w:r>
    </w:p>
    <w:p w14:paraId="171810FD">
      <w:pPr>
        <w:topLinePunct/>
        <w:spacing w:line="560" w:lineRule="exact"/>
        <w:ind w:firstLine="640" w:firstLineChars="20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b/>
          <w:kern w:val="0"/>
          <w:sz w:val="32"/>
          <w:szCs w:val="32"/>
        </w:rPr>
        <w:t>1.总体情况。债务限额：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截至2025年底，省财政厅下达我县地方政府债务限额171.5亿元，其中：一般债务限额45.22亿元、专项债务限额126.28亿元。</w:t>
      </w:r>
      <w:r>
        <w:rPr>
          <w:rFonts w:hint="eastAsia" w:ascii="仿宋_GB2312" w:hAnsi="楷体" w:eastAsia="仿宋_GB2312" w:cs="宋体"/>
          <w:b/>
          <w:kern w:val="0"/>
          <w:sz w:val="32"/>
          <w:szCs w:val="32"/>
        </w:rPr>
        <w:t>债务余额：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2025年底我县债务余额170.99亿元（一般债务44.95亿元、专项债务126.04亿元）。</w:t>
      </w:r>
    </w:p>
    <w:p w14:paraId="0F9F8804">
      <w:pPr>
        <w:topLinePunct/>
        <w:spacing w:line="560" w:lineRule="exact"/>
        <w:ind w:firstLine="640" w:firstLineChars="20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b/>
          <w:kern w:val="0"/>
          <w:sz w:val="32"/>
          <w:szCs w:val="32"/>
        </w:rPr>
        <w:t>2.使用情况。</w:t>
      </w:r>
      <w:r>
        <w:rPr>
          <w:rFonts w:hint="eastAsia" w:ascii="仿宋_GB2312" w:hAnsi="楷体" w:eastAsia="仿宋_GB2312" w:cs="宋体"/>
          <w:kern w:val="0"/>
          <w:sz w:val="32"/>
          <w:szCs w:val="32"/>
        </w:rPr>
        <w:t>2025年我县争取省财政厅代发行地方政府债券26.42亿元，其中新增债券23.64亿元（一般债券1.45亿元&lt;用于项目建设一般债券1.05亿元，用于偿还拖欠企业账款0.4亿元&gt;，专项债券22.19亿元&lt;用于项目建设及土储专项债券13.62亿元，置换存量债务债券3.87亿元，偿还政府拖欠企业账款专项债券3.91亿元，置换存量PPP项目专项债券0.79亿元&gt;），再融资债券还本2.78亿元。</w:t>
      </w:r>
    </w:p>
    <w:p w14:paraId="56C28006">
      <w:pPr>
        <w:topLinePunct/>
        <w:spacing w:line="560" w:lineRule="exact"/>
        <w:ind w:firstLine="640" w:firstLineChars="200"/>
        <w:rPr>
          <w:rFonts w:ascii="仿宋_GB2312" w:hAnsi="楷体" w:eastAsia="仿宋_GB2312" w:cs="宋体"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楷体" w:eastAsia="仿宋_GB2312" w:cs="宋体"/>
          <w:b/>
          <w:kern w:val="0"/>
          <w:sz w:val="32"/>
          <w:szCs w:val="32"/>
        </w:rPr>
        <w:t>.风险情况。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2025年度寿县政府法定债务率150%，</w:t>
      </w:r>
      <w:bookmarkStart w:id="45" w:name="_GoBack"/>
      <w:bookmarkEnd w:id="4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寿县债务规模总体处于黄色风险提示区域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49B349E8">
      <w:pPr>
        <w:topLinePunct/>
        <w:spacing w:line="560" w:lineRule="exact"/>
        <w:ind w:firstLine="640" w:firstLineChars="200"/>
        <w:rPr>
          <w:rFonts w:ascii="仿宋" w:hAnsi="仿宋" w:eastAsia="楷体_GB2312" w:cs="宋体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color w:val="000000" w:themeColor="text1"/>
          <w:kern w:val="0"/>
          <w:sz w:val="32"/>
          <w:szCs w:val="32"/>
        </w:rPr>
        <w:t>（七）预算绩效管理情况</w:t>
      </w:r>
    </w:p>
    <w:p w14:paraId="4E910D80">
      <w:pPr>
        <w:topLinePunct/>
        <w:autoSpaceDE w:val="0"/>
        <w:autoSpaceDN w:val="0"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紧紧围绕</w:t>
      </w:r>
      <w:bookmarkStart w:id="24" w:name="OLE_LINK43"/>
      <w:bookmarkStart w:id="25" w:name="OLE_LINK40"/>
      <w:r>
        <w:rPr>
          <w:rFonts w:hint="eastAsia" w:ascii="仿宋_GB2312" w:eastAsia="仿宋_GB2312"/>
          <w:color w:val="000000"/>
          <w:sz w:val="32"/>
          <w:szCs w:val="32"/>
        </w:rPr>
        <w:t>建</w:t>
      </w:r>
      <w:bookmarkEnd w:id="24"/>
      <w:bookmarkEnd w:id="25"/>
      <w:r>
        <w:rPr>
          <w:rFonts w:hint="eastAsia" w:ascii="仿宋_GB2312" w:eastAsia="仿宋_GB2312"/>
          <w:color w:val="000000"/>
          <w:sz w:val="32"/>
          <w:szCs w:val="32"/>
        </w:rPr>
        <w:t>立“预算编制有目标、预算执行有监控、预算完成有评价、评价结果有反馈、反馈结果有应用”的全过程预算绩效管理机制，持续推动我县预算绩效管理工作。各部门申报预算项目同步编制绩效目标，按照预算编制“二上二下”流程，做到预算安排和绩效目标同安排、同部署。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强化绩效日常监控。</w:t>
      </w:r>
      <w:r>
        <w:rPr>
          <w:rFonts w:hint="eastAsia" w:ascii="仿宋_GB2312" w:eastAsia="仿宋_GB2312"/>
          <w:color w:val="000000"/>
          <w:sz w:val="32"/>
          <w:szCs w:val="32"/>
        </w:rPr>
        <w:t>2025年纳入绩效监控全覆盖项目4081个，涉及预算资金109.53亿元，部门整体绩效监控87家，涉及预算资金103.55亿元。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大力开展绩效评价。</w:t>
      </w:r>
      <w:r>
        <w:rPr>
          <w:rFonts w:hint="eastAsia" w:ascii="仿宋_GB2312" w:eastAsia="仿宋_GB2312"/>
          <w:color w:val="000000"/>
          <w:sz w:val="32"/>
          <w:szCs w:val="32"/>
        </w:rPr>
        <w:t>组织县直单位对所属单位项目支出开展绩效自评和部门评价;对2024年20个重点项目和14个部门支出开展重点绩效评价，涉及财政资金6.23亿元;</w:t>
      </w:r>
      <w:bookmarkStart w:id="26" w:name="OLE_LINK29"/>
      <w:bookmarkStart w:id="27" w:name="OLE_LINK30"/>
      <w:r>
        <w:rPr>
          <w:rFonts w:hint="eastAsia" w:ascii="仿宋_GB2312" w:eastAsia="仿宋_GB2312"/>
          <w:color w:val="000000"/>
          <w:sz w:val="32"/>
          <w:szCs w:val="32"/>
        </w:rPr>
        <w:t>开展2025年新增债券资金项目支出绩效评价。</w:t>
      </w:r>
      <w:bookmarkEnd w:id="26"/>
      <w:bookmarkEnd w:id="27"/>
      <w:r>
        <w:rPr>
          <w:rFonts w:hint="eastAsia" w:ascii="仿宋_GB2312" w:eastAsia="仿宋_GB2312"/>
          <w:b/>
          <w:color w:val="000000"/>
          <w:sz w:val="32"/>
          <w:szCs w:val="32"/>
        </w:rPr>
        <w:t>强化绩效评价结果运用。</w:t>
      </w:r>
      <w:r>
        <w:rPr>
          <w:rFonts w:hint="eastAsia" w:ascii="仿宋_GB2312" w:eastAsia="仿宋_GB2312"/>
          <w:color w:val="000000"/>
          <w:sz w:val="32"/>
          <w:szCs w:val="32"/>
        </w:rPr>
        <w:t>全面建立评价反馈整改机制，跟踪整改落实情况。依据绩效评价结果，梳理部门单位存在问题，逐单位下发整改通知书和整改提示函，同时将评价结果作为下年度安排预算的重要参考依据。按照省、市要求，积极开展成本预算绩效试点工作，选取教育事业项目进行成本绩效分析评价，结合绩效分析报告，探索建立领域支出标准，为预算编制提供审核依据。</w:t>
      </w:r>
    </w:p>
    <w:p w14:paraId="3F15F510">
      <w:pPr>
        <w:tabs>
          <w:tab w:val="left" w:pos="720"/>
        </w:tabs>
        <w:topLinePunct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上述收支决算数已经县政府审计部门审计，详见决算草案表。</w:t>
      </w:r>
    </w:p>
    <w:p w14:paraId="36605C06">
      <w:pPr>
        <w:tabs>
          <w:tab w:val="left" w:pos="720"/>
        </w:tabs>
        <w:topLinePunct/>
        <w:spacing w:line="56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二、</w:t>
      </w:r>
      <w:r>
        <w:rPr>
          <w:rFonts w:ascii="黑体" w:hAnsi="黑体" w:eastAsia="黑体" w:cs="宋体"/>
          <w:bCs/>
          <w:color w:val="000000" w:themeColor="text1"/>
          <w:kern w:val="0"/>
          <w:sz w:val="32"/>
          <w:szCs w:val="32"/>
        </w:rPr>
        <w:t>2025年预算执行主要成效</w:t>
      </w:r>
    </w:p>
    <w:p w14:paraId="61100990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楷体" w:eastAsia="仿宋_GB2312" w:cs="楷体"/>
          <w:color w:val="000000"/>
          <w:sz w:val="32"/>
          <w:szCs w:val="32"/>
        </w:rPr>
      </w:pPr>
      <w:bookmarkStart w:id="28" w:name="OLE_LINK27"/>
      <w:bookmarkStart w:id="29" w:name="OLE_LINK26"/>
      <w:bookmarkStart w:id="30" w:name="OLE_LINK28"/>
      <w:r>
        <w:rPr>
          <w:rFonts w:ascii="仿宋_GB2312" w:hAnsi="楷体" w:eastAsia="仿宋_GB2312" w:cs="楷体"/>
          <w:color w:val="000000"/>
          <w:sz w:val="32"/>
          <w:szCs w:val="32"/>
        </w:rPr>
        <w:t>2025年，全县财政系统坚持以习近平新时代中国特色社会主义思想为指导，在县委、县政府的坚强领导下，在县人大依法监督和县政协民主监督下，坚决落实上级决策部署，实施更加积极的财政政策，加强财政资源和预算统筹，落实习惯过紧日子要求，扎实开展财政科学管理试点，</w:t>
      </w:r>
      <w:r>
        <w:rPr>
          <w:rFonts w:hint="eastAsia" w:ascii="仿宋_GB2312" w:hAnsi="楷体" w:eastAsia="仿宋_GB2312" w:cs="楷体"/>
          <w:color w:val="000000"/>
          <w:sz w:val="32"/>
          <w:szCs w:val="32"/>
        </w:rPr>
        <w:t>深入</w:t>
      </w:r>
      <w:r>
        <w:rPr>
          <w:rFonts w:ascii="仿宋_GB2312" w:hAnsi="楷体" w:eastAsia="仿宋_GB2312" w:cs="楷体"/>
          <w:color w:val="000000"/>
          <w:sz w:val="32"/>
          <w:szCs w:val="32"/>
        </w:rPr>
        <w:t>推进零基预算改革，防范化解风险，</w:t>
      </w:r>
      <w:r>
        <w:rPr>
          <w:rFonts w:hint="eastAsia" w:ascii="仿宋_GB2312" w:hAnsi="楷体" w:eastAsia="仿宋_GB2312" w:cs="楷体"/>
          <w:color w:val="000000"/>
          <w:sz w:val="32"/>
          <w:szCs w:val="32"/>
        </w:rPr>
        <w:t>较好</w:t>
      </w:r>
      <w:r>
        <w:rPr>
          <w:rFonts w:ascii="仿宋_GB2312" w:hAnsi="楷体" w:eastAsia="仿宋_GB2312" w:cs="楷体"/>
          <w:color w:val="000000"/>
          <w:sz w:val="32"/>
          <w:szCs w:val="32"/>
        </w:rPr>
        <w:t>保障了全县经济社会高质量平稳发展。</w:t>
      </w:r>
    </w:p>
    <w:p w14:paraId="6755DCE4">
      <w:pPr>
        <w:topLinePunct/>
        <w:adjustRightInd w:val="0"/>
        <w:snapToGrid w:val="0"/>
        <w:spacing w:line="560" w:lineRule="exact"/>
        <w:ind w:firstLine="640" w:firstLineChars="200"/>
        <w:rPr>
          <w:rStyle w:val="79"/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color w:val="000000" w:themeColor="text1"/>
          <w:sz w:val="32"/>
          <w:szCs w:val="32"/>
        </w:rPr>
        <w:t>（一）</w:t>
      </w:r>
      <w:r>
        <w:rPr>
          <w:rFonts w:ascii="楷体_GB2312" w:hAnsi="仿宋_GB2312" w:eastAsia="楷体_GB2312" w:cs="仿宋_GB2312"/>
          <w:b/>
          <w:color w:val="000000" w:themeColor="text1"/>
          <w:sz w:val="32"/>
          <w:szCs w:val="32"/>
        </w:rPr>
        <w:t>收支运行平稳有序，保障能力持续增强</w:t>
      </w:r>
      <w:r>
        <w:rPr>
          <w:rFonts w:hint="eastAsia" w:ascii="楷体_GB2312" w:hAnsi="仿宋_GB2312" w:eastAsia="楷体_GB2312" w:cs="仿宋_GB2312"/>
          <w:b/>
          <w:color w:val="000000" w:themeColor="text1"/>
          <w:sz w:val="32"/>
          <w:szCs w:val="32"/>
        </w:rPr>
        <w:t>。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多措并举组织财政收入，落实税费协同共治常态化机制，加强重点税源费源跟踪调度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  <w:r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</w:rPr>
        <w:t>年一般公共预算收入增长</w:t>
      </w:r>
      <w:r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</w:rPr>
        <w:t>8</w:t>
      </w:r>
      <w:r>
        <w:rPr>
          <w:rFonts w:ascii="仿宋_GB2312" w:hAnsi="仿宋_GB2312" w:eastAsia="仿宋_GB2312" w:cs="仿宋_GB2312"/>
          <w:bCs/>
          <w:color w:val="000000" w:themeColor="text1"/>
          <w:kern w:val="0"/>
          <w:sz w:val="32"/>
          <w:szCs w:val="32"/>
        </w:rPr>
        <w:t>%，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其中：税收收入增长4.4%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</w:rPr>
        <w:t>。财政运行综合排名位居全省104个县区第4位，荣获省财政厅促进高质量发展激励资金6968万元，财政运行质效实现新突破。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紧盯国家、省、市政策投向，强化项目谋划储备与部门协同申报，全年向上争取各类资金86.32亿元（其中上级转移支付59.9亿元、地方政府债券26.42亿元），为全县经济社会高质量发展提供积极财力支撑，有效缓解县级财力缺口与债务偿还压力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常态化开展财政资金清理，及时收回或盘活闲置资金13.58亿元。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强化国有资产管理，盘活闲置安置房、货运停车场、老博物馆等资产实现收益3.95亿元，资产使用效益进一步提升</w:t>
      </w:r>
      <w:r>
        <w:rPr>
          <w:rStyle w:val="79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 w14:paraId="2EAF7C6F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Segoe UI" w:eastAsia="仿宋_GB2312" w:cs="Segoe UI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color w:val="000000" w:themeColor="text1"/>
          <w:sz w:val="32"/>
          <w:szCs w:val="32"/>
        </w:rPr>
        <w:t>（二）</w:t>
      </w:r>
      <w:r>
        <w:rPr>
          <w:rFonts w:ascii="楷体_GB2312" w:hAnsi="仿宋_GB2312" w:eastAsia="楷体_GB2312" w:cs="仿宋_GB2312"/>
          <w:b/>
          <w:bCs/>
          <w:color w:val="000000" w:themeColor="text1"/>
          <w:sz w:val="32"/>
          <w:szCs w:val="32"/>
        </w:rPr>
        <w:t>支出结构优化升级，重点领域保障</w:t>
      </w:r>
      <w:r>
        <w:rPr>
          <w:rFonts w:hint="eastAsia" w:ascii="楷体_GB2312" w:hAnsi="仿宋_GB2312" w:eastAsia="楷体_GB2312" w:cs="仿宋_GB2312"/>
          <w:b/>
          <w:bCs/>
          <w:color w:val="000000" w:themeColor="text1"/>
          <w:sz w:val="32"/>
          <w:szCs w:val="32"/>
        </w:rPr>
        <w:t>平稳</w:t>
      </w:r>
      <w:r>
        <w:rPr>
          <w:rFonts w:ascii="楷体_GB2312" w:hAnsi="仿宋_GB2312" w:eastAsia="楷体_GB2312" w:cs="仿宋_GB2312"/>
          <w:b/>
          <w:bCs/>
          <w:color w:val="000000" w:themeColor="text1"/>
          <w:sz w:val="32"/>
          <w:szCs w:val="32"/>
        </w:rPr>
        <w:t>。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牢固树立过紧日子思想，</w:t>
      </w:r>
      <w:r>
        <w:rPr>
          <w:rFonts w:hint="eastAsia" w:ascii="仿宋_GB2312" w:eastAsia="仿宋_GB2312"/>
          <w:sz w:val="32"/>
          <w:szCs w:val="32"/>
        </w:rPr>
        <w:t>严控一般性支出和“三公”经费，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2025年“三公”经费支出2518万元，下降13%，其中公务接待费支出876万元，下降20.6%。</w:t>
      </w:r>
      <w:r>
        <w:rPr>
          <w:rFonts w:hint="eastAsia" w:ascii="仿宋_GB2312" w:eastAsia="仿宋_GB2312"/>
          <w:sz w:val="32"/>
          <w:szCs w:val="32"/>
        </w:rPr>
        <w:t>争取超长期特别国债资金2.91亿元支持高标准农田、污水管网更新改造等项目建设。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集中财力优先保障“三保”、债券、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城乡供水一体化、G328寿霍路改扩建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等重点支出，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一般公共预算支出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81.97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亿元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，其中十三大类民生支出占比85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%以上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  <w:bookmarkStart w:id="31" w:name="OLE_LINK2"/>
      <w:bookmarkStart w:id="32" w:name="OLE_LINK4"/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强化科技投入保障，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全年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科技支出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1.8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增长5%。健全支出监管机制，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出台落实习惯过紧日子要求试点工作方案及配套文件。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从严规范财政待分配资金管理，经县长例会研究分配资金9.73亿元。</w:t>
      </w:r>
      <w:bookmarkEnd w:id="31"/>
      <w:bookmarkEnd w:id="32"/>
      <w:bookmarkStart w:id="33" w:name="OLE_LINK39"/>
      <w:bookmarkStart w:id="34" w:name="OLE_LINK36"/>
    </w:p>
    <w:p w14:paraId="088504C3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楷体_GB2312" w:hAnsi="仿宋_GB2312" w:eastAsia="楷体_GB2312" w:cs="仿宋_GB2312"/>
          <w:b/>
          <w:bCs/>
          <w:color w:val="000000" w:themeColor="text1"/>
          <w:sz w:val="32"/>
          <w:szCs w:val="32"/>
        </w:rPr>
        <w:t>（三）</w:t>
      </w:r>
      <w:bookmarkEnd w:id="33"/>
      <w:bookmarkEnd w:id="34"/>
      <w:r>
        <w:rPr>
          <w:rFonts w:ascii="楷体_GB2312" w:hAnsi="仿宋_GB2312" w:eastAsia="楷体_GB2312" w:cs="仿宋_GB2312"/>
          <w:b/>
          <w:bCs/>
          <w:color w:val="000000" w:themeColor="text1"/>
          <w:sz w:val="32"/>
          <w:szCs w:val="32"/>
        </w:rPr>
        <w:t>乡村振兴全面推进，社会事业协调发展。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投入财政衔接补助资金3.95亿元（其中县级配套0.99亿元），巩固拓展脱贫攻坚成果同乡村振兴有效衔接。新增脱贫人口贷款3896户、金额1.47亿元；精准贷款余额1.42亿元，覆盖脱贫户及监测户3770户，有效支持脱贫群众发展生产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投入2.63亿元建成高标准农田8.75万亩，统筹1.76亿元用于城乡供水一体化和水利设施建设，投入1亿元支持美丽乡村和农村改厕。以“农业保险+”改革为牵引，配套农业保险保费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600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万元，统筹保险、信贷、碳汇交易等多元工具，持续夯实生态家底，探索出一条生态保护与绿色低碳产业协同发展的新路径。</w:t>
      </w:r>
    </w:p>
    <w:p w14:paraId="63ABD701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color w:val="000000" w:themeColor="text1"/>
          <w:sz w:val="32"/>
          <w:szCs w:val="32"/>
        </w:rPr>
        <w:t>（四）民生投入持续加大，</w:t>
      </w:r>
      <w:r>
        <w:rPr>
          <w:rFonts w:ascii="楷体_GB2312" w:hAnsi="仿宋_GB2312" w:eastAsia="楷体_GB2312" w:cs="仿宋_GB2312"/>
          <w:b/>
          <w:color w:val="000000" w:themeColor="text1"/>
          <w:sz w:val="32"/>
          <w:szCs w:val="32"/>
        </w:rPr>
        <w:t>保障水平稳步提高</w:t>
      </w:r>
      <w:r>
        <w:rPr>
          <w:rFonts w:hint="eastAsia" w:ascii="楷体_GB2312" w:hAnsi="仿宋_GB2312" w:eastAsia="楷体_GB2312" w:cs="仿宋_GB2312"/>
          <w:b/>
          <w:bCs/>
          <w:color w:val="000000" w:themeColor="text1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持续加大财政教育投入力度，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全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年教育支出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17.49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亿元、增长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3.6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%，支持促进学前教育普及普惠发展、义务教育优质均衡发展、普通高中多样化发展，加快职业教育改革发展，建设高质量教育体系。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支持文化惠民活动，投入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0.16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亿元支持文旅深度融合发展。加强生态环境保护，投入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3.06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亿元用于污染防治。全面落实惠农补贴政策，扎实兜牢社会保障底线，通过“一卡通”精准发放耕地地力保护、农机购置等54项补贴资金11.15亿元，其中城乡低保、特困人员救助、老年人福利补贴等资金6.26亿元，发放育儿补贴24146人次0.76亿元。</w:t>
      </w:r>
    </w:p>
    <w:p w14:paraId="15599C74">
      <w:pPr>
        <w:pStyle w:val="5"/>
        <w:topLinePunct/>
        <w:spacing w:line="560" w:lineRule="exact"/>
        <w:ind w:firstLine="643"/>
        <w:rPr>
          <w:rStyle w:val="63"/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（五</w:t>
      </w:r>
      <w:r>
        <w:rPr>
          <w:rFonts w:hint="eastAsia" w:ascii="楷体_GB2312" w:hAnsi="仿宋_GB2312" w:eastAsia="楷体_GB2312" w:cs="仿宋_GB2312"/>
          <w:b/>
          <w:bCs/>
          <w:color w:val="000000" w:themeColor="text1"/>
          <w:sz w:val="32"/>
          <w:szCs w:val="32"/>
        </w:rPr>
        <w:t>）</w:t>
      </w:r>
      <w:r>
        <w:rPr>
          <w:rFonts w:ascii="楷体_GB2312" w:hAnsi="仿宋_GB2312" w:eastAsia="楷体_GB2312" w:cs="仿宋_GB2312"/>
          <w:b/>
          <w:color w:val="000000" w:themeColor="text1"/>
          <w:sz w:val="32"/>
          <w:szCs w:val="32"/>
        </w:rPr>
        <w:t>金融服务创新突破，普惠金融成效显著</w:t>
      </w:r>
      <w:r>
        <w:rPr>
          <w:rFonts w:hint="eastAsia" w:hAnsi="仿宋_GB2312" w:cs="仿宋_GB2312"/>
          <w:b/>
        </w:rPr>
        <w:t>。</w:t>
      </w:r>
      <w:r>
        <w:rPr>
          <w:rStyle w:val="63"/>
          <w:rFonts w:ascii="仿宋_GB2312" w:hAnsi="仿宋_GB2312" w:eastAsia="仿宋_GB2312" w:cs="仿宋_GB2312"/>
          <w:color w:val="000000" w:themeColor="text1"/>
          <w:sz w:val="32"/>
          <w:szCs w:val="32"/>
        </w:rPr>
        <w:t>成功入选2025年中央财政支持普惠金融发展示范区（全省唯一</w:t>
      </w:r>
      <w:r>
        <w:rPr>
          <w:rStyle w:val="63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县</w:t>
      </w:r>
      <w:r>
        <w:rPr>
          <w:rStyle w:val="63"/>
          <w:rFonts w:ascii="仿宋_GB2312" w:hAnsi="仿宋_GB2312" w:eastAsia="仿宋_GB2312" w:cs="仿宋_GB2312"/>
          <w:color w:val="000000" w:themeColor="text1"/>
          <w:sz w:val="32"/>
          <w:szCs w:val="32"/>
        </w:rPr>
        <w:t>），获2000万元奖补</w:t>
      </w:r>
      <w:r>
        <w:rPr>
          <w:rStyle w:val="63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，推动普惠金融贷款实现“增量、扩面、降价”。举办政银企对接活动20场，办理融资诉求46件次。政策性融资担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保机构融资放大倍数达3.57倍，新型政银担在保余额12.41亿元，在保户数2515户，有效缓解小微企业融资难融资贵问题。</w:t>
      </w:r>
      <w:r>
        <w:rPr>
          <w:rStyle w:val="63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持续加大首贷、信用贷投放，全县有贷款余额的小微企业户数达2.89万户，贷款余额327.89亿元，较年初增加46.98亿元。年末全县金融机构人民币各项贷款余额673.9亿元，同比增长8.9%；各项存款余额706.3亿元，同比增长11.1%，金融服务实体经济能力持续增强。</w:t>
      </w:r>
    </w:p>
    <w:p w14:paraId="15986589">
      <w:pPr>
        <w:topLinePunct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color w:val="000000" w:themeColor="text1"/>
          <w:sz w:val="32"/>
          <w:szCs w:val="32"/>
        </w:rPr>
        <w:t>（六）</w:t>
      </w:r>
      <w:r>
        <w:rPr>
          <w:rFonts w:ascii="楷体_GB2312" w:hAnsi="仿宋_GB2312" w:eastAsia="楷体_GB2312" w:cs="仿宋_GB2312"/>
          <w:b/>
          <w:color w:val="000000" w:themeColor="text1"/>
          <w:sz w:val="32"/>
          <w:szCs w:val="32"/>
        </w:rPr>
        <w:t>深化改革守牢底线，治理效能稳步提升</w:t>
      </w:r>
      <w:r>
        <w:rPr>
          <w:rFonts w:hint="eastAsia" w:ascii="楷体_GB2312" w:hAnsi="仿宋_GB2312" w:eastAsia="楷体_GB2312" w:cs="仿宋_GB2312"/>
          <w:b/>
          <w:color w:val="000000" w:themeColor="text1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深化预算管理改革，出台《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寿县财政科学管理试点方案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及</w:t>
      </w:r>
      <w:r>
        <w:rPr>
          <w:rFonts w:hint="eastAsia" w:ascii="仿宋_GB2312" w:hAnsi="Segoe UI" w:eastAsia="仿宋_GB2312" w:cs="Segoe UI"/>
          <w:color w:val="0F1115"/>
          <w:kern w:val="0"/>
          <w:sz w:val="32"/>
          <w:szCs w:val="32"/>
        </w:rPr>
        <w:t>4项子方案，形成“1+4”制度体系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，扎实开展财政科学管理试点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全面提升管理的系统化、精细化、标准化、法治化水平。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围绕乡村振兴等五个重点领域，建立县级统筹整合资金工作专班，破解资金分配“碎片化”问题，实现跨部门集中高效配置。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强化财会监督，完成13项重点资金监督检查，推动问题整改与长效机制建立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。</w:t>
      </w:r>
      <w:r>
        <w:rPr>
          <w:rFonts w:hint="eastAsia" w:ascii="仿宋_GB2312" w:hAnsi="华文仿宋" w:eastAsia="仿宋_GB2312" w:cs="Calibri"/>
          <w:color w:val="000000" w:themeColor="text1"/>
          <w:sz w:val="32"/>
          <w:szCs w:val="32"/>
        </w:rPr>
        <w:t>探索实施成本绩效分析试点、对2024年度35个重点项目开展绩效评价，强化评价结果刚性应用。严格执行预决算公开要求，县政府及197家预算单位均按规定公开预决算信息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</w:rPr>
        <w:t>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健全国资监管体系，出台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县级公物仓管理、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“大资产”统筹管理等系列制度，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修订行政事业单位资产配置和使用管理办法，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230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家单位资产配置审核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将“三保”摆在财政工作优先位置，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足额编制“三保”预算50亿元。超序时完成年度隐性债务化解任务，偿还到期债券本息4.88亿元、拖欠企业账款4.31亿元，完成2家融资平台公司退出任务，积极推进县属国企市场化转型发展。认真履行地方金融监管职责，协同司法部门加大金融案件执行与追偿挽损力度，严厉打击非法金融活动，坚决守住不发生系统性金融风险底线。</w:t>
      </w:r>
    </w:p>
    <w:bookmarkEnd w:id="28"/>
    <w:bookmarkEnd w:id="29"/>
    <w:bookmarkEnd w:id="30"/>
    <w:p w14:paraId="4ECB256D">
      <w:pPr>
        <w:topLinePunct/>
        <w:spacing w:line="560" w:lineRule="exact"/>
        <w:ind w:firstLine="640" w:firstLineChars="200"/>
        <w:rPr>
          <w:rStyle w:val="79"/>
          <w:rFonts w:ascii="仿宋_GB2312" w:hAnsi="宋体" w:cs="宋体"/>
          <w:sz w:val="32"/>
          <w:szCs w:val="32"/>
        </w:rPr>
      </w:pPr>
      <w:bookmarkStart w:id="35" w:name="OLE_LINK49"/>
      <w:bookmarkStart w:id="36" w:name="OLE_LINK48"/>
      <w:r>
        <w:rPr>
          <w:rStyle w:val="79"/>
          <w:rFonts w:ascii="仿宋_GB2312" w:hAnsi="宋体" w:eastAsia="仿宋_GB2312" w:cs="宋体"/>
          <w:sz w:val="32"/>
          <w:szCs w:val="32"/>
        </w:rPr>
        <w:t>一年来，全县财政工作取得阶段性成效，但财政运行仍面临不少困难和挑战。</w:t>
      </w:r>
      <w:r>
        <w:rPr>
          <w:rStyle w:val="79"/>
          <w:rFonts w:ascii="仿宋_GB2312" w:hAnsi="宋体" w:eastAsia="仿宋_GB2312" w:cs="宋体"/>
          <w:b/>
          <w:bCs/>
          <w:sz w:val="32"/>
          <w:szCs w:val="32"/>
        </w:rPr>
        <w:t>收支矛盾持续尖锐。</w:t>
      </w:r>
      <w:r>
        <w:rPr>
          <w:rStyle w:val="79"/>
          <w:rFonts w:ascii="仿宋_GB2312" w:hAnsi="宋体" w:eastAsia="仿宋_GB2312" w:cs="宋体"/>
          <w:sz w:val="32"/>
          <w:szCs w:val="32"/>
        </w:rPr>
        <w:t>财政收入增长根基不牢，税源结构单一，非税收入波动大，土地出让收入大幅下滑；</w:t>
      </w:r>
      <w:r>
        <w:rPr>
          <w:rStyle w:val="79"/>
          <w:rFonts w:hint="eastAsia" w:ascii="仿宋_GB2312" w:hAnsi="宋体" w:eastAsia="仿宋_GB2312" w:cs="宋体"/>
          <w:sz w:val="32"/>
          <w:szCs w:val="32"/>
        </w:rPr>
        <w:t>而</w:t>
      </w:r>
      <w:r>
        <w:rPr>
          <w:rStyle w:val="79"/>
          <w:rFonts w:ascii="仿宋_GB2312" w:hAnsi="宋体" w:eastAsia="仿宋_GB2312" w:cs="宋体"/>
          <w:sz w:val="32"/>
          <w:szCs w:val="32"/>
        </w:rPr>
        <w:t>“三保”、债务还本付息等刚性支出持续增加，财政“紧平衡”状态</w:t>
      </w:r>
      <w:r>
        <w:rPr>
          <w:rStyle w:val="79"/>
          <w:rFonts w:hint="eastAsia" w:ascii="仿宋_GB2312" w:hAnsi="宋体" w:eastAsia="仿宋_GB2312" w:cs="宋体"/>
          <w:sz w:val="32"/>
          <w:szCs w:val="32"/>
        </w:rPr>
        <w:t>仍然持续</w:t>
      </w:r>
      <w:r>
        <w:rPr>
          <w:rStyle w:val="79"/>
          <w:rFonts w:ascii="仿宋_GB2312" w:hAnsi="宋体" w:eastAsia="仿宋_GB2312" w:cs="宋体"/>
          <w:sz w:val="32"/>
          <w:szCs w:val="32"/>
        </w:rPr>
        <w:t>。</w:t>
      </w:r>
      <w:r>
        <w:rPr>
          <w:rStyle w:val="79"/>
          <w:rFonts w:ascii="仿宋_GB2312" w:hAnsi="宋体" w:eastAsia="仿宋_GB2312" w:cs="宋体"/>
          <w:b/>
          <w:bCs/>
          <w:sz w:val="32"/>
          <w:szCs w:val="32"/>
        </w:rPr>
        <w:t>债务风险高位承压。</w:t>
      </w:r>
      <w:r>
        <w:rPr>
          <w:rStyle w:val="79"/>
          <w:rFonts w:ascii="仿宋_GB2312" w:hAnsi="宋体" w:eastAsia="仿宋_GB2312" w:cs="宋体"/>
          <w:sz w:val="32"/>
          <w:szCs w:val="32"/>
        </w:rPr>
        <w:t>政府债务进入还本付息高峰期，存量隐性债务化解空间收窄，偿债资金来源趋紧，风险防控任务艰巨。</w:t>
      </w:r>
      <w:r>
        <w:rPr>
          <w:rStyle w:val="79"/>
          <w:rFonts w:ascii="仿宋_GB2312" w:hAnsi="宋体" w:eastAsia="仿宋_GB2312" w:cs="宋体"/>
          <w:b/>
          <w:bCs/>
          <w:sz w:val="32"/>
          <w:szCs w:val="32"/>
        </w:rPr>
        <w:t>预算管理存在短板。</w:t>
      </w:r>
      <w:r>
        <w:rPr>
          <w:rStyle w:val="79"/>
          <w:rFonts w:ascii="仿宋_GB2312" w:hAnsi="宋体" w:eastAsia="仿宋_GB2312" w:cs="宋体"/>
          <w:sz w:val="32"/>
          <w:szCs w:val="32"/>
        </w:rPr>
        <w:t>零基预算改革仍需深化，部分单位预算编制不精准、执行刚性不足，“过紧日子”意识有待加强；绩效评价结果与预算安排挂钩不紧，资金使用效益有待提升。</w:t>
      </w:r>
      <w:r>
        <w:rPr>
          <w:rStyle w:val="79"/>
          <w:rFonts w:ascii="仿宋_GB2312" w:hAnsi="宋体" w:eastAsia="仿宋_GB2312" w:cs="宋体"/>
          <w:b/>
          <w:bCs/>
          <w:sz w:val="32"/>
          <w:szCs w:val="32"/>
        </w:rPr>
        <w:t>财源结构问题突出。</w:t>
      </w:r>
      <w:r>
        <w:rPr>
          <w:rStyle w:val="79"/>
          <w:rFonts w:ascii="仿宋_GB2312" w:hAnsi="宋体" w:eastAsia="仿宋_GB2312" w:cs="宋体"/>
          <w:sz w:val="32"/>
          <w:szCs w:val="32"/>
        </w:rPr>
        <w:t>传统房地产、土地财源增长乏力，新兴产业支撑不足，新旧动能接续不畅，财政可持续性面临严峻考验。</w:t>
      </w:r>
    </w:p>
    <w:p w14:paraId="3439F409">
      <w:pPr>
        <w:topLinePunct/>
        <w:spacing w:line="56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三、2026年财政重点工作</w:t>
      </w:r>
      <w:bookmarkStart w:id="37" w:name="OLE_LINK31"/>
      <w:bookmarkStart w:id="38" w:name="OLE_LINK32"/>
    </w:p>
    <w:bookmarkEnd w:id="37"/>
    <w:bookmarkEnd w:id="38"/>
    <w:p w14:paraId="56137CFD">
      <w:pPr>
        <w:topLinePunct/>
        <w:spacing w:line="560" w:lineRule="exact"/>
        <w:ind w:firstLine="640" w:firstLineChars="200"/>
        <w:rPr>
          <w:rStyle w:val="79"/>
          <w:rFonts w:ascii="仿宋_GB2312" w:hAnsi="宋体" w:eastAsia="仿宋_GB2312" w:cs="宋体"/>
          <w:sz w:val="32"/>
          <w:szCs w:val="32"/>
        </w:rPr>
      </w:pPr>
      <w:bookmarkStart w:id="39" w:name="OLE_LINK55"/>
      <w:bookmarkStart w:id="40" w:name="OLE_LINK60"/>
      <w:r>
        <w:rPr>
          <w:rStyle w:val="79"/>
          <w:rFonts w:ascii="仿宋_GB2312" w:hAnsi="宋体" w:eastAsia="仿宋_GB2312" w:cs="宋体"/>
          <w:sz w:val="32"/>
          <w:szCs w:val="32"/>
        </w:rPr>
        <w:t>当前，我县财政运行面临复杂严峻的外部环境和自身结构性矛盾。</w:t>
      </w:r>
      <w:r>
        <w:rPr>
          <w:rStyle w:val="79"/>
          <w:rFonts w:ascii="仿宋_GB2312" w:hAnsi="宋体" w:eastAsia="仿宋_GB2312" w:cs="宋体"/>
          <w:b/>
          <w:sz w:val="32"/>
          <w:szCs w:val="32"/>
        </w:rPr>
        <w:t>从收入看，</w:t>
      </w:r>
      <w:r>
        <w:rPr>
          <w:rStyle w:val="79"/>
          <w:rFonts w:ascii="仿宋_GB2312" w:hAnsi="宋体" w:eastAsia="仿宋_GB2312" w:cs="宋体"/>
          <w:sz w:val="32"/>
          <w:szCs w:val="32"/>
        </w:rPr>
        <w:t>1-</w:t>
      </w:r>
      <w:r>
        <w:rPr>
          <w:rStyle w:val="79"/>
          <w:rFonts w:hint="eastAsia" w:ascii="仿宋_GB2312" w:hAnsi="宋体" w:eastAsia="仿宋_GB2312" w:cs="宋体"/>
          <w:sz w:val="32"/>
          <w:szCs w:val="32"/>
        </w:rPr>
        <w:t>5</w:t>
      </w:r>
      <w:r>
        <w:rPr>
          <w:rStyle w:val="79"/>
          <w:rFonts w:ascii="仿宋_GB2312" w:hAnsi="宋体" w:eastAsia="仿宋_GB2312" w:cs="宋体"/>
          <w:sz w:val="32"/>
          <w:szCs w:val="32"/>
        </w:rPr>
        <w:t>月份，一般公共预算收入完成</w:t>
      </w:r>
      <w:r>
        <w:rPr>
          <w:rStyle w:val="79"/>
          <w:rFonts w:hint="eastAsia" w:ascii="仿宋_GB2312" w:hAnsi="宋体" w:eastAsia="仿宋_GB2312" w:cs="宋体"/>
          <w:sz w:val="32"/>
          <w:szCs w:val="32"/>
        </w:rPr>
        <w:t>9.8</w:t>
      </w:r>
      <w:r>
        <w:rPr>
          <w:rStyle w:val="79"/>
          <w:rFonts w:ascii="仿宋_GB2312" w:hAnsi="宋体" w:eastAsia="仿宋_GB2312" w:cs="宋体"/>
          <w:sz w:val="32"/>
          <w:szCs w:val="32"/>
        </w:rPr>
        <w:t>亿元，增长1.</w:t>
      </w:r>
      <w:r>
        <w:rPr>
          <w:rStyle w:val="79"/>
          <w:rFonts w:hint="eastAsia" w:ascii="仿宋_GB2312" w:hAnsi="宋体" w:eastAsia="仿宋_GB2312" w:cs="宋体"/>
          <w:sz w:val="32"/>
          <w:szCs w:val="32"/>
        </w:rPr>
        <w:t>7</w:t>
      </w:r>
      <w:r>
        <w:rPr>
          <w:rStyle w:val="79"/>
          <w:rFonts w:ascii="仿宋_GB2312" w:hAnsi="宋体" w:eastAsia="仿宋_GB2312" w:cs="宋体"/>
          <w:sz w:val="32"/>
          <w:szCs w:val="32"/>
        </w:rPr>
        <w:t>%，占预算的</w:t>
      </w:r>
      <w:r>
        <w:rPr>
          <w:rStyle w:val="79"/>
          <w:rFonts w:hint="eastAsia" w:ascii="仿宋_GB2312" w:hAnsi="宋体" w:eastAsia="仿宋_GB2312" w:cs="宋体"/>
          <w:sz w:val="32"/>
          <w:szCs w:val="32"/>
        </w:rPr>
        <w:t>43.6</w:t>
      </w:r>
      <w:r>
        <w:rPr>
          <w:rStyle w:val="79"/>
          <w:rFonts w:ascii="仿宋_GB2312" w:hAnsi="宋体" w:eastAsia="仿宋_GB2312" w:cs="宋体"/>
          <w:sz w:val="32"/>
          <w:szCs w:val="32"/>
        </w:rPr>
        <w:t>%，非税占比47%，同比提高</w:t>
      </w:r>
      <w:r>
        <w:rPr>
          <w:rStyle w:val="79"/>
          <w:rFonts w:hint="eastAsia" w:ascii="仿宋_GB2312" w:hAnsi="宋体" w:eastAsia="仿宋_GB2312" w:cs="宋体"/>
          <w:sz w:val="32"/>
          <w:szCs w:val="32"/>
        </w:rPr>
        <w:t>19</w:t>
      </w:r>
      <w:r>
        <w:rPr>
          <w:rStyle w:val="79"/>
          <w:rFonts w:ascii="仿宋_GB2312" w:hAnsi="宋体" w:eastAsia="仿宋_GB2312" w:cs="宋体"/>
          <w:sz w:val="32"/>
          <w:szCs w:val="32"/>
        </w:rPr>
        <w:t>个百分点。受经济下行、房地产市场调整及去年一次性收入高基数影响，收入增长动能不足。政府性基金收入仅完成3.29亿元，占预算的15.6%。</w:t>
      </w:r>
      <w:r>
        <w:rPr>
          <w:rStyle w:val="79"/>
          <w:rFonts w:ascii="仿宋_GB2312" w:hAnsi="宋体" w:eastAsia="仿宋_GB2312" w:cs="宋体"/>
          <w:b/>
          <w:sz w:val="32"/>
          <w:szCs w:val="32"/>
        </w:rPr>
        <w:t>从支出看</w:t>
      </w:r>
      <w:r>
        <w:rPr>
          <w:rStyle w:val="79"/>
          <w:rFonts w:ascii="仿宋_GB2312" w:hAnsi="宋体" w:eastAsia="仿宋_GB2312" w:cs="宋体"/>
          <w:sz w:val="32"/>
          <w:szCs w:val="32"/>
        </w:rPr>
        <w:t>，1-</w:t>
      </w:r>
      <w:r>
        <w:rPr>
          <w:rStyle w:val="79"/>
          <w:rFonts w:hint="eastAsia" w:ascii="仿宋_GB2312" w:hAnsi="宋体" w:eastAsia="仿宋_GB2312" w:cs="宋体"/>
          <w:sz w:val="32"/>
          <w:szCs w:val="32"/>
        </w:rPr>
        <w:t>5</w:t>
      </w:r>
      <w:r>
        <w:rPr>
          <w:rStyle w:val="79"/>
          <w:rFonts w:ascii="仿宋_GB2312" w:hAnsi="宋体" w:eastAsia="仿宋_GB2312" w:cs="宋体"/>
          <w:sz w:val="32"/>
          <w:szCs w:val="32"/>
        </w:rPr>
        <w:t>月份一般公共预算支出完成</w:t>
      </w:r>
      <w:r>
        <w:rPr>
          <w:rStyle w:val="79"/>
          <w:rFonts w:hint="eastAsia" w:ascii="仿宋_GB2312" w:hAnsi="宋体" w:eastAsia="仿宋_GB2312" w:cs="宋体"/>
          <w:sz w:val="32"/>
          <w:szCs w:val="32"/>
        </w:rPr>
        <w:t>34.77</w:t>
      </w:r>
      <w:r>
        <w:rPr>
          <w:rStyle w:val="79"/>
          <w:rFonts w:ascii="仿宋_GB2312" w:hAnsi="宋体" w:eastAsia="仿宋_GB2312" w:cs="宋体"/>
          <w:sz w:val="32"/>
          <w:szCs w:val="32"/>
        </w:rPr>
        <w:t>亿元，增长0.</w:t>
      </w:r>
      <w:r>
        <w:rPr>
          <w:rStyle w:val="79"/>
          <w:rFonts w:hint="eastAsia" w:ascii="仿宋_GB2312" w:hAnsi="宋体" w:eastAsia="仿宋_GB2312" w:cs="宋体"/>
          <w:sz w:val="32"/>
          <w:szCs w:val="32"/>
        </w:rPr>
        <w:t>1</w:t>
      </w:r>
      <w:r>
        <w:rPr>
          <w:rStyle w:val="79"/>
          <w:rFonts w:ascii="仿宋_GB2312" w:hAnsi="宋体" w:eastAsia="仿宋_GB2312" w:cs="宋体"/>
          <w:sz w:val="32"/>
          <w:szCs w:val="32"/>
        </w:rPr>
        <w:t>%，“三保”、乡村振兴、教育等重点支出仍需保持较大强度。综合研判，2026年财政收入组织难度极大，收支矛盾十分突出。全县上下必须树牢风险意识，坚持开源节流、增收节支并举，坚决落实习惯过紧日子要求，全力保障县域经济社会高质量发展。重点抓好以下工作：</w:t>
      </w:r>
    </w:p>
    <w:bookmarkEnd w:id="39"/>
    <w:bookmarkEnd w:id="40"/>
    <w:p w14:paraId="47526398">
      <w:pPr>
        <w:topLinePunct/>
        <w:autoSpaceDN w:val="0"/>
        <w:spacing w:line="580" w:lineRule="exact"/>
        <w:ind w:firstLine="640" w:firstLineChars="200"/>
        <w:rPr>
          <w:rFonts w:ascii="仿宋_GB2312" w:hAnsi="Segoe UI" w:eastAsia="仿宋_GB2312" w:cs="Segoe UI"/>
          <w:color w:val="000000" w:themeColor="text1"/>
          <w:kern w:val="0"/>
          <w:sz w:val="32"/>
          <w:szCs w:val="32"/>
        </w:rPr>
      </w:pPr>
      <w:bookmarkStart w:id="41" w:name="OLE_LINK53"/>
      <w:bookmarkStart w:id="42" w:name="OLE_LINK5"/>
      <w:bookmarkStart w:id="43" w:name="OLE_LINK6"/>
      <w:bookmarkStart w:id="44" w:name="OLE_LINK52"/>
      <w:r>
        <w:rPr>
          <w:rFonts w:hint="eastAsia" w:ascii="楷体_GB2312" w:hAnsi="国标楷体" w:eastAsia="楷体_GB2312" w:cs="国标楷体"/>
          <w:b/>
          <w:bCs/>
          <w:color w:val="000000" w:themeColor="text1"/>
          <w:kern w:val="0"/>
          <w:sz w:val="32"/>
          <w:szCs w:val="32"/>
        </w:rPr>
        <w:t>（一）聚力财源培植，向产业发展要税源。</w:t>
      </w:r>
      <w:r>
        <w:rPr>
          <w:rFonts w:hint="eastAsia" w:ascii="仿宋_GB2312" w:hAnsi="Segoe UI" w:eastAsia="仿宋_GB2312" w:cs="Segoe UI"/>
          <w:color w:val="000000" w:themeColor="text1"/>
          <w:kern w:val="0"/>
          <w:sz w:val="32"/>
          <w:szCs w:val="32"/>
        </w:rPr>
        <w:t>当前财政收支矛盾更加凸显，必须在发展中解决这些矛盾和问题。聚焦“南工北旅”战略，一方面，加强培育新能源汽车及零部件、文旅等主导产业，推动尽快形成稳定税源；另一方面，常态化开展全县税费协同共治，对安丰信义光伏、星逸房地产公司、恒大保交楼项目欠税等进行“点对点”催缴。税务部门持续加大挖潜、查漏、清缴力度，尽快实现正增长。对负增长乡镇，县政府加强调度，涉及单位采取切实可行工作举措，确保上半年转正。</w:t>
      </w:r>
    </w:p>
    <w:p w14:paraId="70769A6D">
      <w:pPr>
        <w:topLinePunct/>
        <w:autoSpaceDN w:val="0"/>
        <w:spacing w:line="580" w:lineRule="exact"/>
        <w:ind w:firstLine="640" w:firstLineChars="200"/>
        <w:rPr>
          <w:rFonts w:ascii="仿宋_GB2312" w:hAnsi="Segoe UI" w:eastAsia="仿宋_GB2312" w:cs="Segoe UI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国标楷体" w:eastAsia="楷体_GB2312" w:cs="国标楷体"/>
          <w:b/>
          <w:bCs/>
          <w:color w:val="000000" w:themeColor="text1"/>
          <w:kern w:val="0"/>
          <w:sz w:val="32"/>
          <w:szCs w:val="32"/>
        </w:rPr>
        <w:t>（二）深挖资源潜力，向三资盘活要财力。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加快推进全域土地整治及新增耕地项目实施、增加可出让资源规模，对县本级、新桥园区、寿蜀园区已具备条件的存量地块进行全面梳理，积极推介不少于300亩商业用地，实现土地出让收益。积极对接合肥都市圈及省内其他地市、长固高速等项目，加大土地指标交易，力争全年实现指标交易收益4亿元。县自规局对历年因土地卫片执法整改等资产进行清查起底，建立台账，按照历史遗留问题分类稳妥推进解决；各乡镇、园区全面梳理已出让土地闲置情况，对符合政策的依法依规征收土地闲置费；各执法执纪部门加大依法履职力度，加快案件办结进度，将产生的非税收入及时上缴财政。</w:t>
      </w:r>
    </w:p>
    <w:p w14:paraId="07C7F0A2">
      <w:pPr>
        <w:topLinePunct/>
        <w:spacing w:line="580" w:lineRule="exact"/>
        <w:ind w:firstLine="640" w:firstLineChars="200"/>
        <w:rPr>
          <w:rFonts w:ascii="仿宋_GB2312" w:hAnsi="Segoe UI" w:eastAsia="仿宋_GB2312" w:cs="Segoe UI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国标楷体" w:eastAsia="楷体_GB2312" w:cs="国标楷体"/>
          <w:b/>
          <w:bCs/>
          <w:color w:val="000000" w:themeColor="text1"/>
          <w:kern w:val="0"/>
          <w:sz w:val="32"/>
          <w:szCs w:val="32"/>
        </w:rPr>
        <w:t>（三）抢抓政策窗口，向上争取要支持。</w:t>
      </w:r>
      <w:r>
        <w:rPr>
          <w:rFonts w:hint="eastAsia" w:ascii="仿宋_GB2312" w:hAnsi="Segoe UI" w:eastAsia="仿宋_GB2312" w:cs="Segoe UI"/>
          <w:color w:val="000000" w:themeColor="text1"/>
          <w:kern w:val="0"/>
          <w:sz w:val="32"/>
          <w:szCs w:val="32"/>
        </w:rPr>
        <w:t>按照中央经济工作会议部署，今年财政部继续实施更加积极的财政政策，用好用足各类政府债券资金，发行超长期特别国债，持续支持“两重”“两新”。我们要积极谋划、认真梳理、加强对接，及时掌握最新政策出台情况与上级资金支持方向，围绕省以下财政体制改革，争取加大对常态化帮扶县、革命老区县、产粮大县、重点生态功能区利益补偿机制予以倾斜支持。紧盯财政高质量发展指标体系，推动落实好农业保险+、“大资产”统筹管理、财政科学管理试点改革等工作，争取省级激励资金奖励。优化专项债项目谋划，做实收益测算，争取新增债券和更多再融资债券额度，稳妥推进在建债券项目建设和隐性债务化解。</w:t>
      </w:r>
    </w:p>
    <w:p w14:paraId="22C89494">
      <w:pPr>
        <w:topLinePunct/>
        <w:spacing w:line="580" w:lineRule="exact"/>
        <w:ind w:firstLine="640" w:firstLineChars="200"/>
        <w:rPr>
          <w:rFonts w:ascii="仿宋_GB2312" w:hAnsi="Segoe UI" w:eastAsia="仿宋_GB2312" w:cs="Segoe UI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国标楷体" w:eastAsia="楷体_GB2312" w:cs="国标楷体"/>
          <w:b/>
          <w:bCs/>
          <w:color w:val="000000" w:themeColor="text1"/>
          <w:kern w:val="0"/>
          <w:sz w:val="32"/>
          <w:szCs w:val="32"/>
        </w:rPr>
        <w:t>（四）强化风险管控，向精细管理要安全。</w:t>
      </w:r>
      <w:r>
        <w:rPr>
          <w:rFonts w:hint="eastAsia" w:ascii="仿宋_GB2312" w:hAnsi="Segoe UI" w:eastAsia="仿宋_GB2312" w:cs="Segoe UI"/>
          <w:color w:val="000000" w:themeColor="text1"/>
          <w:kern w:val="0"/>
          <w:sz w:val="32"/>
          <w:szCs w:val="32"/>
        </w:rPr>
        <w:t>坚持“三保”支出在预算安排和执行中的最优先顺序，对上级调度的库款，优先保障工资发放、社保缴纳和补贴到人的民生项目。对今年列入预算的专班项目资金，结合收入实现情况，稳步有序安排。严格执行党政机关落实过紧日子的十六项政策要求，严控“三公”经费等一般性支出，不该开支、不必开支的一律不得开支，必须支出的一分不省，做到“大钱大方、小钱小气”。规范政府投资项目，严格落实财政承受能力评估，没有明确资金来源的项目一律不得开工。严控政府债务风险，加强专项债券全生命周期管理，制定偿债计划并落实资金来源。坚决遏制新增隐性债务，稳妥化解存量。聚焦关键领域，将常态化财会监督融入预算管理全流程。稳步推进地方法人金融机构风险化解，依法加大农商行、担保公司追偿挽损力度，强化金融风险监测预警，严厉打击非法金融活动，守住不发生系统性风险底线。加大争取金融机构支持力度，对县属企业、PPP项目到期债务通过发行企业债、展期降息、借新还旧、置换等方式，积极主动化解债务“爆雷”风险，确保按时偿还到期债务。</w:t>
      </w:r>
    </w:p>
    <w:bookmarkEnd w:id="35"/>
    <w:bookmarkEnd w:id="36"/>
    <w:bookmarkEnd w:id="41"/>
    <w:bookmarkEnd w:id="42"/>
    <w:bookmarkEnd w:id="43"/>
    <w:bookmarkEnd w:id="44"/>
    <w:p w14:paraId="5514FFD6">
      <w:pPr>
        <w:topLinePunct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以上报告，请予审议。</w:t>
      </w:r>
    </w:p>
    <w:sectPr>
      <w:footerReference r:id="rId3" w:type="default"/>
      <w:footerReference r:id="rId4" w:type="even"/>
      <w:pgSz w:w="11907" w:h="16840"/>
      <w:pgMar w:top="2098" w:right="1474" w:bottom="1985" w:left="1588" w:header="851" w:footer="113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国标楷体">
    <w:altName w:val="宋体"/>
    <w:panose1 w:val="00000000000000000000"/>
    <w:charset w:val="86"/>
    <w:family w:val="auto"/>
    <w:pitch w:val="default"/>
    <w:sig w:usb0="00000000" w:usb1="00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1D18E">
    <w:pPr>
      <w:pStyle w:val="12"/>
      <w:numPr>
        <w:ilvl w:val="0"/>
        <w:numId w:val="1"/>
      </w:numPr>
      <w:ind w:right="180"/>
      <w:jc w:val="right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11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70BA9B76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DC1B5">
    <w:pPr>
      <w:pStyle w:val="12"/>
      <w:ind w:left="420" w:lef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2AED1BCB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12232"/>
    <w:multiLevelType w:val="multilevel"/>
    <w:tmpl w:val="5A012232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804E3F"/>
    <w:rsid w:val="0000232A"/>
    <w:rsid w:val="000050D3"/>
    <w:rsid w:val="00010698"/>
    <w:rsid w:val="00015EBA"/>
    <w:rsid w:val="00016C9C"/>
    <w:rsid w:val="00017D67"/>
    <w:rsid w:val="00022720"/>
    <w:rsid w:val="00024256"/>
    <w:rsid w:val="00027E92"/>
    <w:rsid w:val="0004045B"/>
    <w:rsid w:val="000414F0"/>
    <w:rsid w:val="00042923"/>
    <w:rsid w:val="00047204"/>
    <w:rsid w:val="00051837"/>
    <w:rsid w:val="00054053"/>
    <w:rsid w:val="000641D7"/>
    <w:rsid w:val="00067428"/>
    <w:rsid w:val="000709FF"/>
    <w:rsid w:val="000739A9"/>
    <w:rsid w:val="00073B68"/>
    <w:rsid w:val="00073BF2"/>
    <w:rsid w:val="000816DB"/>
    <w:rsid w:val="000826B6"/>
    <w:rsid w:val="000854AC"/>
    <w:rsid w:val="000856A0"/>
    <w:rsid w:val="00090C2B"/>
    <w:rsid w:val="000929BA"/>
    <w:rsid w:val="000939B8"/>
    <w:rsid w:val="00093DEA"/>
    <w:rsid w:val="000A2CBC"/>
    <w:rsid w:val="000A7B8C"/>
    <w:rsid w:val="000B20C0"/>
    <w:rsid w:val="000B27D8"/>
    <w:rsid w:val="000C19F8"/>
    <w:rsid w:val="000C2198"/>
    <w:rsid w:val="000C2532"/>
    <w:rsid w:val="000C26A9"/>
    <w:rsid w:val="000C5818"/>
    <w:rsid w:val="000C7D2B"/>
    <w:rsid w:val="000D3C5D"/>
    <w:rsid w:val="000D465F"/>
    <w:rsid w:val="000D5A5D"/>
    <w:rsid w:val="000E214F"/>
    <w:rsid w:val="000E6A6B"/>
    <w:rsid w:val="000F1F41"/>
    <w:rsid w:val="000F4C68"/>
    <w:rsid w:val="000F5CC6"/>
    <w:rsid w:val="001025DC"/>
    <w:rsid w:val="001036F9"/>
    <w:rsid w:val="001041A9"/>
    <w:rsid w:val="00106094"/>
    <w:rsid w:val="001074A1"/>
    <w:rsid w:val="001076D0"/>
    <w:rsid w:val="00114B22"/>
    <w:rsid w:val="00115FA0"/>
    <w:rsid w:val="001172E4"/>
    <w:rsid w:val="00131E54"/>
    <w:rsid w:val="0013208E"/>
    <w:rsid w:val="0013671C"/>
    <w:rsid w:val="0014284D"/>
    <w:rsid w:val="00143186"/>
    <w:rsid w:val="001436B4"/>
    <w:rsid w:val="00147333"/>
    <w:rsid w:val="00147CD1"/>
    <w:rsid w:val="001521AF"/>
    <w:rsid w:val="001542E6"/>
    <w:rsid w:val="00160456"/>
    <w:rsid w:val="001645F9"/>
    <w:rsid w:val="00166D42"/>
    <w:rsid w:val="00171711"/>
    <w:rsid w:val="00172AF9"/>
    <w:rsid w:val="00173919"/>
    <w:rsid w:val="00176406"/>
    <w:rsid w:val="00182F37"/>
    <w:rsid w:val="0018379A"/>
    <w:rsid w:val="00183A3A"/>
    <w:rsid w:val="00184793"/>
    <w:rsid w:val="00184BAF"/>
    <w:rsid w:val="00185520"/>
    <w:rsid w:val="00195B5B"/>
    <w:rsid w:val="00196555"/>
    <w:rsid w:val="001978B4"/>
    <w:rsid w:val="001A2D29"/>
    <w:rsid w:val="001A3D2A"/>
    <w:rsid w:val="001A4BA1"/>
    <w:rsid w:val="001A52C2"/>
    <w:rsid w:val="001B05DC"/>
    <w:rsid w:val="001B694E"/>
    <w:rsid w:val="001C1866"/>
    <w:rsid w:val="001C6A11"/>
    <w:rsid w:val="001D4D10"/>
    <w:rsid w:val="001D4E96"/>
    <w:rsid w:val="001D727A"/>
    <w:rsid w:val="001E0044"/>
    <w:rsid w:val="001E35D2"/>
    <w:rsid w:val="001F3516"/>
    <w:rsid w:val="001F57E2"/>
    <w:rsid w:val="00202052"/>
    <w:rsid w:val="002043DC"/>
    <w:rsid w:val="002049B3"/>
    <w:rsid w:val="00207369"/>
    <w:rsid w:val="00215700"/>
    <w:rsid w:val="0022408D"/>
    <w:rsid w:val="00233F27"/>
    <w:rsid w:val="00242275"/>
    <w:rsid w:val="00242478"/>
    <w:rsid w:val="00244B05"/>
    <w:rsid w:val="0024772A"/>
    <w:rsid w:val="002503CA"/>
    <w:rsid w:val="00251C3B"/>
    <w:rsid w:val="00251FA6"/>
    <w:rsid w:val="002527D4"/>
    <w:rsid w:val="00255D60"/>
    <w:rsid w:val="00255F80"/>
    <w:rsid w:val="002576A1"/>
    <w:rsid w:val="00260FC8"/>
    <w:rsid w:val="00262599"/>
    <w:rsid w:val="002629C6"/>
    <w:rsid w:val="00262D76"/>
    <w:rsid w:val="00266CFB"/>
    <w:rsid w:val="002771FC"/>
    <w:rsid w:val="002774EB"/>
    <w:rsid w:val="00281714"/>
    <w:rsid w:val="002823D8"/>
    <w:rsid w:val="00282567"/>
    <w:rsid w:val="00282DBF"/>
    <w:rsid w:val="00282FB5"/>
    <w:rsid w:val="002861C6"/>
    <w:rsid w:val="00287EB7"/>
    <w:rsid w:val="00294DE5"/>
    <w:rsid w:val="002960DD"/>
    <w:rsid w:val="00297268"/>
    <w:rsid w:val="002A19D9"/>
    <w:rsid w:val="002A4A87"/>
    <w:rsid w:val="002A51B7"/>
    <w:rsid w:val="002A65E2"/>
    <w:rsid w:val="002A6E75"/>
    <w:rsid w:val="002A6EDB"/>
    <w:rsid w:val="002A7EA6"/>
    <w:rsid w:val="002B276F"/>
    <w:rsid w:val="002B2A8E"/>
    <w:rsid w:val="002B4090"/>
    <w:rsid w:val="002B61A8"/>
    <w:rsid w:val="002B73CC"/>
    <w:rsid w:val="002C1600"/>
    <w:rsid w:val="002C23C3"/>
    <w:rsid w:val="002C44CA"/>
    <w:rsid w:val="002C4567"/>
    <w:rsid w:val="002C6665"/>
    <w:rsid w:val="002D0F3B"/>
    <w:rsid w:val="002D3200"/>
    <w:rsid w:val="002E18B1"/>
    <w:rsid w:val="002E1C6C"/>
    <w:rsid w:val="002E5B2B"/>
    <w:rsid w:val="002E64D6"/>
    <w:rsid w:val="002F4D1B"/>
    <w:rsid w:val="002F78B9"/>
    <w:rsid w:val="0030007B"/>
    <w:rsid w:val="00304917"/>
    <w:rsid w:val="00304B8C"/>
    <w:rsid w:val="003050DA"/>
    <w:rsid w:val="00306E22"/>
    <w:rsid w:val="00307133"/>
    <w:rsid w:val="003078FA"/>
    <w:rsid w:val="00310D47"/>
    <w:rsid w:val="00315A72"/>
    <w:rsid w:val="0032264D"/>
    <w:rsid w:val="003232F6"/>
    <w:rsid w:val="00327655"/>
    <w:rsid w:val="003278E6"/>
    <w:rsid w:val="00331A28"/>
    <w:rsid w:val="00331E02"/>
    <w:rsid w:val="003358F0"/>
    <w:rsid w:val="003414AD"/>
    <w:rsid w:val="0034225D"/>
    <w:rsid w:val="003455BC"/>
    <w:rsid w:val="0034617D"/>
    <w:rsid w:val="00350088"/>
    <w:rsid w:val="003503B4"/>
    <w:rsid w:val="00352D7E"/>
    <w:rsid w:val="00353046"/>
    <w:rsid w:val="00354FB8"/>
    <w:rsid w:val="0036084E"/>
    <w:rsid w:val="00360A44"/>
    <w:rsid w:val="00361598"/>
    <w:rsid w:val="00362A04"/>
    <w:rsid w:val="00367E3B"/>
    <w:rsid w:val="00367E42"/>
    <w:rsid w:val="003704C3"/>
    <w:rsid w:val="003713E8"/>
    <w:rsid w:val="00373B39"/>
    <w:rsid w:val="0038274C"/>
    <w:rsid w:val="00384A30"/>
    <w:rsid w:val="00384A45"/>
    <w:rsid w:val="00386174"/>
    <w:rsid w:val="00386720"/>
    <w:rsid w:val="00386F63"/>
    <w:rsid w:val="00392C9C"/>
    <w:rsid w:val="003932D0"/>
    <w:rsid w:val="00397287"/>
    <w:rsid w:val="003A14CA"/>
    <w:rsid w:val="003B4FBB"/>
    <w:rsid w:val="003B58A1"/>
    <w:rsid w:val="003B68D1"/>
    <w:rsid w:val="003B6CDE"/>
    <w:rsid w:val="003B6E7A"/>
    <w:rsid w:val="003C37B6"/>
    <w:rsid w:val="003C54BA"/>
    <w:rsid w:val="003C63E5"/>
    <w:rsid w:val="003D75D1"/>
    <w:rsid w:val="003D7D24"/>
    <w:rsid w:val="003E47AD"/>
    <w:rsid w:val="003E7C65"/>
    <w:rsid w:val="003F135D"/>
    <w:rsid w:val="003F27E8"/>
    <w:rsid w:val="003F351F"/>
    <w:rsid w:val="003F3E08"/>
    <w:rsid w:val="003F458B"/>
    <w:rsid w:val="003F7095"/>
    <w:rsid w:val="003F72F2"/>
    <w:rsid w:val="00401E68"/>
    <w:rsid w:val="0040512A"/>
    <w:rsid w:val="00405396"/>
    <w:rsid w:val="00405642"/>
    <w:rsid w:val="00405DFC"/>
    <w:rsid w:val="004068BA"/>
    <w:rsid w:val="004155A5"/>
    <w:rsid w:val="00415D0F"/>
    <w:rsid w:val="00416249"/>
    <w:rsid w:val="0041651B"/>
    <w:rsid w:val="00421D1A"/>
    <w:rsid w:val="00425FDE"/>
    <w:rsid w:val="00431628"/>
    <w:rsid w:val="004330AB"/>
    <w:rsid w:val="00434B9B"/>
    <w:rsid w:val="00437DD1"/>
    <w:rsid w:val="00440617"/>
    <w:rsid w:val="00440EB8"/>
    <w:rsid w:val="0044132D"/>
    <w:rsid w:val="0045025E"/>
    <w:rsid w:val="00452691"/>
    <w:rsid w:val="00452C1A"/>
    <w:rsid w:val="00453087"/>
    <w:rsid w:val="00453CBC"/>
    <w:rsid w:val="00456DE2"/>
    <w:rsid w:val="00460261"/>
    <w:rsid w:val="0046413F"/>
    <w:rsid w:val="00471E18"/>
    <w:rsid w:val="00474D75"/>
    <w:rsid w:val="00477779"/>
    <w:rsid w:val="004900A3"/>
    <w:rsid w:val="00490D5D"/>
    <w:rsid w:val="00492453"/>
    <w:rsid w:val="00495229"/>
    <w:rsid w:val="00496864"/>
    <w:rsid w:val="004A07B6"/>
    <w:rsid w:val="004A32BF"/>
    <w:rsid w:val="004A4500"/>
    <w:rsid w:val="004A4AE8"/>
    <w:rsid w:val="004B2293"/>
    <w:rsid w:val="004C2239"/>
    <w:rsid w:val="004C4E49"/>
    <w:rsid w:val="004C5C63"/>
    <w:rsid w:val="004D0512"/>
    <w:rsid w:val="004D1F41"/>
    <w:rsid w:val="004D3F38"/>
    <w:rsid w:val="004E05B6"/>
    <w:rsid w:val="004E27FD"/>
    <w:rsid w:val="004E2E7B"/>
    <w:rsid w:val="004E3E03"/>
    <w:rsid w:val="004E40B8"/>
    <w:rsid w:val="004E678E"/>
    <w:rsid w:val="004E738E"/>
    <w:rsid w:val="004E7C81"/>
    <w:rsid w:val="004F0D61"/>
    <w:rsid w:val="004F172C"/>
    <w:rsid w:val="004F3FC0"/>
    <w:rsid w:val="004F5F37"/>
    <w:rsid w:val="004F6501"/>
    <w:rsid w:val="00500381"/>
    <w:rsid w:val="005007CB"/>
    <w:rsid w:val="00501118"/>
    <w:rsid w:val="0050470C"/>
    <w:rsid w:val="00506705"/>
    <w:rsid w:val="00506D43"/>
    <w:rsid w:val="00507DC4"/>
    <w:rsid w:val="00517ED7"/>
    <w:rsid w:val="00520C1C"/>
    <w:rsid w:val="0052514D"/>
    <w:rsid w:val="0052516D"/>
    <w:rsid w:val="00527A10"/>
    <w:rsid w:val="0053052F"/>
    <w:rsid w:val="00530C6C"/>
    <w:rsid w:val="0053317E"/>
    <w:rsid w:val="00533F3F"/>
    <w:rsid w:val="00534536"/>
    <w:rsid w:val="005347EE"/>
    <w:rsid w:val="005360CA"/>
    <w:rsid w:val="005378ED"/>
    <w:rsid w:val="00543CF0"/>
    <w:rsid w:val="00544A04"/>
    <w:rsid w:val="005458A5"/>
    <w:rsid w:val="00546EF9"/>
    <w:rsid w:val="00547D7A"/>
    <w:rsid w:val="00551CF0"/>
    <w:rsid w:val="00552B1D"/>
    <w:rsid w:val="00555658"/>
    <w:rsid w:val="005608ED"/>
    <w:rsid w:val="00560F57"/>
    <w:rsid w:val="005616E9"/>
    <w:rsid w:val="005630B1"/>
    <w:rsid w:val="005643DB"/>
    <w:rsid w:val="00564A24"/>
    <w:rsid w:val="005653A1"/>
    <w:rsid w:val="00565E35"/>
    <w:rsid w:val="0056775E"/>
    <w:rsid w:val="005677CB"/>
    <w:rsid w:val="00571EB4"/>
    <w:rsid w:val="00573331"/>
    <w:rsid w:val="00574E9F"/>
    <w:rsid w:val="00580F5C"/>
    <w:rsid w:val="005913A3"/>
    <w:rsid w:val="00591EF1"/>
    <w:rsid w:val="00592921"/>
    <w:rsid w:val="00597E64"/>
    <w:rsid w:val="005A0C1D"/>
    <w:rsid w:val="005A3ACD"/>
    <w:rsid w:val="005A58BE"/>
    <w:rsid w:val="005B288C"/>
    <w:rsid w:val="005B32C2"/>
    <w:rsid w:val="005B450D"/>
    <w:rsid w:val="005B4A39"/>
    <w:rsid w:val="005C32DC"/>
    <w:rsid w:val="005C4469"/>
    <w:rsid w:val="005D1049"/>
    <w:rsid w:val="005D1411"/>
    <w:rsid w:val="005D54F6"/>
    <w:rsid w:val="005D7114"/>
    <w:rsid w:val="005D7A33"/>
    <w:rsid w:val="005E1834"/>
    <w:rsid w:val="005E2D99"/>
    <w:rsid w:val="005E360D"/>
    <w:rsid w:val="005E4E1A"/>
    <w:rsid w:val="005E743E"/>
    <w:rsid w:val="005F4B44"/>
    <w:rsid w:val="00601CC4"/>
    <w:rsid w:val="006027A6"/>
    <w:rsid w:val="006124D4"/>
    <w:rsid w:val="006130DA"/>
    <w:rsid w:val="006150B7"/>
    <w:rsid w:val="0062014E"/>
    <w:rsid w:val="0062286C"/>
    <w:rsid w:val="00623B7D"/>
    <w:rsid w:val="006244CB"/>
    <w:rsid w:val="00632793"/>
    <w:rsid w:val="0063671C"/>
    <w:rsid w:val="00636F19"/>
    <w:rsid w:val="0064175E"/>
    <w:rsid w:val="00641FEA"/>
    <w:rsid w:val="0064211F"/>
    <w:rsid w:val="00642ED9"/>
    <w:rsid w:val="00644C2E"/>
    <w:rsid w:val="00645ED5"/>
    <w:rsid w:val="00652A7F"/>
    <w:rsid w:val="006539FD"/>
    <w:rsid w:val="0066027B"/>
    <w:rsid w:val="00661556"/>
    <w:rsid w:val="00662384"/>
    <w:rsid w:val="00662B57"/>
    <w:rsid w:val="00665A5A"/>
    <w:rsid w:val="00666478"/>
    <w:rsid w:val="00667DDC"/>
    <w:rsid w:val="00670EA3"/>
    <w:rsid w:val="0067147D"/>
    <w:rsid w:val="00673FA4"/>
    <w:rsid w:val="00674ABA"/>
    <w:rsid w:val="00674D75"/>
    <w:rsid w:val="006808D8"/>
    <w:rsid w:val="006865D6"/>
    <w:rsid w:val="0069149A"/>
    <w:rsid w:val="00691FB3"/>
    <w:rsid w:val="00696C1F"/>
    <w:rsid w:val="006A29B0"/>
    <w:rsid w:val="006A4913"/>
    <w:rsid w:val="006B2DFD"/>
    <w:rsid w:val="006B413B"/>
    <w:rsid w:val="006B62CE"/>
    <w:rsid w:val="006B7323"/>
    <w:rsid w:val="006C2608"/>
    <w:rsid w:val="006C4FBF"/>
    <w:rsid w:val="006C5F43"/>
    <w:rsid w:val="006C6981"/>
    <w:rsid w:val="006C766B"/>
    <w:rsid w:val="006D3422"/>
    <w:rsid w:val="006D6310"/>
    <w:rsid w:val="006D63CD"/>
    <w:rsid w:val="006D710E"/>
    <w:rsid w:val="006E1868"/>
    <w:rsid w:val="006E2099"/>
    <w:rsid w:val="006E35E8"/>
    <w:rsid w:val="006F39F8"/>
    <w:rsid w:val="006F546E"/>
    <w:rsid w:val="006F7761"/>
    <w:rsid w:val="00701217"/>
    <w:rsid w:val="00704913"/>
    <w:rsid w:val="00705D45"/>
    <w:rsid w:val="00706BA7"/>
    <w:rsid w:val="00712917"/>
    <w:rsid w:val="00713712"/>
    <w:rsid w:val="00714810"/>
    <w:rsid w:val="0072528F"/>
    <w:rsid w:val="007270A9"/>
    <w:rsid w:val="00730690"/>
    <w:rsid w:val="007312A1"/>
    <w:rsid w:val="007322F0"/>
    <w:rsid w:val="0073320F"/>
    <w:rsid w:val="00735D3A"/>
    <w:rsid w:val="00736E25"/>
    <w:rsid w:val="007420C1"/>
    <w:rsid w:val="00742197"/>
    <w:rsid w:val="00743481"/>
    <w:rsid w:val="00743CA7"/>
    <w:rsid w:val="00744B44"/>
    <w:rsid w:val="0074527F"/>
    <w:rsid w:val="00745C56"/>
    <w:rsid w:val="00751908"/>
    <w:rsid w:val="007522B8"/>
    <w:rsid w:val="007606DB"/>
    <w:rsid w:val="00760F8D"/>
    <w:rsid w:val="00763AE0"/>
    <w:rsid w:val="00765CCF"/>
    <w:rsid w:val="00771F64"/>
    <w:rsid w:val="0077216F"/>
    <w:rsid w:val="00773599"/>
    <w:rsid w:val="00775C90"/>
    <w:rsid w:val="00775E5A"/>
    <w:rsid w:val="007816DA"/>
    <w:rsid w:val="00783B2D"/>
    <w:rsid w:val="00784B61"/>
    <w:rsid w:val="0078534E"/>
    <w:rsid w:val="00787CA8"/>
    <w:rsid w:val="0079005F"/>
    <w:rsid w:val="00795685"/>
    <w:rsid w:val="00795F52"/>
    <w:rsid w:val="00796291"/>
    <w:rsid w:val="007A5318"/>
    <w:rsid w:val="007A5B40"/>
    <w:rsid w:val="007B181E"/>
    <w:rsid w:val="007B3D43"/>
    <w:rsid w:val="007B4A4B"/>
    <w:rsid w:val="007B4FE4"/>
    <w:rsid w:val="007C1C69"/>
    <w:rsid w:val="007C3279"/>
    <w:rsid w:val="007C622F"/>
    <w:rsid w:val="007C667B"/>
    <w:rsid w:val="007C7F71"/>
    <w:rsid w:val="007D5300"/>
    <w:rsid w:val="007E1FD8"/>
    <w:rsid w:val="007E2143"/>
    <w:rsid w:val="007E3448"/>
    <w:rsid w:val="007E3E29"/>
    <w:rsid w:val="007E7BB1"/>
    <w:rsid w:val="007F4B6A"/>
    <w:rsid w:val="007F7831"/>
    <w:rsid w:val="00801518"/>
    <w:rsid w:val="00803279"/>
    <w:rsid w:val="00804E3F"/>
    <w:rsid w:val="00807C87"/>
    <w:rsid w:val="00810FC9"/>
    <w:rsid w:val="00815327"/>
    <w:rsid w:val="00815BCC"/>
    <w:rsid w:val="00815E0F"/>
    <w:rsid w:val="00820A39"/>
    <w:rsid w:val="00822FD9"/>
    <w:rsid w:val="00824327"/>
    <w:rsid w:val="00826B4D"/>
    <w:rsid w:val="00836C4E"/>
    <w:rsid w:val="00837C40"/>
    <w:rsid w:val="0084035D"/>
    <w:rsid w:val="00842BED"/>
    <w:rsid w:val="00844C50"/>
    <w:rsid w:val="00845B07"/>
    <w:rsid w:val="008477B8"/>
    <w:rsid w:val="0085520C"/>
    <w:rsid w:val="008609B4"/>
    <w:rsid w:val="00860C6F"/>
    <w:rsid w:val="00860D5D"/>
    <w:rsid w:val="00862924"/>
    <w:rsid w:val="00863AD1"/>
    <w:rsid w:val="008661D7"/>
    <w:rsid w:val="0086779B"/>
    <w:rsid w:val="00872FAB"/>
    <w:rsid w:val="00876B5D"/>
    <w:rsid w:val="008812EC"/>
    <w:rsid w:val="00883936"/>
    <w:rsid w:val="00897F2A"/>
    <w:rsid w:val="008A0205"/>
    <w:rsid w:val="008A13CF"/>
    <w:rsid w:val="008A1CFD"/>
    <w:rsid w:val="008A3D1F"/>
    <w:rsid w:val="008A438D"/>
    <w:rsid w:val="008B0646"/>
    <w:rsid w:val="008B1591"/>
    <w:rsid w:val="008B1916"/>
    <w:rsid w:val="008B3FA6"/>
    <w:rsid w:val="008B4C5B"/>
    <w:rsid w:val="008C1EEC"/>
    <w:rsid w:val="008C21BB"/>
    <w:rsid w:val="008C3704"/>
    <w:rsid w:val="008C65C5"/>
    <w:rsid w:val="008C71B1"/>
    <w:rsid w:val="008D2461"/>
    <w:rsid w:val="008D34E9"/>
    <w:rsid w:val="008D3985"/>
    <w:rsid w:val="008D3DDE"/>
    <w:rsid w:val="008D4D79"/>
    <w:rsid w:val="008D7724"/>
    <w:rsid w:val="008E0B9B"/>
    <w:rsid w:val="008E1783"/>
    <w:rsid w:val="008E18CC"/>
    <w:rsid w:val="008E3473"/>
    <w:rsid w:val="008E4780"/>
    <w:rsid w:val="008E5736"/>
    <w:rsid w:val="008E5937"/>
    <w:rsid w:val="008F1E7D"/>
    <w:rsid w:val="008F4E5D"/>
    <w:rsid w:val="00901239"/>
    <w:rsid w:val="009040A7"/>
    <w:rsid w:val="00906CCB"/>
    <w:rsid w:val="00907320"/>
    <w:rsid w:val="00907A80"/>
    <w:rsid w:val="00907E2D"/>
    <w:rsid w:val="00914521"/>
    <w:rsid w:val="00921E57"/>
    <w:rsid w:val="00923EB2"/>
    <w:rsid w:val="00924394"/>
    <w:rsid w:val="00924A9C"/>
    <w:rsid w:val="0092603E"/>
    <w:rsid w:val="00926DBC"/>
    <w:rsid w:val="009300B0"/>
    <w:rsid w:val="00932009"/>
    <w:rsid w:val="00933971"/>
    <w:rsid w:val="00934481"/>
    <w:rsid w:val="0093564C"/>
    <w:rsid w:val="0093674B"/>
    <w:rsid w:val="009402BA"/>
    <w:rsid w:val="0094235F"/>
    <w:rsid w:val="00950C3F"/>
    <w:rsid w:val="009517C4"/>
    <w:rsid w:val="00952B0B"/>
    <w:rsid w:val="00953416"/>
    <w:rsid w:val="0095411F"/>
    <w:rsid w:val="00955EC9"/>
    <w:rsid w:val="00961DC4"/>
    <w:rsid w:val="00961E01"/>
    <w:rsid w:val="009675AD"/>
    <w:rsid w:val="00967FB2"/>
    <w:rsid w:val="009736DA"/>
    <w:rsid w:val="009753FE"/>
    <w:rsid w:val="009768EE"/>
    <w:rsid w:val="0097694A"/>
    <w:rsid w:val="009803E5"/>
    <w:rsid w:val="00981473"/>
    <w:rsid w:val="00981A68"/>
    <w:rsid w:val="0098449C"/>
    <w:rsid w:val="00984E06"/>
    <w:rsid w:val="00985A51"/>
    <w:rsid w:val="009876FB"/>
    <w:rsid w:val="00996462"/>
    <w:rsid w:val="009968BA"/>
    <w:rsid w:val="0099799D"/>
    <w:rsid w:val="009A65B1"/>
    <w:rsid w:val="009C117E"/>
    <w:rsid w:val="009C20D0"/>
    <w:rsid w:val="009C5D52"/>
    <w:rsid w:val="009C7FD9"/>
    <w:rsid w:val="009D0C95"/>
    <w:rsid w:val="009D1436"/>
    <w:rsid w:val="009D1DE8"/>
    <w:rsid w:val="009D2AC4"/>
    <w:rsid w:val="009D404E"/>
    <w:rsid w:val="009D57C8"/>
    <w:rsid w:val="009D66C0"/>
    <w:rsid w:val="009E163E"/>
    <w:rsid w:val="009E1FE5"/>
    <w:rsid w:val="009E250F"/>
    <w:rsid w:val="009E40F4"/>
    <w:rsid w:val="009E50C3"/>
    <w:rsid w:val="009E5235"/>
    <w:rsid w:val="009E5271"/>
    <w:rsid w:val="009F02BA"/>
    <w:rsid w:val="009F1767"/>
    <w:rsid w:val="009F6863"/>
    <w:rsid w:val="009F6B49"/>
    <w:rsid w:val="00A050AD"/>
    <w:rsid w:val="00A05A94"/>
    <w:rsid w:val="00A05FBD"/>
    <w:rsid w:val="00A10BF4"/>
    <w:rsid w:val="00A10D13"/>
    <w:rsid w:val="00A11F4A"/>
    <w:rsid w:val="00A126B0"/>
    <w:rsid w:val="00A137BD"/>
    <w:rsid w:val="00A142B3"/>
    <w:rsid w:val="00A14D7D"/>
    <w:rsid w:val="00A16946"/>
    <w:rsid w:val="00A21044"/>
    <w:rsid w:val="00A2325B"/>
    <w:rsid w:val="00A26D82"/>
    <w:rsid w:val="00A2782E"/>
    <w:rsid w:val="00A3573F"/>
    <w:rsid w:val="00A37D1F"/>
    <w:rsid w:val="00A41F93"/>
    <w:rsid w:val="00A448FA"/>
    <w:rsid w:val="00A46BA4"/>
    <w:rsid w:val="00A46D60"/>
    <w:rsid w:val="00A4737C"/>
    <w:rsid w:val="00A5327D"/>
    <w:rsid w:val="00A5434B"/>
    <w:rsid w:val="00A65B08"/>
    <w:rsid w:val="00A66634"/>
    <w:rsid w:val="00A717FA"/>
    <w:rsid w:val="00A76E4C"/>
    <w:rsid w:val="00A77302"/>
    <w:rsid w:val="00A77491"/>
    <w:rsid w:val="00A83F75"/>
    <w:rsid w:val="00A84406"/>
    <w:rsid w:val="00A84E58"/>
    <w:rsid w:val="00A90719"/>
    <w:rsid w:val="00A95660"/>
    <w:rsid w:val="00AA57F6"/>
    <w:rsid w:val="00AB0625"/>
    <w:rsid w:val="00AB0F91"/>
    <w:rsid w:val="00AB1310"/>
    <w:rsid w:val="00AB13AB"/>
    <w:rsid w:val="00AB2A85"/>
    <w:rsid w:val="00AB3C90"/>
    <w:rsid w:val="00AC2168"/>
    <w:rsid w:val="00AC2D1A"/>
    <w:rsid w:val="00AC3651"/>
    <w:rsid w:val="00AC3C30"/>
    <w:rsid w:val="00AC4DE1"/>
    <w:rsid w:val="00AC672C"/>
    <w:rsid w:val="00AD37C9"/>
    <w:rsid w:val="00AD66F4"/>
    <w:rsid w:val="00AD6D86"/>
    <w:rsid w:val="00AE493F"/>
    <w:rsid w:val="00AF03B1"/>
    <w:rsid w:val="00AF54F0"/>
    <w:rsid w:val="00B01C14"/>
    <w:rsid w:val="00B02A69"/>
    <w:rsid w:val="00B02C2E"/>
    <w:rsid w:val="00B03001"/>
    <w:rsid w:val="00B03AB4"/>
    <w:rsid w:val="00B10C4A"/>
    <w:rsid w:val="00B11F8C"/>
    <w:rsid w:val="00B12235"/>
    <w:rsid w:val="00B1385C"/>
    <w:rsid w:val="00B17956"/>
    <w:rsid w:val="00B17C42"/>
    <w:rsid w:val="00B2142B"/>
    <w:rsid w:val="00B2273C"/>
    <w:rsid w:val="00B23A99"/>
    <w:rsid w:val="00B30E40"/>
    <w:rsid w:val="00B323B5"/>
    <w:rsid w:val="00B41B79"/>
    <w:rsid w:val="00B43C4B"/>
    <w:rsid w:val="00B448EA"/>
    <w:rsid w:val="00B50700"/>
    <w:rsid w:val="00B50A37"/>
    <w:rsid w:val="00B50DB7"/>
    <w:rsid w:val="00B53B9A"/>
    <w:rsid w:val="00B54882"/>
    <w:rsid w:val="00B571E5"/>
    <w:rsid w:val="00B60EB1"/>
    <w:rsid w:val="00B612F0"/>
    <w:rsid w:val="00B61833"/>
    <w:rsid w:val="00B634BE"/>
    <w:rsid w:val="00B635D3"/>
    <w:rsid w:val="00B652BA"/>
    <w:rsid w:val="00B670CA"/>
    <w:rsid w:val="00B72578"/>
    <w:rsid w:val="00B7330A"/>
    <w:rsid w:val="00B758F7"/>
    <w:rsid w:val="00B76C32"/>
    <w:rsid w:val="00B84855"/>
    <w:rsid w:val="00B85F33"/>
    <w:rsid w:val="00B9300D"/>
    <w:rsid w:val="00B94554"/>
    <w:rsid w:val="00B945A9"/>
    <w:rsid w:val="00B94D26"/>
    <w:rsid w:val="00B97095"/>
    <w:rsid w:val="00BA120C"/>
    <w:rsid w:val="00BA1D55"/>
    <w:rsid w:val="00BA25FD"/>
    <w:rsid w:val="00BA5A12"/>
    <w:rsid w:val="00BB10C5"/>
    <w:rsid w:val="00BB62D2"/>
    <w:rsid w:val="00BC4BC9"/>
    <w:rsid w:val="00BC76D2"/>
    <w:rsid w:val="00BC7C40"/>
    <w:rsid w:val="00BC7E06"/>
    <w:rsid w:val="00BD2823"/>
    <w:rsid w:val="00BD2C60"/>
    <w:rsid w:val="00BE0161"/>
    <w:rsid w:val="00BE062D"/>
    <w:rsid w:val="00BE20E9"/>
    <w:rsid w:val="00BE4FD2"/>
    <w:rsid w:val="00BE6343"/>
    <w:rsid w:val="00BE7764"/>
    <w:rsid w:val="00BF1E9B"/>
    <w:rsid w:val="00BF744A"/>
    <w:rsid w:val="00C06B39"/>
    <w:rsid w:val="00C13D24"/>
    <w:rsid w:val="00C14D5B"/>
    <w:rsid w:val="00C1760A"/>
    <w:rsid w:val="00C17C9B"/>
    <w:rsid w:val="00C17CCE"/>
    <w:rsid w:val="00C21005"/>
    <w:rsid w:val="00C2319C"/>
    <w:rsid w:val="00C23C2F"/>
    <w:rsid w:val="00C24F93"/>
    <w:rsid w:val="00C27BE1"/>
    <w:rsid w:val="00C31440"/>
    <w:rsid w:val="00C34DFD"/>
    <w:rsid w:val="00C36DB7"/>
    <w:rsid w:val="00C40E61"/>
    <w:rsid w:val="00C410A9"/>
    <w:rsid w:val="00C42BE0"/>
    <w:rsid w:val="00C43095"/>
    <w:rsid w:val="00C4309A"/>
    <w:rsid w:val="00C44F2A"/>
    <w:rsid w:val="00C47394"/>
    <w:rsid w:val="00C55735"/>
    <w:rsid w:val="00C6285B"/>
    <w:rsid w:val="00C64827"/>
    <w:rsid w:val="00C6603D"/>
    <w:rsid w:val="00C674B1"/>
    <w:rsid w:val="00C702AE"/>
    <w:rsid w:val="00C706FB"/>
    <w:rsid w:val="00C74511"/>
    <w:rsid w:val="00C76C49"/>
    <w:rsid w:val="00C77988"/>
    <w:rsid w:val="00C803CA"/>
    <w:rsid w:val="00C80E7E"/>
    <w:rsid w:val="00C81630"/>
    <w:rsid w:val="00C82EF1"/>
    <w:rsid w:val="00C85807"/>
    <w:rsid w:val="00C90EF4"/>
    <w:rsid w:val="00C91952"/>
    <w:rsid w:val="00C93B01"/>
    <w:rsid w:val="00C965CF"/>
    <w:rsid w:val="00C96C10"/>
    <w:rsid w:val="00C977CC"/>
    <w:rsid w:val="00CA14DD"/>
    <w:rsid w:val="00CA68E2"/>
    <w:rsid w:val="00CB3A1F"/>
    <w:rsid w:val="00CB599D"/>
    <w:rsid w:val="00CB7052"/>
    <w:rsid w:val="00CC4915"/>
    <w:rsid w:val="00CC650B"/>
    <w:rsid w:val="00CC7790"/>
    <w:rsid w:val="00CD2A13"/>
    <w:rsid w:val="00CD7A85"/>
    <w:rsid w:val="00CE0214"/>
    <w:rsid w:val="00CE6C7E"/>
    <w:rsid w:val="00CE6E4F"/>
    <w:rsid w:val="00CE6F5B"/>
    <w:rsid w:val="00CF17E0"/>
    <w:rsid w:val="00CF2FF7"/>
    <w:rsid w:val="00CF3582"/>
    <w:rsid w:val="00CF4E72"/>
    <w:rsid w:val="00CF51ED"/>
    <w:rsid w:val="00CF7B98"/>
    <w:rsid w:val="00D02B1E"/>
    <w:rsid w:val="00D12260"/>
    <w:rsid w:val="00D27932"/>
    <w:rsid w:val="00D27E29"/>
    <w:rsid w:val="00D330E8"/>
    <w:rsid w:val="00D35ABC"/>
    <w:rsid w:val="00D42753"/>
    <w:rsid w:val="00D442E3"/>
    <w:rsid w:val="00D44E68"/>
    <w:rsid w:val="00D452EB"/>
    <w:rsid w:val="00D47DD0"/>
    <w:rsid w:val="00D52856"/>
    <w:rsid w:val="00D54164"/>
    <w:rsid w:val="00D61080"/>
    <w:rsid w:val="00D62E29"/>
    <w:rsid w:val="00D67F8D"/>
    <w:rsid w:val="00D70FE4"/>
    <w:rsid w:val="00D718D2"/>
    <w:rsid w:val="00D71E88"/>
    <w:rsid w:val="00D72E25"/>
    <w:rsid w:val="00D74AC0"/>
    <w:rsid w:val="00D767F3"/>
    <w:rsid w:val="00D81AB3"/>
    <w:rsid w:val="00D8250E"/>
    <w:rsid w:val="00D83086"/>
    <w:rsid w:val="00D84981"/>
    <w:rsid w:val="00D91A47"/>
    <w:rsid w:val="00D91B0E"/>
    <w:rsid w:val="00D9215E"/>
    <w:rsid w:val="00D92A4C"/>
    <w:rsid w:val="00D93242"/>
    <w:rsid w:val="00D96B59"/>
    <w:rsid w:val="00DA348B"/>
    <w:rsid w:val="00DB21EA"/>
    <w:rsid w:val="00DB22BA"/>
    <w:rsid w:val="00DB4B2F"/>
    <w:rsid w:val="00DB5D52"/>
    <w:rsid w:val="00DB5E06"/>
    <w:rsid w:val="00DC0935"/>
    <w:rsid w:val="00DC0AC4"/>
    <w:rsid w:val="00DC1908"/>
    <w:rsid w:val="00DD0B73"/>
    <w:rsid w:val="00DD103A"/>
    <w:rsid w:val="00DD10E0"/>
    <w:rsid w:val="00DD145F"/>
    <w:rsid w:val="00DD479B"/>
    <w:rsid w:val="00DD4A6C"/>
    <w:rsid w:val="00DD7134"/>
    <w:rsid w:val="00DD71EA"/>
    <w:rsid w:val="00DD7324"/>
    <w:rsid w:val="00DD782C"/>
    <w:rsid w:val="00DE0D0C"/>
    <w:rsid w:val="00DE3FE8"/>
    <w:rsid w:val="00DE5D0C"/>
    <w:rsid w:val="00E006E2"/>
    <w:rsid w:val="00E00CD7"/>
    <w:rsid w:val="00E026E6"/>
    <w:rsid w:val="00E03ADB"/>
    <w:rsid w:val="00E046DA"/>
    <w:rsid w:val="00E04F4E"/>
    <w:rsid w:val="00E053E9"/>
    <w:rsid w:val="00E05E6C"/>
    <w:rsid w:val="00E0749F"/>
    <w:rsid w:val="00E11B73"/>
    <w:rsid w:val="00E13891"/>
    <w:rsid w:val="00E13A67"/>
    <w:rsid w:val="00E14A7A"/>
    <w:rsid w:val="00E20174"/>
    <w:rsid w:val="00E250DD"/>
    <w:rsid w:val="00E256D4"/>
    <w:rsid w:val="00E260B8"/>
    <w:rsid w:val="00E37D65"/>
    <w:rsid w:val="00E43D5E"/>
    <w:rsid w:val="00E51281"/>
    <w:rsid w:val="00E51A8A"/>
    <w:rsid w:val="00E55818"/>
    <w:rsid w:val="00E572CF"/>
    <w:rsid w:val="00E67AF8"/>
    <w:rsid w:val="00E67E54"/>
    <w:rsid w:val="00E7470E"/>
    <w:rsid w:val="00E74BFD"/>
    <w:rsid w:val="00E753AC"/>
    <w:rsid w:val="00E76659"/>
    <w:rsid w:val="00E77F14"/>
    <w:rsid w:val="00E815A3"/>
    <w:rsid w:val="00E8398D"/>
    <w:rsid w:val="00E84042"/>
    <w:rsid w:val="00E90F7E"/>
    <w:rsid w:val="00E9494E"/>
    <w:rsid w:val="00EA1895"/>
    <w:rsid w:val="00EA2116"/>
    <w:rsid w:val="00EA6A4C"/>
    <w:rsid w:val="00EB0B89"/>
    <w:rsid w:val="00EC3ABB"/>
    <w:rsid w:val="00EC6ABC"/>
    <w:rsid w:val="00EC6CA7"/>
    <w:rsid w:val="00ED6336"/>
    <w:rsid w:val="00EE40CC"/>
    <w:rsid w:val="00EF0FB6"/>
    <w:rsid w:val="00EF2FE0"/>
    <w:rsid w:val="00EF361A"/>
    <w:rsid w:val="00EF382A"/>
    <w:rsid w:val="00EF59CB"/>
    <w:rsid w:val="00EF6645"/>
    <w:rsid w:val="00EF7ABD"/>
    <w:rsid w:val="00EF7F92"/>
    <w:rsid w:val="00F0001B"/>
    <w:rsid w:val="00F012A6"/>
    <w:rsid w:val="00F01B3E"/>
    <w:rsid w:val="00F02567"/>
    <w:rsid w:val="00F028DD"/>
    <w:rsid w:val="00F02B6C"/>
    <w:rsid w:val="00F064BF"/>
    <w:rsid w:val="00F0667C"/>
    <w:rsid w:val="00F10CFE"/>
    <w:rsid w:val="00F14E50"/>
    <w:rsid w:val="00F16850"/>
    <w:rsid w:val="00F172EC"/>
    <w:rsid w:val="00F2296C"/>
    <w:rsid w:val="00F264E5"/>
    <w:rsid w:val="00F2680D"/>
    <w:rsid w:val="00F33284"/>
    <w:rsid w:val="00F348D3"/>
    <w:rsid w:val="00F37A0C"/>
    <w:rsid w:val="00F42506"/>
    <w:rsid w:val="00F458A1"/>
    <w:rsid w:val="00F4792A"/>
    <w:rsid w:val="00F54DFA"/>
    <w:rsid w:val="00F56846"/>
    <w:rsid w:val="00F748D9"/>
    <w:rsid w:val="00F754F3"/>
    <w:rsid w:val="00F77598"/>
    <w:rsid w:val="00F775C5"/>
    <w:rsid w:val="00F77C21"/>
    <w:rsid w:val="00F815C2"/>
    <w:rsid w:val="00F87F0F"/>
    <w:rsid w:val="00FA16BA"/>
    <w:rsid w:val="00FA45F1"/>
    <w:rsid w:val="00FA74E1"/>
    <w:rsid w:val="00FB25F5"/>
    <w:rsid w:val="00FB2A91"/>
    <w:rsid w:val="00FB353B"/>
    <w:rsid w:val="00FB41FA"/>
    <w:rsid w:val="00FB65E4"/>
    <w:rsid w:val="00FB6873"/>
    <w:rsid w:val="00FB696D"/>
    <w:rsid w:val="00FB69BC"/>
    <w:rsid w:val="00FB6C2D"/>
    <w:rsid w:val="00FB775C"/>
    <w:rsid w:val="00FC4923"/>
    <w:rsid w:val="00FC57FE"/>
    <w:rsid w:val="00FD03E4"/>
    <w:rsid w:val="00FD0E19"/>
    <w:rsid w:val="00FD130E"/>
    <w:rsid w:val="00FD2C8D"/>
    <w:rsid w:val="00FE10FF"/>
    <w:rsid w:val="00FE4249"/>
    <w:rsid w:val="00FE72B4"/>
    <w:rsid w:val="00FE7FAA"/>
    <w:rsid w:val="00FF1061"/>
    <w:rsid w:val="00FF15CF"/>
    <w:rsid w:val="00FF272F"/>
    <w:rsid w:val="01F42D45"/>
    <w:rsid w:val="06A518A1"/>
    <w:rsid w:val="0AC91212"/>
    <w:rsid w:val="0BC4144B"/>
    <w:rsid w:val="0C31368D"/>
    <w:rsid w:val="0E0F1632"/>
    <w:rsid w:val="0EE41FE3"/>
    <w:rsid w:val="104B7928"/>
    <w:rsid w:val="10525806"/>
    <w:rsid w:val="13F2006B"/>
    <w:rsid w:val="157C06B2"/>
    <w:rsid w:val="18167A61"/>
    <w:rsid w:val="18E04B36"/>
    <w:rsid w:val="19382CF5"/>
    <w:rsid w:val="19AA220F"/>
    <w:rsid w:val="1DE32EA2"/>
    <w:rsid w:val="1E624E21"/>
    <w:rsid w:val="20670E5A"/>
    <w:rsid w:val="21EE6AC3"/>
    <w:rsid w:val="231E77CA"/>
    <w:rsid w:val="23B61E03"/>
    <w:rsid w:val="25D93A98"/>
    <w:rsid w:val="2D186FFE"/>
    <w:rsid w:val="2D667447"/>
    <w:rsid w:val="2DD02847"/>
    <w:rsid w:val="33497B0A"/>
    <w:rsid w:val="37464BAC"/>
    <w:rsid w:val="375223D9"/>
    <w:rsid w:val="37E17175"/>
    <w:rsid w:val="3821196B"/>
    <w:rsid w:val="3D98669F"/>
    <w:rsid w:val="3ECE0A43"/>
    <w:rsid w:val="46276812"/>
    <w:rsid w:val="49525AE7"/>
    <w:rsid w:val="4D9D560B"/>
    <w:rsid w:val="50F132ED"/>
    <w:rsid w:val="52F1442F"/>
    <w:rsid w:val="533D3179"/>
    <w:rsid w:val="56446F6C"/>
    <w:rsid w:val="5A791AC5"/>
    <w:rsid w:val="5B81031A"/>
    <w:rsid w:val="5FD70E51"/>
    <w:rsid w:val="5FF17A66"/>
    <w:rsid w:val="63F94DAE"/>
    <w:rsid w:val="65CD5431"/>
    <w:rsid w:val="68670295"/>
    <w:rsid w:val="686F5A3D"/>
    <w:rsid w:val="68DC28D0"/>
    <w:rsid w:val="6C454C4B"/>
    <w:rsid w:val="6D394BE8"/>
    <w:rsid w:val="6F2929E8"/>
    <w:rsid w:val="6FA7614A"/>
    <w:rsid w:val="6FF065D7"/>
    <w:rsid w:val="75FA452A"/>
    <w:rsid w:val="76067942"/>
    <w:rsid w:val="79142376"/>
    <w:rsid w:val="7B267501"/>
    <w:rsid w:val="7C6D4277"/>
    <w:rsid w:val="7C8A3C2F"/>
    <w:rsid w:val="7D38181B"/>
    <w:rsid w:val="7D7C7D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keepLines/>
      <w:spacing w:line="576" w:lineRule="auto"/>
      <w:outlineLvl w:val="0"/>
    </w:pPr>
    <w:rPr>
      <w:rFonts w:ascii="Calibri" w:hAnsi="Calibri"/>
      <w:b/>
      <w:kern w:val="44"/>
      <w:sz w:val="44"/>
    </w:rPr>
  </w:style>
  <w:style w:type="paragraph" w:styleId="3">
    <w:name w:val="heading 2"/>
    <w:basedOn w:val="1"/>
    <w:next w:val="1"/>
    <w:link w:val="6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6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szCs w:val="21"/>
    </w:rPr>
  </w:style>
  <w:style w:type="paragraph" w:styleId="6">
    <w:name w:val="Body Text"/>
    <w:basedOn w:val="1"/>
    <w:link w:val="27"/>
    <w:qFormat/>
    <w:uiPriority w:val="1"/>
    <w:pPr>
      <w:jc w:val="center"/>
    </w:pPr>
    <w:rPr>
      <w:rFonts w:eastAsia="黑体"/>
      <w:sz w:val="36"/>
      <w:szCs w:val="20"/>
    </w:rPr>
  </w:style>
  <w:style w:type="paragraph" w:styleId="7">
    <w:name w:val="Body Text Indent"/>
    <w:basedOn w:val="1"/>
    <w:link w:val="28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link w:val="70"/>
    <w:qFormat/>
    <w:uiPriority w:val="0"/>
    <w:rPr>
      <w:rFonts w:ascii="宋体" w:hAnsi="Courier New"/>
    </w:rPr>
  </w:style>
  <w:style w:type="paragraph" w:styleId="9">
    <w:name w:val="Date"/>
    <w:basedOn w:val="1"/>
    <w:next w:val="1"/>
    <w:link w:val="31"/>
    <w:qFormat/>
    <w:uiPriority w:val="0"/>
    <w:pPr>
      <w:ind w:left="100" w:leftChars="2500"/>
    </w:pPr>
  </w:style>
  <w:style w:type="paragraph" w:styleId="10">
    <w:name w:val="Body Text Indent 2"/>
    <w:basedOn w:val="1"/>
    <w:link w:val="56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link w:val="35"/>
    <w:qFormat/>
    <w:uiPriority w:val="0"/>
    <w:rPr>
      <w:sz w:val="18"/>
      <w:szCs w:val="18"/>
    </w:rPr>
  </w:style>
  <w:style w:type="paragraph" w:styleId="12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footnote text"/>
    <w:basedOn w:val="1"/>
    <w:link w:val="36"/>
    <w:qFormat/>
    <w:uiPriority w:val="0"/>
    <w:pPr>
      <w:snapToGrid w:val="0"/>
      <w:jc w:val="left"/>
    </w:pPr>
    <w:rPr>
      <w:sz w:val="18"/>
      <w:szCs w:val="18"/>
    </w:rPr>
  </w:style>
  <w:style w:type="paragraph" w:styleId="15">
    <w:name w:val="HTML Preformatted"/>
    <w:basedOn w:val="1"/>
    <w:link w:val="8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6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17">
    <w:name w:val="Body Text First Indent"/>
    <w:basedOn w:val="6"/>
    <w:link w:val="61"/>
    <w:qFormat/>
    <w:uiPriority w:val="0"/>
    <w:pPr>
      <w:spacing w:after="120"/>
      <w:ind w:firstLine="420" w:firstLineChars="100"/>
      <w:jc w:val="both"/>
    </w:pPr>
    <w:rPr>
      <w:rFonts w:eastAsia="宋体"/>
      <w:sz w:val="21"/>
      <w:szCs w:val="24"/>
    </w:rPr>
  </w:style>
  <w:style w:type="paragraph" w:styleId="18">
    <w:name w:val="Body Text First Indent 2"/>
    <w:basedOn w:val="7"/>
    <w:next w:val="17"/>
    <w:link w:val="62"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Hyperlink"/>
    <w:basedOn w:val="21"/>
    <w:qFormat/>
    <w:uiPriority w:val="0"/>
    <w:rPr>
      <w:color w:val="0000FF"/>
      <w:u w:val="single"/>
    </w:rPr>
  </w:style>
  <w:style w:type="character" w:customStyle="1" w:styleId="24">
    <w:name w:val="页眉 Char"/>
    <w:basedOn w:val="21"/>
    <w:link w:val="13"/>
    <w:qFormat/>
    <w:uiPriority w:val="99"/>
    <w:rPr>
      <w:kern w:val="2"/>
      <w:sz w:val="18"/>
      <w:szCs w:val="18"/>
    </w:rPr>
  </w:style>
  <w:style w:type="character" w:customStyle="1" w:styleId="25">
    <w:name w:val="页脚 Char"/>
    <w:basedOn w:val="21"/>
    <w:link w:val="12"/>
    <w:qFormat/>
    <w:uiPriority w:val="99"/>
    <w:rPr>
      <w:kern w:val="2"/>
      <w:sz w:val="18"/>
      <w:szCs w:val="18"/>
    </w:rPr>
  </w:style>
  <w:style w:type="character" w:customStyle="1" w:styleId="26">
    <w:name w:val="正文文本缩进 Char"/>
    <w:basedOn w:val="21"/>
    <w:link w:val="7"/>
    <w:qFormat/>
    <w:uiPriority w:val="0"/>
    <w:rPr>
      <w:kern w:val="2"/>
      <w:sz w:val="21"/>
      <w:szCs w:val="24"/>
    </w:rPr>
  </w:style>
  <w:style w:type="character" w:customStyle="1" w:styleId="27">
    <w:name w:val="正文文本 Char"/>
    <w:basedOn w:val="21"/>
    <w:link w:val="6"/>
    <w:qFormat/>
    <w:uiPriority w:val="0"/>
    <w:rPr>
      <w:rFonts w:eastAsia="黑体"/>
      <w:kern w:val="2"/>
      <w:sz w:val="36"/>
    </w:rPr>
  </w:style>
  <w:style w:type="character" w:customStyle="1" w:styleId="28">
    <w:name w:val="正文文本缩进 Char1"/>
    <w:basedOn w:val="21"/>
    <w:link w:val="7"/>
    <w:qFormat/>
    <w:uiPriority w:val="0"/>
    <w:rPr>
      <w:kern w:val="2"/>
      <w:sz w:val="21"/>
      <w:szCs w:val="24"/>
    </w:rPr>
  </w:style>
  <w:style w:type="paragraph" w:customStyle="1" w:styleId="29">
    <w:name w:val="Heading 2"/>
    <w:basedOn w:val="1"/>
    <w:qFormat/>
    <w:uiPriority w:val="1"/>
    <w:pPr>
      <w:jc w:val="left"/>
      <w:outlineLvl w:val="2"/>
    </w:pPr>
    <w:rPr>
      <w:rFonts w:ascii="宋体" w:hAnsi="宋体"/>
      <w:kern w:val="0"/>
      <w:sz w:val="31"/>
      <w:szCs w:val="31"/>
      <w:lang w:eastAsia="en-US"/>
    </w:rPr>
  </w:style>
  <w:style w:type="paragraph" w:customStyle="1" w:styleId="30">
    <w:name w:val="Heading 1"/>
    <w:basedOn w:val="1"/>
    <w:qFormat/>
    <w:uiPriority w:val="1"/>
    <w:pPr>
      <w:spacing w:before="38"/>
      <w:ind w:left="118"/>
      <w:jc w:val="left"/>
      <w:outlineLvl w:val="1"/>
    </w:pPr>
    <w:rPr>
      <w:rFonts w:ascii="宋体" w:hAnsi="宋体"/>
      <w:kern w:val="0"/>
      <w:sz w:val="32"/>
      <w:szCs w:val="32"/>
      <w:lang w:eastAsia="en-US"/>
    </w:rPr>
  </w:style>
  <w:style w:type="character" w:customStyle="1" w:styleId="31">
    <w:name w:val="日期 Char"/>
    <w:basedOn w:val="21"/>
    <w:link w:val="9"/>
    <w:qFormat/>
    <w:uiPriority w:val="0"/>
    <w:rPr>
      <w:kern w:val="2"/>
      <w:sz w:val="21"/>
      <w:szCs w:val="24"/>
    </w:rPr>
  </w:style>
  <w:style w:type="character" w:customStyle="1" w:styleId="32">
    <w:name w:val="标题 1 Char"/>
    <w:basedOn w:val="21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33">
    <w:name w:val="MSG_EN_FONT_STYLE_NAME_TEMPLATE_ROLE_NUMBER MSG_EN_FONT_STYLE_NAME_BY_ROLE_TEXT 2_"/>
    <w:basedOn w:val="21"/>
    <w:link w:val="34"/>
    <w:unhideWhenUsed/>
    <w:qFormat/>
    <w:locked/>
    <w:uiPriority w:val="99"/>
    <w:rPr>
      <w:rFonts w:ascii="PMingLiU" w:eastAsia="PMingLiU"/>
      <w:sz w:val="30"/>
      <w:shd w:val="clear" w:color="auto" w:fill="FFFFFF"/>
    </w:rPr>
  </w:style>
  <w:style w:type="paragraph" w:customStyle="1" w:styleId="34">
    <w:name w:val="MSG_EN_FONT_STYLE_NAME_TEMPLATE_ROLE_NUMBER MSG_EN_FONT_STYLE_NAME_BY_ROLE_TEXT 21"/>
    <w:basedOn w:val="1"/>
    <w:link w:val="33"/>
    <w:unhideWhenUsed/>
    <w:qFormat/>
    <w:uiPriority w:val="99"/>
    <w:pPr>
      <w:shd w:val="clear" w:color="auto" w:fill="FFFFFF"/>
      <w:spacing w:before="560" w:after="280" w:line="300" w:lineRule="exact"/>
    </w:pPr>
    <w:rPr>
      <w:rFonts w:hint="eastAsia" w:ascii="PMingLiU" w:eastAsia="PMingLiU"/>
      <w:kern w:val="0"/>
      <w:sz w:val="30"/>
      <w:szCs w:val="20"/>
    </w:rPr>
  </w:style>
  <w:style w:type="character" w:customStyle="1" w:styleId="35">
    <w:name w:val="批注框文本 Char"/>
    <w:basedOn w:val="21"/>
    <w:link w:val="11"/>
    <w:qFormat/>
    <w:uiPriority w:val="0"/>
    <w:rPr>
      <w:kern w:val="2"/>
      <w:sz w:val="18"/>
      <w:szCs w:val="18"/>
    </w:rPr>
  </w:style>
  <w:style w:type="character" w:customStyle="1" w:styleId="36">
    <w:name w:val="脚注文本 Char"/>
    <w:basedOn w:val="21"/>
    <w:link w:val="14"/>
    <w:qFormat/>
    <w:uiPriority w:val="99"/>
    <w:rPr>
      <w:kern w:val="2"/>
      <w:sz w:val="18"/>
      <w:szCs w:val="18"/>
    </w:rPr>
  </w:style>
  <w:style w:type="character" w:customStyle="1" w:styleId="37">
    <w:name w:val="正文文本_"/>
    <w:basedOn w:val="21"/>
    <w:link w:val="38"/>
    <w:qFormat/>
    <w:uiPriority w:val="0"/>
    <w:rPr>
      <w:rFonts w:ascii="Arial Unicode MS" w:hAnsi="Arial Unicode MS" w:eastAsia="Arial Unicode MS" w:cs="Arial Unicode MS"/>
      <w:sz w:val="30"/>
      <w:szCs w:val="30"/>
      <w:shd w:val="clear" w:color="auto" w:fill="FFFFFF"/>
    </w:rPr>
  </w:style>
  <w:style w:type="paragraph" w:customStyle="1" w:styleId="38">
    <w:name w:val="正文文本1"/>
    <w:basedOn w:val="1"/>
    <w:link w:val="37"/>
    <w:qFormat/>
    <w:uiPriority w:val="0"/>
    <w:pPr>
      <w:shd w:val="clear" w:color="auto" w:fill="FFFFFF"/>
      <w:spacing w:line="619" w:lineRule="exact"/>
      <w:ind w:hanging="1100"/>
      <w:jc w:val="left"/>
    </w:pPr>
    <w:rPr>
      <w:rFonts w:ascii="Arial Unicode MS" w:hAnsi="Arial Unicode MS" w:eastAsia="Arial Unicode MS" w:cs="Arial Unicode MS"/>
      <w:kern w:val="0"/>
      <w:sz w:val="30"/>
      <w:szCs w:val="30"/>
    </w:rPr>
  </w:style>
  <w:style w:type="character" w:customStyle="1" w:styleId="39">
    <w:name w:val="正文文本 + 17 pt"/>
    <w:basedOn w:val="37"/>
    <w:qFormat/>
    <w:uiPriority w:val="0"/>
    <w:rPr>
      <w:color w:val="000000"/>
      <w:spacing w:val="0"/>
      <w:w w:val="80"/>
      <w:position w:val="0"/>
      <w:sz w:val="34"/>
      <w:szCs w:val="34"/>
      <w:lang w:val="zh-CN"/>
    </w:rPr>
  </w:style>
  <w:style w:type="character" w:customStyle="1" w:styleId="40">
    <w:name w:val="正文文本 + 17 pt1"/>
    <w:basedOn w:val="37"/>
    <w:qFormat/>
    <w:uiPriority w:val="0"/>
    <w:rPr>
      <w:color w:val="000000"/>
      <w:spacing w:val="0"/>
      <w:w w:val="80"/>
      <w:position w:val="0"/>
      <w:sz w:val="34"/>
      <w:szCs w:val="34"/>
      <w:lang w:val="zh-CN"/>
    </w:rPr>
  </w:style>
  <w:style w:type="character" w:customStyle="1" w:styleId="41">
    <w:name w:val="正文文本 (4)_"/>
    <w:basedOn w:val="21"/>
    <w:link w:val="42"/>
    <w:qFormat/>
    <w:uiPriority w:val="0"/>
    <w:rPr>
      <w:rFonts w:ascii="Arial Unicode MS" w:hAnsi="Arial Unicode MS" w:eastAsia="Arial Unicode MS" w:cs="Arial Unicode MS"/>
      <w:sz w:val="30"/>
      <w:szCs w:val="30"/>
      <w:shd w:val="clear" w:color="auto" w:fill="FFFFFF"/>
    </w:rPr>
  </w:style>
  <w:style w:type="paragraph" w:customStyle="1" w:styleId="42">
    <w:name w:val="正文文本 (4)"/>
    <w:basedOn w:val="1"/>
    <w:link w:val="41"/>
    <w:qFormat/>
    <w:uiPriority w:val="0"/>
    <w:pPr>
      <w:shd w:val="clear" w:color="auto" w:fill="FFFFFF"/>
      <w:spacing w:line="619" w:lineRule="exact"/>
      <w:jc w:val="distribute"/>
    </w:pPr>
    <w:rPr>
      <w:rFonts w:ascii="Arial Unicode MS" w:hAnsi="Arial Unicode MS" w:eastAsia="Arial Unicode MS" w:cs="Arial Unicode MS"/>
      <w:kern w:val="0"/>
      <w:sz w:val="30"/>
      <w:szCs w:val="30"/>
    </w:rPr>
  </w:style>
  <w:style w:type="character" w:customStyle="1" w:styleId="43">
    <w:name w:val="正文文本 + 缩放 80%"/>
    <w:basedOn w:val="37"/>
    <w:qFormat/>
    <w:uiPriority w:val="0"/>
    <w:rPr>
      <w:color w:val="000000"/>
      <w:spacing w:val="0"/>
      <w:w w:val="80"/>
      <w:position w:val="0"/>
      <w:lang w:val="zh-CN"/>
    </w:rPr>
  </w:style>
  <w:style w:type="character" w:customStyle="1" w:styleId="44">
    <w:name w:val="正文文本 (9)_"/>
    <w:basedOn w:val="21"/>
    <w:link w:val="45"/>
    <w:qFormat/>
    <w:uiPriority w:val="0"/>
    <w:rPr>
      <w:rFonts w:ascii="Arial Unicode MS" w:hAnsi="Arial Unicode MS" w:eastAsia="Arial Unicode MS" w:cs="Arial Unicode MS"/>
      <w:spacing w:val="20"/>
      <w:w w:val="80"/>
      <w:sz w:val="30"/>
      <w:szCs w:val="30"/>
      <w:shd w:val="clear" w:color="auto" w:fill="FFFFFF"/>
    </w:rPr>
  </w:style>
  <w:style w:type="paragraph" w:customStyle="1" w:styleId="45">
    <w:name w:val="正文文本 (9)"/>
    <w:basedOn w:val="1"/>
    <w:link w:val="44"/>
    <w:qFormat/>
    <w:uiPriority w:val="0"/>
    <w:pPr>
      <w:shd w:val="clear" w:color="auto" w:fill="FFFFFF"/>
      <w:spacing w:line="0" w:lineRule="atLeast"/>
      <w:jc w:val="left"/>
    </w:pPr>
    <w:rPr>
      <w:rFonts w:ascii="Arial Unicode MS" w:hAnsi="Arial Unicode MS" w:eastAsia="Arial Unicode MS" w:cs="Arial Unicode MS"/>
      <w:spacing w:val="20"/>
      <w:w w:val="80"/>
      <w:kern w:val="0"/>
      <w:sz w:val="30"/>
      <w:szCs w:val="30"/>
    </w:rPr>
  </w:style>
  <w:style w:type="character" w:customStyle="1" w:styleId="46">
    <w:name w:val="标题 #2_"/>
    <w:basedOn w:val="21"/>
    <w:link w:val="47"/>
    <w:qFormat/>
    <w:uiPriority w:val="0"/>
    <w:rPr>
      <w:rFonts w:ascii="Arial Unicode MS" w:hAnsi="Arial Unicode MS" w:eastAsia="Arial Unicode MS" w:cs="Arial Unicode MS"/>
      <w:sz w:val="36"/>
      <w:szCs w:val="36"/>
      <w:shd w:val="clear" w:color="auto" w:fill="FFFFFF"/>
    </w:rPr>
  </w:style>
  <w:style w:type="paragraph" w:customStyle="1" w:styleId="47">
    <w:name w:val="标题 #2"/>
    <w:basedOn w:val="1"/>
    <w:link w:val="46"/>
    <w:qFormat/>
    <w:uiPriority w:val="0"/>
    <w:pPr>
      <w:shd w:val="clear" w:color="auto" w:fill="FFFFFF"/>
      <w:spacing w:after="420" w:line="0" w:lineRule="atLeast"/>
      <w:jc w:val="center"/>
      <w:outlineLvl w:val="1"/>
    </w:pPr>
    <w:rPr>
      <w:rFonts w:ascii="Arial Unicode MS" w:hAnsi="Arial Unicode MS" w:eastAsia="Arial Unicode MS" w:cs="Arial Unicode MS"/>
      <w:kern w:val="0"/>
      <w:sz w:val="36"/>
      <w:szCs w:val="36"/>
    </w:rPr>
  </w:style>
  <w:style w:type="character" w:customStyle="1" w:styleId="48">
    <w:name w:val="正文文本 (13)_"/>
    <w:basedOn w:val="21"/>
    <w:link w:val="49"/>
    <w:qFormat/>
    <w:uiPriority w:val="0"/>
    <w:rPr>
      <w:rFonts w:ascii="Arial Unicode MS" w:hAnsi="Arial Unicode MS" w:eastAsia="Arial Unicode MS" w:cs="Arial Unicode MS"/>
      <w:sz w:val="28"/>
      <w:szCs w:val="28"/>
      <w:shd w:val="clear" w:color="auto" w:fill="FFFFFF"/>
    </w:rPr>
  </w:style>
  <w:style w:type="paragraph" w:customStyle="1" w:styleId="49">
    <w:name w:val="正文文本 (13)"/>
    <w:basedOn w:val="1"/>
    <w:link w:val="48"/>
    <w:qFormat/>
    <w:uiPriority w:val="0"/>
    <w:pPr>
      <w:shd w:val="clear" w:color="auto" w:fill="FFFFFF"/>
      <w:spacing w:after="360" w:line="0" w:lineRule="atLeast"/>
      <w:jc w:val="left"/>
    </w:pPr>
    <w:rPr>
      <w:rFonts w:ascii="Arial Unicode MS" w:hAnsi="Arial Unicode MS" w:eastAsia="Arial Unicode MS" w:cs="Arial Unicode MS"/>
      <w:kern w:val="0"/>
      <w:sz w:val="28"/>
      <w:szCs w:val="28"/>
    </w:rPr>
  </w:style>
  <w:style w:type="character" w:customStyle="1" w:styleId="50">
    <w:name w:val="标题 #1_"/>
    <w:basedOn w:val="21"/>
    <w:link w:val="51"/>
    <w:qFormat/>
    <w:uiPriority w:val="0"/>
    <w:rPr>
      <w:rFonts w:ascii="Arial Unicode MS" w:hAnsi="Arial Unicode MS" w:eastAsia="Arial Unicode MS" w:cs="Arial Unicode MS"/>
      <w:sz w:val="46"/>
      <w:szCs w:val="46"/>
      <w:shd w:val="clear" w:color="auto" w:fill="FFFFFF"/>
    </w:rPr>
  </w:style>
  <w:style w:type="paragraph" w:customStyle="1" w:styleId="51">
    <w:name w:val="标题 #1"/>
    <w:basedOn w:val="1"/>
    <w:link w:val="50"/>
    <w:qFormat/>
    <w:uiPriority w:val="0"/>
    <w:pPr>
      <w:shd w:val="clear" w:color="auto" w:fill="FFFFFF"/>
      <w:spacing w:before="360" w:after="1020" w:line="946" w:lineRule="exact"/>
      <w:jc w:val="center"/>
      <w:outlineLvl w:val="0"/>
    </w:pPr>
    <w:rPr>
      <w:rFonts w:ascii="Arial Unicode MS" w:hAnsi="Arial Unicode MS" w:eastAsia="Arial Unicode MS" w:cs="Arial Unicode MS"/>
      <w:kern w:val="0"/>
      <w:sz w:val="46"/>
      <w:szCs w:val="46"/>
    </w:rPr>
  </w:style>
  <w:style w:type="character" w:customStyle="1" w:styleId="52">
    <w:name w:val="正文文本 (9) + 间距 0 pt1"/>
    <w:basedOn w:val="44"/>
    <w:qFormat/>
    <w:uiPriority w:val="0"/>
    <w:rPr>
      <w:color w:val="000000"/>
      <w:spacing w:val="0"/>
      <w:w w:val="100"/>
      <w:position w:val="0"/>
      <w:lang w:val="zh-CN"/>
    </w:rPr>
  </w:style>
  <w:style w:type="character" w:customStyle="1" w:styleId="53">
    <w:name w:val="正文文本 (9) + 缩放 100%"/>
    <w:basedOn w:val="44"/>
    <w:qFormat/>
    <w:uiPriority w:val="0"/>
    <w:rPr>
      <w:color w:val="000000"/>
      <w:w w:val="100"/>
      <w:position w:val="0"/>
      <w:lang w:val="zh-CN"/>
    </w:rPr>
  </w:style>
  <w:style w:type="character" w:customStyle="1" w:styleId="54">
    <w:name w:val="font11"/>
    <w:basedOn w:val="21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55">
    <w:name w:val="font41"/>
    <w:basedOn w:val="2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6">
    <w:name w:val="正文文本缩进 2 Char"/>
    <w:basedOn w:val="21"/>
    <w:link w:val="10"/>
    <w:qFormat/>
    <w:uiPriority w:val="0"/>
    <w:rPr>
      <w:kern w:val="2"/>
      <w:sz w:val="21"/>
      <w:szCs w:val="24"/>
    </w:rPr>
  </w:style>
  <w:style w:type="paragraph" w:styleId="5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8">
    <w:name w:val="paragraph text-align-type-center pap-line-28pt pap-line-rule-exact pap-spacing-before-0pt pap-spacing-after-0p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paragraph text-align-type-justify pap-line-28pt pap-line-rule-exact pap-spacing-before-0pt pap-spacing-after-0p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0">
    <w:name w:val="标题 2 Char"/>
    <w:basedOn w:val="21"/>
    <w:link w:val="3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61">
    <w:name w:val="正文首行缩进 Char"/>
    <w:basedOn w:val="27"/>
    <w:link w:val="17"/>
    <w:qFormat/>
    <w:uiPriority w:val="0"/>
    <w:rPr>
      <w:sz w:val="21"/>
      <w:szCs w:val="24"/>
    </w:rPr>
  </w:style>
  <w:style w:type="character" w:customStyle="1" w:styleId="62">
    <w:name w:val="正文首行缩进 2 Char"/>
    <w:basedOn w:val="26"/>
    <w:link w:val="18"/>
    <w:qFormat/>
    <w:uiPriority w:val="99"/>
    <w:rPr>
      <w:rFonts w:ascii="Calibri" w:hAnsi="Calibri"/>
      <w:szCs w:val="22"/>
    </w:rPr>
  </w:style>
  <w:style w:type="character" w:customStyle="1" w:styleId="63">
    <w:name w:val="NormalCharacter"/>
    <w:qFormat/>
    <w:uiPriority w:val="0"/>
  </w:style>
  <w:style w:type="paragraph" w:customStyle="1" w:styleId="64">
    <w:name w:val="默认段落字体 Para Char Char Char Char"/>
    <w:basedOn w:val="1"/>
    <w:qFormat/>
    <w:uiPriority w:val="0"/>
    <w:rPr>
      <w:szCs w:val="21"/>
    </w:rPr>
  </w:style>
  <w:style w:type="paragraph" w:customStyle="1" w:styleId="6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66">
    <w:name w:val="15"/>
    <w:basedOn w:val="21"/>
    <w:qFormat/>
    <w:uiPriority w:val="0"/>
    <w:rPr>
      <w:rFonts w:hint="default" w:ascii="Times New Roman" w:hAnsi="Times New Roman" w:cs="Times New Roman"/>
    </w:rPr>
  </w:style>
  <w:style w:type="paragraph" w:customStyle="1" w:styleId="67">
    <w:name w:val="p0"/>
    <w:basedOn w:val="1"/>
    <w:qFormat/>
    <w:uiPriority w:val="0"/>
    <w:rPr>
      <w:kern w:val="0"/>
      <w:szCs w:val="21"/>
    </w:rPr>
  </w:style>
  <w:style w:type="character" w:customStyle="1" w:styleId="68">
    <w:name w:val="16"/>
    <w:basedOn w:val="21"/>
    <w:qFormat/>
    <w:uiPriority w:val="0"/>
    <w:rPr>
      <w:rFonts w:hint="default" w:ascii="Times New Roman" w:hAnsi="Times New Roman" w:eastAsia="楷体_GB2312" w:cs="楷体_GB2312"/>
      <w:sz w:val="32"/>
      <w:szCs w:val="32"/>
    </w:rPr>
  </w:style>
  <w:style w:type="character" w:customStyle="1" w:styleId="69">
    <w:name w:val="标题 3 Char"/>
    <w:basedOn w:val="21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70">
    <w:name w:val="纯文本 Char"/>
    <w:basedOn w:val="21"/>
    <w:link w:val="8"/>
    <w:qFormat/>
    <w:uiPriority w:val="0"/>
    <w:rPr>
      <w:rFonts w:ascii="宋体" w:hAnsi="Courier New"/>
      <w:kern w:val="2"/>
      <w:sz w:val="21"/>
      <w:szCs w:val="24"/>
    </w:rPr>
  </w:style>
  <w:style w:type="paragraph" w:customStyle="1" w:styleId="71">
    <w:name w:val="正文格式"/>
    <w:basedOn w:val="1"/>
    <w:qFormat/>
    <w:uiPriority w:val="0"/>
    <w:pPr>
      <w:tabs>
        <w:tab w:val="left" w:pos="992"/>
      </w:tabs>
      <w:ind w:firstLine="200" w:firstLineChars="200"/>
    </w:pPr>
    <w:rPr>
      <w:rFonts w:ascii="宋体" w:hAnsi="宋体"/>
    </w:rPr>
  </w:style>
  <w:style w:type="paragraph" w:customStyle="1" w:styleId="72">
    <w:name w:val="样式1"/>
    <w:basedOn w:val="1"/>
    <w:qFormat/>
    <w:uiPriority w:val="0"/>
    <w:pPr>
      <w:spacing w:line="560" w:lineRule="exact"/>
    </w:pPr>
    <w:rPr>
      <w:rFonts w:ascii="Calibri" w:hAnsi="Calibri" w:eastAsia="仿宋_GB2312"/>
      <w:sz w:val="32"/>
    </w:rPr>
  </w:style>
  <w:style w:type="paragraph" w:customStyle="1" w:styleId="73">
    <w:name w:val="NormalIndent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74">
    <w:name w:val="样式 四号 首行缩进:  0.99 厘米 行距: 固定值 22 磅"/>
    <w:basedOn w:val="1"/>
    <w:qFormat/>
    <w:uiPriority w:val="0"/>
    <w:pPr>
      <w:spacing w:line="520" w:lineRule="exact"/>
      <w:ind w:firstLine="567"/>
    </w:pPr>
    <w:rPr>
      <w:rFonts w:ascii="Calibri" w:hAnsi="Calibri" w:cs="宋体"/>
      <w:szCs w:val="20"/>
    </w:rPr>
  </w:style>
  <w:style w:type="character" w:customStyle="1" w:styleId="75">
    <w:name w:val="bjh-p"/>
    <w:basedOn w:val="21"/>
    <w:qFormat/>
    <w:uiPriority w:val="0"/>
  </w:style>
  <w:style w:type="paragraph" w:customStyle="1" w:styleId="76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7">
    <w:name w:val="正文文本 (6)_"/>
    <w:basedOn w:val="21"/>
    <w:link w:val="78"/>
    <w:autoRedefine/>
    <w:qFormat/>
    <w:uiPriority w:val="0"/>
    <w:rPr>
      <w:rFonts w:ascii="Arial Unicode MS" w:hAnsi="Arial Unicode MS" w:eastAsia="Arial Unicode MS" w:cs="Arial Unicode MS"/>
      <w:sz w:val="16"/>
      <w:szCs w:val="16"/>
      <w:shd w:val="clear" w:color="auto" w:fill="FFFFFF"/>
    </w:rPr>
  </w:style>
  <w:style w:type="paragraph" w:customStyle="1" w:styleId="78">
    <w:name w:val="正文文本 (6)"/>
    <w:basedOn w:val="1"/>
    <w:link w:val="77"/>
    <w:autoRedefine/>
    <w:qFormat/>
    <w:uiPriority w:val="0"/>
    <w:pPr>
      <w:shd w:val="clear" w:color="auto" w:fill="FFFFFF"/>
      <w:spacing w:before="720" w:line="0" w:lineRule="atLeast"/>
      <w:jc w:val="left"/>
    </w:pPr>
    <w:rPr>
      <w:rFonts w:ascii="Arial Unicode MS" w:hAnsi="Arial Unicode MS" w:eastAsia="Arial Unicode MS" w:cs="Arial Unicode MS"/>
      <w:kern w:val="0"/>
      <w:sz w:val="16"/>
      <w:szCs w:val="16"/>
    </w:rPr>
  </w:style>
  <w:style w:type="character" w:customStyle="1" w:styleId="79">
    <w:name w:val="Body Text Char1"/>
    <w:autoRedefine/>
    <w:qFormat/>
    <w:locked/>
    <w:uiPriority w:val="99"/>
    <w:rPr>
      <w:rFonts w:ascii="Arial Unicode MS" w:hAnsi="Arial Unicode MS" w:cs="Arial Unicode MS"/>
      <w:sz w:val="30"/>
      <w:szCs w:val="30"/>
      <w:u w:val="none"/>
    </w:rPr>
  </w:style>
  <w:style w:type="character" w:customStyle="1" w:styleId="80">
    <w:name w:val="正文文本 + 粗体5"/>
    <w:basedOn w:val="79"/>
    <w:autoRedefine/>
    <w:qFormat/>
    <w:uiPriority w:val="99"/>
    <w:rPr>
      <w:b/>
      <w:bCs/>
      <w:color w:val="000000"/>
      <w:spacing w:val="0"/>
      <w:w w:val="100"/>
      <w:position w:val="0"/>
      <w:lang w:val="zh-CN"/>
    </w:rPr>
  </w:style>
  <w:style w:type="character" w:customStyle="1" w:styleId="81">
    <w:name w:val="正文文本 + 粗体4"/>
    <w:basedOn w:val="79"/>
    <w:autoRedefine/>
    <w:qFormat/>
    <w:uiPriority w:val="99"/>
    <w:rPr>
      <w:b/>
      <w:bCs/>
      <w:color w:val="000000"/>
      <w:spacing w:val="0"/>
      <w:w w:val="100"/>
      <w:position w:val="0"/>
      <w:lang w:val="zh-CN"/>
    </w:rPr>
  </w:style>
  <w:style w:type="paragraph" w:customStyle="1" w:styleId="82">
    <w:name w:val="Normal Indent1"/>
    <w:basedOn w:val="1"/>
    <w:qFormat/>
    <w:uiPriority w:val="99"/>
    <w:pPr>
      <w:ind w:firstLine="200" w:firstLineChars="200"/>
    </w:pPr>
    <w:rPr>
      <w:rFonts w:eastAsia="楷体_GB2312"/>
    </w:rPr>
  </w:style>
  <w:style w:type="paragraph" w:customStyle="1" w:styleId="83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4">
    <w:name w:val="HTML 预设格式 Char"/>
    <w:basedOn w:val="21"/>
    <w:link w:val="15"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278F-317A-47D9-8B9F-B468A1EBAB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6222</Words>
  <Characters>7061</Characters>
  <Lines>50</Lines>
  <Paragraphs>14</Paragraphs>
  <TotalTime>4</TotalTime>
  <ScaleCrop>false</ScaleCrop>
  <LinksUpToDate>false</LinksUpToDate>
  <CharactersWithSpaces>7065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2026-06-16T02:36:00Z</dcterms:created>
  <dc:creator>AutoBVT</dc:creator>
  <cp:lastModifiedBy>高山流水</cp:lastModifiedBy>
  <cp:lastPrinted>2026-06-15T09:31:00Z</cp:lastPrinted>
  <dcterms:modified xsi:type="dcterms:W3CDTF">2026-07-10T00:40:27Z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eyJoZGlkIjoiZWMxOTg2YzVkMjE4YTE3NTIyMGQ0YzljZjlmYjY1ZmQiLCJ1c2VySWQiOiIzNzQ2MTAyOTcifQ==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403707C08F0E4CE084E27898C3D11592_13</vt:lpwstr>
  </property>
</Properties>
</file>