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9.0 -->
  <w:body>
    <w:p w14:paraId="26381D20">
      <w:pPr>
        <w:tabs>
          <w:tab w:val="left" w:pos="7307"/>
        </w:tabs>
        <w:jc w:val="center"/>
        <w:rPr>
          <w:rFonts w:hint="eastAsia"/>
          <w:color w:val="000000"/>
        </w:rPr>
      </w:pPr>
    </w:p>
    <w:p w14:paraId="7384E4A4">
      <w:pPr>
        <w:spacing w:line="20" w:lineRule="exact"/>
        <w:rPr>
          <w:color w:val="000000"/>
        </w:rPr>
      </w:pPr>
    </w:p>
    <w:p w14:paraId="7E3E5B5D">
      <w:pPr>
        <w:spacing w:line="560" w:lineRule="exact"/>
        <w:rPr>
          <w:rFonts w:ascii="方正小标宋_GBK" w:eastAsia="方正小标宋_GBK" w:hAnsi="TimesNewRoman" w:cs="TimesNewRoman"/>
          <w:sz w:val="44"/>
          <w:szCs w:val="44"/>
        </w:rPr>
      </w:pPr>
    </w:p>
    <w:p w14:paraId="26A6DAF7">
      <w:pPr>
        <w:spacing w:line="560" w:lineRule="exact"/>
        <w:jc w:val="center"/>
        <w:rPr>
          <w:rFonts w:ascii="黑体" w:eastAsia="黑体" w:hAnsi="黑体" w:cs="TimesNewRoman"/>
          <w:b/>
          <w:sz w:val="44"/>
          <w:szCs w:val="44"/>
        </w:rPr>
      </w:pPr>
      <w:r>
        <w:rPr>
          <w:rFonts w:ascii="黑体" w:eastAsia="黑体" w:hAnsi="黑体" w:cs="宋体" w:hint="eastAsia"/>
          <w:b/>
          <w:sz w:val="44"/>
          <w:szCs w:val="44"/>
        </w:rPr>
        <w:t>寿县县委组织部</w:t>
      </w:r>
      <w:r>
        <w:rPr>
          <w:rFonts w:ascii="黑体" w:eastAsia="黑体" w:hAnsi="黑体" w:cs="TimesNewRoman" w:hint="eastAsia"/>
          <w:b/>
          <w:sz w:val="44"/>
          <w:szCs w:val="44"/>
        </w:rPr>
        <w:t>2026年</w:t>
      </w:r>
    </w:p>
    <w:p w14:paraId="64A5A052">
      <w:pPr>
        <w:spacing w:line="560" w:lineRule="exact"/>
        <w:jc w:val="center"/>
        <w:rPr>
          <w:rFonts w:ascii="黑体" w:eastAsia="黑体" w:hAnsi="黑体" w:cs="TimesNewRoman"/>
          <w:b/>
          <w:sz w:val="44"/>
          <w:szCs w:val="44"/>
        </w:rPr>
      </w:pPr>
      <w:r>
        <w:rPr>
          <w:rFonts w:ascii="黑体" w:eastAsia="黑体" w:hAnsi="黑体" w:cs="宋体" w:hint="eastAsia"/>
          <w:b/>
          <w:sz w:val="44"/>
          <w:szCs w:val="44"/>
        </w:rPr>
        <w:t>部门</w:t>
      </w:r>
      <w:r>
        <w:rPr>
          <w:rFonts w:ascii="黑体" w:eastAsia="黑体" w:hAnsi="黑体" w:cs="TimesNewRoman" w:hint="eastAsia"/>
          <w:b/>
          <w:sz w:val="44"/>
          <w:szCs w:val="44"/>
        </w:rPr>
        <w:t>预算</w:t>
      </w:r>
    </w:p>
    <w:p w14:paraId="5441EB3B">
      <w:pPr>
        <w:pStyle w:val="NormalWeb"/>
        <w:adjustRightInd w:val="0"/>
        <w:snapToGrid w:val="0"/>
        <w:spacing w:line="560" w:lineRule="exact"/>
        <w:jc w:val="center"/>
        <w:outlineLvl w:val="0"/>
        <w:rPr>
          <w:rFonts w:ascii="方正小标宋简体" w:eastAsia="方正小标宋简体" w:hAnsi="方正小标宋简体" w:cs="TimesNewRoman"/>
          <w:sz w:val="32"/>
          <w:szCs w:val="32"/>
        </w:rPr>
      </w:pPr>
    </w:p>
    <w:p w14:paraId="5C17862B">
      <w:pPr>
        <w:pStyle w:val="NormalWeb"/>
        <w:adjustRightInd w:val="0"/>
        <w:snapToGrid w:val="0"/>
        <w:spacing w:line="560" w:lineRule="exact"/>
        <w:jc w:val="center"/>
        <w:rPr>
          <w:rFonts w:ascii="仿宋_GB2312" w:eastAsia="仿宋_GB2312" w:hAnsi="TimesNewRoman" w:cs="TimesNewRoman"/>
          <w:sz w:val="32"/>
          <w:szCs w:val="32"/>
        </w:rPr>
      </w:pPr>
    </w:p>
    <w:p w14:paraId="519F3E66">
      <w:pPr>
        <w:pStyle w:val="NormalWeb"/>
        <w:adjustRightInd w:val="0"/>
        <w:snapToGrid w:val="0"/>
        <w:spacing w:line="560" w:lineRule="exact"/>
        <w:jc w:val="center"/>
        <w:rPr>
          <w:rFonts w:ascii="仿宋_GB2312" w:eastAsia="仿宋_GB2312" w:hAnsi="TimesNewRoman" w:cs="TimesNewRoman"/>
          <w:sz w:val="32"/>
          <w:szCs w:val="32"/>
        </w:rPr>
      </w:pPr>
    </w:p>
    <w:p w14:paraId="5BE5D4C0">
      <w:pPr>
        <w:pStyle w:val="NormalWeb"/>
        <w:adjustRightInd w:val="0"/>
        <w:snapToGrid w:val="0"/>
        <w:spacing w:line="560" w:lineRule="exact"/>
        <w:jc w:val="center"/>
        <w:rPr>
          <w:rFonts w:ascii="仿宋_GB2312" w:eastAsia="仿宋_GB2312" w:hAnsi="TimesNewRoman" w:cs="TimesNewRoman"/>
          <w:sz w:val="32"/>
          <w:szCs w:val="32"/>
        </w:rPr>
      </w:pPr>
    </w:p>
    <w:p w14:paraId="1C5B91B8">
      <w:pPr>
        <w:pStyle w:val="NormalWeb"/>
        <w:adjustRightInd w:val="0"/>
        <w:snapToGrid w:val="0"/>
        <w:spacing w:line="560" w:lineRule="exact"/>
        <w:jc w:val="center"/>
        <w:rPr>
          <w:rFonts w:ascii="仿宋_GB2312" w:eastAsia="仿宋_GB2312" w:hAnsi="TimesNewRoman" w:cs="TimesNewRoman"/>
          <w:bCs/>
          <w:sz w:val="32"/>
          <w:szCs w:val="32"/>
        </w:rPr>
      </w:pPr>
      <w:bookmarkStart w:id="0" w:name="_GoBack"/>
      <w:bookmarkEnd w:id="0"/>
    </w:p>
    <w:p w14:paraId="00B35830">
      <w:pPr>
        <w:pStyle w:val="NormalWeb"/>
        <w:adjustRightInd w:val="0"/>
        <w:snapToGrid w:val="0"/>
        <w:spacing w:line="560" w:lineRule="exact"/>
        <w:jc w:val="center"/>
        <w:rPr>
          <w:rFonts w:ascii="仿宋_GB2312" w:eastAsia="仿宋_GB2312" w:hAnsi="TimesNewRoman" w:cs="TimesNewRoman"/>
          <w:bCs/>
          <w:sz w:val="32"/>
          <w:szCs w:val="32"/>
        </w:rPr>
      </w:pPr>
    </w:p>
    <w:p w14:paraId="2B2B827F">
      <w:pPr>
        <w:pStyle w:val="NormalWeb"/>
        <w:adjustRightInd w:val="0"/>
        <w:snapToGrid w:val="0"/>
        <w:spacing w:line="560" w:lineRule="exact"/>
        <w:jc w:val="center"/>
        <w:rPr>
          <w:rFonts w:ascii="仿宋_GB2312" w:eastAsia="仿宋_GB2312" w:hAnsi="TimesNewRoman" w:cs="TimesNewRoman"/>
          <w:bCs/>
          <w:sz w:val="32"/>
          <w:szCs w:val="32"/>
        </w:rPr>
      </w:pPr>
    </w:p>
    <w:p w14:paraId="4535061C">
      <w:pPr>
        <w:pStyle w:val="NormalWeb"/>
        <w:adjustRightInd w:val="0"/>
        <w:snapToGrid w:val="0"/>
        <w:spacing w:line="560" w:lineRule="exact"/>
        <w:jc w:val="center"/>
        <w:rPr>
          <w:rFonts w:ascii="仿宋_GB2312" w:eastAsia="仿宋_GB2312" w:hAnsi="TimesNewRoman" w:cs="TimesNewRoman"/>
          <w:bCs/>
          <w:sz w:val="32"/>
          <w:szCs w:val="32"/>
        </w:rPr>
      </w:pPr>
    </w:p>
    <w:p w14:paraId="34EC2F39">
      <w:pPr>
        <w:pStyle w:val="NormalWeb"/>
        <w:adjustRightInd w:val="0"/>
        <w:snapToGrid w:val="0"/>
        <w:spacing w:line="560" w:lineRule="exact"/>
        <w:jc w:val="center"/>
        <w:rPr>
          <w:rFonts w:ascii="仿宋_GB2312" w:eastAsia="仿宋_GB2312" w:hAnsi="TimesNewRoman" w:cs="TimesNewRoman"/>
          <w:bCs/>
          <w:sz w:val="32"/>
          <w:szCs w:val="32"/>
        </w:rPr>
      </w:pPr>
    </w:p>
    <w:p w14:paraId="2E75A060">
      <w:pPr>
        <w:pStyle w:val="NormalWeb"/>
        <w:adjustRightInd w:val="0"/>
        <w:snapToGrid w:val="0"/>
        <w:spacing w:line="560" w:lineRule="exact"/>
        <w:jc w:val="center"/>
        <w:rPr>
          <w:rFonts w:ascii="仿宋_GB2312" w:eastAsia="仿宋_GB2312" w:hAnsi="TimesNewRoman" w:cs="TimesNewRoman"/>
          <w:bCs/>
          <w:sz w:val="32"/>
          <w:szCs w:val="32"/>
        </w:rPr>
      </w:pPr>
    </w:p>
    <w:p w14:paraId="3D40DFB9">
      <w:pPr>
        <w:pStyle w:val="NormalWeb"/>
        <w:adjustRightInd w:val="0"/>
        <w:snapToGrid w:val="0"/>
        <w:spacing w:line="560" w:lineRule="exact"/>
        <w:jc w:val="center"/>
        <w:rPr>
          <w:rFonts w:ascii="仿宋_GB2312" w:eastAsia="仿宋_GB2312" w:hAnsi="TimesNewRoman" w:cs="TimesNewRoman"/>
          <w:bCs/>
          <w:sz w:val="32"/>
          <w:szCs w:val="32"/>
        </w:rPr>
      </w:pPr>
    </w:p>
    <w:p w14:paraId="3DA958C2">
      <w:pPr>
        <w:pStyle w:val="NormalWeb"/>
        <w:adjustRightInd w:val="0"/>
        <w:snapToGrid w:val="0"/>
        <w:spacing w:line="560" w:lineRule="exact"/>
        <w:rPr>
          <w:rFonts w:ascii="黑体" w:eastAsia="黑体" w:hAnsi="黑体" w:cs="TimesNewRoman"/>
          <w:b/>
          <w:bCs/>
          <w:sz w:val="32"/>
          <w:szCs w:val="32"/>
        </w:rPr>
      </w:pPr>
      <w:r>
        <w:rPr>
          <w:rFonts w:ascii="仿宋_GB2312" w:eastAsia="仿宋_GB2312" w:hAnsi="TimesNewRoman" w:cs="TimesNewRoman" w:hint="eastAsia"/>
          <w:bCs/>
          <w:sz w:val="32"/>
          <w:szCs w:val="32"/>
        </w:rPr>
        <w:t xml:space="preserve">                       </w:t>
      </w:r>
      <w:r>
        <w:rPr>
          <w:rFonts w:ascii="仿宋_GB2312" w:eastAsia="仿宋_GB2312" w:hAnsi="TimesNewRoman" w:cs="TimesNewRoman" w:hint="eastAsia"/>
          <w:b/>
          <w:bCs/>
          <w:sz w:val="32"/>
          <w:szCs w:val="32"/>
        </w:rPr>
        <w:t xml:space="preserve"> </w:t>
      </w:r>
      <w:r>
        <w:rPr>
          <w:rFonts w:ascii="黑体" w:eastAsia="黑体" w:hAnsi="黑体" w:cs="TimesNewRoman" w:hint="eastAsia"/>
          <w:b/>
          <w:bCs/>
          <w:sz w:val="32"/>
          <w:szCs w:val="32"/>
        </w:rPr>
        <w:t xml:space="preserve"> 2026年1月</w:t>
      </w:r>
    </w:p>
    <w:p w14:paraId="62CB076E">
      <w:pPr>
        <w:pStyle w:val="NormalWeb"/>
        <w:adjustRightInd w:val="0"/>
        <w:snapToGrid w:val="0"/>
        <w:spacing w:line="560" w:lineRule="exact"/>
        <w:jc w:val="center"/>
        <w:rPr>
          <w:rFonts w:ascii="方正小标宋_GBK" w:eastAsia="方正小标宋_GBK" w:hAnsi="TimesNewRoman" w:cs="TimesNewRoman"/>
          <w:bCs/>
          <w:sz w:val="44"/>
          <w:szCs w:val="44"/>
        </w:rPr>
      </w:pPr>
    </w:p>
    <w:p w14:paraId="602FC369">
      <w:pPr>
        <w:pStyle w:val="NormalWeb"/>
        <w:adjustRightInd w:val="0"/>
        <w:snapToGrid w:val="0"/>
        <w:spacing w:line="560" w:lineRule="exact"/>
        <w:jc w:val="center"/>
        <w:rPr>
          <w:rFonts w:ascii="方正小标宋_GBK" w:eastAsia="方正小标宋_GBK" w:hAnsi="TimesNewRoman" w:cs="TimesNewRoman"/>
          <w:bCs/>
          <w:sz w:val="40"/>
          <w:szCs w:val="44"/>
        </w:rPr>
      </w:pPr>
      <w:r>
        <w:rPr>
          <w:rFonts w:ascii="方正小标宋_GBK" w:eastAsia="方正小标宋_GBK" w:hAnsi="TimesNewRoman" w:cs="TimesNewRoman" w:hint="eastAsia"/>
          <w:bCs/>
          <w:sz w:val="40"/>
          <w:szCs w:val="44"/>
        </w:rPr>
        <w:t>目  录</w:t>
      </w:r>
    </w:p>
    <w:p w14:paraId="150549D6">
      <w:pPr>
        <w:pStyle w:val="NormalWeb"/>
        <w:topLinePunct/>
        <w:adjustRightInd w:val="0"/>
        <w:snapToGrid w:val="0"/>
        <w:spacing w:beforeAutospacing="0" w:afterAutospacing="0" w:line="560" w:lineRule="exact"/>
        <w:ind w:firstLine="640" w:firstLineChars="200"/>
        <w:jc w:val="both"/>
        <w:rPr>
          <w:rFonts w:ascii="黑体" w:eastAsia="黑体" w:hAnsi="黑体" w:cs="TimesNewRoman"/>
          <w:sz w:val="32"/>
          <w:szCs w:val="32"/>
        </w:rPr>
      </w:pPr>
      <w:r>
        <w:rPr>
          <w:rFonts w:ascii="黑体" w:eastAsia="黑体" w:hAnsi="黑体" w:cs="TimesNewRoman"/>
          <w:sz w:val="32"/>
          <w:szCs w:val="32"/>
        </w:rPr>
        <w:t>第一部分</w:t>
      </w:r>
      <w:r>
        <w:rPr>
          <w:rFonts w:ascii="黑体" w:eastAsia="黑体" w:hAnsi="黑体" w:cs="TimesNewRoman" w:hint="eastAsia"/>
          <w:sz w:val="32"/>
          <w:szCs w:val="32"/>
        </w:rPr>
        <w:t>部门</w:t>
      </w:r>
      <w:r>
        <w:rPr>
          <w:rFonts w:ascii="黑体" w:eastAsia="黑体" w:hAnsi="黑体" w:cs="TimesNewRoman"/>
          <w:sz w:val="32"/>
          <w:szCs w:val="32"/>
        </w:rPr>
        <w:t>概况</w:t>
      </w:r>
    </w:p>
    <w:p w14:paraId="28950B5E">
      <w:pPr>
        <w:pStyle w:val="NormalWeb"/>
        <w:topLinePunct/>
        <w:adjustRightInd w:val="0"/>
        <w:snapToGrid w:val="0"/>
        <w:spacing w:beforeAutospacing="0" w:afterAutospacing="0" w:line="560" w:lineRule="exact"/>
        <w:ind w:firstLine="640" w:firstLineChars="200"/>
        <w:jc w:val="both"/>
        <w:rPr>
          <w:rFonts w:ascii="仿宋_GB2312" w:eastAsia="仿宋_GB2312" w:hAnsi="TimesNewRoman" w:cs="TimesNewRoman"/>
          <w:bCs/>
          <w:sz w:val="32"/>
          <w:szCs w:val="32"/>
        </w:rPr>
      </w:pPr>
      <w:r>
        <w:rPr>
          <w:rFonts w:ascii="仿宋_GB2312" w:eastAsia="仿宋_GB2312" w:hAnsi="TimesNewRoman" w:cs="TimesNewRoman" w:hint="eastAsia"/>
          <w:bCs/>
          <w:sz w:val="32"/>
          <w:szCs w:val="32"/>
        </w:rPr>
        <w:t>1.主要职责</w:t>
      </w:r>
    </w:p>
    <w:p w14:paraId="765245BE">
      <w:pPr>
        <w:pStyle w:val="NormalWeb"/>
        <w:topLinePunct/>
        <w:adjustRightInd w:val="0"/>
        <w:snapToGrid w:val="0"/>
        <w:spacing w:beforeAutospacing="0" w:afterAutospacing="0" w:line="560" w:lineRule="exact"/>
        <w:ind w:firstLine="640" w:firstLineChars="200"/>
        <w:jc w:val="both"/>
        <w:rPr>
          <w:rFonts w:ascii="仿宋_GB2312" w:eastAsia="仿宋_GB2312" w:hAnsi="TimesNewRoman" w:cs="TimesNewRoman"/>
          <w:bCs/>
          <w:sz w:val="32"/>
          <w:szCs w:val="32"/>
        </w:rPr>
      </w:pPr>
      <w:r>
        <w:rPr>
          <w:rFonts w:ascii="仿宋_GB2312" w:eastAsia="仿宋_GB2312" w:hAnsi="TimesNewRoman" w:cs="TimesNewRoman" w:hint="eastAsia"/>
          <w:bCs/>
          <w:sz w:val="32"/>
          <w:szCs w:val="32"/>
        </w:rPr>
        <w:t>2.部门预算构成</w:t>
      </w:r>
    </w:p>
    <w:p w14:paraId="6A873EDB">
      <w:pPr>
        <w:pStyle w:val="NormalWeb"/>
        <w:topLinePunct/>
        <w:adjustRightInd w:val="0"/>
        <w:snapToGrid w:val="0"/>
        <w:spacing w:beforeAutospacing="0" w:afterAutospacing="0" w:line="560" w:lineRule="exact"/>
        <w:ind w:firstLine="640" w:firstLineChars="200"/>
        <w:jc w:val="both"/>
        <w:rPr>
          <w:rFonts w:ascii="仿宋_GB2312" w:eastAsia="仿宋_GB2312" w:hAnsi="TimesNewRoman" w:cs="TimesNewRoman"/>
          <w:bCs/>
          <w:sz w:val="32"/>
          <w:szCs w:val="32"/>
        </w:rPr>
      </w:pPr>
      <w:r>
        <w:rPr>
          <w:rFonts w:ascii="仿宋_GB2312" w:eastAsia="仿宋_GB2312" w:hAnsi="TimesNewRoman" w:cs="TimesNewRoman" w:hint="eastAsia"/>
          <w:bCs/>
          <w:sz w:val="32"/>
          <w:szCs w:val="32"/>
        </w:rPr>
        <w:t>3.2026年度主要工作任务</w:t>
      </w:r>
    </w:p>
    <w:p w14:paraId="2E61BA4D">
      <w:pPr>
        <w:pStyle w:val="NormalWeb"/>
        <w:topLinePunct/>
        <w:adjustRightInd w:val="0"/>
        <w:snapToGrid w:val="0"/>
        <w:spacing w:beforeAutospacing="0" w:afterAutospacing="0" w:line="560" w:lineRule="exact"/>
        <w:ind w:firstLine="640" w:firstLineChars="200"/>
        <w:jc w:val="both"/>
        <w:rPr>
          <w:rFonts w:ascii="黑体" w:eastAsia="黑体" w:hAnsi="黑体" w:cs="TimesNewRoman"/>
          <w:sz w:val="32"/>
          <w:szCs w:val="32"/>
        </w:rPr>
      </w:pPr>
      <w:r>
        <w:rPr>
          <w:rFonts w:ascii="黑体" w:eastAsia="黑体" w:hAnsi="黑体" w:cs="TimesNewRoman"/>
          <w:sz w:val="32"/>
          <w:szCs w:val="32"/>
        </w:rPr>
        <w:t>第</w:t>
      </w:r>
      <w:r>
        <w:rPr>
          <w:rFonts w:ascii="黑体" w:eastAsia="黑体" w:hAnsi="黑体" w:cs="TimesNewRoman" w:hint="eastAsia"/>
          <w:sz w:val="32"/>
          <w:szCs w:val="32"/>
        </w:rPr>
        <w:t>二</w:t>
      </w:r>
      <w:r>
        <w:rPr>
          <w:rFonts w:ascii="黑体" w:eastAsia="黑体" w:hAnsi="黑体" w:cs="TimesNewRoman"/>
          <w:sz w:val="32"/>
          <w:szCs w:val="32"/>
        </w:rPr>
        <w:t xml:space="preserve">部分 </w:t>
      </w:r>
      <w:r>
        <w:rPr>
          <w:rFonts w:ascii="黑体" w:eastAsia="黑体" w:hAnsi="黑体" w:cs="TimesNewRoman" w:hint="eastAsia"/>
          <w:sz w:val="32"/>
          <w:szCs w:val="32"/>
        </w:rPr>
        <w:t>2026</w:t>
      </w:r>
      <w:r>
        <w:rPr>
          <w:rFonts w:ascii="黑体" w:eastAsia="黑体" w:hAnsi="黑体" w:cs="TimesNewRoman"/>
          <w:sz w:val="32"/>
          <w:szCs w:val="32"/>
        </w:rPr>
        <w:t>年部门预算情况说明</w:t>
      </w:r>
    </w:p>
    <w:p w14:paraId="0AA2DC4A">
      <w:pPr>
        <w:pStyle w:val="NormalWeb"/>
        <w:topLinePunct/>
        <w:adjustRightInd w:val="0"/>
        <w:snapToGrid w:val="0"/>
        <w:spacing w:beforeAutospacing="0" w:afterAutospacing="0" w:line="560" w:lineRule="exact"/>
        <w:ind w:firstLine="640" w:firstLineChars="200"/>
        <w:jc w:val="both"/>
        <w:rPr>
          <w:rFonts w:ascii="仿宋_GB2312" w:eastAsia="仿宋_GB2312" w:hAnsi="TimesNewRoman" w:cs="TimesNewRoman"/>
          <w:bCs/>
          <w:sz w:val="32"/>
          <w:szCs w:val="32"/>
        </w:rPr>
      </w:pPr>
      <w:r>
        <w:rPr>
          <w:rFonts w:ascii="仿宋_GB2312" w:eastAsia="仿宋_GB2312" w:hAnsi="TimesNewRoman" w:cs="TimesNewRoman"/>
          <w:bCs/>
          <w:sz w:val="32"/>
          <w:szCs w:val="32"/>
        </w:rPr>
        <w:t>1.关于</w:t>
      </w:r>
      <w:r>
        <w:rPr>
          <w:rFonts w:ascii="仿宋_GB2312" w:eastAsia="仿宋_GB2312" w:hAnsi="TimesNewRoman" w:cs="TimesNewRoman" w:hint="eastAsia"/>
          <w:bCs/>
          <w:sz w:val="32"/>
          <w:szCs w:val="32"/>
        </w:rPr>
        <w:t>2026</w:t>
      </w:r>
      <w:r>
        <w:rPr>
          <w:rFonts w:ascii="仿宋_GB2312" w:eastAsia="仿宋_GB2312" w:hAnsi="TimesNewRoman" w:cs="TimesNewRoman"/>
          <w:bCs/>
          <w:sz w:val="32"/>
          <w:szCs w:val="32"/>
        </w:rPr>
        <w:t>年收支总表的说明</w:t>
      </w:r>
    </w:p>
    <w:p w14:paraId="7B09AE63">
      <w:pPr>
        <w:pStyle w:val="NormalWeb"/>
        <w:topLinePunct/>
        <w:adjustRightInd w:val="0"/>
        <w:snapToGrid w:val="0"/>
        <w:spacing w:beforeAutospacing="0" w:afterAutospacing="0" w:line="560" w:lineRule="exact"/>
        <w:ind w:firstLine="640" w:firstLineChars="200"/>
        <w:jc w:val="both"/>
        <w:rPr>
          <w:rFonts w:ascii="仿宋_GB2312" w:eastAsia="仿宋_GB2312" w:hAnsi="TimesNewRoman" w:cs="TimesNewRoman"/>
          <w:bCs/>
          <w:sz w:val="32"/>
          <w:szCs w:val="32"/>
        </w:rPr>
      </w:pPr>
      <w:r>
        <w:rPr>
          <w:rFonts w:ascii="仿宋_GB2312" w:eastAsia="仿宋_GB2312" w:hAnsi="TimesNewRoman" w:cs="TimesNewRoman"/>
          <w:bCs/>
          <w:sz w:val="32"/>
          <w:szCs w:val="32"/>
        </w:rPr>
        <w:t>2.关于</w:t>
      </w:r>
      <w:r>
        <w:rPr>
          <w:rFonts w:ascii="仿宋_GB2312" w:eastAsia="仿宋_GB2312" w:hAnsi="TimesNewRoman" w:cs="TimesNewRoman" w:hint="eastAsia"/>
          <w:bCs/>
          <w:sz w:val="32"/>
          <w:szCs w:val="32"/>
        </w:rPr>
        <w:t>2026</w:t>
      </w:r>
      <w:r>
        <w:rPr>
          <w:rFonts w:ascii="仿宋_GB2312" w:eastAsia="仿宋_GB2312" w:hAnsi="TimesNewRoman" w:cs="TimesNewRoman"/>
          <w:bCs/>
          <w:sz w:val="32"/>
          <w:szCs w:val="32"/>
        </w:rPr>
        <w:t>年收入总表的说明</w:t>
      </w:r>
    </w:p>
    <w:p w14:paraId="48CAAF2C">
      <w:pPr>
        <w:pStyle w:val="NormalWeb"/>
        <w:topLinePunct/>
        <w:adjustRightInd w:val="0"/>
        <w:snapToGrid w:val="0"/>
        <w:spacing w:beforeAutospacing="0" w:afterAutospacing="0" w:line="560" w:lineRule="exact"/>
        <w:ind w:firstLine="640" w:firstLineChars="200"/>
        <w:jc w:val="both"/>
        <w:rPr>
          <w:rFonts w:ascii="仿宋_GB2312" w:eastAsia="仿宋_GB2312" w:hAnsi="TimesNewRoman" w:cs="TimesNewRoman"/>
          <w:bCs/>
          <w:sz w:val="32"/>
          <w:szCs w:val="32"/>
        </w:rPr>
      </w:pPr>
      <w:r>
        <w:rPr>
          <w:rFonts w:ascii="仿宋_GB2312" w:eastAsia="仿宋_GB2312" w:hAnsi="TimesNewRoman" w:cs="TimesNewRoman"/>
          <w:bCs/>
          <w:sz w:val="32"/>
          <w:szCs w:val="32"/>
        </w:rPr>
        <w:t>3.关于</w:t>
      </w:r>
      <w:r>
        <w:rPr>
          <w:rFonts w:ascii="仿宋_GB2312" w:eastAsia="仿宋_GB2312" w:hAnsi="TimesNewRoman" w:cs="TimesNewRoman" w:hint="eastAsia"/>
          <w:bCs/>
          <w:sz w:val="32"/>
          <w:szCs w:val="32"/>
        </w:rPr>
        <w:t>2026</w:t>
      </w:r>
      <w:r>
        <w:rPr>
          <w:rFonts w:ascii="仿宋_GB2312" w:eastAsia="仿宋_GB2312" w:hAnsi="TimesNewRoman" w:cs="TimesNewRoman"/>
          <w:bCs/>
          <w:sz w:val="32"/>
          <w:szCs w:val="32"/>
        </w:rPr>
        <w:t>年支出总表的说明</w:t>
      </w:r>
    </w:p>
    <w:p w14:paraId="583BB6E3">
      <w:pPr>
        <w:pStyle w:val="NormalWeb"/>
        <w:topLinePunct/>
        <w:adjustRightInd w:val="0"/>
        <w:snapToGrid w:val="0"/>
        <w:spacing w:beforeAutospacing="0" w:afterAutospacing="0" w:line="560" w:lineRule="exact"/>
        <w:ind w:firstLine="640" w:firstLineChars="200"/>
        <w:jc w:val="both"/>
        <w:rPr>
          <w:rFonts w:ascii="仿宋_GB2312" w:eastAsia="仿宋_GB2312" w:hAnsi="TimesNewRoman" w:cs="TimesNewRoman"/>
          <w:bCs/>
          <w:sz w:val="32"/>
          <w:szCs w:val="32"/>
        </w:rPr>
      </w:pPr>
      <w:r>
        <w:rPr>
          <w:rFonts w:ascii="仿宋_GB2312" w:eastAsia="仿宋_GB2312" w:hAnsi="TimesNewRoman" w:cs="TimesNewRoman"/>
          <w:bCs/>
          <w:sz w:val="32"/>
          <w:szCs w:val="32"/>
        </w:rPr>
        <w:t>4.关于</w:t>
      </w:r>
      <w:r>
        <w:rPr>
          <w:rFonts w:ascii="仿宋_GB2312" w:eastAsia="仿宋_GB2312" w:hAnsi="TimesNewRoman" w:cs="TimesNewRoman" w:hint="eastAsia"/>
          <w:bCs/>
          <w:sz w:val="32"/>
          <w:szCs w:val="32"/>
        </w:rPr>
        <w:t>2026</w:t>
      </w:r>
      <w:r>
        <w:rPr>
          <w:rFonts w:ascii="仿宋_GB2312" w:eastAsia="仿宋_GB2312" w:hAnsi="TimesNewRoman" w:cs="TimesNewRoman"/>
          <w:bCs/>
          <w:sz w:val="32"/>
          <w:szCs w:val="32"/>
        </w:rPr>
        <w:t>年财政拨款收支总表的说明</w:t>
      </w:r>
    </w:p>
    <w:p w14:paraId="1C27FABF">
      <w:pPr>
        <w:pStyle w:val="NormalWeb"/>
        <w:topLinePunct/>
        <w:adjustRightInd w:val="0"/>
        <w:snapToGrid w:val="0"/>
        <w:spacing w:beforeAutospacing="0" w:afterAutospacing="0" w:line="560" w:lineRule="exact"/>
        <w:ind w:firstLine="640" w:firstLineChars="200"/>
        <w:jc w:val="both"/>
        <w:rPr>
          <w:rFonts w:ascii="仿宋_GB2312" w:eastAsia="仿宋_GB2312" w:hAnsi="TimesNewRoman" w:cs="TimesNewRoman"/>
          <w:bCs/>
          <w:sz w:val="32"/>
          <w:szCs w:val="32"/>
        </w:rPr>
      </w:pPr>
      <w:r>
        <w:rPr>
          <w:rFonts w:ascii="仿宋_GB2312" w:eastAsia="仿宋_GB2312" w:hAnsi="TimesNewRoman" w:cs="TimesNewRoman"/>
          <w:bCs/>
          <w:sz w:val="32"/>
          <w:szCs w:val="32"/>
        </w:rPr>
        <w:t>5.关于</w:t>
      </w:r>
      <w:r>
        <w:rPr>
          <w:rFonts w:ascii="仿宋_GB2312" w:eastAsia="仿宋_GB2312" w:hAnsi="TimesNewRoman" w:cs="TimesNewRoman" w:hint="eastAsia"/>
          <w:bCs/>
          <w:sz w:val="32"/>
          <w:szCs w:val="32"/>
        </w:rPr>
        <w:t>2026</w:t>
      </w:r>
      <w:r>
        <w:rPr>
          <w:rFonts w:ascii="仿宋_GB2312" w:eastAsia="仿宋_GB2312" w:hAnsi="TimesNewRoman" w:cs="TimesNewRoman"/>
          <w:bCs/>
          <w:sz w:val="32"/>
          <w:szCs w:val="32"/>
        </w:rPr>
        <w:t>年一般公共预算支出表的说明</w:t>
      </w:r>
    </w:p>
    <w:p w14:paraId="5FFBE359">
      <w:pPr>
        <w:pStyle w:val="NormalWeb"/>
        <w:topLinePunct/>
        <w:adjustRightInd w:val="0"/>
        <w:snapToGrid w:val="0"/>
        <w:spacing w:beforeAutospacing="0" w:afterAutospacing="0" w:line="560" w:lineRule="exact"/>
        <w:ind w:firstLine="640" w:firstLineChars="200"/>
        <w:jc w:val="both"/>
        <w:rPr>
          <w:rFonts w:ascii="仿宋_GB2312" w:eastAsia="仿宋_GB2312" w:hAnsi="TimesNewRoman" w:cs="TimesNewRoman"/>
          <w:bCs/>
          <w:sz w:val="32"/>
          <w:szCs w:val="32"/>
        </w:rPr>
      </w:pPr>
      <w:r>
        <w:rPr>
          <w:rFonts w:ascii="仿宋_GB2312" w:eastAsia="仿宋_GB2312" w:hAnsi="TimesNewRoman" w:cs="TimesNewRoman"/>
          <w:bCs/>
          <w:sz w:val="32"/>
          <w:szCs w:val="32"/>
        </w:rPr>
        <w:t>6.关于</w:t>
      </w:r>
      <w:r>
        <w:rPr>
          <w:rFonts w:ascii="仿宋_GB2312" w:eastAsia="仿宋_GB2312" w:hAnsi="TimesNewRoman" w:cs="TimesNewRoman" w:hint="eastAsia"/>
          <w:bCs/>
          <w:sz w:val="32"/>
          <w:szCs w:val="32"/>
        </w:rPr>
        <w:t>2026</w:t>
      </w:r>
      <w:r>
        <w:rPr>
          <w:rFonts w:ascii="仿宋_GB2312" w:eastAsia="仿宋_GB2312" w:hAnsi="TimesNewRoman" w:cs="TimesNewRoman"/>
          <w:bCs/>
          <w:sz w:val="32"/>
          <w:szCs w:val="32"/>
        </w:rPr>
        <w:t>年一般公共预算基本支出表的说明</w:t>
      </w:r>
    </w:p>
    <w:p w14:paraId="79395310">
      <w:pPr>
        <w:pStyle w:val="NormalWeb"/>
        <w:topLinePunct/>
        <w:adjustRightInd w:val="0"/>
        <w:snapToGrid w:val="0"/>
        <w:spacing w:beforeAutospacing="0" w:afterAutospacing="0" w:line="560" w:lineRule="exact"/>
        <w:ind w:firstLine="640" w:firstLineChars="200"/>
        <w:jc w:val="both"/>
        <w:rPr>
          <w:rFonts w:ascii="仿宋_GB2312" w:eastAsia="仿宋_GB2312" w:hAnsi="TimesNewRoman" w:cs="TimesNewRoman"/>
          <w:bCs/>
          <w:sz w:val="32"/>
          <w:szCs w:val="32"/>
        </w:rPr>
      </w:pPr>
      <w:r>
        <w:rPr>
          <w:rFonts w:ascii="仿宋_GB2312" w:eastAsia="仿宋_GB2312" w:hAnsi="TimesNewRoman" w:cs="TimesNewRoman"/>
          <w:bCs/>
          <w:sz w:val="32"/>
          <w:szCs w:val="32"/>
        </w:rPr>
        <w:t>7.关于</w:t>
      </w:r>
      <w:r>
        <w:rPr>
          <w:rFonts w:ascii="仿宋_GB2312" w:eastAsia="仿宋_GB2312" w:hAnsi="TimesNewRoman" w:cs="TimesNewRoman" w:hint="eastAsia"/>
          <w:bCs/>
          <w:sz w:val="32"/>
          <w:szCs w:val="32"/>
        </w:rPr>
        <w:t>2026</w:t>
      </w:r>
      <w:r>
        <w:rPr>
          <w:rFonts w:ascii="仿宋_GB2312" w:eastAsia="仿宋_GB2312" w:hAnsi="TimesNewRoman" w:cs="TimesNewRoman"/>
          <w:bCs/>
          <w:sz w:val="32"/>
          <w:szCs w:val="32"/>
        </w:rPr>
        <w:t>年政府性基金预算支出表的说明</w:t>
      </w:r>
    </w:p>
    <w:p w14:paraId="0BA36E65">
      <w:pPr>
        <w:pStyle w:val="NormalWeb"/>
        <w:topLinePunct/>
        <w:adjustRightInd w:val="0"/>
        <w:snapToGrid w:val="0"/>
        <w:spacing w:beforeAutospacing="0" w:afterAutospacing="0" w:line="560" w:lineRule="exact"/>
        <w:ind w:firstLine="640" w:firstLineChars="200"/>
        <w:jc w:val="both"/>
        <w:rPr>
          <w:rFonts w:ascii="仿宋_GB2312" w:eastAsia="仿宋_GB2312" w:hAnsi="TimesNewRoman" w:cs="TimesNewRoman"/>
          <w:bCs/>
          <w:sz w:val="32"/>
          <w:szCs w:val="32"/>
        </w:rPr>
      </w:pPr>
      <w:r>
        <w:rPr>
          <w:rFonts w:ascii="仿宋_GB2312" w:eastAsia="仿宋_GB2312" w:hAnsi="TimesNewRoman" w:cs="TimesNewRoman"/>
          <w:bCs/>
          <w:sz w:val="32"/>
          <w:szCs w:val="32"/>
        </w:rPr>
        <w:t>8.关于</w:t>
      </w:r>
      <w:r>
        <w:rPr>
          <w:rFonts w:ascii="仿宋_GB2312" w:eastAsia="仿宋_GB2312" w:hAnsi="TimesNewRoman" w:cs="TimesNewRoman" w:hint="eastAsia"/>
          <w:bCs/>
          <w:sz w:val="32"/>
          <w:szCs w:val="32"/>
        </w:rPr>
        <w:t>2026</w:t>
      </w:r>
      <w:r>
        <w:rPr>
          <w:rFonts w:ascii="仿宋_GB2312" w:eastAsia="仿宋_GB2312" w:hAnsi="TimesNewRoman" w:cs="TimesNewRoman"/>
          <w:bCs/>
          <w:sz w:val="32"/>
          <w:szCs w:val="32"/>
        </w:rPr>
        <w:t>年国有资本经营预算支出表的说明</w:t>
      </w:r>
    </w:p>
    <w:p w14:paraId="5E83C13F">
      <w:pPr>
        <w:pStyle w:val="NormalWeb"/>
        <w:topLinePunct/>
        <w:adjustRightInd w:val="0"/>
        <w:snapToGrid w:val="0"/>
        <w:spacing w:beforeAutospacing="0" w:afterAutospacing="0" w:line="560" w:lineRule="exact"/>
        <w:ind w:firstLine="640" w:firstLineChars="200"/>
        <w:jc w:val="both"/>
        <w:rPr>
          <w:rFonts w:ascii="仿宋_GB2312" w:eastAsia="仿宋_GB2312" w:hAnsi="TimesNewRoman" w:cs="TimesNewRoman"/>
          <w:bCs/>
          <w:sz w:val="32"/>
          <w:szCs w:val="32"/>
        </w:rPr>
      </w:pPr>
      <w:r>
        <w:rPr>
          <w:rFonts w:ascii="仿宋_GB2312" w:eastAsia="仿宋_GB2312" w:hAnsi="TimesNewRoman" w:cs="TimesNewRoman"/>
          <w:bCs/>
          <w:sz w:val="32"/>
          <w:szCs w:val="32"/>
        </w:rPr>
        <w:t>9.关于</w:t>
      </w:r>
      <w:r>
        <w:rPr>
          <w:rFonts w:ascii="仿宋_GB2312" w:eastAsia="仿宋_GB2312" w:hAnsi="TimesNewRoman" w:cs="TimesNewRoman" w:hint="eastAsia"/>
          <w:bCs/>
          <w:sz w:val="32"/>
          <w:szCs w:val="32"/>
        </w:rPr>
        <w:t>2026</w:t>
      </w:r>
      <w:r>
        <w:rPr>
          <w:rFonts w:ascii="仿宋_GB2312" w:eastAsia="仿宋_GB2312" w:hAnsi="TimesNewRoman" w:cs="TimesNewRoman"/>
          <w:bCs/>
          <w:sz w:val="32"/>
          <w:szCs w:val="32"/>
        </w:rPr>
        <w:t>年项目支出表的说明</w:t>
      </w:r>
    </w:p>
    <w:p w14:paraId="747B7369">
      <w:pPr>
        <w:pStyle w:val="NormalWeb"/>
        <w:topLinePunct/>
        <w:adjustRightInd w:val="0"/>
        <w:snapToGrid w:val="0"/>
        <w:spacing w:beforeAutospacing="0" w:afterAutospacing="0" w:line="560" w:lineRule="exact"/>
        <w:ind w:firstLine="640" w:firstLineChars="200"/>
        <w:jc w:val="both"/>
        <w:rPr>
          <w:rFonts w:ascii="仿宋_GB2312" w:eastAsia="仿宋_GB2312" w:hAnsi="TimesNewRoman" w:cs="TimesNewRoman"/>
          <w:bCs/>
          <w:sz w:val="32"/>
          <w:szCs w:val="32"/>
        </w:rPr>
      </w:pPr>
      <w:r>
        <w:rPr>
          <w:rFonts w:ascii="仿宋_GB2312" w:eastAsia="仿宋_GB2312" w:hAnsi="TimesNewRoman" w:cs="TimesNewRoman"/>
          <w:bCs/>
          <w:sz w:val="32"/>
          <w:szCs w:val="32"/>
        </w:rPr>
        <w:t>10.关于</w:t>
      </w:r>
      <w:r>
        <w:rPr>
          <w:rFonts w:ascii="仿宋_GB2312" w:eastAsia="仿宋_GB2312" w:hAnsi="TimesNewRoman" w:cs="TimesNewRoman" w:hint="eastAsia"/>
          <w:bCs/>
          <w:sz w:val="32"/>
          <w:szCs w:val="32"/>
        </w:rPr>
        <w:t>2026</w:t>
      </w:r>
      <w:r>
        <w:rPr>
          <w:rFonts w:ascii="仿宋_GB2312" w:eastAsia="仿宋_GB2312" w:hAnsi="TimesNewRoman" w:cs="TimesNewRoman"/>
          <w:bCs/>
          <w:sz w:val="32"/>
          <w:szCs w:val="32"/>
        </w:rPr>
        <w:t>年政府采购支出表的说明</w:t>
      </w:r>
    </w:p>
    <w:p w14:paraId="0AAEC087">
      <w:pPr>
        <w:pStyle w:val="NormalWeb"/>
        <w:topLinePunct/>
        <w:adjustRightInd w:val="0"/>
        <w:snapToGrid w:val="0"/>
        <w:spacing w:beforeAutospacing="0" w:afterAutospacing="0" w:line="560" w:lineRule="exact"/>
        <w:ind w:firstLine="640" w:firstLineChars="200"/>
        <w:jc w:val="both"/>
        <w:rPr>
          <w:rFonts w:ascii="仿宋_GB2312" w:eastAsia="仿宋_GB2312" w:hAnsi="TimesNewRoman" w:cs="TimesNewRoman"/>
          <w:bCs/>
          <w:sz w:val="32"/>
          <w:szCs w:val="32"/>
        </w:rPr>
      </w:pPr>
      <w:r>
        <w:rPr>
          <w:rFonts w:ascii="仿宋_GB2312" w:eastAsia="仿宋_GB2312" w:hAnsi="TimesNewRoman" w:cs="TimesNewRoman"/>
          <w:bCs/>
          <w:sz w:val="32"/>
          <w:szCs w:val="32"/>
        </w:rPr>
        <w:t>11.关于</w:t>
      </w:r>
      <w:r>
        <w:rPr>
          <w:rFonts w:ascii="仿宋_GB2312" w:eastAsia="仿宋_GB2312" w:hAnsi="TimesNewRoman" w:cs="TimesNewRoman" w:hint="eastAsia"/>
          <w:bCs/>
          <w:sz w:val="32"/>
          <w:szCs w:val="32"/>
        </w:rPr>
        <w:t>2026</w:t>
      </w:r>
      <w:r>
        <w:rPr>
          <w:rFonts w:ascii="仿宋_GB2312" w:eastAsia="仿宋_GB2312" w:hAnsi="TimesNewRoman" w:cs="TimesNewRoman"/>
          <w:bCs/>
          <w:sz w:val="32"/>
          <w:szCs w:val="32"/>
        </w:rPr>
        <w:t>年政府购买服务支出表的说明</w:t>
      </w:r>
    </w:p>
    <w:p w14:paraId="614911C4">
      <w:pPr>
        <w:pStyle w:val="NormalWeb"/>
        <w:topLinePunct/>
        <w:adjustRightInd w:val="0"/>
        <w:snapToGrid w:val="0"/>
        <w:spacing w:beforeAutospacing="0" w:afterAutospacing="0" w:line="560" w:lineRule="exact"/>
        <w:ind w:firstLine="640" w:firstLineChars="200"/>
        <w:jc w:val="both"/>
        <w:rPr>
          <w:rFonts w:ascii="仿宋_GB2312" w:eastAsia="仿宋_GB2312" w:hAnsi="TimesNewRoman" w:cs="TimesNewRoman"/>
          <w:bCs/>
          <w:sz w:val="32"/>
          <w:szCs w:val="32"/>
        </w:rPr>
      </w:pPr>
      <w:r>
        <w:rPr>
          <w:rFonts w:ascii="仿宋_GB2312" w:eastAsia="仿宋_GB2312" w:hAnsi="TimesNewRoman" w:cs="TimesNewRoman" w:hint="eastAsia"/>
          <w:bCs/>
          <w:sz w:val="32"/>
          <w:szCs w:val="32"/>
        </w:rPr>
        <w:t>12.关于2026年一般公共预算“三公”经费支出情况说明</w:t>
      </w:r>
    </w:p>
    <w:p w14:paraId="761B1329">
      <w:pPr>
        <w:pStyle w:val="NormalWeb"/>
        <w:topLinePunct/>
        <w:adjustRightInd w:val="0"/>
        <w:snapToGrid w:val="0"/>
        <w:spacing w:beforeAutospacing="0" w:afterAutospacing="0" w:line="560" w:lineRule="exact"/>
        <w:ind w:firstLine="640" w:firstLineChars="200"/>
        <w:jc w:val="both"/>
        <w:rPr>
          <w:rFonts w:ascii="黑体" w:eastAsia="黑体" w:hAnsi="黑体" w:cs="TimesNewRoman"/>
          <w:sz w:val="32"/>
          <w:szCs w:val="32"/>
        </w:rPr>
      </w:pPr>
      <w:r>
        <w:rPr>
          <w:rFonts w:ascii="仿宋_GB2312" w:eastAsia="仿宋_GB2312" w:hAnsi="TimesNewRoman" w:cs="TimesNewRoman"/>
          <w:bCs/>
          <w:sz w:val="32"/>
          <w:szCs w:val="32"/>
        </w:rPr>
        <w:t>1</w:t>
      </w:r>
      <w:r>
        <w:rPr>
          <w:rFonts w:ascii="仿宋_GB2312" w:eastAsia="仿宋_GB2312" w:hAnsi="TimesNewRoman" w:cs="TimesNewRoman" w:hint="eastAsia"/>
          <w:bCs/>
          <w:sz w:val="32"/>
          <w:szCs w:val="32"/>
        </w:rPr>
        <w:t>3</w:t>
      </w:r>
      <w:r>
        <w:rPr>
          <w:rFonts w:ascii="仿宋_GB2312" w:eastAsia="仿宋_GB2312" w:hAnsi="TimesNewRoman" w:cs="TimesNewRoman"/>
          <w:bCs/>
          <w:sz w:val="32"/>
          <w:szCs w:val="32"/>
        </w:rPr>
        <w:t>.其他重要事项情况说明</w:t>
      </w:r>
    </w:p>
    <w:p w14:paraId="7518FBAD">
      <w:pPr>
        <w:pStyle w:val="NormalWeb"/>
        <w:topLinePunct/>
        <w:adjustRightInd w:val="0"/>
        <w:snapToGrid w:val="0"/>
        <w:spacing w:beforeAutospacing="0" w:afterAutospacing="0" w:line="560" w:lineRule="exact"/>
        <w:ind w:firstLine="640" w:firstLineChars="200"/>
        <w:jc w:val="both"/>
        <w:rPr>
          <w:rFonts w:ascii="黑体" w:eastAsia="黑体" w:hAnsi="黑体" w:cs="TimesNewRoman"/>
          <w:sz w:val="32"/>
          <w:szCs w:val="32"/>
        </w:rPr>
      </w:pPr>
      <w:r>
        <w:rPr>
          <w:rFonts w:ascii="黑体" w:eastAsia="黑体" w:hAnsi="黑体" w:cs="TimesNewRoman"/>
          <w:sz w:val="32"/>
          <w:szCs w:val="32"/>
        </w:rPr>
        <w:t>第</w:t>
      </w:r>
      <w:r>
        <w:rPr>
          <w:rFonts w:ascii="黑体" w:eastAsia="黑体" w:hAnsi="黑体" w:cs="TimesNewRoman" w:hint="eastAsia"/>
          <w:sz w:val="32"/>
          <w:szCs w:val="32"/>
        </w:rPr>
        <w:t>三</w:t>
      </w:r>
      <w:r>
        <w:rPr>
          <w:rFonts w:ascii="黑体" w:eastAsia="黑体" w:hAnsi="黑体" w:cs="TimesNewRoman"/>
          <w:sz w:val="32"/>
          <w:szCs w:val="32"/>
        </w:rPr>
        <w:t>部分 名词解释</w:t>
      </w:r>
    </w:p>
    <w:p w14:paraId="7B9CAA4F">
      <w:pPr>
        <w:pStyle w:val="NormalWeb"/>
        <w:topLinePunct/>
        <w:adjustRightInd w:val="0"/>
        <w:snapToGrid w:val="0"/>
        <w:spacing w:beforeAutospacing="0" w:afterAutospacing="0" w:line="560" w:lineRule="exact"/>
        <w:ind w:firstLine="720" w:firstLineChars="200"/>
        <w:jc w:val="center"/>
        <w:rPr>
          <w:rFonts w:ascii="TimesNewRoman" w:eastAsia="黑体" w:hAnsi="TimesNewRoman" w:cs="TimesNewRoman"/>
          <w:bCs/>
          <w:sz w:val="32"/>
          <w:szCs w:val="32"/>
        </w:rPr>
      </w:pPr>
      <w:r>
        <w:rPr>
          <w:rFonts w:ascii="TimesNewRoman" w:eastAsia="黑体" w:hAnsi="TimesNewRoman" w:cs="TimesNewRoman"/>
          <w:bCs/>
          <w:sz w:val="36"/>
          <w:szCs w:val="36"/>
        </w:rPr>
        <w:t xml:space="preserve">第一部分 </w:t>
      </w:r>
      <w:r>
        <w:rPr>
          <w:rFonts w:ascii="TimesNewRoman" w:eastAsia="黑体" w:hAnsi="TimesNewRoman" w:cs="TimesNewRoman" w:hint="eastAsia"/>
          <w:bCs/>
          <w:sz w:val="36"/>
          <w:szCs w:val="36"/>
        </w:rPr>
        <w:t>部门</w:t>
      </w:r>
      <w:r>
        <w:rPr>
          <w:rFonts w:ascii="TimesNewRoman" w:eastAsia="黑体" w:hAnsi="TimesNewRoman" w:cs="TimesNewRoman"/>
          <w:bCs/>
          <w:sz w:val="36"/>
          <w:szCs w:val="36"/>
        </w:rPr>
        <w:t>概况</w:t>
      </w:r>
    </w:p>
    <w:p w14:paraId="09D4B1D2">
      <w:pPr>
        <w:pStyle w:val="NormalWeb"/>
        <w:topLinePunct/>
        <w:adjustRightInd w:val="0"/>
        <w:snapToGrid w:val="0"/>
        <w:spacing w:beforeAutospacing="0" w:afterAutospacing="0" w:line="560" w:lineRule="exact"/>
        <w:ind w:firstLine="640" w:firstLineChars="200"/>
        <w:jc w:val="both"/>
        <w:rPr>
          <w:rFonts w:ascii="仿宋" w:eastAsia="仿宋" w:hAnsi="仿宋" w:cs="TimesNewRoman"/>
          <w:b/>
          <w:bCs/>
          <w:sz w:val="32"/>
          <w:szCs w:val="32"/>
        </w:rPr>
      </w:pPr>
      <w:r>
        <w:rPr>
          <w:rFonts w:ascii="仿宋" w:eastAsia="仿宋" w:hAnsi="仿宋" w:cs="TimesNewRoman" w:hint="eastAsia"/>
          <w:b/>
          <w:bCs/>
          <w:sz w:val="32"/>
          <w:szCs w:val="32"/>
        </w:rPr>
        <w:t>一、主要职责</w:t>
      </w:r>
    </w:p>
    <w:p w14:paraId="0682E0E3">
      <w:pPr>
        <w:pStyle w:val="NormalWeb"/>
        <w:topLinePunct/>
        <w:adjustRightInd w:val="0"/>
        <w:snapToGrid w:val="0"/>
        <w:spacing w:beforeAutospacing="0" w:afterAutospacing="0" w:line="560" w:lineRule="exact"/>
        <w:ind w:firstLine="640" w:firstLineChars="200"/>
        <w:jc w:val="both"/>
        <w:rPr>
          <w:rFonts w:ascii="仿宋" w:eastAsia="仿宋" w:hAnsi="仿宋" w:cs="TimesNewRoman"/>
          <w:bCs/>
          <w:sz w:val="32"/>
          <w:szCs w:val="32"/>
        </w:rPr>
      </w:pPr>
      <w:r>
        <w:rPr>
          <w:rFonts w:ascii="仿宋" w:eastAsia="仿宋" w:hAnsi="仿宋" w:cs="TimesNewRoman" w:hint="eastAsia"/>
          <w:bCs/>
          <w:sz w:val="32"/>
          <w:szCs w:val="32"/>
        </w:rPr>
        <w:t>（一）研究和指导全县党的组织建设,督促检查全县各级党组织贯彻执行党的组织制度情况;探索各类新的经济组织中党组织的设置和活动方式;协调、规划和指导党员教育工作,主管党员管理和发展党员工作;组织、协调新时期党建工作新情况、新问题和党建理论的研究,提出加强党的思想、组织、作风建设的意见和建议。</w:t>
      </w:r>
    </w:p>
    <w:p w14:paraId="049F6D6A">
      <w:pPr>
        <w:spacing w:line="560" w:lineRule="exact"/>
        <w:ind w:firstLine="640" w:firstLineChars="200"/>
        <w:rPr>
          <w:rFonts w:ascii="仿宋" w:eastAsia="仿宋" w:hAnsi="仿宋" w:cs="TimesNewRoman"/>
          <w:bCs/>
          <w:sz w:val="32"/>
          <w:szCs w:val="32"/>
        </w:rPr>
      </w:pPr>
      <w:r>
        <w:rPr>
          <w:rFonts w:ascii="仿宋" w:eastAsia="仿宋" w:hAnsi="仿宋" w:cs="TimesNewRoman" w:hint="eastAsia"/>
          <w:bCs/>
          <w:sz w:val="32"/>
          <w:szCs w:val="32"/>
        </w:rPr>
        <w:t>（二）负责办理全县由市委管理干部的职务任免、工资、退(离)休报批手续;负责县管干部的选拔、考察工作;提出对县委管理的领导班子调整配备的意见和建议,办理其班子成员的任免、工资、退(离)休审批手续;组织实施公开选拔县管干部和指导协调全县公开选拔领导干部工作;指导领导班子思想作风建设;负责县直机关、乡(镇)有关股级干部的宏观管理工作;承办部分干部的调配、交流和安置事宜。</w:t>
      </w:r>
    </w:p>
    <w:p w14:paraId="227A3934">
      <w:pPr>
        <w:pStyle w:val="NormalWeb"/>
        <w:topLinePunct/>
        <w:adjustRightInd w:val="0"/>
        <w:snapToGrid w:val="0"/>
        <w:spacing w:beforeAutospacing="0" w:afterAutospacing="0" w:line="560" w:lineRule="exact"/>
        <w:ind w:firstLine="640" w:firstLineChars="200"/>
        <w:jc w:val="both"/>
        <w:rPr>
          <w:rFonts w:ascii="仿宋" w:eastAsia="仿宋" w:hAnsi="仿宋" w:cs="TimesNewRoman"/>
          <w:bCs/>
          <w:sz w:val="32"/>
          <w:szCs w:val="32"/>
        </w:rPr>
      </w:pPr>
      <w:r>
        <w:rPr>
          <w:rFonts w:ascii="仿宋" w:eastAsia="仿宋" w:hAnsi="仿宋" w:cs="TimesNewRoman" w:hint="eastAsia"/>
          <w:bCs/>
          <w:sz w:val="32"/>
          <w:szCs w:val="32"/>
        </w:rPr>
        <w:t>（三）研究贯彻中央和省、市、县委制定的干部队伍建设的方针、政策和决定、意见,组织落实培养选拔中青年干部工作。…研究和宏观指导全县党的组织制度和干部人事制度的改革,制定或参与制定全县组织、干部、人事工作的重要意见和制度。</w:t>
      </w:r>
    </w:p>
    <w:p w14:paraId="47848384">
      <w:pPr>
        <w:pStyle w:val="NormalWeb"/>
        <w:topLinePunct/>
        <w:adjustRightInd w:val="0"/>
        <w:snapToGrid w:val="0"/>
        <w:spacing w:beforeAutospacing="0" w:afterAutospacing="0" w:line="560" w:lineRule="exact"/>
        <w:ind w:firstLine="640" w:firstLineChars="200"/>
        <w:jc w:val="both"/>
        <w:rPr>
          <w:rFonts w:ascii="仿宋" w:eastAsia="仿宋" w:hAnsi="仿宋" w:cs="TimesNewRoman"/>
          <w:bCs/>
          <w:sz w:val="32"/>
          <w:szCs w:val="32"/>
        </w:rPr>
      </w:pPr>
      <w:r>
        <w:rPr>
          <w:rFonts w:ascii="仿宋" w:eastAsia="仿宋" w:hAnsi="仿宋" w:cs="TimesNewRoman" w:hint="eastAsia"/>
          <w:bCs/>
          <w:sz w:val="32"/>
          <w:szCs w:val="32"/>
        </w:rPr>
        <w:t>（四）研究和宏观指导全县党的组织制度和干部人事制度的改革,制定或参与制定全县组织、干部、人事工作的重要意见和制度。</w:t>
      </w:r>
    </w:p>
    <w:p w14:paraId="1EB1C4FB">
      <w:pPr>
        <w:pStyle w:val="NormalWeb"/>
        <w:topLinePunct/>
        <w:adjustRightInd w:val="0"/>
        <w:snapToGrid w:val="0"/>
        <w:spacing w:beforeAutospacing="0" w:afterAutospacing="0" w:line="560" w:lineRule="exact"/>
        <w:ind w:firstLine="640" w:firstLineChars="200"/>
        <w:jc w:val="both"/>
        <w:rPr>
          <w:rFonts w:ascii="仿宋" w:eastAsia="仿宋" w:hAnsi="仿宋" w:cs="TimesNewRoman"/>
          <w:bCs/>
          <w:sz w:val="32"/>
          <w:szCs w:val="32"/>
        </w:rPr>
      </w:pPr>
      <w:r>
        <w:rPr>
          <w:rFonts w:ascii="仿宋" w:eastAsia="仿宋" w:hAnsi="仿宋" w:cs="TimesNewRoman" w:hint="eastAsia"/>
          <w:bCs/>
          <w:sz w:val="32"/>
          <w:szCs w:val="32"/>
        </w:rPr>
        <w:t>（五）负责全县组织、干部工作的督促检查,及时向县委反映重要情况,提出建议。</w:t>
      </w:r>
    </w:p>
    <w:p w14:paraId="24095034">
      <w:pPr>
        <w:pStyle w:val="NormalWeb"/>
        <w:topLinePunct/>
        <w:adjustRightInd w:val="0"/>
        <w:snapToGrid w:val="0"/>
        <w:spacing w:beforeAutospacing="0" w:afterAutospacing="0" w:line="560" w:lineRule="exact"/>
        <w:ind w:firstLine="640" w:firstLineChars="200"/>
        <w:jc w:val="both"/>
        <w:rPr>
          <w:rFonts w:ascii="仿宋" w:eastAsia="仿宋" w:hAnsi="仿宋" w:cs="TimesNewRoman"/>
          <w:bCs/>
          <w:sz w:val="32"/>
          <w:szCs w:val="32"/>
        </w:rPr>
      </w:pPr>
      <w:r>
        <w:rPr>
          <w:rFonts w:ascii="仿宋" w:eastAsia="仿宋" w:hAnsi="仿宋" w:cs="TimesNewRoman" w:hint="eastAsia"/>
          <w:bCs/>
          <w:sz w:val="32"/>
          <w:szCs w:val="32"/>
        </w:rPr>
        <w:t>（六）主管全县干部教育培训工作,研究制定全县干部教育规划、意见;协助完成省、市下达的调学任务;组织县委管理的干部和一定层次的中青年干部、中高级知识分子以及组工干部的培训。</w:t>
      </w:r>
    </w:p>
    <w:p w14:paraId="15E52CEA">
      <w:pPr>
        <w:pStyle w:val="NormalWeb"/>
        <w:topLinePunct/>
        <w:adjustRightInd w:val="0"/>
        <w:snapToGrid w:val="0"/>
        <w:spacing w:beforeAutospacing="0" w:afterAutospacing="0" w:line="560" w:lineRule="exact"/>
        <w:ind w:firstLine="640" w:firstLineChars="200"/>
        <w:jc w:val="both"/>
        <w:rPr>
          <w:rFonts w:ascii="仿宋" w:eastAsia="仿宋" w:hAnsi="仿宋" w:cs="TimesNewRoman"/>
          <w:bCs/>
          <w:sz w:val="32"/>
          <w:szCs w:val="32"/>
        </w:rPr>
      </w:pPr>
      <w:r>
        <w:rPr>
          <w:rFonts w:ascii="仿宋" w:eastAsia="仿宋" w:hAnsi="仿宋" w:cs="TimesNewRoman" w:hint="eastAsia"/>
          <w:bCs/>
          <w:sz w:val="32"/>
          <w:szCs w:val="32"/>
        </w:rPr>
        <w:t>（七）牵头做好全县人才工作政策、规划制定，检查、指导人才培养、引进、管理服务等工作。组织协调有关部门共同开展知识分子工作。</w:t>
      </w:r>
    </w:p>
    <w:p w14:paraId="55F70B70">
      <w:pPr>
        <w:pStyle w:val="NormalWeb"/>
        <w:topLinePunct/>
        <w:adjustRightInd w:val="0"/>
        <w:snapToGrid w:val="0"/>
        <w:spacing w:beforeAutospacing="0" w:afterAutospacing="0" w:line="560" w:lineRule="exact"/>
        <w:ind w:firstLine="640" w:firstLineChars="200"/>
        <w:jc w:val="both"/>
        <w:rPr>
          <w:rFonts w:ascii="仿宋" w:eastAsia="仿宋" w:hAnsi="仿宋" w:cs="TimesNewRoman"/>
          <w:bCs/>
          <w:sz w:val="32"/>
          <w:szCs w:val="32"/>
        </w:rPr>
      </w:pPr>
      <w:r>
        <w:rPr>
          <w:rFonts w:ascii="仿宋" w:eastAsia="仿宋" w:hAnsi="仿宋" w:cs="TimesNewRoman" w:hint="eastAsia"/>
          <w:bCs/>
          <w:sz w:val="32"/>
          <w:szCs w:val="32"/>
        </w:rPr>
        <w:t>（八）对国有企业经营管理者队伍的建设进行宏观管理和指导;掌握和联系一批优秀的企业经营管理者,并提出培养使用意见。负责全县非公有制经济组织和社会组织建设工作的综合协调、政策制定、监督检查，协调指导有关部门和单位抓好非公有制经济组织和社会组织党建工作。</w:t>
      </w:r>
    </w:p>
    <w:p w14:paraId="5F3EFF87">
      <w:pPr>
        <w:pStyle w:val="NormalWeb"/>
        <w:topLinePunct/>
        <w:adjustRightInd w:val="0"/>
        <w:snapToGrid w:val="0"/>
        <w:spacing w:beforeAutospacing="0" w:afterAutospacing="0" w:line="560" w:lineRule="exact"/>
        <w:ind w:firstLine="640" w:firstLineChars="200"/>
        <w:jc w:val="both"/>
        <w:rPr>
          <w:rFonts w:ascii="仿宋" w:eastAsia="仿宋" w:hAnsi="仿宋" w:cs="TimesNewRoman"/>
          <w:bCs/>
          <w:sz w:val="32"/>
          <w:szCs w:val="32"/>
        </w:rPr>
      </w:pPr>
      <w:r>
        <w:rPr>
          <w:rFonts w:ascii="仿宋" w:eastAsia="仿宋" w:hAnsi="仿宋" w:cs="TimesNewRoman" w:hint="eastAsia"/>
          <w:bCs/>
          <w:sz w:val="32"/>
          <w:szCs w:val="32"/>
        </w:rPr>
        <w:t>（九）负责全县县乡机关、事业单位、群众团体参照国家公务员制度进行管理工作。</w:t>
      </w:r>
    </w:p>
    <w:p w14:paraId="454FF83C">
      <w:pPr>
        <w:pStyle w:val="NormalWeb"/>
        <w:topLinePunct/>
        <w:adjustRightInd w:val="0"/>
        <w:snapToGrid w:val="0"/>
        <w:spacing w:beforeAutospacing="0" w:afterAutospacing="0" w:line="560" w:lineRule="exact"/>
        <w:ind w:firstLine="640" w:firstLineChars="200"/>
        <w:jc w:val="both"/>
        <w:rPr>
          <w:rFonts w:ascii="仿宋" w:eastAsia="仿宋" w:hAnsi="仿宋" w:cs="TimesNewRoman"/>
          <w:bCs/>
          <w:sz w:val="32"/>
          <w:szCs w:val="32"/>
        </w:rPr>
      </w:pPr>
      <w:r>
        <w:rPr>
          <w:rFonts w:ascii="仿宋" w:eastAsia="仿宋" w:hAnsi="仿宋" w:cs="TimesNewRoman" w:hint="eastAsia"/>
          <w:bCs/>
          <w:sz w:val="32"/>
          <w:szCs w:val="32"/>
        </w:rPr>
        <w:t>（十）负责全县领导干部监督工作的综合协调和指导,制定或参与制定干部监督的制度和规定;对干部选拔任用工作和领导干部进行监督。</w:t>
      </w:r>
    </w:p>
    <w:p w14:paraId="2C52C2A7">
      <w:pPr>
        <w:pStyle w:val="NormalWeb"/>
        <w:topLinePunct/>
        <w:adjustRightInd w:val="0"/>
        <w:snapToGrid w:val="0"/>
        <w:spacing w:beforeAutospacing="0" w:afterAutospacing="0" w:line="560" w:lineRule="exact"/>
        <w:ind w:firstLine="640" w:firstLineChars="200"/>
        <w:jc w:val="both"/>
        <w:rPr>
          <w:rFonts w:ascii="仿宋" w:eastAsia="仿宋" w:hAnsi="仿宋" w:cs="TimesNewRoman"/>
          <w:bCs/>
          <w:sz w:val="32"/>
          <w:szCs w:val="32"/>
        </w:rPr>
      </w:pPr>
      <w:r>
        <w:rPr>
          <w:rFonts w:ascii="仿宋" w:eastAsia="仿宋" w:hAnsi="仿宋" w:cs="TimesNewRoman" w:hint="eastAsia"/>
          <w:bCs/>
          <w:sz w:val="32"/>
          <w:szCs w:val="32"/>
        </w:rPr>
        <w:t>（十一）统一管理全县公务员工作。负责全县公务员录用调配、考核奖惩、培训和工资福利等事务；贯彻执行公务员管理政策和法律法规，拟订具体实施办法并组织实施；指导全县公务员队伍建设和绩效管理；负责公务员管理对外交流合作等。</w:t>
      </w:r>
    </w:p>
    <w:p w14:paraId="48821FFA">
      <w:pPr>
        <w:pStyle w:val="NormalWeb"/>
        <w:topLinePunct/>
        <w:adjustRightInd w:val="0"/>
        <w:snapToGrid w:val="0"/>
        <w:spacing w:beforeAutospacing="0" w:afterAutospacing="0" w:line="560" w:lineRule="exact"/>
        <w:ind w:firstLine="640" w:firstLineChars="200"/>
        <w:jc w:val="both"/>
        <w:rPr>
          <w:rFonts w:ascii="仿宋" w:eastAsia="仿宋" w:hAnsi="仿宋" w:cs="TimesNewRoman"/>
          <w:bCs/>
          <w:sz w:val="32"/>
          <w:szCs w:val="32"/>
        </w:rPr>
      </w:pPr>
      <w:r>
        <w:rPr>
          <w:rFonts w:ascii="仿宋" w:eastAsia="仿宋" w:hAnsi="仿宋" w:cs="TimesNewRoman" w:hint="eastAsia"/>
          <w:bCs/>
          <w:sz w:val="32"/>
          <w:szCs w:val="32"/>
        </w:rPr>
        <w:t>（十二）归口管理县委机构编制委员会办公室。</w:t>
      </w:r>
    </w:p>
    <w:p w14:paraId="182F54CF">
      <w:pPr>
        <w:pStyle w:val="NormalWeb"/>
        <w:topLinePunct/>
        <w:adjustRightInd w:val="0"/>
        <w:snapToGrid w:val="0"/>
        <w:spacing w:beforeAutospacing="0" w:afterAutospacing="0" w:line="560" w:lineRule="exact"/>
        <w:ind w:firstLine="640" w:firstLineChars="200"/>
        <w:jc w:val="both"/>
        <w:rPr>
          <w:rFonts w:ascii="仿宋" w:eastAsia="仿宋" w:hAnsi="仿宋" w:cs="TimesNewRoman"/>
          <w:bCs/>
          <w:sz w:val="32"/>
          <w:szCs w:val="32"/>
        </w:rPr>
      </w:pPr>
      <w:r>
        <w:rPr>
          <w:rFonts w:ascii="仿宋" w:eastAsia="仿宋" w:hAnsi="仿宋" w:cs="TimesNewRoman" w:hint="eastAsia"/>
          <w:bCs/>
          <w:sz w:val="32"/>
          <w:szCs w:val="32"/>
        </w:rPr>
        <w:t>（十三）归口管理县委老干部局。指导退(离)休干部宏观管理工作。</w:t>
      </w:r>
    </w:p>
    <w:p w14:paraId="1675BFA0">
      <w:pPr>
        <w:pStyle w:val="NormalWeb"/>
        <w:topLinePunct/>
        <w:adjustRightInd w:val="0"/>
        <w:snapToGrid w:val="0"/>
        <w:spacing w:beforeAutospacing="0" w:afterAutospacing="0" w:line="560" w:lineRule="exact"/>
        <w:ind w:firstLine="640" w:firstLineChars="200"/>
        <w:jc w:val="both"/>
        <w:rPr>
          <w:rFonts w:ascii="仿宋" w:eastAsia="仿宋" w:hAnsi="仿宋" w:cs="TimesNewRoman"/>
          <w:b/>
          <w:bCs/>
          <w:sz w:val="32"/>
          <w:szCs w:val="32"/>
        </w:rPr>
      </w:pPr>
      <w:r>
        <w:rPr>
          <w:rFonts w:ascii="仿宋" w:eastAsia="仿宋" w:hAnsi="仿宋" w:cs="TimesNewRoman" w:hint="eastAsia"/>
          <w:bCs/>
          <w:sz w:val="32"/>
          <w:szCs w:val="32"/>
        </w:rPr>
        <w:t>（十四）完成县委和市委组织部交办的其他任务。</w:t>
      </w:r>
    </w:p>
    <w:p w14:paraId="4F066A0A">
      <w:pPr>
        <w:pStyle w:val="NormalWeb"/>
        <w:topLinePunct/>
        <w:adjustRightInd w:val="0"/>
        <w:snapToGrid w:val="0"/>
        <w:spacing w:beforeAutospacing="0" w:afterAutospacing="0" w:line="560" w:lineRule="exact"/>
        <w:ind w:firstLine="640" w:firstLineChars="200"/>
        <w:jc w:val="both"/>
        <w:rPr>
          <w:rFonts w:ascii="仿宋" w:eastAsia="仿宋" w:hAnsi="仿宋" w:cs="TimesNewRoman"/>
          <w:b/>
          <w:bCs/>
          <w:sz w:val="32"/>
          <w:szCs w:val="32"/>
        </w:rPr>
      </w:pPr>
      <w:r>
        <w:rPr>
          <w:rFonts w:ascii="仿宋" w:eastAsia="仿宋" w:hAnsi="仿宋" w:cs="TimesNewRoman" w:hint="eastAsia"/>
          <w:b/>
          <w:bCs/>
          <w:sz w:val="32"/>
          <w:szCs w:val="32"/>
        </w:rPr>
        <w:t>二、</w:t>
      </w:r>
      <w:r>
        <w:rPr>
          <w:rFonts w:ascii="仿宋" w:eastAsia="仿宋" w:hAnsi="仿宋" w:cs="TimesNewRoman"/>
          <w:b/>
          <w:bCs/>
          <w:sz w:val="32"/>
          <w:szCs w:val="32"/>
        </w:rPr>
        <w:t>部门预算构成</w:t>
      </w:r>
    </w:p>
    <w:p w14:paraId="575AB311">
      <w:pPr>
        <w:pStyle w:val="NormalWeb"/>
        <w:topLinePunct/>
        <w:adjustRightInd w:val="0"/>
        <w:snapToGrid w:val="0"/>
        <w:spacing w:beforeAutospacing="0" w:afterAutospacing="0" w:line="560" w:lineRule="exact"/>
        <w:ind w:firstLine="640" w:firstLineChars="200"/>
        <w:jc w:val="both"/>
        <w:rPr>
          <w:rFonts w:ascii="仿宋" w:eastAsia="仿宋" w:hAnsi="仿宋" w:cs="TimesNewRoman"/>
          <w:b/>
          <w:bCs/>
          <w:sz w:val="32"/>
          <w:szCs w:val="32"/>
        </w:rPr>
      </w:pPr>
      <w:r>
        <w:rPr>
          <w:rFonts w:ascii="仿宋" w:eastAsia="仿宋" w:hAnsi="仿宋" w:cs="TimesNewRoman" w:hint="eastAsia"/>
          <w:sz w:val="32"/>
          <w:szCs w:val="32"/>
        </w:rPr>
        <w:t>从预算单位构成看，</w:t>
      </w:r>
      <w:r>
        <w:rPr>
          <w:rFonts w:ascii="仿宋" w:eastAsia="仿宋" w:hAnsi="仿宋" w:cs="TimesNewRoman" w:hint="eastAsia"/>
          <w:bCs/>
          <w:sz w:val="32"/>
          <w:szCs w:val="32"/>
        </w:rPr>
        <w:t>寿县县委组织部2026年度部门预算仅包括</w:t>
      </w:r>
      <w:r>
        <w:rPr>
          <w:rFonts w:ascii="仿宋" w:eastAsia="仿宋" w:hAnsi="仿宋" w:cs="宋体" w:hint="eastAsia"/>
          <w:bCs/>
          <w:sz w:val="32"/>
          <w:szCs w:val="32"/>
        </w:rPr>
        <w:t>部</w:t>
      </w:r>
      <w:r>
        <w:rPr>
          <w:rFonts w:ascii="仿宋" w:eastAsia="仿宋" w:hAnsi="仿宋" w:cs="TimesNewRoman" w:hint="eastAsia"/>
          <w:bCs/>
          <w:sz w:val="32"/>
          <w:szCs w:val="32"/>
        </w:rPr>
        <w:t>本级预算，无其他下属单位预算。</w:t>
      </w:r>
    </w:p>
    <w:p w14:paraId="12732ACC">
      <w:pPr>
        <w:pStyle w:val="NormalWeb"/>
        <w:topLinePunct/>
        <w:adjustRightInd w:val="0"/>
        <w:snapToGrid w:val="0"/>
        <w:spacing w:beforeAutospacing="0" w:afterAutospacing="0" w:line="560" w:lineRule="exact"/>
        <w:ind w:firstLine="640" w:firstLineChars="200"/>
        <w:jc w:val="both"/>
        <w:rPr>
          <w:rFonts w:ascii="仿宋" w:eastAsia="仿宋" w:hAnsi="仿宋" w:cs="TimesNewRoman"/>
          <w:bCs/>
          <w:sz w:val="32"/>
          <w:szCs w:val="32"/>
        </w:rPr>
      </w:pPr>
      <w:r>
        <w:rPr>
          <w:rFonts w:ascii="仿宋" w:eastAsia="仿宋" w:hAnsi="仿宋" w:cs="TimesNewRoman" w:hint="eastAsia"/>
          <w:b/>
          <w:bCs/>
          <w:sz w:val="32"/>
          <w:szCs w:val="32"/>
        </w:rPr>
        <w:t>三、2026年度主要工作任务</w:t>
      </w:r>
    </w:p>
    <w:p w14:paraId="0B8CFD20">
      <w:pPr>
        <w:pStyle w:val="NormalWeb"/>
        <w:topLinePunct/>
        <w:adjustRightInd w:val="0"/>
        <w:snapToGrid w:val="0"/>
        <w:spacing w:beforeAutospacing="0" w:afterAutospacing="0" w:line="560" w:lineRule="exact"/>
        <w:ind w:firstLine="698" w:firstLineChars="218"/>
        <w:jc w:val="both"/>
        <w:rPr>
          <w:rFonts w:ascii="仿宋" w:eastAsia="仿宋" w:hAnsi="仿宋" w:cs="TimesNewRoman"/>
          <w:bCs/>
          <w:sz w:val="32"/>
          <w:szCs w:val="32"/>
        </w:rPr>
      </w:pPr>
      <w:r>
        <w:rPr>
          <w:rFonts w:ascii="仿宋" w:eastAsia="仿宋" w:hAnsi="仿宋" w:cs="TimesNewRoman" w:hint="eastAsia"/>
          <w:bCs/>
          <w:sz w:val="32"/>
          <w:szCs w:val="32"/>
        </w:rPr>
        <w:t>（一）坚持以习近平新时代中国特色社会主义思想为指导，不折不扣贯彻落实习近平总书记重要讲话、指示批示精神和党中央、省委、市委、县委各项决策部署，紧紧围绕全县中心工作，积极作为、开拓奋进，守正创新、狠抓落实，不断提高组织工作质效，为全县高质量发展提供坚强的组织保证。</w:t>
      </w:r>
    </w:p>
    <w:p w14:paraId="75EC4FB9">
      <w:pPr>
        <w:pStyle w:val="NormalWeb"/>
        <w:topLinePunct/>
        <w:adjustRightInd w:val="0"/>
        <w:snapToGrid w:val="0"/>
        <w:spacing w:beforeAutospacing="0" w:afterAutospacing="0" w:line="560" w:lineRule="exact"/>
        <w:ind w:firstLine="698" w:firstLineChars="218"/>
        <w:jc w:val="both"/>
        <w:rPr>
          <w:rFonts w:ascii="仿宋" w:eastAsia="仿宋" w:hAnsi="仿宋" w:cs="TimesNewRoman"/>
          <w:bCs/>
          <w:sz w:val="32"/>
          <w:szCs w:val="32"/>
        </w:rPr>
      </w:pPr>
      <w:r>
        <w:rPr>
          <w:rFonts w:ascii="仿宋" w:eastAsia="仿宋" w:hAnsi="仿宋" w:cs="TimesNewRoman" w:hint="eastAsia"/>
          <w:bCs/>
          <w:sz w:val="32"/>
          <w:szCs w:val="32"/>
        </w:rPr>
        <w:t>（二）选优配强领导班子和干部队伍。坚持政治标准，着力选好用好、调动好各年龄段干部积极性。有序开展干部交流轮岗，选优配强县管领导班子和领导干部。研究制定《关于适应新时代要求大力发现培养选拔优秀年轻干部的实施意见》，发现储备和选拔使用优秀年轻干部。认真贯彻《中共安徽省委组织部关于进一步关心关爱干部激励干部担当作为有关具体措施的通知》，落实各项举措。组织开展公务员职级晋升工作，制定职数分解方案，细化职级晋升操作流程。</w:t>
      </w:r>
    </w:p>
    <w:p w14:paraId="5C7B427A">
      <w:pPr>
        <w:pStyle w:val="NormalWeb"/>
        <w:topLinePunct/>
        <w:adjustRightInd w:val="0"/>
        <w:snapToGrid w:val="0"/>
        <w:spacing w:beforeAutospacing="0" w:afterAutospacing="0" w:line="560" w:lineRule="exact"/>
        <w:ind w:firstLine="698" w:firstLineChars="218"/>
        <w:jc w:val="both"/>
        <w:rPr>
          <w:rFonts w:ascii="仿宋" w:eastAsia="仿宋" w:hAnsi="仿宋" w:cs="TimesNewRoman"/>
          <w:bCs/>
          <w:sz w:val="32"/>
          <w:szCs w:val="32"/>
        </w:rPr>
      </w:pPr>
      <w:r>
        <w:rPr>
          <w:rFonts w:ascii="仿宋" w:eastAsia="仿宋" w:hAnsi="仿宋" w:cs="TimesNewRoman" w:hint="eastAsia"/>
          <w:bCs/>
          <w:sz w:val="32"/>
          <w:szCs w:val="32"/>
        </w:rPr>
        <w:t>（三）不断加大干部教育培训和监督管理。继续开办非公企业和社会组织、村（社区）党组织书记等主体班次和党支部书记专题培训班。研究制定《寿县</w:t>
      </w:r>
      <w:r>
        <w:rPr>
          <w:rFonts w:ascii="仿宋" w:eastAsia="仿宋" w:hAnsi="仿宋" w:cs="仿宋_GB2312" w:hint="eastAsia"/>
          <w:bCs/>
          <w:sz w:val="32"/>
          <w:szCs w:val="32"/>
        </w:rPr>
        <w:t>2026</w:t>
      </w:r>
      <w:r>
        <w:rPr>
          <w:rFonts w:ascii="仿宋" w:eastAsia="仿宋" w:hAnsi="仿宋" w:cs="TimesNewRoman" w:hint="eastAsia"/>
          <w:bCs/>
          <w:sz w:val="32"/>
          <w:szCs w:val="32"/>
        </w:rPr>
        <w:t>年度干部教育培训计划》，抓好贯彻落实。聚焦发展面临的热点难点问题，拓展领导干部上讲台活动，加大邀请专家学者、本地领导在相关班次授课的力度。采取电话督促、网络督催、定期通报等方式，调动干部参与在线学习的积极性、主动性。继续落实干部监督各项工作制度，做好领导干部日常监督和党政领导干部经济责任审计。修订完善《寿县干部监督工作联席会议及信息沟通实施办法（试行）》。进一步做好举报件查核工作，健全和完善干部监督信息库。</w:t>
      </w:r>
    </w:p>
    <w:p w14:paraId="366A8796">
      <w:pPr>
        <w:pStyle w:val="NormalWeb"/>
        <w:topLinePunct/>
        <w:adjustRightInd w:val="0"/>
        <w:snapToGrid w:val="0"/>
        <w:spacing w:beforeAutospacing="0" w:afterAutospacing="0" w:line="560" w:lineRule="exact"/>
        <w:ind w:firstLine="698" w:firstLineChars="218"/>
        <w:jc w:val="both"/>
        <w:rPr>
          <w:rFonts w:ascii="仿宋" w:eastAsia="仿宋" w:hAnsi="仿宋" w:cs="TimesNewRoman"/>
          <w:bCs/>
          <w:sz w:val="32"/>
          <w:szCs w:val="32"/>
        </w:rPr>
      </w:pPr>
      <w:r>
        <w:rPr>
          <w:rFonts w:ascii="仿宋" w:eastAsia="仿宋" w:hAnsi="仿宋" w:cs="TimesNewRoman" w:hint="eastAsia"/>
          <w:bCs/>
          <w:sz w:val="32"/>
          <w:szCs w:val="32"/>
        </w:rPr>
        <w:t>（四）继续抓好人才交流和人才队伍建设。学习借鉴先进地区人才引进相关政策，结合实际，修改完善我县人才引进政策。持续开展寿州名医、十佳农村实用人才评选活动，不断激活本土人才发挥作用的动力。持续加强人才实践锻炼，选派党政人才和专业技术人才到长三角、合肥市等发达地跟班学习锻炼，拓展视野、增强本领。</w:t>
      </w:r>
    </w:p>
    <w:p w14:paraId="33A4E51B">
      <w:pPr>
        <w:pStyle w:val="NormalWeb"/>
        <w:topLinePunct/>
        <w:adjustRightInd w:val="0"/>
        <w:snapToGrid w:val="0"/>
        <w:spacing w:beforeAutospacing="0" w:afterAutospacing="0" w:line="560" w:lineRule="exact"/>
        <w:ind w:firstLine="698" w:firstLineChars="218"/>
        <w:jc w:val="both"/>
        <w:rPr>
          <w:rFonts w:ascii="仿宋" w:eastAsia="仿宋" w:hAnsi="仿宋" w:cs="TimesNewRoman"/>
          <w:bCs/>
          <w:sz w:val="32"/>
          <w:szCs w:val="32"/>
        </w:rPr>
      </w:pPr>
      <w:r>
        <w:rPr>
          <w:rFonts w:ascii="仿宋" w:eastAsia="仿宋" w:hAnsi="仿宋" w:cs="TimesNewRoman" w:hint="eastAsia"/>
          <w:bCs/>
          <w:sz w:val="32"/>
          <w:szCs w:val="32"/>
        </w:rPr>
        <w:t>（五）全面提升党的基层组织建设整体水平。进一步压紧压实“党委统一领导、组织部门牵头抓总、行业系统具体指导、有关部门齐抓共管”的基层党建工作格局，坚持党建工作月审制，定期督查和随机暗访相结合，完善党组织书记抓基层党建工作述职评议考核制度，构建基层党建工作责任链条。严把发展党员政治关，严格落实政治审查制度，实行发展党员工作全程纪实制。针对不同基层党组织特点，坚持分类指导，提升整体水平。大力加强非公党建标准化规范化建设，推动党建有形和有效双向覆盖。认真贯彻落实《中国共产党支部工作条例（试行）》等新出台的党内法规政策，持续深化党支部建设提升行动，继续开展软弱涣散基层党组织整顿工作。不断深化“党建工作项目化”工作，积极探索党员积分制，逐步打造党建主题园示范点，着力打造寿县党建品牌。持续抓好中央扶持发展村级集体经济项目村建设。巩固农村基层党建保障工程“三年行动计划”成果，研究制定村干部报酬正常增长机制。</w:t>
      </w:r>
    </w:p>
    <w:p w14:paraId="5415FD52">
      <w:pPr>
        <w:pStyle w:val="NormalWeb"/>
        <w:topLinePunct/>
        <w:adjustRightInd w:val="0"/>
        <w:snapToGrid w:val="0"/>
        <w:spacing w:beforeAutospacing="0" w:afterAutospacing="0" w:line="560" w:lineRule="exact"/>
        <w:ind w:firstLine="698" w:firstLineChars="218"/>
        <w:jc w:val="both"/>
        <w:rPr>
          <w:rFonts w:ascii="仿宋" w:eastAsia="仿宋" w:hAnsi="仿宋" w:cs="TimesNewRoman"/>
          <w:bCs/>
          <w:sz w:val="32"/>
          <w:szCs w:val="32"/>
        </w:rPr>
      </w:pPr>
      <w:r>
        <w:rPr>
          <w:rFonts w:ascii="仿宋" w:eastAsia="仿宋" w:hAnsi="仿宋" w:cs="TimesNewRoman" w:hint="eastAsia"/>
          <w:bCs/>
          <w:sz w:val="32"/>
          <w:szCs w:val="32"/>
        </w:rPr>
        <w:t>（六）切实加强组织部门自身建设。注重坚持聚焦主业，加强组织业务研究，教育引导组工干部发扬“安、专、迷”精神，做到知全局、懂本行、干实事。强化组工干部大局意识、主业意识、规矩意识、效率意识、创新意识，努力打造一支忠诚、干净、担当的过硬组工干部队伍，建设讲政治、重公道、业务精、作风好的模范部门。</w:t>
      </w:r>
    </w:p>
    <w:p w14:paraId="7D81C2B7">
      <w:pPr>
        <w:pStyle w:val="NormalWeb"/>
        <w:topLinePunct/>
        <w:adjustRightInd w:val="0"/>
        <w:snapToGrid w:val="0"/>
        <w:spacing w:beforeAutospacing="0" w:afterAutospacing="0" w:line="560" w:lineRule="exact"/>
        <w:jc w:val="both"/>
        <w:rPr>
          <w:rFonts w:ascii="仿宋" w:eastAsia="仿宋" w:hAnsi="仿宋" w:cs="TimesNewRoman"/>
          <w:bCs/>
          <w:sz w:val="32"/>
          <w:szCs w:val="32"/>
        </w:rPr>
        <w:sectPr>
          <w:footerReference w:type="even" r:id="rId5"/>
          <w:footerReference w:type="default" r:id="rId6"/>
          <w:pgSz w:w="11907" w:h="16840"/>
          <w:pgMar w:top="1803" w:right="1440" w:bottom="1803" w:left="1440" w:header="851" w:footer="1020" w:gutter="0"/>
          <w:cols w:num="1" w:space="720"/>
          <w:docGrid w:type="linesAndChars" w:linePitch="312" w:charSpace="1009"/>
        </w:sectPr>
      </w:pPr>
    </w:p>
    <w:p w14:paraId="09778A11">
      <w:pPr>
        <w:pStyle w:val="NormalWeb"/>
        <w:topLinePunct/>
        <w:adjustRightInd w:val="0"/>
        <w:snapToGrid w:val="0"/>
        <w:spacing w:beforeAutospacing="0" w:afterAutospacing="0" w:line="560" w:lineRule="exact"/>
        <w:jc w:val="center"/>
        <w:rPr>
          <w:rFonts w:ascii="TimesNewRoman" w:eastAsia="黑体" w:hAnsi="TimesNewRoman" w:cs="TimesNewRoman"/>
          <w:bCs/>
          <w:sz w:val="36"/>
          <w:szCs w:val="36"/>
        </w:rPr>
      </w:pPr>
      <w:r>
        <w:rPr>
          <w:rFonts w:ascii="TimesNewRoman" w:eastAsia="黑体" w:hAnsi="TimesNewRoman" w:cs="TimesNewRoman"/>
          <w:bCs/>
          <w:sz w:val="36"/>
          <w:szCs w:val="36"/>
        </w:rPr>
        <w:t>第</w:t>
      </w:r>
      <w:r>
        <w:rPr>
          <w:rFonts w:ascii="TimesNewRoman" w:eastAsia="黑体" w:hAnsi="TimesNewRoman" w:cs="TimesNewRoman" w:hint="eastAsia"/>
          <w:bCs/>
          <w:sz w:val="36"/>
          <w:szCs w:val="36"/>
        </w:rPr>
        <w:t>二</w:t>
      </w:r>
      <w:r>
        <w:rPr>
          <w:rFonts w:ascii="TimesNewRoman" w:eastAsia="黑体" w:hAnsi="TimesNewRoman" w:cs="TimesNewRoman"/>
          <w:bCs/>
          <w:sz w:val="36"/>
          <w:szCs w:val="36"/>
        </w:rPr>
        <w:t xml:space="preserve">部分 </w:t>
      </w:r>
      <w:r>
        <w:rPr>
          <w:rFonts w:ascii="TimesNewRoman" w:eastAsia="黑体" w:hAnsi="TimesNewRoman" w:cs="TimesNewRoman" w:hint="eastAsia"/>
          <w:bCs/>
          <w:sz w:val="36"/>
          <w:szCs w:val="36"/>
        </w:rPr>
        <w:t>2026</w:t>
      </w:r>
      <w:r>
        <w:rPr>
          <w:rFonts w:ascii="TimesNewRoman" w:eastAsia="黑体" w:hAnsi="TimesNewRoman" w:cs="TimesNewRoman"/>
          <w:bCs/>
          <w:sz w:val="36"/>
          <w:szCs w:val="36"/>
        </w:rPr>
        <w:t>年部门预算情况说明</w:t>
      </w:r>
    </w:p>
    <w:p w14:paraId="785D76F1">
      <w:pPr>
        <w:pStyle w:val="NormalWeb"/>
        <w:topLinePunct/>
        <w:adjustRightInd w:val="0"/>
        <w:snapToGrid w:val="0"/>
        <w:spacing w:beforeAutospacing="0" w:afterAutospacing="0"/>
        <w:ind w:firstLine="640" w:firstLineChars="200"/>
        <w:jc w:val="both"/>
        <w:rPr>
          <w:rFonts w:ascii="楷体_GB2312" w:eastAsia="楷体_GB2312" w:hAnsi="TimesNewRoman" w:cs="TimesNewRoman"/>
          <w:b/>
          <w:sz w:val="32"/>
          <w:szCs w:val="32"/>
        </w:rPr>
      </w:pPr>
    </w:p>
    <w:p w14:paraId="32B35201">
      <w:pPr>
        <w:pStyle w:val="NormalWeb"/>
        <w:topLinePunct/>
        <w:adjustRightInd w:val="0"/>
        <w:snapToGrid w:val="0"/>
        <w:spacing w:beforeAutospacing="0" w:afterAutospacing="0" w:line="560" w:lineRule="exact"/>
        <w:ind w:firstLine="640" w:firstLineChars="200"/>
        <w:jc w:val="both"/>
        <w:rPr>
          <w:rFonts w:ascii="仿宋" w:eastAsia="仿宋" w:hAnsi="仿宋" w:cs="TimesNewRoman"/>
          <w:b/>
          <w:sz w:val="32"/>
          <w:szCs w:val="32"/>
        </w:rPr>
      </w:pPr>
      <w:r>
        <w:rPr>
          <w:rFonts w:ascii="仿宋" w:eastAsia="仿宋" w:hAnsi="仿宋" w:cs="TimesNewRoman" w:hint="eastAsia"/>
          <w:b/>
          <w:sz w:val="32"/>
          <w:szCs w:val="32"/>
        </w:rPr>
        <w:t>一、关于2026年收支总表的说明</w:t>
      </w:r>
    </w:p>
    <w:p w14:paraId="76575336">
      <w:pPr>
        <w:pStyle w:val="NormalWeb"/>
        <w:topLinePunct/>
        <w:adjustRightInd w:val="0"/>
        <w:snapToGrid w:val="0"/>
        <w:spacing w:beforeAutospacing="0" w:afterAutospacing="0" w:line="560" w:lineRule="exact"/>
        <w:ind w:firstLine="627" w:firstLineChars="196"/>
        <w:jc w:val="both"/>
        <w:rPr>
          <w:rFonts w:ascii="仿宋" w:eastAsia="仿宋" w:hAnsi="仿宋" w:cs="TimesNewRoman"/>
          <w:sz w:val="32"/>
          <w:szCs w:val="32"/>
        </w:rPr>
      </w:pPr>
      <w:r>
        <w:rPr>
          <w:rFonts w:ascii="仿宋" w:eastAsia="仿宋" w:hAnsi="仿宋" w:cs="TimesNewRoman" w:hint="eastAsia"/>
          <w:sz w:val="32"/>
          <w:szCs w:val="32"/>
        </w:rPr>
        <w:t>按照综合预算的原则，寿县县委组织部所有收入和支出均纳入部门预算管理。寿县县委组织部2026年收支总预算937.57万元，收入全部是一般公共预算拨款收入,支出包括：一般公共服务支出、社会保障和就业支出、卫生健康支出、住房保障支出。</w:t>
      </w:r>
    </w:p>
    <w:p w14:paraId="4A012F30">
      <w:pPr>
        <w:pStyle w:val="NormalWeb"/>
        <w:topLinePunct/>
        <w:adjustRightInd w:val="0"/>
        <w:snapToGrid w:val="0"/>
        <w:spacing w:beforeAutospacing="0" w:afterAutospacing="0" w:line="560" w:lineRule="exact"/>
        <w:ind w:firstLine="640" w:firstLineChars="200"/>
        <w:jc w:val="both"/>
        <w:rPr>
          <w:rFonts w:ascii="仿宋" w:eastAsia="仿宋" w:hAnsi="仿宋" w:cs="TimesNewRoman"/>
          <w:b/>
          <w:sz w:val="32"/>
          <w:szCs w:val="32"/>
        </w:rPr>
      </w:pPr>
      <w:r>
        <w:rPr>
          <w:rFonts w:ascii="仿宋" w:eastAsia="仿宋" w:hAnsi="仿宋" w:cs="TimesNewRoman" w:hint="eastAsia"/>
          <w:b/>
          <w:sz w:val="32"/>
          <w:szCs w:val="32"/>
        </w:rPr>
        <w:t>二、关于2026年收入总表的说明</w:t>
      </w:r>
    </w:p>
    <w:p w14:paraId="4A603CBD">
      <w:pPr>
        <w:topLinePunct/>
        <w:adjustRightInd w:val="0"/>
        <w:snapToGrid w:val="0"/>
        <w:spacing w:line="560" w:lineRule="exact"/>
        <w:ind w:firstLine="640" w:firstLineChars="200"/>
        <w:rPr>
          <w:rFonts w:ascii="仿宋" w:eastAsia="仿宋" w:hAnsi="仿宋" w:cs="宋体"/>
          <w:sz w:val="32"/>
          <w:szCs w:val="32"/>
        </w:rPr>
      </w:pPr>
      <w:r>
        <w:rPr>
          <w:rFonts w:ascii="仿宋" w:eastAsia="仿宋" w:hAnsi="仿宋" w:cs="TimesNewRoman" w:hint="eastAsia"/>
          <w:kern w:val="0"/>
          <w:sz w:val="32"/>
          <w:szCs w:val="32"/>
        </w:rPr>
        <w:t>寿县县委组织部</w:t>
      </w:r>
      <w:r>
        <w:rPr>
          <w:rFonts w:ascii="仿宋" w:eastAsia="仿宋" w:hAnsi="仿宋" w:cs="TimesNewRoman" w:hint="eastAsia"/>
          <w:sz w:val="32"/>
          <w:szCs w:val="32"/>
        </w:rPr>
        <w:t>2026年收入预算937.57万元，全部为一般公共预算拨款收入，比2025年预算增加179.02万元，增长23.60%，增长原因主要是2026年工资福利增加和提租补贴纳入了预算。</w:t>
      </w:r>
    </w:p>
    <w:p w14:paraId="7BAE6FAF">
      <w:pPr>
        <w:pStyle w:val="NormalWeb"/>
        <w:topLinePunct/>
        <w:adjustRightInd w:val="0"/>
        <w:snapToGrid w:val="0"/>
        <w:spacing w:beforeAutospacing="0" w:afterAutospacing="0" w:line="560" w:lineRule="exact"/>
        <w:ind w:firstLine="640" w:firstLineChars="200"/>
        <w:jc w:val="both"/>
        <w:rPr>
          <w:rFonts w:ascii="仿宋" w:eastAsia="仿宋" w:hAnsi="仿宋" w:cs="TimesNewRoman"/>
          <w:b/>
          <w:sz w:val="32"/>
          <w:szCs w:val="32"/>
        </w:rPr>
      </w:pPr>
      <w:r>
        <w:rPr>
          <w:rFonts w:ascii="仿宋" w:eastAsia="仿宋" w:hAnsi="仿宋" w:cs="TimesNewRoman" w:hint="eastAsia"/>
          <w:b/>
          <w:sz w:val="32"/>
          <w:szCs w:val="32"/>
        </w:rPr>
        <w:t>三、关于2026年支出总表的说明</w:t>
      </w:r>
    </w:p>
    <w:p w14:paraId="27D3F5CA">
      <w:pPr>
        <w:topLinePunct/>
        <w:adjustRightInd w:val="0"/>
        <w:snapToGrid w:val="0"/>
        <w:spacing w:line="560" w:lineRule="exact"/>
        <w:ind w:firstLine="640" w:firstLineChars="200"/>
        <w:rPr>
          <w:rFonts w:ascii="仿宋" w:eastAsia="仿宋" w:hAnsi="仿宋" w:cs="宋体"/>
          <w:sz w:val="32"/>
          <w:szCs w:val="32"/>
        </w:rPr>
      </w:pPr>
      <w:r>
        <w:rPr>
          <w:rFonts w:ascii="仿宋" w:eastAsia="仿宋" w:hAnsi="仿宋" w:cs="TimesNewRoman" w:hint="eastAsia"/>
          <w:sz w:val="32"/>
          <w:szCs w:val="32"/>
        </w:rPr>
        <w:t>寿县县委组织部2026年支出预算937.57万元，比2025年预算增加179.02万元，增长23.60%，增长原因主要是2026年工资福利增加和提租补贴纳入了预算。其中，基本支出633.57万元，占67.58%，主要用于保障机构日常运转、完成日常工作任务；项目支出304.00万元，占32.42%，</w:t>
      </w:r>
      <w:r>
        <w:rPr>
          <w:rFonts w:ascii="仿宋" w:eastAsia="仿宋" w:hAnsi="仿宋" w:hint="eastAsia"/>
          <w:sz w:val="32"/>
          <w:szCs w:val="32"/>
        </w:rPr>
        <w:t>主要用于老干部工作、老年大学工作、关工委工作及组织部组织工作等经费支出</w:t>
      </w:r>
      <w:r>
        <w:rPr>
          <w:rFonts w:ascii="仿宋" w:eastAsia="仿宋" w:hAnsi="仿宋" w:cs="TimesNewRoman" w:hint="eastAsia"/>
          <w:sz w:val="32"/>
          <w:szCs w:val="32"/>
        </w:rPr>
        <w:t>。</w:t>
      </w:r>
    </w:p>
    <w:p w14:paraId="01863BC5">
      <w:pPr>
        <w:pStyle w:val="NormalWeb"/>
        <w:topLinePunct/>
        <w:adjustRightInd w:val="0"/>
        <w:snapToGrid w:val="0"/>
        <w:spacing w:beforeAutospacing="0" w:afterAutospacing="0" w:line="560" w:lineRule="exact"/>
        <w:ind w:firstLine="640" w:firstLineChars="200"/>
        <w:jc w:val="both"/>
        <w:rPr>
          <w:rFonts w:ascii="仿宋" w:eastAsia="仿宋" w:hAnsi="仿宋" w:cs="TimesNewRoman"/>
          <w:b/>
          <w:sz w:val="32"/>
          <w:szCs w:val="32"/>
        </w:rPr>
      </w:pPr>
      <w:r>
        <w:rPr>
          <w:rFonts w:ascii="仿宋" w:eastAsia="仿宋" w:hAnsi="仿宋" w:cs="TimesNewRoman" w:hint="eastAsia"/>
          <w:b/>
          <w:sz w:val="32"/>
          <w:szCs w:val="32"/>
        </w:rPr>
        <w:t>四、关于2026年财政拨款收支总表的说明</w:t>
      </w:r>
    </w:p>
    <w:p w14:paraId="19455EBD">
      <w:pPr>
        <w:pStyle w:val="NormalWeb"/>
        <w:topLinePunct/>
        <w:adjustRightInd w:val="0"/>
        <w:snapToGrid w:val="0"/>
        <w:spacing w:beforeAutospacing="0" w:afterAutospacing="0" w:line="560" w:lineRule="exact"/>
        <w:ind w:firstLine="640" w:firstLineChars="200"/>
        <w:jc w:val="both"/>
        <w:rPr>
          <w:rFonts w:ascii="仿宋" w:eastAsia="仿宋" w:hAnsi="仿宋" w:cs="TimesNewRoman"/>
          <w:sz w:val="32"/>
          <w:szCs w:val="32"/>
        </w:rPr>
      </w:pPr>
      <w:r>
        <w:rPr>
          <w:rFonts w:ascii="仿宋" w:eastAsia="仿宋" w:hAnsi="仿宋" w:cs="TimesNewRoman" w:hint="eastAsia"/>
          <w:sz w:val="32"/>
          <w:szCs w:val="32"/>
        </w:rPr>
        <w:t>寿县县委组织部2026年财政拨款收支预算937.57万元。收入按资金来源分全部为一般公共预算拨款；按资金年度分全部为本年财政拨款。支出按功能分类分为：一般公共服务支出754.36万元，占80.46%；社会保障和就业支出89.08万元，占9.50%；卫生健康支出25.67万元，占2.74%；住房保障支出68.47万元，占7.30%。</w:t>
      </w:r>
    </w:p>
    <w:p w14:paraId="0301E5E9">
      <w:pPr>
        <w:pStyle w:val="NormalWeb"/>
        <w:topLinePunct/>
        <w:adjustRightInd w:val="0"/>
        <w:snapToGrid w:val="0"/>
        <w:spacing w:beforeAutospacing="0" w:afterAutospacing="0" w:line="560" w:lineRule="exact"/>
        <w:ind w:firstLine="640" w:firstLineChars="200"/>
        <w:jc w:val="both"/>
        <w:rPr>
          <w:rFonts w:ascii="仿宋" w:eastAsia="仿宋" w:hAnsi="仿宋" w:cs="TimesNewRoman"/>
          <w:b/>
          <w:sz w:val="32"/>
          <w:szCs w:val="32"/>
        </w:rPr>
      </w:pPr>
      <w:r>
        <w:rPr>
          <w:rFonts w:ascii="仿宋" w:eastAsia="仿宋" w:hAnsi="仿宋" w:cs="TimesNewRoman" w:hint="eastAsia"/>
          <w:b/>
          <w:sz w:val="32"/>
          <w:szCs w:val="32"/>
        </w:rPr>
        <w:t>五、关于2026年一般公共预算支出表的说明</w:t>
      </w:r>
    </w:p>
    <w:p w14:paraId="53CCDAAF">
      <w:pPr>
        <w:pStyle w:val="NormalWeb"/>
        <w:topLinePunct/>
        <w:adjustRightInd w:val="0"/>
        <w:snapToGrid w:val="0"/>
        <w:spacing w:beforeAutospacing="0" w:afterAutospacing="0" w:line="560" w:lineRule="exact"/>
        <w:ind w:firstLine="627" w:firstLineChars="196"/>
        <w:jc w:val="both"/>
        <w:rPr>
          <w:rFonts w:ascii="仿宋" w:eastAsia="仿宋" w:hAnsi="仿宋" w:cs="TimesNewRoman"/>
          <w:b/>
          <w:sz w:val="32"/>
          <w:szCs w:val="32"/>
        </w:rPr>
      </w:pPr>
      <w:r>
        <w:rPr>
          <w:rFonts w:ascii="仿宋" w:eastAsia="仿宋" w:hAnsi="仿宋" w:cs="TimesNewRoman" w:hint="eastAsia"/>
          <w:b/>
          <w:sz w:val="32"/>
          <w:szCs w:val="32"/>
        </w:rPr>
        <w:t>（一）一般公共预算支出规模变化情况。</w:t>
      </w:r>
    </w:p>
    <w:p w14:paraId="1CE7CD5B">
      <w:pPr>
        <w:pStyle w:val="NormalWeb"/>
        <w:topLinePunct/>
        <w:adjustRightInd w:val="0"/>
        <w:snapToGrid w:val="0"/>
        <w:spacing w:beforeAutospacing="0" w:afterAutospacing="0" w:line="560" w:lineRule="exact"/>
        <w:ind w:firstLine="627" w:firstLineChars="196"/>
        <w:jc w:val="both"/>
        <w:rPr>
          <w:rFonts w:ascii="仿宋" w:eastAsia="仿宋" w:hAnsi="仿宋" w:cs="TimesNewRoman"/>
          <w:sz w:val="32"/>
          <w:szCs w:val="32"/>
        </w:rPr>
      </w:pPr>
      <w:r>
        <w:rPr>
          <w:rFonts w:ascii="仿宋" w:eastAsia="仿宋" w:hAnsi="仿宋" w:cs="TimesNewRoman" w:hint="eastAsia"/>
          <w:sz w:val="32"/>
          <w:szCs w:val="32"/>
        </w:rPr>
        <w:t>寿县县委组织部2026年一般公共预算支出937.57万元，比2025年预算增加179.02万元，增长23.60%，增长原因主要是2026年工资福利增加和提租补贴纳入了预算。</w:t>
      </w:r>
    </w:p>
    <w:p w14:paraId="42475871">
      <w:pPr>
        <w:pStyle w:val="NormalWeb"/>
        <w:topLinePunct/>
        <w:adjustRightInd w:val="0"/>
        <w:snapToGrid w:val="0"/>
        <w:spacing w:beforeAutospacing="0" w:afterAutospacing="0" w:line="560" w:lineRule="exact"/>
        <w:ind w:firstLine="627" w:firstLineChars="196"/>
        <w:jc w:val="both"/>
        <w:rPr>
          <w:rFonts w:ascii="仿宋" w:eastAsia="仿宋" w:hAnsi="仿宋" w:cs="TimesNewRoman"/>
          <w:b/>
          <w:sz w:val="32"/>
          <w:szCs w:val="32"/>
        </w:rPr>
      </w:pPr>
      <w:r>
        <w:rPr>
          <w:rFonts w:ascii="仿宋" w:eastAsia="仿宋" w:hAnsi="仿宋" w:cs="TimesNewRoman" w:hint="eastAsia"/>
          <w:b/>
          <w:sz w:val="32"/>
          <w:szCs w:val="32"/>
        </w:rPr>
        <w:t>（二）一般公共预算支出结构情况。</w:t>
      </w:r>
    </w:p>
    <w:p w14:paraId="2D216171">
      <w:pPr>
        <w:pStyle w:val="NormalWeb"/>
        <w:topLinePunct/>
        <w:adjustRightInd w:val="0"/>
        <w:snapToGrid w:val="0"/>
        <w:spacing w:beforeAutospacing="0" w:afterAutospacing="0" w:line="560" w:lineRule="exact"/>
        <w:ind w:firstLine="640" w:firstLineChars="200"/>
        <w:jc w:val="both"/>
        <w:rPr>
          <w:rFonts w:ascii="仿宋" w:eastAsia="仿宋" w:hAnsi="仿宋" w:cs="TimesNewRoman"/>
          <w:sz w:val="32"/>
          <w:szCs w:val="32"/>
        </w:rPr>
      </w:pPr>
      <w:r>
        <w:rPr>
          <w:rFonts w:ascii="仿宋" w:eastAsia="仿宋" w:hAnsi="仿宋" w:cs="TimesNewRoman" w:hint="eastAsia"/>
          <w:sz w:val="32"/>
          <w:szCs w:val="32"/>
        </w:rPr>
        <w:t>一般公共服务支出754.36万元，占80.46%；社会保障和就业支出89.08万元，占9.50%；卫生健康支出25.67万元，占2.74%；住房保障支出68.47万元，占7.30%。</w:t>
      </w:r>
    </w:p>
    <w:p w14:paraId="1FF8EAA2">
      <w:pPr>
        <w:topLinePunct/>
        <w:adjustRightInd w:val="0"/>
        <w:snapToGrid w:val="0"/>
        <w:spacing w:line="560" w:lineRule="exact"/>
        <w:ind w:firstLine="640" w:firstLineChars="200"/>
        <w:rPr>
          <w:rFonts w:ascii="仿宋" w:eastAsia="仿宋" w:hAnsi="仿宋" w:cs="TimesNewRoman"/>
          <w:b/>
          <w:sz w:val="32"/>
          <w:szCs w:val="32"/>
        </w:rPr>
      </w:pPr>
      <w:r>
        <w:rPr>
          <w:rFonts w:ascii="仿宋" w:eastAsia="仿宋" w:hAnsi="仿宋" w:cs="TimesNewRoman" w:hint="eastAsia"/>
          <w:b/>
          <w:sz w:val="32"/>
          <w:szCs w:val="32"/>
        </w:rPr>
        <w:t>（三）一般公共预算支出具体使用情况。</w:t>
      </w:r>
    </w:p>
    <w:p w14:paraId="0CBD1CAD">
      <w:pPr>
        <w:topLinePunct/>
        <w:adjustRightInd w:val="0"/>
        <w:snapToGrid w:val="0"/>
        <w:spacing w:line="560" w:lineRule="exact"/>
        <w:ind w:firstLine="640" w:firstLineChars="200"/>
        <w:rPr>
          <w:rFonts w:ascii="仿宋" w:eastAsia="仿宋" w:hAnsi="仿宋" w:cs="TimesNewRoman"/>
          <w:sz w:val="32"/>
          <w:szCs w:val="32"/>
        </w:rPr>
      </w:pPr>
      <w:r>
        <w:rPr>
          <w:rFonts w:ascii="仿宋" w:eastAsia="仿宋" w:hAnsi="仿宋" w:cs="TimesNewRoman" w:hint="eastAsia"/>
          <w:b/>
          <w:sz w:val="32"/>
          <w:szCs w:val="32"/>
        </w:rPr>
        <w:t>1一般公共服务支出（类）组织事务（款）行政运行</w:t>
      </w:r>
      <w:r>
        <w:rPr>
          <w:rFonts w:ascii="仿宋" w:eastAsia="仿宋" w:hAnsi="仿宋" w:hint="eastAsia"/>
          <w:sz w:val="32"/>
          <w:szCs w:val="32"/>
        </w:rPr>
        <w:t>、</w:t>
      </w:r>
      <w:r>
        <w:rPr>
          <w:rFonts w:ascii="仿宋" w:eastAsia="仿宋" w:hAnsi="仿宋" w:cs="宋体" w:hint="eastAsia"/>
          <w:b/>
          <w:sz w:val="32"/>
          <w:szCs w:val="32"/>
        </w:rPr>
        <w:t>事业运行</w:t>
      </w:r>
      <w:r>
        <w:rPr>
          <w:rFonts w:ascii="仿宋" w:eastAsia="仿宋" w:hAnsi="仿宋" w:cs="TimesNewRoman" w:hint="eastAsia"/>
          <w:b/>
          <w:sz w:val="32"/>
          <w:szCs w:val="32"/>
        </w:rPr>
        <w:t>（项）</w:t>
      </w:r>
      <w:r>
        <w:rPr>
          <w:rFonts w:ascii="仿宋" w:eastAsia="仿宋" w:hAnsi="仿宋" w:cs="TimesNewRoman" w:hint="eastAsia"/>
          <w:sz w:val="32"/>
          <w:szCs w:val="32"/>
        </w:rPr>
        <w:t>2026年预算754.36万元，比2025年预算增加125.65万元，增长19.98%，增长原因</w:t>
      </w:r>
      <w:r>
        <w:rPr>
          <w:rFonts w:ascii="仿宋" w:eastAsia="仿宋" w:hAnsi="仿宋" w:cs="TimesNewRoman" w:hint="eastAsia"/>
          <w:sz w:val="32"/>
          <w:szCs w:val="32"/>
        </w:rPr>
        <w:t>主要是</w:t>
      </w:r>
      <w:r>
        <w:rPr>
          <w:rFonts w:ascii="仿宋" w:eastAsia="仿宋" w:hAnsi="仿宋" w:hint="eastAsia"/>
          <w:sz w:val="32"/>
          <w:szCs w:val="32"/>
        </w:rPr>
        <w:t>工资福利的增加和老干部工作经费的增加</w:t>
      </w:r>
      <w:r>
        <w:rPr>
          <w:rFonts w:ascii="仿宋" w:eastAsia="仿宋" w:hAnsi="仿宋" w:cs="TimesNewRoman" w:hint="eastAsia"/>
          <w:sz w:val="32"/>
          <w:szCs w:val="32"/>
        </w:rPr>
        <w:t>。</w:t>
      </w:r>
    </w:p>
    <w:p w14:paraId="5838E224">
      <w:pPr>
        <w:topLinePunct/>
        <w:adjustRightInd w:val="0"/>
        <w:snapToGrid w:val="0"/>
        <w:spacing w:line="560" w:lineRule="exact"/>
        <w:ind w:firstLine="640" w:firstLineChars="200"/>
        <w:rPr>
          <w:rFonts w:ascii="仿宋" w:eastAsia="仿宋" w:hAnsi="仿宋" w:cs="TimesNewRoman"/>
          <w:sz w:val="32"/>
          <w:szCs w:val="32"/>
        </w:rPr>
      </w:pPr>
      <w:r>
        <w:rPr>
          <w:rFonts w:ascii="仿宋" w:eastAsia="仿宋" w:hAnsi="仿宋" w:cs="TimesNewRoman" w:hint="eastAsia"/>
          <w:b/>
          <w:sz w:val="32"/>
          <w:szCs w:val="32"/>
        </w:rPr>
        <w:t>2.社会保障和就业支出（类）行政事业单位养老支出</w:t>
      </w:r>
      <w:r>
        <w:rPr>
          <w:rFonts w:ascii="仿宋" w:eastAsia="仿宋" w:hAnsi="仿宋" w:hint="eastAsia"/>
          <w:sz w:val="32"/>
          <w:szCs w:val="32"/>
        </w:rPr>
        <w:t>、</w:t>
      </w:r>
      <w:r>
        <w:rPr>
          <w:rFonts w:ascii="仿宋" w:eastAsia="仿宋" w:hAnsi="仿宋" w:cs="宋体" w:hint="eastAsia"/>
          <w:b/>
          <w:sz w:val="32"/>
          <w:szCs w:val="32"/>
        </w:rPr>
        <w:t>其他社会保障和就业支出</w:t>
      </w:r>
      <w:r>
        <w:rPr>
          <w:rFonts w:ascii="仿宋" w:eastAsia="仿宋" w:hAnsi="仿宋" w:cs="TimesNewRoman" w:hint="eastAsia"/>
          <w:b/>
          <w:sz w:val="32"/>
          <w:szCs w:val="32"/>
        </w:rPr>
        <w:t>（款）</w:t>
      </w:r>
      <w:r>
        <w:rPr>
          <w:rFonts w:ascii="仿宋" w:eastAsia="仿宋" w:hAnsi="仿宋" w:cs="宋体" w:hint="eastAsia"/>
          <w:b/>
          <w:sz w:val="32"/>
          <w:szCs w:val="32"/>
        </w:rPr>
        <w:t>机关事业单位基本养老保险缴费支出</w:t>
      </w:r>
      <w:r>
        <w:rPr>
          <w:rFonts w:ascii="仿宋" w:eastAsia="仿宋" w:hAnsi="仿宋" w:hint="eastAsia"/>
          <w:sz w:val="32"/>
          <w:szCs w:val="32"/>
        </w:rPr>
        <w:t>、</w:t>
      </w:r>
      <w:r>
        <w:rPr>
          <w:rFonts w:ascii="仿宋" w:eastAsia="仿宋" w:hAnsi="仿宋" w:cs="宋体" w:hint="eastAsia"/>
          <w:b/>
          <w:sz w:val="32"/>
          <w:szCs w:val="32"/>
        </w:rPr>
        <w:t>机关事业单位职业年金缴费支出</w:t>
      </w:r>
      <w:r>
        <w:rPr>
          <w:rFonts w:ascii="仿宋" w:eastAsia="仿宋" w:hAnsi="仿宋" w:hint="eastAsia"/>
          <w:sz w:val="32"/>
          <w:szCs w:val="32"/>
        </w:rPr>
        <w:t>、</w:t>
      </w:r>
      <w:r>
        <w:rPr>
          <w:rFonts w:ascii="仿宋" w:eastAsia="仿宋" w:hAnsi="仿宋" w:cs="宋体" w:hint="eastAsia"/>
          <w:b/>
          <w:sz w:val="32"/>
          <w:szCs w:val="32"/>
        </w:rPr>
        <w:t>其他社会保障和就业支出</w:t>
      </w:r>
      <w:r>
        <w:rPr>
          <w:rFonts w:ascii="仿宋" w:eastAsia="仿宋" w:hAnsi="仿宋" w:cs="TimesNewRoman" w:hint="eastAsia"/>
          <w:b/>
          <w:sz w:val="32"/>
          <w:szCs w:val="32"/>
        </w:rPr>
        <w:t>（项）</w:t>
      </w:r>
      <w:r>
        <w:rPr>
          <w:rFonts w:ascii="仿宋" w:eastAsia="仿宋" w:hAnsi="仿宋" w:cs="TimesNewRoman" w:hint="eastAsia"/>
          <w:sz w:val="32"/>
          <w:szCs w:val="32"/>
        </w:rPr>
        <w:t>2026年预算89.08万元，比2025年预算增加17.02万元，增长23.62%，增长原因主要是2026年社保缴费基数增加。</w:t>
      </w:r>
    </w:p>
    <w:p w14:paraId="35505F70">
      <w:pPr>
        <w:topLinePunct/>
        <w:adjustRightInd w:val="0"/>
        <w:snapToGrid w:val="0"/>
        <w:spacing w:line="560" w:lineRule="exact"/>
        <w:ind w:firstLine="640" w:firstLineChars="200"/>
        <w:rPr>
          <w:rFonts w:ascii="仿宋" w:eastAsia="仿宋" w:hAnsi="仿宋" w:cs="TimesNewRoman"/>
          <w:sz w:val="32"/>
          <w:szCs w:val="32"/>
        </w:rPr>
      </w:pPr>
      <w:r>
        <w:rPr>
          <w:rFonts w:ascii="仿宋" w:eastAsia="仿宋" w:hAnsi="仿宋" w:cs="TimesNewRoman" w:hint="eastAsia"/>
          <w:b/>
          <w:sz w:val="32"/>
          <w:szCs w:val="32"/>
        </w:rPr>
        <w:t>3.卫生健康支出（类）行政事业单位医疗（款）行政单位医疗</w:t>
      </w:r>
      <w:r>
        <w:rPr>
          <w:rFonts w:ascii="仿宋" w:eastAsia="仿宋" w:hAnsi="仿宋" w:hint="eastAsia"/>
          <w:sz w:val="32"/>
          <w:szCs w:val="32"/>
        </w:rPr>
        <w:t>、</w:t>
      </w:r>
      <w:r>
        <w:rPr>
          <w:rFonts w:ascii="仿宋" w:eastAsia="仿宋" w:hAnsi="仿宋" w:cs="TimesNewRoman" w:hint="eastAsia"/>
          <w:b/>
          <w:sz w:val="32"/>
          <w:szCs w:val="32"/>
        </w:rPr>
        <w:t>事业单位医疗</w:t>
      </w:r>
      <w:r>
        <w:rPr>
          <w:rFonts w:ascii="仿宋" w:eastAsia="仿宋" w:hAnsi="仿宋" w:hint="eastAsia"/>
          <w:sz w:val="32"/>
          <w:szCs w:val="32"/>
        </w:rPr>
        <w:t>、</w:t>
      </w:r>
      <w:r>
        <w:rPr>
          <w:rFonts w:ascii="仿宋" w:eastAsia="仿宋" w:hAnsi="仿宋" w:cs="宋体" w:hint="eastAsia"/>
          <w:b/>
          <w:sz w:val="32"/>
          <w:szCs w:val="32"/>
        </w:rPr>
        <w:t>公务员医疗补助</w:t>
      </w:r>
      <w:r>
        <w:rPr>
          <w:rFonts w:ascii="仿宋" w:eastAsia="仿宋" w:hAnsi="仿宋" w:cs="TimesNewRoman" w:hint="eastAsia"/>
          <w:b/>
          <w:sz w:val="32"/>
          <w:szCs w:val="32"/>
        </w:rPr>
        <w:t>（项）</w:t>
      </w:r>
      <w:r>
        <w:rPr>
          <w:rFonts w:ascii="仿宋" w:eastAsia="仿宋" w:hAnsi="仿宋" w:cs="TimesNewRoman" w:hint="eastAsia"/>
          <w:sz w:val="32"/>
          <w:szCs w:val="32"/>
        </w:rPr>
        <w:t>2026年预算25.67万元，比2025年预算增加3.50万元，增长15.79%，增长原因主要是2026年医疗保险缴费基数增加。</w:t>
      </w:r>
    </w:p>
    <w:p w14:paraId="5AAC0A41">
      <w:pPr>
        <w:topLinePunct/>
        <w:adjustRightInd w:val="0"/>
        <w:snapToGrid w:val="0"/>
        <w:spacing w:line="560" w:lineRule="exact"/>
        <w:ind w:firstLine="640" w:firstLineChars="200"/>
        <w:rPr>
          <w:rFonts w:ascii="仿宋" w:eastAsia="仿宋" w:hAnsi="仿宋" w:cs="TimesNewRoman"/>
          <w:sz w:val="32"/>
          <w:szCs w:val="32"/>
        </w:rPr>
      </w:pPr>
      <w:r>
        <w:rPr>
          <w:rFonts w:ascii="仿宋" w:eastAsia="仿宋" w:hAnsi="仿宋" w:cs="TimesNewRoman" w:hint="eastAsia"/>
          <w:b/>
          <w:sz w:val="32"/>
          <w:szCs w:val="32"/>
        </w:rPr>
        <w:t>4.住房保障支出（类）住房改革支出（款）住房公积金</w:t>
      </w:r>
      <w:r>
        <w:rPr>
          <w:rFonts w:ascii="仿宋" w:eastAsia="仿宋" w:hAnsi="仿宋" w:hint="eastAsia"/>
          <w:sz w:val="32"/>
          <w:szCs w:val="32"/>
        </w:rPr>
        <w:t>、</w:t>
      </w:r>
      <w:r>
        <w:rPr>
          <w:rFonts w:ascii="仿宋" w:eastAsia="仿宋" w:hAnsi="仿宋" w:cs="宋体" w:hint="eastAsia"/>
          <w:b/>
          <w:sz w:val="32"/>
          <w:szCs w:val="32"/>
        </w:rPr>
        <w:t>提租补贴</w:t>
      </w:r>
      <w:r>
        <w:rPr>
          <w:rFonts w:ascii="仿宋" w:eastAsia="仿宋" w:hAnsi="仿宋" w:cs="TimesNewRoman" w:hint="eastAsia"/>
          <w:b/>
          <w:sz w:val="32"/>
          <w:szCs w:val="32"/>
        </w:rPr>
        <w:t>（项）</w:t>
      </w:r>
      <w:r>
        <w:rPr>
          <w:rFonts w:ascii="仿宋" w:eastAsia="仿宋" w:hAnsi="仿宋" w:cs="TimesNewRoman" w:hint="eastAsia"/>
          <w:sz w:val="32"/>
          <w:szCs w:val="32"/>
        </w:rPr>
        <w:t>2026年预算68.47万元，比2025年预算增加32.86万元，增长92.28%，增长原因主要是2026年提租补贴纳入了预算。</w:t>
      </w:r>
    </w:p>
    <w:p w14:paraId="380BE814">
      <w:pPr>
        <w:pStyle w:val="NormalWeb"/>
        <w:topLinePunct/>
        <w:adjustRightInd w:val="0"/>
        <w:snapToGrid w:val="0"/>
        <w:spacing w:beforeAutospacing="0" w:afterAutospacing="0" w:line="560" w:lineRule="exact"/>
        <w:ind w:firstLine="640" w:firstLineChars="200"/>
        <w:jc w:val="both"/>
        <w:rPr>
          <w:rFonts w:ascii="仿宋" w:eastAsia="仿宋" w:hAnsi="仿宋" w:cs="TimesNewRoman"/>
          <w:b/>
          <w:sz w:val="32"/>
          <w:szCs w:val="32"/>
        </w:rPr>
      </w:pPr>
      <w:r>
        <w:rPr>
          <w:rFonts w:ascii="仿宋" w:eastAsia="仿宋" w:hAnsi="仿宋" w:cs="TimesNewRoman" w:hint="eastAsia"/>
          <w:b/>
          <w:sz w:val="32"/>
          <w:szCs w:val="32"/>
        </w:rPr>
        <w:t>六、关于2026年一般公共预算基本支出表的说明</w:t>
      </w:r>
    </w:p>
    <w:p w14:paraId="0D35444C">
      <w:pPr>
        <w:topLinePunct/>
        <w:spacing w:line="560" w:lineRule="exact"/>
        <w:ind w:firstLine="640" w:firstLineChars="200"/>
        <w:rPr>
          <w:rFonts w:ascii="仿宋" w:eastAsia="仿宋" w:hAnsi="仿宋" w:cs="TimesNewRoman"/>
          <w:sz w:val="32"/>
          <w:szCs w:val="32"/>
        </w:rPr>
      </w:pPr>
      <w:r>
        <w:rPr>
          <w:rFonts w:ascii="仿宋" w:eastAsia="仿宋" w:hAnsi="仿宋" w:cs="TimesNewRoman" w:hint="eastAsia"/>
          <w:sz w:val="32"/>
          <w:szCs w:val="32"/>
        </w:rPr>
        <w:t>寿县县委组织部2026年一般公共预算基本支出633.57万元，其中，人员经费579.24万元，公用经费54.33万元。</w:t>
      </w:r>
    </w:p>
    <w:p w14:paraId="57DEEEF4">
      <w:pPr>
        <w:topLinePunct/>
        <w:spacing w:line="560" w:lineRule="exact"/>
        <w:ind w:firstLine="640" w:firstLineChars="200"/>
        <w:rPr>
          <w:rFonts w:ascii="仿宋" w:eastAsia="仿宋" w:hAnsi="仿宋" w:cs="TimesNewRoman"/>
          <w:sz w:val="32"/>
          <w:szCs w:val="32"/>
        </w:rPr>
      </w:pPr>
      <w:r>
        <w:rPr>
          <w:rFonts w:ascii="仿宋" w:eastAsia="仿宋" w:hAnsi="仿宋" w:cs="TimesNewRoman" w:hint="eastAsia"/>
          <w:b/>
          <w:sz w:val="32"/>
          <w:szCs w:val="32"/>
        </w:rPr>
        <w:t>（一）人员经费</w:t>
      </w:r>
      <w:r>
        <w:rPr>
          <w:rFonts w:ascii="仿宋" w:eastAsia="仿宋" w:hAnsi="仿宋" w:cs="TimesNewRoman" w:hint="eastAsia"/>
          <w:sz w:val="32"/>
          <w:szCs w:val="32"/>
        </w:rPr>
        <w:t>579.24万元，主要包括:基本工资、津贴补贴、奖金、伙食补助费、绩效工资、机关事业部门基本养老保险缴费、职业年金缴费、职工基本医疗保险缴费、公务员医疗补助缴费、其他社会保障缴费、住房公积金、医疗费、其他工资福利支出、退休费、生活补助、救济费、医疗费补助、奖励金、其他对个人和家庭的补助。</w:t>
      </w:r>
    </w:p>
    <w:p w14:paraId="13019482">
      <w:pPr>
        <w:topLinePunct/>
        <w:spacing w:line="560" w:lineRule="exact"/>
        <w:ind w:firstLine="640" w:firstLineChars="200"/>
        <w:rPr>
          <w:rFonts w:ascii="仿宋" w:eastAsia="仿宋" w:hAnsi="仿宋" w:cs="TimesNewRoman"/>
          <w:sz w:val="32"/>
          <w:szCs w:val="32"/>
        </w:rPr>
      </w:pPr>
      <w:r>
        <w:rPr>
          <w:rFonts w:ascii="仿宋" w:eastAsia="仿宋" w:hAnsi="仿宋" w:cs="TimesNewRoman" w:hint="eastAsia"/>
          <w:b/>
          <w:sz w:val="32"/>
          <w:szCs w:val="32"/>
        </w:rPr>
        <w:t>（二）公用经费</w:t>
      </w:r>
      <w:r>
        <w:rPr>
          <w:rFonts w:ascii="仿宋" w:eastAsia="仿宋" w:hAnsi="仿宋" w:cs="TimesNewRoman" w:hint="eastAsia"/>
          <w:sz w:val="32"/>
          <w:szCs w:val="32"/>
        </w:rPr>
        <w:t>54.33万元，主要包括：办公费、印刷费、手续费、水费、电费、邮电费、物业管理费、差旅费、维修（护）费、租赁费、会议费、培训费、公务接待费、专用材料费、劳务费、委托业务费、工会经费、其他交通费用、税金及附加费用、其他商品服务支出、办公设备购置、专用设备购置、信息网络及软件购置更新、无形资产购置、其他资本性支出、费用补贴、利息补贴、其他对企业补助、其他支出等。</w:t>
      </w:r>
    </w:p>
    <w:p w14:paraId="56D5399F">
      <w:pPr>
        <w:pStyle w:val="NormalWeb"/>
        <w:topLinePunct/>
        <w:adjustRightInd w:val="0"/>
        <w:snapToGrid w:val="0"/>
        <w:spacing w:beforeAutospacing="0" w:afterAutospacing="0" w:line="560" w:lineRule="exact"/>
        <w:ind w:firstLine="640" w:firstLineChars="200"/>
        <w:jc w:val="both"/>
        <w:rPr>
          <w:rFonts w:ascii="仿宋" w:eastAsia="仿宋" w:hAnsi="仿宋" w:cs="TimesNewRoman"/>
          <w:b/>
          <w:sz w:val="32"/>
          <w:szCs w:val="32"/>
        </w:rPr>
      </w:pPr>
      <w:r>
        <w:rPr>
          <w:rFonts w:ascii="仿宋" w:eastAsia="仿宋" w:hAnsi="仿宋" w:cs="TimesNewRoman" w:hint="eastAsia"/>
          <w:b/>
          <w:sz w:val="32"/>
          <w:szCs w:val="32"/>
        </w:rPr>
        <w:t>七、关于2026年政府性基金预算支出表的说明</w:t>
      </w:r>
    </w:p>
    <w:p w14:paraId="3B6CE79C">
      <w:pPr>
        <w:pStyle w:val="NormalWeb"/>
        <w:topLinePunct/>
        <w:adjustRightInd w:val="0"/>
        <w:snapToGrid w:val="0"/>
        <w:spacing w:beforeAutospacing="0" w:afterAutospacing="0" w:line="560" w:lineRule="exact"/>
        <w:ind w:firstLine="640" w:firstLineChars="200"/>
        <w:jc w:val="both"/>
        <w:rPr>
          <w:rFonts w:ascii="仿宋" w:eastAsia="仿宋" w:hAnsi="仿宋" w:cs="TimesNewRoman"/>
          <w:b/>
          <w:sz w:val="32"/>
          <w:szCs w:val="32"/>
        </w:rPr>
      </w:pPr>
      <w:r>
        <w:rPr>
          <w:rFonts w:ascii="仿宋" w:eastAsia="仿宋" w:hAnsi="仿宋" w:cs="TimesNewRoman" w:hint="eastAsia"/>
          <w:sz w:val="32"/>
          <w:szCs w:val="32"/>
        </w:rPr>
        <w:t>寿县县委组织部2026年没有政府性基金预算拨款收入，也没有使用政府性基金预算拨款安排的支出。</w:t>
      </w:r>
    </w:p>
    <w:p w14:paraId="49C240B2">
      <w:pPr>
        <w:pStyle w:val="NormalWeb"/>
        <w:topLinePunct/>
        <w:adjustRightInd w:val="0"/>
        <w:snapToGrid w:val="0"/>
        <w:spacing w:beforeAutospacing="0" w:afterAutospacing="0" w:line="560" w:lineRule="exact"/>
        <w:ind w:firstLine="640" w:firstLineChars="200"/>
        <w:jc w:val="both"/>
        <w:rPr>
          <w:rFonts w:ascii="仿宋" w:eastAsia="仿宋" w:hAnsi="仿宋" w:cs="TimesNewRoman"/>
          <w:b/>
          <w:sz w:val="32"/>
          <w:szCs w:val="32"/>
        </w:rPr>
      </w:pPr>
      <w:r>
        <w:rPr>
          <w:rFonts w:ascii="仿宋" w:eastAsia="仿宋" w:hAnsi="仿宋" w:cs="TimesNewRoman" w:hint="eastAsia"/>
          <w:b/>
          <w:sz w:val="32"/>
          <w:szCs w:val="32"/>
        </w:rPr>
        <w:t>八、关于2026年国有资本经营预算支出表的说明</w:t>
      </w:r>
    </w:p>
    <w:p w14:paraId="2B250FD2">
      <w:pPr>
        <w:pStyle w:val="NormalWeb"/>
        <w:topLinePunct/>
        <w:adjustRightInd w:val="0"/>
        <w:snapToGrid w:val="0"/>
        <w:spacing w:beforeAutospacing="0" w:afterAutospacing="0" w:line="560" w:lineRule="exact"/>
        <w:ind w:firstLine="640" w:firstLineChars="200"/>
        <w:jc w:val="both"/>
        <w:rPr>
          <w:rFonts w:ascii="仿宋" w:eastAsia="仿宋" w:hAnsi="仿宋" w:cs="TimesNewRoman"/>
          <w:sz w:val="32"/>
          <w:szCs w:val="32"/>
        </w:rPr>
      </w:pPr>
      <w:r>
        <w:rPr>
          <w:rFonts w:ascii="仿宋" w:eastAsia="仿宋" w:hAnsi="仿宋" w:cs="TimesNewRoman" w:hint="eastAsia"/>
          <w:sz w:val="32"/>
          <w:szCs w:val="32"/>
        </w:rPr>
        <w:t>寿县县委组织部2026年没有国有资本经营预算拨款收入，也没有使用国有资本经营预算拨款安排的支出。</w:t>
      </w:r>
    </w:p>
    <w:p w14:paraId="716E44CC">
      <w:pPr>
        <w:pStyle w:val="NormalWeb"/>
        <w:topLinePunct/>
        <w:adjustRightInd w:val="0"/>
        <w:snapToGrid w:val="0"/>
        <w:spacing w:beforeAutospacing="0" w:afterAutospacing="0" w:line="560" w:lineRule="exact"/>
        <w:ind w:firstLine="640" w:firstLineChars="200"/>
        <w:jc w:val="both"/>
        <w:rPr>
          <w:rFonts w:ascii="仿宋" w:eastAsia="仿宋" w:hAnsi="仿宋" w:cs="TimesNewRoman"/>
          <w:b/>
          <w:sz w:val="32"/>
          <w:szCs w:val="32"/>
        </w:rPr>
      </w:pPr>
      <w:r>
        <w:rPr>
          <w:rFonts w:ascii="仿宋" w:eastAsia="仿宋" w:hAnsi="仿宋" w:cs="TimesNewRoman" w:hint="eastAsia"/>
          <w:b/>
          <w:sz w:val="32"/>
          <w:szCs w:val="32"/>
        </w:rPr>
        <w:t>九、关于2026年项目支出表的说明</w:t>
      </w:r>
    </w:p>
    <w:p w14:paraId="61E5968A">
      <w:pPr>
        <w:pStyle w:val="NormalWeb"/>
        <w:topLinePunct/>
        <w:adjustRightInd w:val="0"/>
        <w:snapToGrid w:val="0"/>
        <w:spacing w:beforeAutospacing="0" w:afterAutospacing="0" w:line="560" w:lineRule="exact"/>
        <w:ind w:firstLine="640" w:firstLineChars="200"/>
        <w:jc w:val="both"/>
        <w:rPr>
          <w:rFonts w:ascii="仿宋" w:eastAsia="仿宋" w:hAnsi="仿宋" w:cs="TimesNewRoman"/>
          <w:sz w:val="32"/>
          <w:szCs w:val="32"/>
        </w:rPr>
      </w:pPr>
      <w:r>
        <w:rPr>
          <w:rFonts w:ascii="仿宋" w:eastAsia="仿宋" w:hAnsi="仿宋" w:cs="TimesNewRoman" w:hint="eastAsia"/>
          <w:sz w:val="32"/>
          <w:szCs w:val="32"/>
        </w:rPr>
        <w:t>寿县县委组织部2026年预算共安排项目支出304.00万元，比2025年预算增加50.07万元，增长19.72%，增长原因主要是</w:t>
      </w:r>
      <w:r>
        <w:rPr>
          <w:rFonts w:ascii="仿宋" w:eastAsia="仿宋" w:hAnsi="仿宋" w:cs="宋体" w:hint="eastAsia"/>
          <w:sz w:val="32"/>
          <w:szCs w:val="32"/>
        </w:rPr>
        <w:t>老干部工作经费和老年大学支出增加</w:t>
      </w:r>
      <w:r>
        <w:rPr>
          <w:rFonts w:ascii="仿宋" w:eastAsia="仿宋" w:hAnsi="仿宋" w:cs="TimesNewRoman" w:hint="eastAsia"/>
          <w:sz w:val="32"/>
          <w:szCs w:val="32"/>
        </w:rPr>
        <w:t>。主要包括：本年财政拨款安排304.00万元，全部是一般公共预算拨款安排。</w:t>
      </w:r>
    </w:p>
    <w:p w14:paraId="1535346F">
      <w:pPr>
        <w:pStyle w:val="NormalWeb"/>
        <w:topLinePunct/>
        <w:adjustRightInd w:val="0"/>
        <w:snapToGrid w:val="0"/>
        <w:spacing w:beforeAutospacing="0" w:afterAutospacing="0" w:line="560" w:lineRule="exact"/>
        <w:ind w:firstLine="640" w:firstLineChars="200"/>
        <w:jc w:val="both"/>
        <w:rPr>
          <w:rFonts w:ascii="仿宋" w:eastAsia="仿宋" w:hAnsi="仿宋" w:cs="TimesNewRoman"/>
          <w:b/>
          <w:sz w:val="32"/>
          <w:szCs w:val="32"/>
        </w:rPr>
      </w:pPr>
      <w:r>
        <w:rPr>
          <w:rFonts w:ascii="仿宋" w:eastAsia="仿宋" w:hAnsi="仿宋" w:cs="TimesNewRoman" w:hint="eastAsia"/>
          <w:b/>
          <w:sz w:val="32"/>
          <w:szCs w:val="32"/>
        </w:rPr>
        <w:t>十、关于2026年政府采购支出表的说明</w:t>
      </w:r>
    </w:p>
    <w:p w14:paraId="7398E7A2">
      <w:pPr>
        <w:pStyle w:val="NormalWeb"/>
        <w:topLinePunct/>
        <w:adjustRightInd w:val="0"/>
        <w:snapToGrid w:val="0"/>
        <w:spacing w:beforeAutospacing="0" w:afterAutospacing="0" w:line="560" w:lineRule="exact"/>
        <w:ind w:firstLine="640" w:firstLineChars="200"/>
        <w:jc w:val="both"/>
        <w:rPr>
          <w:rFonts w:ascii="仿宋" w:eastAsia="仿宋" w:hAnsi="仿宋" w:cs="TimesNewRoman"/>
          <w:sz w:val="32"/>
          <w:szCs w:val="32"/>
        </w:rPr>
      </w:pPr>
      <w:r>
        <w:rPr>
          <w:rFonts w:ascii="仿宋" w:eastAsia="仿宋" w:hAnsi="仿宋" w:cs="TimesNewRoman" w:hint="eastAsia"/>
          <w:sz w:val="32"/>
          <w:szCs w:val="32"/>
        </w:rPr>
        <w:t>寿县县委组织部2026年预算安排政府采购支出26.88万元，比2025年预算增加17.18万元，增长177.11%，增长原因主要是2026年办公设备采购计划增加。其中，一般公共预算安排26.88万元，占100%。</w:t>
      </w:r>
    </w:p>
    <w:p w14:paraId="41FFF43F">
      <w:pPr>
        <w:pStyle w:val="NormalWeb"/>
        <w:topLinePunct/>
        <w:adjustRightInd w:val="0"/>
        <w:snapToGrid w:val="0"/>
        <w:spacing w:beforeAutospacing="0" w:afterAutospacing="0" w:line="560" w:lineRule="exact"/>
        <w:ind w:firstLine="640" w:firstLineChars="200"/>
        <w:jc w:val="both"/>
        <w:rPr>
          <w:rFonts w:ascii="仿宋" w:eastAsia="仿宋" w:hAnsi="仿宋" w:cs="TimesNewRoman"/>
          <w:b/>
          <w:sz w:val="32"/>
          <w:szCs w:val="32"/>
        </w:rPr>
      </w:pPr>
      <w:r>
        <w:rPr>
          <w:rFonts w:ascii="仿宋" w:eastAsia="仿宋" w:hAnsi="仿宋" w:cs="TimesNewRoman" w:hint="eastAsia"/>
          <w:b/>
          <w:sz w:val="32"/>
          <w:szCs w:val="32"/>
        </w:rPr>
        <w:t>十一、关于2026年政府购买服务支出表的说明</w:t>
      </w:r>
    </w:p>
    <w:p w14:paraId="5DF68AE1">
      <w:pPr>
        <w:pStyle w:val="NormalWeb"/>
        <w:topLinePunct/>
        <w:adjustRightInd w:val="0"/>
        <w:snapToGrid w:val="0"/>
        <w:spacing w:beforeAutospacing="0" w:afterAutospacing="0" w:line="560" w:lineRule="exact"/>
        <w:ind w:firstLine="640" w:firstLineChars="200"/>
        <w:jc w:val="both"/>
        <w:rPr>
          <w:rFonts w:ascii="仿宋" w:eastAsia="仿宋" w:hAnsi="仿宋" w:cs="TimesNewRoman"/>
          <w:sz w:val="32"/>
          <w:szCs w:val="32"/>
        </w:rPr>
      </w:pPr>
      <w:r>
        <w:rPr>
          <w:rFonts w:ascii="仿宋" w:eastAsia="仿宋" w:hAnsi="仿宋" w:cs="TimesNewRoman" w:hint="eastAsia"/>
          <w:sz w:val="32"/>
          <w:szCs w:val="32"/>
        </w:rPr>
        <w:t>寿县县委组织部2026年没有安排政府购买服务支出。</w:t>
      </w:r>
    </w:p>
    <w:p w14:paraId="4136E2A1">
      <w:pPr>
        <w:pStyle w:val="NormalWeb"/>
        <w:topLinePunct/>
        <w:adjustRightInd w:val="0"/>
        <w:snapToGrid w:val="0"/>
        <w:spacing w:beforeAutospacing="0" w:afterAutospacing="0" w:line="560" w:lineRule="exact"/>
        <w:ind w:firstLine="640" w:firstLineChars="200"/>
        <w:jc w:val="both"/>
        <w:rPr>
          <w:rFonts w:ascii="仿宋" w:eastAsia="仿宋" w:hAnsi="仿宋" w:cs="TimesNewRoman"/>
          <w:b/>
          <w:sz w:val="32"/>
          <w:szCs w:val="32"/>
        </w:rPr>
      </w:pPr>
      <w:r>
        <w:rPr>
          <w:rFonts w:ascii="仿宋" w:eastAsia="仿宋" w:hAnsi="仿宋" w:cs="TimesNewRoman" w:hint="eastAsia"/>
          <w:b/>
          <w:sz w:val="32"/>
          <w:szCs w:val="32"/>
        </w:rPr>
        <w:t>十二、关于2026</w:t>
      </w:r>
      <w:r>
        <w:rPr>
          <w:rFonts w:ascii="仿宋" w:eastAsia="仿宋" w:hAnsi="仿宋" w:cs="TimesNewRoman"/>
          <w:b/>
          <w:sz w:val="32"/>
          <w:szCs w:val="32"/>
        </w:rPr>
        <w:t>年一般公共预算“三公”经费支出情况说明</w:t>
      </w:r>
    </w:p>
    <w:p w14:paraId="65033D85">
      <w:pPr>
        <w:adjustRightInd w:val="0"/>
        <w:snapToGrid w:val="0"/>
        <w:spacing w:line="560" w:lineRule="exact"/>
        <w:ind w:firstLine="640" w:firstLineChars="200"/>
        <w:rPr>
          <w:rFonts w:ascii="仿宋" w:eastAsia="仿宋" w:hAnsi="仿宋" w:cs="TimesNewRoman"/>
          <w:kern w:val="0"/>
          <w:sz w:val="32"/>
          <w:szCs w:val="32"/>
        </w:rPr>
      </w:pPr>
      <w:r>
        <w:rPr>
          <w:rFonts w:ascii="仿宋" w:eastAsia="仿宋" w:hAnsi="仿宋" w:cs="TimesNewRoman" w:hint="eastAsia"/>
          <w:kern w:val="0"/>
          <w:sz w:val="32"/>
          <w:szCs w:val="32"/>
        </w:rPr>
        <w:t>寿县县委组织部2026</w:t>
      </w:r>
      <w:r>
        <w:rPr>
          <w:rFonts w:ascii="仿宋" w:eastAsia="仿宋" w:hAnsi="仿宋" w:cs="TimesNewRoman"/>
          <w:kern w:val="0"/>
          <w:sz w:val="32"/>
          <w:szCs w:val="32"/>
        </w:rPr>
        <w:t>年一般公共预算“三公”经费支出预算为</w:t>
      </w:r>
      <w:r>
        <w:rPr>
          <w:rFonts w:ascii="仿宋" w:eastAsia="仿宋" w:hAnsi="仿宋" w:cs="TimesNewRoman" w:hint="eastAsia"/>
          <w:kern w:val="0"/>
          <w:sz w:val="32"/>
          <w:szCs w:val="32"/>
        </w:rPr>
        <w:t>19.00</w:t>
      </w:r>
      <w:r>
        <w:rPr>
          <w:rFonts w:ascii="仿宋" w:eastAsia="仿宋" w:hAnsi="仿宋" w:cs="TimesNewRoman"/>
          <w:kern w:val="0"/>
          <w:sz w:val="32"/>
          <w:szCs w:val="32"/>
        </w:rPr>
        <w:t>万元，</w:t>
      </w:r>
      <w:r>
        <w:rPr>
          <w:rFonts w:ascii="仿宋" w:eastAsia="仿宋" w:hAnsi="仿宋" w:cs="TimesNewRoman" w:hint="eastAsia"/>
          <w:kern w:val="0"/>
          <w:sz w:val="32"/>
          <w:szCs w:val="32"/>
        </w:rPr>
        <w:t>与2025</w:t>
      </w:r>
      <w:r>
        <w:rPr>
          <w:rFonts w:ascii="仿宋" w:eastAsia="仿宋" w:hAnsi="仿宋" w:cs="TimesNewRoman"/>
          <w:kern w:val="0"/>
          <w:sz w:val="32"/>
          <w:szCs w:val="32"/>
        </w:rPr>
        <w:t>年预算</w:t>
      </w:r>
      <w:r>
        <w:rPr>
          <w:rFonts w:ascii="仿宋" w:eastAsia="仿宋" w:hAnsi="仿宋" w:cs="TimesNewRoman" w:hint="eastAsia"/>
          <w:kern w:val="0"/>
          <w:sz w:val="32"/>
          <w:szCs w:val="32"/>
        </w:rPr>
        <w:t>持平</w:t>
      </w:r>
      <w:r>
        <w:rPr>
          <w:rFonts w:ascii="仿宋" w:eastAsia="仿宋" w:hAnsi="仿宋" w:cs="TimesNewRoman"/>
          <w:kern w:val="0"/>
          <w:sz w:val="32"/>
          <w:szCs w:val="32"/>
        </w:rPr>
        <w:t>。其中：公务接待费支出预算为</w:t>
      </w:r>
      <w:r>
        <w:rPr>
          <w:rFonts w:ascii="仿宋" w:eastAsia="仿宋" w:hAnsi="仿宋" w:cs="TimesNewRoman" w:hint="eastAsia"/>
          <w:kern w:val="0"/>
          <w:sz w:val="32"/>
          <w:szCs w:val="32"/>
        </w:rPr>
        <w:t>19.00</w:t>
      </w:r>
      <w:r>
        <w:rPr>
          <w:rFonts w:ascii="仿宋" w:eastAsia="仿宋" w:hAnsi="仿宋" w:cs="TimesNewRoman"/>
          <w:kern w:val="0"/>
          <w:sz w:val="32"/>
          <w:szCs w:val="32"/>
        </w:rPr>
        <w:t>万元。具体情况如下：</w:t>
      </w:r>
    </w:p>
    <w:p w14:paraId="0FBB095E">
      <w:pPr>
        <w:adjustRightInd w:val="0"/>
        <w:snapToGrid w:val="0"/>
        <w:spacing w:line="560" w:lineRule="exact"/>
        <w:ind w:firstLine="640" w:firstLineChars="200"/>
        <w:rPr>
          <w:rFonts w:ascii="仿宋" w:eastAsia="仿宋" w:hAnsi="仿宋" w:cs="TimesNewRoman"/>
          <w:sz w:val="32"/>
          <w:szCs w:val="32"/>
        </w:rPr>
      </w:pPr>
      <w:r>
        <w:rPr>
          <w:rFonts w:ascii="仿宋" w:eastAsia="仿宋" w:hAnsi="仿宋" w:cs="TimesNewRoman"/>
          <w:b/>
          <w:sz w:val="32"/>
          <w:szCs w:val="32"/>
        </w:rPr>
        <w:t>（一）因公出国（境）费</w:t>
      </w:r>
      <w:r>
        <w:rPr>
          <w:rFonts w:ascii="仿宋" w:eastAsia="仿宋" w:hAnsi="仿宋" w:cs="TimesNewRoman" w:hint="eastAsia"/>
          <w:sz w:val="32"/>
          <w:szCs w:val="32"/>
        </w:rPr>
        <w:t>本年无</w:t>
      </w:r>
      <w:r>
        <w:rPr>
          <w:rFonts w:ascii="仿宋" w:eastAsia="仿宋" w:hAnsi="仿宋" w:cs="TimesNewRoman"/>
          <w:sz w:val="32"/>
          <w:szCs w:val="32"/>
        </w:rPr>
        <w:t>支出预算</w:t>
      </w:r>
      <w:r>
        <w:rPr>
          <w:rFonts w:ascii="仿宋" w:eastAsia="仿宋" w:hAnsi="仿宋" w:cs="TimesNewRoman" w:hint="eastAsia"/>
          <w:sz w:val="32"/>
          <w:szCs w:val="32"/>
        </w:rPr>
        <w:t>。</w:t>
      </w:r>
    </w:p>
    <w:p w14:paraId="13175C02">
      <w:pPr>
        <w:pStyle w:val="NormalWeb"/>
        <w:adjustRightInd w:val="0"/>
        <w:snapToGrid w:val="0"/>
        <w:spacing w:beforeAutospacing="0" w:afterAutospacing="0" w:line="560" w:lineRule="exact"/>
        <w:ind w:firstLine="640" w:firstLineChars="200"/>
        <w:jc w:val="both"/>
        <w:rPr>
          <w:rFonts w:ascii="仿宋" w:eastAsia="仿宋" w:hAnsi="仿宋" w:cs="TimesNewRoman"/>
          <w:sz w:val="32"/>
          <w:szCs w:val="32"/>
        </w:rPr>
      </w:pPr>
      <w:r>
        <w:rPr>
          <w:rFonts w:ascii="仿宋" w:eastAsia="仿宋" w:hAnsi="仿宋" w:cs="TimesNewRoman"/>
          <w:b/>
          <w:sz w:val="32"/>
          <w:szCs w:val="32"/>
        </w:rPr>
        <w:t>（二）公务用车购置及运行费</w:t>
      </w:r>
      <w:r>
        <w:rPr>
          <w:rFonts w:ascii="仿宋" w:eastAsia="仿宋" w:hAnsi="仿宋" w:cs="TimesNewRoman" w:hint="eastAsia"/>
          <w:sz w:val="32"/>
          <w:szCs w:val="32"/>
        </w:rPr>
        <w:t>本年无</w:t>
      </w:r>
      <w:r>
        <w:rPr>
          <w:rFonts w:ascii="仿宋" w:eastAsia="仿宋" w:hAnsi="仿宋" w:cs="TimesNewRoman"/>
          <w:sz w:val="32"/>
          <w:szCs w:val="32"/>
        </w:rPr>
        <w:t>支出预算</w:t>
      </w:r>
      <w:r>
        <w:rPr>
          <w:rFonts w:ascii="仿宋" w:eastAsia="仿宋" w:hAnsi="仿宋" w:cs="TimesNewRoman" w:hint="eastAsia"/>
          <w:sz w:val="32"/>
          <w:szCs w:val="32"/>
        </w:rPr>
        <w:t>。</w:t>
      </w:r>
    </w:p>
    <w:p w14:paraId="460BDE83">
      <w:pPr>
        <w:pStyle w:val="NormalWeb"/>
        <w:spacing w:beforeAutospacing="0" w:afterAutospacing="0" w:line="560" w:lineRule="exact"/>
        <w:ind w:firstLine="640" w:firstLineChars="200"/>
        <w:jc w:val="both"/>
        <w:rPr>
          <w:rFonts w:ascii="仿宋" w:eastAsia="仿宋" w:hAnsi="仿宋" w:cs="TimesNewRoman"/>
          <w:sz w:val="32"/>
          <w:szCs w:val="32"/>
        </w:rPr>
      </w:pPr>
      <w:r>
        <w:rPr>
          <w:rFonts w:ascii="仿宋" w:eastAsia="仿宋" w:hAnsi="仿宋" w:cs="TimesNewRoman" w:hint="eastAsia"/>
          <w:b/>
          <w:sz w:val="32"/>
          <w:szCs w:val="32"/>
        </w:rPr>
        <w:t>（三）公务接待费</w:t>
      </w:r>
      <w:r>
        <w:rPr>
          <w:rFonts w:ascii="仿宋" w:eastAsia="仿宋" w:hAnsi="仿宋" w:cs="TimesNewRoman" w:hint="eastAsia"/>
          <w:sz w:val="32"/>
          <w:szCs w:val="32"/>
        </w:rPr>
        <w:t>支出预算19.00万元，与2025</w:t>
      </w:r>
      <w:r>
        <w:rPr>
          <w:rFonts w:ascii="仿宋" w:eastAsia="仿宋" w:hAnsi="仿宋" w:cs="TimesNewRoman"/>
          <w:sz w:val="32"/>
          <w:szCs w:val="32"/>
        </w:rPr>
        <w:t>年预算</w:t>
      </w:r>
      <w:r>
        <w:rPr>
          <w:rFonts w:ascii="仿宋" w:eastAsia="仿宋" w:hAnsi="仿宋" w:cs="TimesNewRoman" w:hint="eastAsia"/>
          <w:sz w:val="32"/>
          <w:szCs w:val="32"/>
        </w:rPr>
        <w:t>持平</w:t>
      </w:r>
      <w:r>
        <w:rPr>
          <w:rFonts w:ascii="仿宋" w:eastAsia="仿宋" w:hAnsi="仿宋" w:cs="TimesNewRoman"/>
          <w:sz w:val="32"/>
          <w:szCs w:val="32"/>
        </w:rPr>
        <w:t>。</w:t>
      </w:r>
      <w:r>
        <w:rPr>
          <w:rFonts w:ascii="仿宋" w:eastAsia="仿宋" w:hAnsi="仿宋" w:cs="TimesNewRoman" w:hint="eastAsia"/>
          <w:sz w:val="32"/>
          <w:szCs w:val="32"/>
        </w:rPr>
        <w:t>该项经费主要用于因工作需要招待上级来人调研、招商引资等公务接待支出</w:t>
      </w:r>
      <w:r>
        <w:rPr>
          <w:rFonts w:ascii="仿宋" w:eastAsia="仿宋" w:hAnsi="仿宋" w:hint="eastAsia"/>
          <w:color w:val="000000"/>
          <w:sz w:val="32"/>
          <w:szCs w:val="32"/>
        </w:rPr>
        <w:t>。</w:t>
      </w:r>
      <w:r>
        <w:rPr>
          <w:rFonts w:ascii="仿宋" w:eastAsia="仿宋" w:hAnsi="仿宋" w:cs="TimesNewRoman" w:hint="eastAsia"/>
          <w:sz w:val="32"/>
          <w:szCs w:val="32"/>
        </w:rPr>
        <w:t>经费使用严格执行《党政机关厉行节约反对浪费条例》</w:t>
      </w:r>
      <w:r>
        <w:rPr>
          <w:rFonts w:ascii="仿宋" w:eastAsia="仿宋" w:hAnsi="仿宋" w:hint="eastAsia"/>
          <w:color w:val="000000"/>
          <w:sz w:val="32"/>
          <w:szCs w:val="32"/>
        </w:rPr>
        <w:t>（中发〔2013〕13号）</w:t>
      </w:r>
      <w:r>
        <w:rPr>
          <w:rFonts w:ascii="仿宋" w:eastAsia="仿宋" w:hAnsi="仿宋" w:cs="TimesNewRoman" w:hint="eastAsia"/>
          <w:sz w:val="32"/>
          <w:szCs w:val="32"/>
        </w:rPr>
        <w:t>和</w:t>
      </w:r>
      <w:r>
        <w:rPr>
          <w:rFonts w:ascii="仿宋" w:eastAsia="仿宋" w:hAnsi="仿宋" w:hint="eastAsia"/>
          <w:color w:val="000000"/>
          <w:sz w:val="32"/>
          <w:szCs w:val="32"/>
        </w:rPr>
        <w:t>《寿县党政机关公务接待管理规定</w:t>
      </w:r>
      <w:r>
        <w:rPr>
          <w:rFonts w:ascii="仿宋" w:eastAsia="仿宋" w:hAnsi="仿宋" w:cs="TimesNewRoman" w:hint="eastAsia"/>
          <w:sz w:val="32"/>
          <w:szCs w:val="32"/>
        </w:rPr>
        <w:t>》</w:t>
      </w:r>
      <w:r>
        <w:rPr>
          <w:rFonts w:ascii="仿宋" w:eastAsia="仿宋" w:hAnsi="仿宋" w:hint="eastAsia"/>
          <w:color w:val="000000"/>
          <w:sz w:val="32"/>
          <w:szCs w:val="32"/>
        </w:rPr>
        <w:t>（寿办发〔2015〕2号）规定。</w:t>
      </w:r>
    </w:p>
    <w:p w14:paraId="0A3A278A">
      <w:pPr>
        <w:pStyle w:val="NormalWeb"/>
        <w:topLinePunct/>
        <w:adjustRightInd w:val="0"/>
        <w:snapToGrid w:val="0"/>
        <w:spacing w:beforeAutospacing="0" w:afterAutospacing="0" w:line="560" w:lineRule="exact"/>
        <w:ind w:firstLine="640" w:firstLineChars="200"/>
        <w:jc w:val="both"/>
        <w:rPr>
          <w:rFonts w:ascii="仿宋" w:eastAsia="仿宋" w:hAnsi="仿宋" w:cs="TimesNewRoman"/>
          <w:b/>
          <w:sz w:val="32"/>
          <w:szCs w:val="32"/>
        </w:rPr>
      </w:pPr>
      <w:r>
        <w:rPr>
          <w:rFonts w:ascii="仿宋" w:eastAsia="仿宋" w:hAnsi="仿宋" w:cs="TimesNewRoman" w:hint="eastAsia"/>
          <w:b/>
          <w:sz w:val="32"/>
          <w:szCs w:val="32"/>
        </w:rPr>
        <w:t>十三、其他重要事项情况说明</w:t>
      </w:r>
    </w:p>
    <w:p w14:paraId="70890FF2">
      <w:pPr>
        <w:topLinePunct/>
        <w:adjustRightInd w:val="0"/>
        <w:snapToGrid w:val="0"/>
        <w:spacing w:line="560" w:lineRule="exact"/>
        <w:ind w:firstLine="640" w:firstLineChars="200"/>
        <w:rPr>
          <w:rFonts w:ascii="仿宋" w:eastAsia="仿宋" w:hAnsi="仿宋" w:cs="TimesNewRoman"/>
          <w:b/>
          <w:sz w:val="32"/>
          <w:szCs w:val="32"/>
        </w:rPr>
      </w:pPr>
      <w:r>
        <w:rPr>
          <w:rFonts w:ascii="仿宋" w:eastAsia="仿宋" w:hAnsi="仿宋" w:cs="TimesNewRoman" w:hint="eastAsia"/>
          <w:b/>
          <w:sz w:val="32"/>
          <w:szCs w:val="32"/>
        </w:rPr>
        <w:t>（一）项目及绩效目标情况。</w:t>
      </w:r>
    </w:p>
    <w:p w14:paraId="3D0FB4E9">
      <w:pPr>
        <w:topLinePunct/>
        <w:adjustRightInd w:val="0"/>
        <w:snapToGrid w:val="0"/>
        <w:spacing w:line="560" w:lineRule="exact"/>
        <w:ind w:firstLine="640" w:firstLineChars="200"/>
        <w:rPr>
          <w:rFonts w:ascii="仿宋" w:eastAsia="仿宋" w:hAnsi="仿宋" w:cs="TimesNewRoman"/>
          <w:b/>
          <w:sz w:val="32"/>
          <w:szCs w:val="32"/>
        </w:rPr>
      </w:pPr>
      <w:r>
        <w:rPr>
          <w:rFonts w:ascii="仿宋" w:eastAsia="仿宋" w:hAnsi="仿宋" w:cs="TimesNewRoman" w:hint="eastAsia"/>
          <w:b/>
          <w:sz w:val="32"/>
          <w:szCs w:val="32"/>
          <w:lang w:val="en-US" w:eastAsia="zh-CN"/>
        </w:rPr>
        <w:t>1</w:t>
      </w:r>
      <w:r>
        <w:rPr>
          <w:rFonts w:ascii="仿宋" w:eastAsia="仿宋" w:hAnsi="仿宋" w:cs="TimesNewRoman" w:hint="eastAsia"/>
          <w:b/>
          <w:sz w:val="32"/>
          <w:szCs w:val="32"/>
        </w:rPr>
        <w:t>.“</w:t>
      </w:r>
      <w:r>
        <w:rPr>
          <w:rFonts w:ascii="仿宋" w:eastAsia="仿宋" w:hAnsi="仿宋" w:hint="eastAsia"/>
          <w:b/>
          <w:sz w:val="32"/>
          <w:szCs w:val="32"/>
        </w:rPr>
        <w:t>县委组织部组织工作经费</w:t>
      </w:r>
      <w:r>
        <w:rPr>
          <w:rFonts w:ascii="仿宋" w:eastAsia="仿宋" w:hAnsi="仿宋" w:cs="TimesNewRoman" w:hint="eastAsia"/>
          <w:b/>
          <w:sz w:val="32"/>
          <w:szCs w:val="32"/>
        </w:rPr>
        <w:t>”项目。</w:t>
      </w:r>
    </w:p>
    <w:p w14:paraId="670DA188">
      <w:pPr>
        <w:spacing w:line="560" w:lineRule="exact"/>
        <w:ind w:firstLine="480" w:firstLineChars="150"/>
        <w:rPr>
          <w:rFonts w:ascii="仿宋" w:eastAsia="仿宋" w:hAnsi="仿宋"/>
          <w:sz w:val="32"/>
          <w:szCs w:val="32"/>
        </w:rPr>
      </w:pPr>
      <w:r>
        <w:rPr>
          <w:rFonts w:ascii="仿宋" w:eastAsia="仿宋" w:hAnsi="仿宋" w:cs="TimesNewRoman" w:hint="eastAsia"/>
          <w:sz w:val="32"/>
          <w:szCs w:val="32"/>
        </w:rPr>
        <w:t>（1）项目概述保障部机关日常办公与运转，开展党员教育中心培训、县委组织部大组工网维护、党代表联络中心、市管干部年度考核、县委综合考核、机关事业单位公开选调考试、选派干部、县委组织部人才工作室、干部档案日常管理等工作。</w:t>
      </w:r>
    </w:p>
    <w:p w14:paraId="3B1723DD">
      <w:pPr>
        <w:spacing w:line="560" w:lineRule="exact"/>
        <w:ind w:firstLine="480" w:firstLineChars="150"/>
        <w:rPr>
          <w:rFonts w:ascii="仿宋" w:eastAsia="仿宋" w:hAnsi="仿宋"/>
          <w:sz w:val="32"/>
          <w:szCs w:val="32"/>
        </w:rPr>
      </w:pPr>
      <w:r>
        <w:rPr>
          <w:rFonts w:ascii="仿宋" w:eastAsia="仿宋" w:hAnsi="仿宋" w:cs="TimesNewRoman" w:hint="eastAsia"/>
          <w:sz w:val="32"/>
          <w:szCs w:val="32"/>
        </w:rPr>
        <w:t>（2）立项依据中央、省、市、县有关文件规定。</w:t>
      </w:r>
    </w:p>
    <w:p w14:paraId="4E4A7205">
      <w:pPr>
        <w:topLinePunct/>
        <w:adjustRightInd w:val="0"/>
        <w:snapToGrid w:val="0"/>
        <w:spacing w:line="560" w:lineRule="exact"/>
        <w:ind w:firstLine="640" w:firstLineChars="200"/>
        <w:rPr>
          <w:rFonts w:ascii="仿宋" w:eastAsia="仿宋" w:hAnsi="仿宋"/>
          <w:sz w:val="32"/>
          <w:szCs w:val="32"/>
        </w:rPr>
      </w:pPr>
      <w:r>
        <w:rPr>
          <w:rFonts w:ascii="仿宋" w:eastAsia="仿宋" w:hAnsi="仿宋" w:cs="TimesNewRoman" w:hint="eastAsia"/>
          <w:sz w:val="32"/>
          <w:szCs w:val="32"/>
        </w:rPr>
        <w:t>（</w:t>
      </w:r>
      <w:r>
        <w:rPr>
          <w:rFonts w:ascii="仿宋" w:eastAsia="仿宋" w:hAnsi="仿宋" w:cs="TimesNewRoman" w:hint="eastAsia"/>
          <w:sz w:val="32"/>
          <w:szCs w:val="32"/>
          <w:lang w:val="en-US" w:eastAsia="zh-CN"/>
        </w:rPr>
        <w:t>3</w:t>
      </w:r>
      <w:r>
        <w:rPr>
          <w:rFonts w:ascii="仿宋" w:eastAsia="仿宋" w:hAnsi="仿宋" w:cs="TimesNewRoman" w:hint="eastAsia"/>
          <w:sz w:val="32"/>
          <w:szCs w:val="32"/>
        </w:rPr>
        <w:t>）起止时间。</w:t>
      </w:r>
      <w:r>
        <w:rPr>
          <w:rFonts w:ascii="仿宋" w:eastAsia="仿宋" w:hAnsi="仿宋" w:hint="eastAsia"/>
          <w:sz w:val="32"/>
          <w:szCs w:val="32"/>
        </w:rPr>
        <w:t>2026年1月1日至12月31日。</w:t>
      </w:r>
    </w:p>
    <w:p w14:paraId="13986596">
      <w:pPr>
        <w:topLinePunct/>
        <w:adjustRightInd w:val="0"/>
        <w:snapToGrid w:val="0"/>
        <w:spacing w:line="560" w:lineRule="exact"/>
        <w:ind w:firstLine="640" w:firstLineChars="200"/>
        <w:rPr>
          <w:rFonts w:ascii="仿宋" w:eastAsia="仿宋" w:hAnsi="仿宋"/>
          <w:sz w:val="32"/>
          <w:szCs w:val="32"/>
        </w:rPr>
      </w:pPr>
      <w:r>
        <w:rPr>
          <w:rFonts w:ascii="仿宋" w:eastAsia="仿宋" w:hAnsi="仿宋" w:cs="TimesNewRoman" w:hint="eastAsia"/>
          <w:sz w:val="32"/>
          <w:szCs w:val="32"/>
        </w:rPr>
        <w:t>（</w:t>
      </w:r>
      <w:r>
        <w:rPr>
          <w:rFonts w:ascii="仿宋" w:eastAsia="仿宋" w:hAnsi="仿宋" w:cs="TimesNewRoman" w:hint="eastAsia"/>
          <w:sz w:val="32"/>
          <w:szCs w:val="32"/>
          <w:lang w:val="en-US" w:eastAsia="zh-CN"/>
        </w:rPr>
        <w:t>4</w:t>
      </w:r>
      <w:r>
        <w:rPr>
          <w:rFonts w:ascii="仿宋" w:eastAsia="仿宋" w:hAnsi="仿宋" w:cs="TimesNewRoman" w:hint="eastAsia"/>
          <w:sz w:val="32"/>
          <w:szCs w:val="32"/>
        </w:rPr>
        <w:t>）年度预算安排。</w:t>
      </w:r>
      <w:r>
        <w:rPr>
          <w:rFonts w:ascii="仿宋" w:eastAsia="仿宋" w:hAnsi="仿宋" w:hint="eastAsia"/>
          <w:sz w:val="32"/>
          <w:szCs w:val="32"/>
        </w:rPr>
        <w:t>安排预算资金104.00万元。</w:t>
      </w:r>
    </w:p>
    <w:p w14:paraId="5703EA47">
      <w:pPr>
        <w:spacing w:line="560" w:lineRule="exact"/>
        <w:ind w:firstLine="480" w:firstLineChars="150"/>
        <w:rPr>
          <w:rFonts w:ascii="仿宋" w:eastAsia="仿宋" w:hAnsi="仿宋" w:cs="TimesNewRoman" w:hint="eastAsia"/>
          <w:sz w:val="32"/>
          <w:szCs w:val="32"/>
        </w:rPr>
      </w:pPr>
      <w:r>
        <w:rPr>
          <w:rFonts w:ascii="仿宋" w:eastAsia="仿宋" w:hAnsi="仿宋" w:cs="TimesNewRoman" w:hint="eastAsia"/>
          <w:sz w:val="32"/>
          <w:szCs w:val="32"/>
        </w:rPr>
        <w:t>（</w:t>
      </w:r>
      <w:r>
        <w:rPr>
          <w:rFonts w:ascii="仿宋" w:eastAsia="仿宋" w:hAnsi="仿宋" w:cs="TimesNewRoman" w:hint="eastAsia"/>
          <w:sz w:val="32"/>
          <w:szCs w:val="32"/>
          <w:lang w:val="en-US" w:eastAsia="zh-CN"/>
        </w:rPr>
        <w:t>5</w:t>
      </w:r>
      <w:r>
        <w:rPr>
          <w:rFonts w:ascii="仿宋" w:eastAsia="仿宋" w:hAnsi="仿宋" w:cs="TimesNewRoman" w:hint="eastAsia"/>
          <w:sz w:val="32"/>
          <w:szCs w:val="32"/>
        </w:rPr>
        <w:t>）绩效目标。</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31"/>
        <w:gridCol w:w="711"/>
        <w:gridCol w:w="278"/>
        <w:gridCol w:w="469"/>
        <w:gridCol w:w="2828"/>
        <w:gridCol w:w="1819"/>
        <w:gridCol w:w="2344"/>
      </w:tblGrid>
      <w:tr w14:paraId="38FDC38D">
        <w:tblPrEx>
          <w:tblW w:w="0" w:type="auto"/>
          <w:tblInd w:w="0" w:type="dxa"/>
          <w:tblLayout w:type="fixed"/>
        </w:tblPrEx>
        <w:trPr>
          <w:trHeight w:val="635"/>
        </w:trPr>
        <w:tc>
          <w:tcPr>
            <w:tcW w:w="8880" w:type="dxa"/>
            <w:gridSpan w:val="7"/>
            <w:tcBorders>
              <w:top w:val="nil"/>
              <w:left w:val="nil"/>
              <w:bottom w:val="nil"/>
              <w:right w:val="nil"/>
            </w:tcBorders>
            <w:vAlign w:val="center"/>
          </w:tcPr>
          <w:p w14:paraId="4366AC2B">
            <w:pPr>
              <w:widowControl/>
              <w:jc w:val="center"/>
              <w:textAlignment w:val="center"/>
              <w:rPr>
                <w:rFonts w:ascii="方正小标宋_GBK" w:eastAsia="方正小标宋_GBK" w:cs="宋体"/>
                <w:bCs/>
                <w:szCs w:val="32"/>
              </w:rPr>
            </w:pPr>
            <w:r>
              <w:rPr>
                <w:rFonts w:ascii="宋体" w:hAnsi="宋体" w:cs="宋体" w:hint="eastAsia"/>
                <w:color w:val="000000"/>
                <w:kern w:val="0"/>
                <w:sz w:val="28"/>
                <w:szCs w:val="28"/>
              </w:rPr>
              <w:t>项</w:t>
            </w:r>
            <w:r>
              <w:rPr>
                <w:rFonts w:ascii="___WRD_EMBED_SUB_44" w:eastAsia="___WRD_EMBED_SUB_44" w:hAnsi="___WRD_EMBED_SUB_44" w:cs="___WRD_EMBED_SUB_44" w:hint="eastAsia"/>
                <w:color w:val="000000"/>
                <w:kern w:val="0"/>
                <w:sz w:val="28"/>
                <w:szCs w:val="28"/>
              </w:rPr>
              <w:t>目</w:t>
            </w:r>
            <w:r>
              <w:rPr>
                <w:rFonts w:ascii="宋体" w:hAnsi="宋体" w:cs="宋体" w:hint="eastAsia"/>
                <w:color w:val="000000"/>
                <w:kern w:val="0"/>
                <w:sz w:val="28"/>
                <w:szCs w:val="28"/>
              </w:rPr>
              <w:t>支出绩效</w:t>
            </w:r>
            <w:r>
              <w:rPr>
                <w:rFonts w:ascii="___WRD_EMBED_SUB_44" w:eastAsia="___WRD_EMBED_SUB_44" w:hAnsi="___WRD_EMBED_SUB_44" w:cs="___WRD_EMBED_SUB_44" w:hint="eastAsia"/>
                <w:color w:val="000000"/>
                <w:kern w:val="0"/>
                <w:sz w:val="28"/>
                <w:szCs w:val="28"/>
              </w:rPr>
              <w:t>目</w:t>
            </w:r>
            <w:r>
              <w:rPr>
                <w:rFonts w:ascii="宋体" w:hAnsi="宋体" w:cs="宋体" w:hint="eastAsia"/>
                <w:color w:val="000000"/>
                <w:kern w:val="0"/>
                <w:sz w:val="28"/>
                <w:szCs w:val="28"/>
              </w:rPr>
              <w:t>标表</w:t>
            </w:r>
          </w:p>
        </w:tc>
      </w:tr>
      <w:tr w14:paraId="5BB35E10">
        <w:tblPrEx>
          <w:tblW w:w="0" w:type="auto"/>
          <w:tblInd w:w="0" w:type="dxa"/>
          <w:tblLayout w:type="fixed"/>
        </w:tblPrEx>
        <w:trPr>
          <w:trHeight w:val="635"/>
        </w:trPr>
        <w:tc>
          <w:tcPr>
            <w:tcW w:w="8880" w:type="dxa"/>
            <w:gridSpan w:val="7"/>
            <w:tcBorders>
              <w:top w:val="nil"/>
              <w:left w:val="nil"/>
              <w:right w:val="nil"/>
            </w:tcBorders>
            <w:vAlign w:val="center"/>
          </w:tcPr>
          <w:p w14:paraId="0D387EBC">
            <w:pPr>
              <w:widowControl/>
              <w:jc w:val="center"/>
              <w:textAlignment w:val="center"/>
              <w:rPr>
                <w:rFonts w:ascii="宋体" w:cs="宋体"/>
                <w:sz w:val="20"/>
              </w:rPr>
            </w:pPr>
            <w:r>
              <w:rPr>
                <w:rFonts w:ascii="宋体" w:hAnsi="宋体" w:cs="宋体" w:hint="eastAsia"/>
                <w:color w:val="000000"/>
                <w:kern w:val="0"/>
                <w:sz w:val="20"/>
                <w:szCs w:val="20"/>
              </w:rPr>
              <w:t xml:space="preserve"> （2026年度）                                </w:t>
            </w:r>
          </w:p>
        </w:tc>
      </w:tr>
      <w:tr w14:paraId="10B73898">
        <w:tblPrEx>
          <w:tblW w:w="0" w:type="auto"/>
          <w:tblInd w:w="0" w:type="dxa"/>
          <w:tblLayout w:type="fixed"/>
        </w:tblPrEx>
        <w:trPr>
          <w:trHeight w:val="372"/>
        </w:trPr>
        <w:tc>
          <w:tcPr>
            <w:tcW w:w="1420" w:type="dxa"/>
            <w:gridSpan w:val="3"/>
            <w:vAlign w:val="center"/>
          </w:tcPr>
          <w:p w14:paraId="5AE09AAA">
            <w:pPr>
              <w:spacing w:line="260" w:lineRule="exact"/>
              <w:jc w:val="center"/>
              <w:textAlignment w:val="center"/>
              <w:rPr>
                <w:rFonts w:ascii="宋体" w:cs="宋体"/>
                <w:sz w:val="18"/>
                <w:szCs w:val="18"/>
              </w:rPr>
            </w:pPr>
            <w:r>
              <w:rPr>
                <w:rFonts w:ascii="宋体" w:hAnsi="宋体" w:cs="宋体" w:hint="eastAsia"/>
                <w:color w:val="000000"/>
                <w:kern w:val="0"/>
                <w:sz w:val="18"/>
                <w:szCs w:val="18"/>
              </w:rPr>
              <w:t>项目名称</w:t>
            </w:r>
          </w:p>
        </w:tc>
        <w:tc>
          <w:tcPr>
            <w:tcW w:w="7460" w:type="dxa"/>
            <w:gridSpan w:val="4"/>
            <w:vAlign w:val="center"/>
          </w:tcPr>
          <w:p w14:paraId="48D63DE7">
            <w:pPr>
              <w:spacing w:line="260" w:lineRule="exact"/>
              <w:jc w:val="both"/>
              <w:rPr>
                <w:rFonts w:ascii="宋体" w:cs="宋体"/>
                <w:sz w:val="18"/>
                <w:szCs w:val="18"/>
              </w:rPr>
            </w:pPr>
            <w:r>
              <w:rPr>
                <w:rFonts w:ascii="宋体" w:cs="宋体" w:hint="eastAsia"/>
                <w:sz w:val="18"/>
                <w:szCs w:val="18"/>
              </w:rPr>
              <w:t>县委组织部组织工作经费</w:t>
            </w:r>
          </w:p>
        </w:tc>
      </w:tr>
      <w:tr w14:paraId="41E2D80E">
        <w:tblPrEx>
          <w:tblW w:w="0" w:type="auto"/>
          <w:tblInd w:w="0" w:type="dxa"/>
          <w:tblLayout w:type="fixed"/>
        </w:tblPrEx>
        <w:trPr>
          <w:trHeight w:val="580"/>
        </w:trPr>
        <w:tc>
          <w:tcPr>
            <w:tcW w:w="1420" w:type="dxa"/>
            <w:gridSpan w:val="3"/>
            <w:vAlign w:val="center"/>
          </w:tcPr>
          <w:p w14:paraId="44A1A6A0">
            <w:pPr>
              <w:spacing w:line="260" w:lineRule="exact"/>
              <w:jc w:val="center"/>
              <w:textAlignment w:val="center"/>
              <w:rPr>
                <w:rFonts w:ascii="宋体" w:cs="宋体"/>
                <w:sz w:val="18"/>
                <w:szCs w:val="18"/>
              </w:rPr>
            </w:pPr>
            <w:r>
              <w:rPr>
                <w:rFonts w:ascii="宋体" w:hAnsi="宋体" w:cs="宋体" w:hint="eastAsia"/>
                <w:color w:val="000000"/>
                <w:kern w:val="0"/>
                <w:sz w:val="18"/>
                <w:szCs w:val="18"/>
              </w:rPr>
              <w:t>主管部门    及代码</w:t>
            </w:r>
          </w:p>
        </w:tc>
        <w:tc>
          <w:tcPr>
            <w:tcW w:w="3297" w:type="dxa"/>
            <w:gridSpan w:val="2"/>
            <w:vAlign w:val="center"/>
          </w:tcPr>
          <w:p w14:paraId="1B817533">
            <w:pPr>
              <w:spacing w:line="260" w:lineRule="exact"/>
              <w:jc w:val="center"/>
              <w:rPr>
                <w:rFonts w:ascii="宋体" w:cs="宋体"/>
                <w:sz w:val="18"/>
                <w:szCs w:val="18"/>
              </w:rPr>
            </w:pPr>
            <w:r>
              <w:rPr>
                <w:rFonts w:ascii="宋体" w:cs="宋体" w:hint="eastAsia"/>
                <w:sz w:val="18"/>
                <w:szCs w:val="18"/>
              </w:rPr>
              <w:t>中共寿县县委组织部</w:t>
            </w:r>
          </w:p>
        </w:tc>
        <w:tc>
          <w:tcPr>
            <w:tcW w:w="1819" w:type="dxa"/>
            <w:vAlign w:val="center"/>
          </w:tcPr>
          <w:p w14:paraId="21493766">
            <w:pPr>
              <w:spacing w:line="260" w:lineRule="exact"/>
              <w:jc w:val="center"/>
              <w:textAlignment w:val="center"/>
              <w:rPr>
                <w:sz w:val="18"/>
                <w:szCs w:val="18"/>
              </w:rPr>
            </w:pPr>
            <w:r>
              <w:rPr>
                <w:rFonts w:ascii="宋体" w:hAnsi="宋体" w:cs="宋体" w:hint="eastAsia"/>
                <w:color w:val="000000"/>
                <w:kern w:val="0"/>
                <w:sz w:val="18"/>
                <w:szCs w:val="18"/>
              </w:rPr>
              <w:t>实施单位</w:t>
            </w:r>
          </w:p>
        </w:tc>
        <w:tc>
          <w:tcPr>
            <w:tcW w:w="2344" w:type="dxa"/>
            <w:vAlign w:val="center"/>
          </w:tcPr>
          <w:p w14:paraId="15245903">
            <w:pPr>
              <w:spacing w:line="260" w:lineRule="exact"/>
              <w:jc w:val="center"/>
              <w:rPr>
                <w:rFonts w:eastAsia="宋体" w:hint="default"/>
                <w:sz w:val="18"/>
                <w:szCs w:val="18"/>
                <w:lang w:val="en-US" w:eastAsia="zh-CN"/>
              </w:rPr>
            </w:pPr>
            <w:r>
              <w:rPr>
                <w:rFonts w:hint="eastAsia"/>
                <w:sz w:val="18"/>
                <w:szCs w:val="18"/>
                <w:lang w:val="en-US" w:eastAsia="zh-CN"/>
              </w:rPr>
              <w:t>县委组织部</w:t>
            </w:r>
          </w:p>
        </w:tc>
      </w:tr>
      <w:tr w14:paraId="289A32B6">
        <w:tblPrEx>
          <w:tblW w:w="0" w:type="auto"/>
          <w:tblInd w:w="0" w:type="dxa"/>
          <w:tblLayout w:type="fixed"/>
        </w:tblPrEx>
        <w:trPr>
          <w:trHeight w:val="372"/>
        </w:trPr>
        <w:tc>
          <w:tcPr>
            <w:tcW w:w="1420" w:type="dxa"/>
            <w:gridSpan w:val="3"/>
            <w:vAlign w:val="center"/>
          </w:tcPr>
          <w:p w14:paraId="0323AF19">
            <w:pPr>
              <w:spacing w:line="260" w:lineRule="exact"/>
              <w:jc w:val="center"/>
              <w:textAlignment w:val="center"/>
              <w:rPr>
                <w:rFonts w:ascii="宋体" w:cs="宋体"/>
                <w:sz w:val="18"/>
                <w:szCs w:val="18"/>
              </w:rPr>
            </w:pPr>
            <w:r>
              <w:rPr>
                <w:rFonts w:ascii="宋体" w:hAnsi="宋体" w:cs="宋体" w:hint="eastAsia"/>
                <w:color w:val="000000"/>
                <w:kern w:val="0"/>
                <w:sz w:val="18"/>
                <w:szCs w:val="18"/>
              </w:rPr>
              <w:t>项目来源</w:t>
            </w:r>
          </w:p>
        </w:tc>
        <w:tc>
          <w:tcPr>
            <w:tcW w:w="3297" w:type="dxa"/>
            <w:gridSpan w:val="2"/>
            <w:vAlign w:val="center"/>
          </w:tcPr>
          <w:p w14:paraId="0C2FAF33">
            <w:pPr>
              <w:spacing w:line="260" w:lineRule="exact"/>
              <w:jc w:val="center"/>
              <w:rPr>
                <w:rFonts w:ascii="宋体" w:cs="宋体"/>
                <w:sz w:val="18"/>
                <w:szCs w:val="18"/>
              </w:rPr>
            </w:pPr>
          </w:p>
        </w:tc>
        <w:tc>
          <w:tcPr>
            <w:tcW w:w="1819" w:type="dxa"/>
            <w:vAlign w:val="center"/>
          </w:tcPr>
          <w:p w14:paraId="5E460D04">
            <w:pPr>
              <w:spacing w:line="260" w:lineRule="exact"/>
              <w:jc w:val="center"/>
              <w:textAlignment w:val="center"/>
              <w:rPr>
                <w:sz w:val="18"/>
                <w:szCs w:val="18"/>
              </w:rPr>
            </w:pPr>
            <w:r>
              <w:rPr>
                <w:rFonts w:ascii="宋体" w:hAnsi="宋体" w:cs="宋体" w:hint="eastAsia"/>
                <w:color w:val="000000"/>
                <w:kern w:val="0"/>
                <w:sz w:val="18"/>
                <w:szCs w:val="18"/>
              </w:rPr>
              <w:t>项目期</w:t>
            </w:r>
          </w:p>
        </w:tc>
        <w:tc>
          <w:tcPr>
            <w:tcW w:w="2344" w:type="dxa"/>
            <w:vAlign w:val="center"/>
          </w:tcPr>
          <w:p w14:paraId="47B5134D">
            <w:pPr>
              <w:spacing w:line="260" w:lineRule="exact"/>
              <w:jc w:val="center"/>
              <w:rPr>
                <w:sz w:val="18"/>
                <w:szCs w:val="18"/>
              </w:rPr>
            </w:pPr>
          </w:p>
        </w:tc>
      </w:tr>
      <w:tr w14:paraId="714AD950">
        <w:tblPrEx>
          <w:tblW w:w="0" w:type="auto"/>
          <w:tblInd w:w="0" w:type="dxa"/>
          <w:tblLayout w:type="fixed"/>
        </w:tblPrEx>
        <w:trPr>
          <w:trHeight w:val="372"/>
        </w:trPr>
        <w:tc>
          <w:tcPr>
            <w:tcW w:w="1420" w:type="dxa"/>
            <w:gridSpan w:val="3"/>
            <w:vMerge w:val="restart"/>
            <w:vAlign w:val="center"/>
          </w:tcPr>
          <w:p w14:paraId="50652CE7">
            <w:pPr>
              <w:spacing w:line="260" w:lineRule="exact"/>
              <w:jc w:val="center"/>
              <w:textAlignment w:val="center"/>
              <w:rPr>
                <w:rFonts w:ascii="宋体" w:cs="宋体"/>
                <w:sz w:val="18"/>
                <w:szCs w:val="18"/>
              </w:rPr>
            </w:pPr>
            <w:r>
              <w:rPr>
                <w:rFonts w:ascii="宋体" w:hAnsi="宋体" w:cs="宋体" w:hint="eastAsia"/>
                <w:color w:val="000000"/>
                <w:kern w:val="0"/>
                <w:sz w:val="18"/>
                <w:szCs w:val="18"/>
              </w:rPr>
              <w:t>项目资金</w:t>
            </w:r>
            <w:r>
              <w:rPr>
                <w:rFonts w:ascii="宋体" w:hAnsi="宋体" w:cs="宋体" w:hint="eastAsia"/>
                <w:color w:val="000000"/>
                <w:kern w:val="0"/>
                <w:sz w:val="18"/>
                <w:szCs w:val="18"/>
              </w:rPr>
              <w:br/>
            </w:r>
            <w:r>
              <w:rPr>
                <w:rFonts w:ascii="宋体" w:hAnsi="宋体" w:cs="宋体" w:hint="eastAsia"/>
                <w:color w:val="000000"/>
                <w:kern w:val="0"/>
                <w:sz w:val="18"/>
                <w:szCs w:val="18"/>
              </w:rPr>
              <w:t>（万元）</w:t>
            </w:r>
          </w:p>
        </w:tc>
        <w:tc>
          <w:tcPr>
            <w:tcW w:w="3297" w:type="dxa"/>
            <w:gridSpan w:val="2"/>
            <w:vAlign w:val="center"/>
          </w:tcPr>
          <w:p w14:paraId="6A40BB83">
            <w:pPr>
              <w:spacing w:line="260" w:lineRule="exact"/>
              <w:jc w:val="left"/>
              <w:textAlignment w:val="center"/>
              <w:rPr>
                <w:rFonts w:ascii="宋体" w:cs="宋体"/>
                <w:sz w:val="18"/>
                <w:szCs w:val="18"/>
              </w:rPr>
            </w:pPr>
            <w:r>
              <w:rPr>
                <w:rFonts w:ascii="宋体" w:hAnsi="宋体" w:cs="宋体" w:hint="eastAsia"/>
                <w:color w:val="000000"/>
                <w:kern w:val="0"/>
                <w:sz w:val="18"/>
                <w:szCs w:val="18"/>
              </w:rPr>
              <w:t>年度资金总额：</w:t>
            </w:r>
          </w:p>
        </w:tc>
        <w:tc>
          <w:tcPr>
            <w:tcW w:w="4163" w:type="dxa"/>
            <w:gridSpan w:val="2"/>
            <w:vAlign w:val="center"/>
          </w:tcPr>
          <w:p w14:paraId="6001398F">
            <w:pPr>
              <w:spacing w:line="260" w:lineRule="exact"/>
              <w:jc w:val="right"/>
              <w:rPr>
                <w:rFonts w:ascii="宋体" w:eastAsia="宋体" w:cs="宋体" w:hint="default"/>
                <w:sz w:val="18"/>
                <w:szCs w:val="18"/>
                <w:lang w:val="en-US" w:eastAsia="zh-CN"/>
              </w:rPr>
            </w:pPr>
            <w:r>
              <w:rPr>
                <w:rFonts w:ascii="宋体" w:cs="宋体" w:hint="eastAsia"/>
                <w:sz w:val="18"/>
                <w:szCs w:val="18"/>
                <w:lang w:val="en-US" w:eastAsia="zh-CN"/>
              </w:rPr>
              <w:t>1040000</w:t>
            </w:r>
          </w:p>
        </w:tc>
      </w:tr>
      <w:tr w14:paraId="4D052BC1">
        <w:tblPrEx>
          <w:tblW w:w="0" w:type="auto"/>
          <w:tblInd w:w="0" w:type="dxa"/>
          <w:tblLayout w:type="fixed"/>
        </w:tblPrEx>
        <w:trPr>
          <w:trHeight w:val="372"/>
        </w:trPr>
        <w:tc>
          <w:tcPr>
            <w:tcW w:w="1420" w:type="dxa"/>
            <w:gridSpan w:val="3"/>
            <w:vMerge/>
            <w:vAlign w:val="center"/>
          </w:tcPr>
          <w:p w14:paraId="56AEF530">
            <w:pPr>
              <w:spacing w:line="260" w:lineRule="exact"/>
              <w:jc w:val="center"/>
              <w:rPr>
                <w:rFonts w:ascii="宋体" w:cs="宋体"/>
                <w:sz w:val="18"/>
                <w:szCs w:val="18"/>
              </w:rPr>
            </w:pPr>
          </w:p>
        </w:tc>
        <w:tc>
          <w:tcPr>
            <w:tcW w:w="3297" w:type="dxa"/>
            <w:gridSpan w:val="2"/>
            <w:vAlign w:val="center"/>
          </w:tcPr>
          <w:p w14:paraId="5B44421B">
            <w:pPr>
              <w:spacing w:line="260" w:lineRule="exact"/>
              <w:jc w:val="left"/>
              <w:textAlignment w:val="center"/>
              <w:rPr>
                <w:rFonts w:ascii="宋体" w:cs="宋体"/>
                <w:sz w:val="18"/>
                <w:szCs w:val="18"/>
              </w:rPr>
            </w:pPr>
            <w:r>
              <w:rPr>
                <w:rFonts w:ascii="宋体" w:hAnsi="宋体" w:cs="宋体" w:hint="eastAsia"/>
                <w:color w:val="000000"/>
                <w:kern w:val="0"/>
                <w:sz w:val="18"/>
                <w:szCs w:val="18"/>
              </w:rPr>
              <w:t xml:space="preserve">   其中：财政拨款</w:t>
            </w:r>
          </w:p>
        </w:tc>
        <w:tc>
          <w:tcPr>
            <w:tcW w:w="4163" w:type="dxa"/>
            <w:gridSpan w:val="2"/>
            <w:vAlign w:val="center"/>
          </w:tcPr>
          <w:p w14:paraId="035091E0">
            <w:pPr>
              <w:spacing w:line="260" w:lineRule="exact"/>
              <w:jc w:val="right"/>
              <w:rPr>
                <w:rFonts w:ascii="宋体" w:eastAsia="宋体" w:cs="宋体" w:hint="default"/>
                <w:sz w:val="18"/>
                <w:szCs w:val="18"/>
                <w:lang w:val="en-US" w:eastAsia="zh-CN"/>
              </w:rPr>
            </w:pPr>
            <w:r>
              <w:rPr>
                <w:rFonts w:ascii="宋体" w:cs="宋体" w:hint="eastAsia"/>
                <w:sz w:val="18"/>
                <w:szCs w:val="18"/>
                <w:lang w:val="en-US" w:eastAsia="zh-CN"/>
              </w:rPr>
              <w:t>1040000</w:t>
            </w:r>
          </w:p>
        </w:tc>
      </w:tr>
      <w:tr w14:paraId="2D3E2756">
        <w:tblPrEx>
          <w:tblW w:w="0" w:type="auto"/>
          <w:tblInd w:w="0" w:type="dxa"/>
          <w:tblLayout w:type="fixed"/>
        </w:tblPrEx>
        <w:trPr>
          <w:trHeight w:val="372"/>
        </w:trPr>
        <w:tc>
          <w:tcPr>
            <w:tcW w:w="1420" w:type="dxa"/>
            <w:gridSpan w:val="3"/>
            <w:vMerge/>
            <w:vAlign w:val="center"/>
          </w:tcPr>
          <w:p w14:paraId="24A0D85F">
            <w:pPr>
              <w:spacing w:line="260" w:lineRule="exact"/>
              <w:jc w:val="center"/>
              <w:rPr>
                <w:rFonts w:ascii="宋体" w:cs="宋体"/>
                <w:sz w:val="18"/>
                <w:szCs w:val="18"/>
              </w:rPr>
            </w:pPr>
          </w:p>
        </w:tc>
        <w:tc>
          <w:tcPr>
            <w:tcW w:w="3297" w:type="dxa"/>
            <w:gridSpan w:val="2"/>
            <w:vAlign w:val="center"/>
          </w:tcPr>
          <w:p w14:paraId="6277185A">
            <w:pPr>
              <w:spacing w:line="260" w:lineRule="exact"/>
              <w:jc w:val="left"/>
              <w:textAlignment w:val="center"/>
              <w:rPr>
                <w:rFonts w:ascii="宋体" w:cs="宋体"/>
                <w:sz w:val="18"/>
                <w:szCs w:val="18"/>
              </w:rPr>
            </w:pPr>
            <w:r>
              <w:rPr>
                <w:rFonts w:ascii="宋体" w:hAnsi="宋体" w:cs="宋体" w:hint="eastAsia"/>
                <w:color w:val="000000"/>
                <w:kern w:val="0"/>
                <w:sz w:val="18"/>
                <w:szCs w:val="18"/>
              </w:rPr>
              <w:t xml:space="preserve">         上年结转</w:t>
            </w:r>
          </w:p>
        </w:tc>
        <w:tc>
          <w:tcPr>
            <w:tcW w:w="4163" w:type="dxa"/>
            <w:gridSpan w:val="2"/>
            <w:vAlign w:val="center"/>
          </w:tcPr>
          <w:p w14:paraId="30AD81C1">
            <w:pPr>
              <w:spacing w:line="260" w:lineRule="exact"/>
              <w:jc w:val="right"/>
              <w:rPr>
                <w:rFonts w:ascii="宋体" w:eastAsia="宋体" w:cs="宋体" w:hint="eastAsia"/>
                <w:sz w:val="18"/>
                <w:szCs w:val="18"/>
                <w:lang w:val="en-US" w:eastAsia="zh-CN"/>
              </w:rPr>
            </w:pPr>
            <w:r>
              <w:rPr>
                <w:rFonts w:ascii="宋体" w:cs="宋体" w:hint="eastAsia"/>
                <w:sz w:val="18"/>
                <w:szCs w:val="18"/>
                <w:lang w:val="en-US" w:eastAsia="zh-CN"/>
              </w:rPr>
              <w:t>0</w:t>
            </w:r>
          </w:p>
        </w:tc>
      </w:tr>
      <w:tr w14:paraId="015B8772">
        <w:tblPrEx>
          <w:tblW w:w="0" w:type="auto"/>
          <w:tblInd w:w="0" w:type="dxa"/>
          <w:tblLayout w:type="fixed"/>
        </w:tblPrEx>
        <w:trPr>
          <w:trHeight w:val="372"/>
        </w:trPr>
        <w:tc>
          <w:tcPr>
            <w:tcW w:w="1420" w:type="dxa"/>
            <w:gridSpan w:val="3"/>
            <w:vMerge/>
            <w:vAlign w:val="center"/>
          </w:tcPr>
          <w:p w14:paraId="790566B4">
            <w:pPr>
              <w:spacing w:line="260" w:lineRule="exact"/>
              <w:jc w:val="center"/>
              <w:rPr>
                <w:rFonts w:ascii="宋体" w:cs="宋体"/>
                <w:sz w:val="18"/>
                <w:szCs w:val="18"/>
              </w:rPr>
            </w:pPr>
          </w:p>
        </w:tc>
        <w:tc>
          <w:tcPr>
            <w:tcW w:w="3297" w:type="dxa"/>
            <w:gridSpan w:val="2"/>
            <w:vAlign w:val="center"/>
          </w:tcPr>
          <w:p w14:paraId="3B34E52E">
            <w:pPr>
              <w:spacing w:line="260" w:lineRule="exact"/>
              <w:jc w:val="left"/>
              <w:textAlignment w:val="center"/>
              <w:rPr>
                <w:rFonts w:ascii="宋体" w:cs="宋体"/>
                <w:sz w:val="18"/>
                <w:szCs w:val="18"/>
              </w:rPr>
            </w:pPr>
            <w:r>
              <w:rPr>
                <w:rFonts w:ascii="宋体" w:hAnsi="宋体" w:cs="宋体" w:hint="eastAsia"/>
                <w:color w:val="000000"/>
                <w:kern w:val="0"/>
                <w:sz w:val="18"/>
                <w:szCs w:val="18"/>
              </w:rPr>
              <w:t xml:space="preserve">         其他资金</w:t>
            </w:r>
          </w:p>
        </w:tc>
        <w:tc>
          <w:tcPr>
            <w:tcW w:w="4163" w:type="dxa"/>
            <w:gridSpan w:val="2"/>
            <w:vAlign w:val="center"/>
          </w:tcPr>
          <w:p w14:paraId="63AB6F6D">
            <w:pPr>
              <w:spacing w:line="260" w:lineRule="exact"/>
              <w:jc w:val="right"/>
              <w:rPr>
                <w:rFonts w:ascii="宋体" w:eastAsia="宋体" w:cs="宋体" w:hint="eastAsia"/>
                <w:sz w:val="18"/>
                <w:szCs w:val="18"/>
                <w:lang w:val="en-US" w:eastAsia="zh-CN"/>
              </w:rPr>
            </w:pPr>
            <w:r>
              <w:rPr>
                <w:rFonts w:ascii="宋体" w:cs="宋体" w:hint="eastAsia"/>
                <w:sz w:val="18"/>
                <w:szCs w:val="18"/>
                <w:lang w:val="en-US" w:eastAsia="zh-CN"/>
              </w:rPr>
              <w:t>0</w:t>
            </w:r>
          </w:p>
        </w:tc>
      </w:tr>
      <w:tr w14:paraId="0962BDAD">
        <w:tblPrEx>
          <w:tblW w:w="0" w:type="auto"/>
          <w:tblInd w:w="0" w:type="dxa"/>
          <w:tblLayout w:type="fixed"/>
        </w:tblPrEx>
        <w:trPr>
          <w:trHeight w:val="1214"/>
        </w:trPr>
        <w:tc>
          <w:tcPr>
            <w:tcW w:w="431" w:type="dxa"/>
            <w:vAlign w:val="center"/>
          </w:tcPr>
          <w:p w14:paraId="7BCC4FF8">
            <w:pPr>
              <w:spacing w:line="260" w:lineRule="exact"/>
              <w:jc w:val="center"/>
              <w:textAlignment w:val="center"/>
              <w:rPr>
                <w:rFonts w:ascii="宋体" w:cs="宋体"/>
                <w:sz w:val="18"/>
                <w:szCs w:val="18"/>
              </w:rPr>
            </w:pPr>
            <w:r>
              <w:rPr>
                <w:rFonts w:ascii="宋体" w:hAnsi="宋体" w:cs="宋体" w:hint="eastAsia"/>
                <w:color w:val="000000"/>
                <w:kern w:val="0"/>
                <w:sz w:val="18"/>
                <w:szCs w:val="18"/>
              </w:rPr>
              <w:t>年度</w:t>
            </w:r>
            <w:r>
              <w:rPr>
                <w:rFonts w:ascii="宋体" w:hAnsi="宋体" w:cs="宋体" w:hint="eastAsia"/>
                <w:color w:val="000000"/>
                <w:kern w:val="0"/>
                <w:sz w:val="18"/>
                <w:szCs w:val="18"/>
              </w:rPr>
              <w:br/>
            </w:r>
            <w:r>
              <w:rPr>
                <w:rFonts w:ascii="宋体" w:hAnsi="宋体" w:cs="宋体" w:hint="eastAsia"/>
                <w:color w:val="000000"/>
                <w:kern w:val="0"/>
                <w:sz w:val="18"/>
                <w:szCs w:val="18"/>
              </w:rPr>
              <w:t>目标</w:t>
            </w:r>
          </w:p>
        </w:tc>
        <w:tc>
          <w:tcPr>
            <w:tcW w:w="8449" w:type="dxa"/>
            <w:gridSpan w:val="6"/>
            <w:vAlign w:val="center"/>
          </w:tcPr>
          <w:p w14:paraId="476ADD46">
            <w:pPr>
              <w:spacing w:line="260" w:lineRule="exact"/>
              <w:jc w:val="left"/>
              <w:rPr>
                <w:rFonts w:ascii="宋体" w:cs="宋体"/>
                <w:sz w:val="18"/>
                <w:szCs w:val="18"/>
              </w:rPr>
            </w:pPr>
            <w:r>
              <w:rPr>
                <w:rFonts w:ascii="宋体" w:cs="宋体" w:hint="eastAsia"/>
                <w:sz w:val="18"/>
                <w:szCs w:val="18"/>
              </w:rPr>
              <w:t>县委组织部机关工作经费</w:t>
            </w:r>
          </w:p>
        </w:tc>
      </w:tr>
      <w:tr w14:paraId="2D250117">
        <w:tblPrEx>
          <w:tblW w:w="0" w:type="auto"/>
          <w:tblInd w:w="0" w:type="dxa"/>
          <w:tblLayout w:type="fixed"/>
        </w:tblPrEx>
        <w:trPr>
          <w:trHeight w:val="580"/>
        </w:trPr>
        <w:tc>
          <w:tcPr>
            <w:tcW w:w="431" w:type="dxa"/>
            <w:vMerge w:val="restart"/>
            <w:vAlign w:val="center"/>
          </w:tcPr>
          <w:p w14:paraId="524CDA5C">
            <w:pPr>
              <w:spacing w:line="260" w:lineRule="exact"/>
              <w:jc w:val="center"/>
              <w:textAlignment w:val="center"/>
              <w:rPr>
                <w:rFonts w:ascii="宋体" w:cs="宋体"/>
                <w:sz w:val="18"/>
                <w:szCs w:val="18"/>
              </w:rPr>
            </w:pPr>
            <w:r>
              <w:rPr>
                <w:rFonts w:ascii="宋体" w:hAnsi="宋体" w:cs="宋体" w:hint="eastAsia"/>
                <w:color w:val="000000"/>
                <w:kern w:val="0"/>
                <w:sz w:val="18"/>
                <w:szCs w:val="18"/>
              </w:rPr>
              <w:t>绩</w:t>
            </w:r>
            <w:r>
              <w:rPr>
                <w:rFonts w:ascii="宋体" w:hAnsi="宋体" w:cs="宋体" w:hint="eastAsia"/>
                <w:color w:val="000000"/>
                <w:kern w:val="0"/>
                <w:sz w:val="18"/>
                <w:szCs w:val="18"/>
              </w:rPr>
              <w:br/>
            </w:r>
            <w:r>
              <w:rPr>
                <w:rFonts w:ascii="宋体" w:hAnsi="宋体" w:cs="宋体" w:hint="eastAsia"/>
                <w:color w:val="000000"/>
                <w:kern w:val="0"/>
                <w:sz w:val="18"/>
                <w:szCs w:val="18"/>
              </w:rPr>
              <w:t>效</w:t>
            </w:r>
            <w:r>
              <w:rPr>
                <w:rFonts w:ascii="宋体" w:hAnsi="宋体" w:cs="宋体" w:hint="eastAsia"/>
                <w:color w:val="000000"/>
                <w:kern w:val="0"/>
                <w:sz w:val="18"/>
                <w:szCs w:val="18"/>
              </w:rPr>
              <w:br/>
            </w:r>
            <w:r>
              <w:rPr>
                <w:rFonts w:ascii="宋体" w:hAnsi="宋体" w:cs="宋体" w:hint="eastAsia"/>
                <w:color w:val="000000"/>
                <w:kern w:val="0"/>
                <w:sz w:val="18"/>
                <w:szCs w:val="18"/>
              </w:rPr>
              <w:t>指</w:t>
            </w:r>
            <w:r>
              <w:rPr>
                <w:rFonts w:ascii="宋体" w:hAnsi="宋体" w:cs="宋体" w:hint="eastAsia"/>
                <w:color w:val="000000"/>
                <w:kern w:val="0"/>
                <w:sz w:val="18"/>
                <w:szCs w:val="18"/>
              </w:rPr>
              <w:br/>
            </w:r>
            <w:r>
              <w:rPr>
                <w:rFonts w:ascii="宋体" w:hAnsi="宋体" w:cs="宋体" w:hint="eastAsia"/>
                <w:color w:val="000000"/>
                <w:kern w:val="0"/>
                <w:sz w:val="18"/>
                <w:szCs w:val="18"/>
              </w:rPr>
              <w:t>标</w:t>
            </w:r>
          </w:p>
        </w:tc>
        <w:tc>
          <w:tcPr>
            <w:tcW w:w="711" w:type="dxa"/>
            <w:vAlign w:val="center"/>
          </w:tcPr>
          <w:p w14:paraId="546ECC44">
            <w:pPr>
              <w:spacing w:line="260" w:lineRule="exact"/>
              <w:jc w:val="center"/>
              <w:textAlignment w:val="center"/>
              <w:rPr>
                <w:rFonts w:ascii="宋体" w:cs="宋体"/>
                <w:sz w:val="18"/>
                <w:szCs w:val="18"/>
              </w:rPr>
            </w:pPr>
            <w:r>
              <w:rPr>
                <w:rFonts w:ascii="宋体" w:hAnsi="宋体" w:cs="宋体" w:hint="eastAsia"/>
                <w:color w:val="000000"/>
                <w:kern w:val="0"/>
                <w:sz w:val="18"/>
                <w:szCs w:val="18"/>
              </w:rPr>
              <w:t>一级</w:t>
            </w:r>
            <w:r>
              <w:rPr>
                <w:rFonts w:ascii="宋体" w:hAnsi="宋体" w:cs="宋体" w:hint="eastAsia"/>
                <w:color w:val="000000"/>
                <w:kern w:val="0"/>
                <w:sz w:val="18"/>
                <w:szCs w:val="18"/>
              </w:rPr>
              <w:br/>
            </w:r>
            <w:r>
              <w:rPr>
                <w:rFonts w:ascii="宋体" w:hAnsi="宋体" w:cs="宋体" w:hint="eastAsia"/>
                <w:color w:val="000000"/>
                <w:kern w:val="0"/>
                <w:sz w:val="18"/>
                <w:szCs w:val="18"/>
              </w:rPr>
              <w:t>指标</w:t>
            </w:r>
          </w:p>
        </w:tc>
        <w:tc>
          <w:tcPr>
            <w:tcW w:w="747" w:type="dxa"/>
            <w:gridSpan w:val="2"/>
            <w:vAlign w:val="center"/>
          </w:tcPr>
          <w:p w14:paraId="7A3B0B38">
            <w:pPr>
              <w:spacing w:line="260" w:lineRule="exact"/>
              <w:jc w:val="center"/>
              <w:textAlignment w:val="center"/>
              <w:rPr>
                <w:rFonts w:ascii="宋体" w:cs="宋体"/>
                <w:sz w:val="18"/>
                <w:szCs w:val="18"/>
              </w:rPr>
            </w:pPr>
            <w:r>
              <w:rPr>
                <w:rFonts w:ascii="宋体" w:hAnsi="宋体" w:cs="宋体" w:hint="eastAsia"/>
                <w:color w:val="000000"/>
                <w:kern w:val="0"/>
                <w:sz w:val="18"/>
                <w:szCs w:val="18"/>
              </w:rPr>
              <w:t>二级指标</w:t>
            </w:r>
          </w:p>
        </w:tc>
        <w:tc>
          <w:tcPr>
            <w:tcW w:w="2828" w:type="dxa"/>
            <w:vAlign w:val="center"/>
          </w:tcPr>
          <w:p w14:paraId="2DE92B63">
            <w:pPr>
              <w:spacing w:line="260" w:lineRule="exact"/>
              <w:jc w:val="center"/>
              <w:textAlignment w:val="center"/>
              <w:rPr>
                <w:rFonts w:ascii="宋体" w:cs="宋体"/>
                <w:sz w:val="18"/>
                <w:szCs w:val="18"/>
              </w:rPr>
            </w:pPr>
            <w:r>
              <w:rPr>
                <w:rFonts w:ascii="宋体" w:hAnsi="宋体" w:cs="宋体" w:hint="eastAsia"/>
                <w:color w:val="000000"/>
                <w:kern w:val="0"/>
                <w:sz w:val="18"/>
                <w:szCs w:val="18"/>
              </w:rPr>
              <w:t>三级指标</w:t>
            </w:r>
          </w:p>
        </w:tc>
        <w:tc>
          <w:tcPr>
            <w:tcW w:w="4163" w:type="dxa"/>
            <w:gridSpan w:val="2"/>
            <w:vAlign w:val="center"/>
          </w:tcPr>
          <w:p w14:paraId="1C43D13D">
            <w:pPr>
              <w:spacing w:line="260" w:lineRule="exact"/>
              <w:jc w:val="center"/>
              <w:textAlignment w:val="center"/>
              <w:rPr>
                <w:rFonts w:ascii="宋体" w:cs="宋体"/>
                <w:sz w:val="18"/>
                <w:szCs w:val="18"/>
              </w:rPr>
            </w:pPr>
            <w:r>
              <w:rPr>
                <w:rFonts w:ascii="宋体" w:hAnsi="宋体" w:cs="宋体" w:hint="eastAsia"/>
                <w:color w:val="000000"/>
                <w:kern w:val="0"/>
                <w:sz w:val="18"/>
                <w:szCs w:val="18"/>
              </w:rPr>
              <w:t>指标值</w:t>
            </w:r>
          </w:p>
        </w:tc>
      </w:tr>
      <w:tr w14:paraId="44577FAF">
        <w:tblPrEx>
          <w:tblW w:w="0" w:type="auto"/>
          <w:tblInd w:w="0" w:type="dxa"/>
          <w:tblLayout w:type="fixed"/>
        </w:tblPrEx>
        <w:trPr>
          <w:trHeight w:val="408"/>
        </w:trPr>
        <w:tc>
          <w:tcPr>
            <w:tcW w:w="431" w:type="dxa"/>
            <w:vMerge/>
            <w:vAlign w:val="center"/>
          </w:tcPr>
          <w:p w14:paraId="32116CB7">
            <w:pPr>
              <w:spacing w:line="260" w:lineRule="exact"/>
              <w:jc w:val="center"/>
              <w:rPr>
                <w:rFonts w:ascii="宋体" w:cs="宋体"/>
                <w:sz w:val="18"/>
                <w:szCs w:val="18"/>
              </w:rPr>
            </w:pPr>
          </w:p>
        </w:tc>
        <w:tc>
          <w:tcPr>
            <w:tcW w:w="711" w:type="dxa"/>
            <w:vMerge w:val="restart"/>
            <w:vAlign w:val="center"/>
          </w:tcPr>
          <w:p w14:paraId="6EA44B86">
            <w:pPr>
              <w:spacing w:line="260" w:lineRule="exact"/>
              <w:jc w:val="center"/>
              <w:textAlignment w:val="center"/>
              <w:rPr>
                <w:rFonts w:ascii="宋体" w:cs="宋体"/>
                <w:sz w:val="18"/>
                <w:szCs w:val="18"/>
              </w:rPr>
            </w:pPr>
            <w:r>
              <w:rPr>
                <w:rFonts w:ascii="宋体" w:hAnsi="宋体" w:cs="宋体" w:hint="eastAsia"/>
                <w:color w:val="000000"/>
                <w:kern w:val="0"/>
                <w:sz w:val="18"/>
                <w:szCs w:val="18"/>
              </w:rPr>
              <w:t>产出指标</w:t>
            </w:r>
          </w:p>
        </w:tc>
        <w:tc>
          <w:tcPr>
            <w:tcW w:w="747" w:type="dxa"/>
            <w:gridSpan w:val="2"/>
            <w:vMerge w:val="restart"/>
            <w:vAlign w:val="center"/>
          </w:tcPr>
          <w:p w14:paraId="55A23801">
            <w:pPr>
              <w:spacing w:line="260" w:lineRule="exact"/>
              <w:jc w:val="both"/>
              <w:textAlignment w:val="center"/>
              <w:rPr>
                <w:rFonts w:ascii="宋体" w:cs="宋体"/>
                <w:sz w:val="18"/>
                <w:szCs w:val="18"/>
              </w:rPr>
            </w:pPr>
            <w:r>
              <w:rPr>
                <w:rFonts w:ascii="宋体" w:cs="宋体" w:hint="eastAsia"/>
                <w:sz w:val="18"/>
                <w:szCs w:val="18"/>
              </w:rPr>
              <w:t>数量指标</w:t>
            </w:r>
          </w:p>
        </w:tc>
        <w:tc>
          <w:tcPr>
            <w:tcW w:w="2828" w:type="dxa"/>
            <w:vAlign w:val="center"/>
          </w:tcPr>
          <w:p w14:paraId="32127ECD">
            <w:pPr>
              <w:spacing w:line="260" w:lineRule="exact"/>
              <w:jc w:val="left"/>
              <w:textAlignment w:val="center"/>
              <w:rPr>
                <w:rFonts w:ascii="宋体" w:cs="宋体"/>
                <w:sz w:val="18"/>
                <w:szCs w:val="18"/>
              </w:rPr>
            </w:pPr>
            <w:r>
              <w:rPr>
                <w:rFonts w:ascii="宋体" w:hAnsi="宋体" w:cs="宋体" w:hint="eastAsia"/>
                <w:color w:val="000000"/>
                <w:kern w:val="0"/>
                <w:sz w:val="18"/>
                <w:szCs w:val="18"/>
              </w:rPr>
              <w:t>党报党刊等党建宣传教育资料</w:t>
            </w:r>
          </w:p>
        </w:tc>
        <w:tc>
          <w:tcPr>
            <w:tcW w:w="4163" w:type="dxa"/>
            <w:gridSpan w:val="2"/>
            <w:vAlign w:val="center"/>
          </w:tcPr>
          <w:p w14:paraId="6B18B350">
            <w:pPr>
              <w:spacing w:line="260" w:lineRule="exact"/>
              <w:jc w:val="center"/>
              <w:rPr>
                <w:rFonts w:ascii="宋体" w:cs="宋体"/>
                <w:sz w:val="18"/>
                <w:szCs w:val="18"/>
              </w:rPr>
            </w:pPr>
            <w:r>
              <w:rPr>
                <w:rFonts w:ascii="宋体" w:cs="宋体" w:hint="eastAsia"/>
                <w:sz w:val="18"/>
                <w:szCs w:val="18"/>
              </w:rPr>
              <w:t>≥1000份</w:t>
            </w:r>
          </w:p>
        </w:tc>
      </w:tr>
      <w:tr w14:paraId="29888C5E">
        <w:tblPrEx>
          <w:tblW w:w="0" w:type="auto"/>
          <w:tblInd w:w="0" w:type="dxa"/>
          <w:tblLayout w:type="fixed"/>
        </w:tblPrEx>
        <w:trPr>
          <w:trHeight w:val="408"/>
        </w:trPr>
        <w:tc>
          <w:tcPr>
            <w:tcW w:w="431" w:type="dxa"/>
            <w:vMerge/>
            <w:vAlign w:val="center"/>
          </w:tcPr>
          <w:p w14:paraId="6ACF9D6D">
            <w:pPr>
              <w:spacing w:line="260" w:lineRule="exact"/>
              <w:jc w:val="center"/>
              <w:rPr>
                <w:rFonts w:ascii="宋体" w:cs="宋体"/>
                <w:sz w:val="18"/>
                <w:szCs w:val="18"/>
              </w:rPr>
            </w:pPr>
          </w:p>
        </w:tc>
        <w:tc>
          <w:tcPr>
            <w:tcW w:w="711" w:type="dxa"/>
            <w:vMerge/>
            <w:vAlign w:val="center"/>
          </w:tcPr>
          <w:p w14:paraId="3851D747">
            <w:pPr>
              <w:spacing w:line="260" w:lineRule="exact"/>
              <w:jc w:val="center"/>
              <w:rPr>
                <w:rFonts w:ascii="宋体" w:cs="宋体"/>
                <w:sz w:val="18"/>
                <w:szCs w:val="18"/>
              </w:rPr>
            </w:pPr>
          </w:p>
        </w:tc>
        <w:tc>
          <w:tcPr>
            <w:tcW w:w="747" w:type="dxa"/>
            <w:gridSpan w:val="2"/>
            <w:vMerge/>
            <w:vAlign w:val="center"/>
          </w:tcPr>
          <w:p w14:paraId="33358A61">
            <w:pPr>
              <w:spacing w:line="260" w:lineRule="exact"/>
              <w:jc w:val="center"/>
              <w:rPr>
                <w:rFonts w:ascii="宋体" w:cs="宋体"/>
                <w:sz w:val="18"/>
                <w:szCs w:val="18"/>
              </w:rPr>
            </w:pPr>
          </w:p>
        </w:tc>
        <w:tc>
          <w:tcPr>
            <w:tcW w:w="2828" w:type="dxa"/>
            <w:vAlign w:val="center"/>
          </w:tcPr>
          <w:p w14:paraId="0FC46F69">
            <w:pPr>
              <w:spacing w:line="260" w:lineRule="exact"/>
              <w:jc w:val="left"/>
              <w:textAlignment w:val="center"/>
              <w:rPr>
                <w:rFonts w:ascii="宋体" w:cs="宋体"/>
                <w:sz w:val="18"/>
                <w:szCs w:val="18"/>
              </w:rPr>
            </w:pPr>
            <w:r>
              <w:rPr>
                <w:rFonts w:ascii="汉仪中秀体简" w:eastAsia="汉仪中秀体简" w:hAnsi="汉仪中秀体简" w:cs="汉仪中秀体简" w:hint="eastAsia"/>
                <w:color w:val="000000"/>
                <w:kern w:val="0"/>
                <w:sz w:val="18"/>
                <w:szCs w:val="18"/>
              </w:rPr>
              <w:t>党员培训次数</w:t>
            </w:r>
          </w:p>
        </w:tc>
        <w:tc>
          <w:tcPr>
            <w:tcW w:w="4163" w:type="dxa"/>
            <w:gridSpan w:val="2"/>
            <w:vAlign w:val="center"/>
          </w:tcPr>
          <w:p w14:paraId="712C505D">
            <w:pPr>
              <w:spacing w:line="260" w:lineRule="exact"/>
              <w:jc w:val="center"/>
              <w:rPr>
                <w:rFonts w:ascii="宋体" w:cs="宋体"/>
                <w:sz w:val="18"/>
                <w:szCs w:val="18"/>
              </w:rPr>
            </w:pPr>
            <w:r>
              <w:rPr>
                <w:rFonts w:ascii="宋体" w:cs="宋体" w:hint="eastAsia"/>
                <w:sz w:val="18"/>
                <w:szCs w:val="18"/>
              </w:rPr>
              <w:t>≥20次</w:t>
            </w:r>
          </w:p>
        </w:tc>
      </w:tr>
      <w:tr w14:paraId="0AA0C257">
        <w:tblPrEx>
          <w:tblW w:w="0" w:type="auto"/>
          <w:tblInd w:w="0" w:type="dxa"/>
          <w:tblLayout w:type="fixed"/>
        </w:tblPrEx>
        <w:trPr>
          <w:trHeight w:val="408"/>
        </w:trPr>
        <w:tc>
          <w:tcPr>
            <w:tcW w:w="431" w:type="dxa"/>
            <w:vMerge/>
            <w:vAlign w:val="center"/>
          </w:tcPr>
          <w:p w14:paraId="7A816E65">
            <w:pPr>
              <w:spacing w:line="260" w:lineRule="exact"/>
              <w:jc w:val="center"/>
              <w:rPr>
                <w:rFonts w:ascii="宋体" w:cs="宋体"/>
                <w:sz w:val="18"/>
                <w:szCs w:val="18"/>
              </w:rPr>
            </w:pPr>
          </w:p>
        </w:tc>
        <w:tc>
          <w:tcPr>
            <w:tcW w:w="711" w:type="dxa"/>
            <w:vMerge/>
            <w:vAlign w:val="center"/>
          </w:tcPr>
          <w:p w14:paraId="5CC08C72">
            <w:pPr>
              <w:spacing w:line="260" w:lineRule="exact"/>
              <w:jc w:val="center"/>
              <w:rPr>
                <w:rFonts w:ascii="宋体" w:cs="宋体"/>
                <w:sz w:val="18"/>
                <w:szCs w:val="18"/>
              </w:rPr>
            </w:pPr>
          </w:p>
        </w:tc>
        <w:tc>
          <w:tcPr>
            <w:tcW w:w="747" w:type="dxa"/>
            <w:gridSpan w:val="2"/>
            <w:vMerge/>
            <w:vAlign w:val="center"/>
          </w:tcPr>
          <w:p w14:paraId="5E0F0AEE">
            <w:pPr>
              <w:spacing w:line="260" w:lineRule="exact"/>
              <w:jc w:val="both"/>
              <w:rPr>
                <w:rFonts w:ascii="宋体" w:cs="宋体"/>
                <w:sz w:val="18"/>
                <w:szCs w:val="18"/>
              </w:rPr>
            </w:pPr>
          </w:p>
        </w:tc>
        <w:tc>
          <w:tcPr>
            <w:tcW w:w="2828" w:type="dxa"/>
            <w:vAlign w:val="center"/>
          </w:tcPr>
          <w:p w14:paraId="78B9D727">
            <w:pPr>
              <w:spacing w:line="260" w:lineRule="exact"/>
              <w:jc w:val="left"/>
              <w:textAlignment w:val="center"/>
              <w:rPr>
                <w:rFonts w:ascii="汉仪中秀体简" w:eastAsia="汉仪中秀体简" w:hAnsi="汉仪中秀体简" w:cs="汉仪中秀体简"/>
                <w:color w:val="000000"/>
                <w:kern w:val="0"/>
                <w:sz w:val="18"/>
                <w:szCs w:val="18"/>
              </w:rPr>
            </w:pPr>
            <w:r>
              <w:rPr>
                <w:rFonts w:ascii="汉仪中秀体简" w:eastAsia="汉仪中秀体简" w:hAnsi="汉仪中秀体简" w:cs="汉仪中秀体简" w:hint="eastAsia"/>
                <w:color w:val="000000"/>
                <w:kern w:val="0"/>
                <w:sz w:val="18"/>
                <w:szCs w:val="18"/>
              </w:rPr>
              <w:t>上级交办工作完成率</w:t>
            </w:r>
          </w:p>
        </w:tc>
        <w:tc>
          <w:tcPr>
            <w:tcW w:w="4163" w:type="dxa"/>
            <w:gridSpan w:val="2"/>
            <w:vAlign w:val="center"/>
          </w:tcPr>
          <w:p w14:paraId="0324E9C0">
            <w:pPr>
              <w:spacing w:line="260" w:lineRule="exact"/>
              <w:jc w:val="center"/>
              <w:rPr>
                <w:rFonts w:ascii="宋体" w:cs="宋体"/>
                <w:sz w:val="18"/>
                <w:szCs w:val="18"/>
              </w:rPr>
            </w:pPr>
            <w:r>
              <w:rPr>
                <w:rFonts w:ascii="宋体" w:cs="宋体" w:hint="eastAsia"/>
                <w:sz w:val="18"/>
                <w:szCs w:val="18"/>
              </w:rPr>
              <w:t>100%</w:t>
            </w:r>
          </w:p>
        </w:tc>
      </w:tr>
      <w:tr w14:paraId="5AC90E55">
        <w:tblPrEx>
          <w:tblW w:w="0" w:type="auto"/>
          <w:tblInd w:w="0" w:type="dxa"/>
          <w:tblLayout w:type="fixed"/>
        </w:tblPrEx>
        <w:trPr>
          <w:trHeight w:val="408"/>
        </w:trPr>
        <w:tc>
          <w:tcPr>
            <w:tcW w:w="431" w:type="dxa"/>
            <w:vMerge/>
            <w:vAlign w:val="center"/>
          </w:tcPr>
          <w:p w14:paraId="58173394">
            <w:pPr>
              <w:spacing w:line="260" w:lineRule="exact"/>
              <w:jc w:val="center"/>
              <w:rPr>
                <w:rFonts w:ascii="宋体" w:cs="宋体"/>
                <w:sz w:val="18"/>
                <w:szCs w:val="18"/>
              </w:rPr>
            </w:pPr>
          </w:p>
        </w:tc>
        <w:tc>
          <w:tcPr>
            <w:tcW w:w="711" w:type="dxa"/>
            <w:vMerge/>
            <w:vAlign w:val="center"/>
          </w:tcPr>
          <w:p w14:paraId="237297F4">
            <w:pPr>
              <w:spacing w:line="260" w:lineRule="exact"/>
              <w:jc w:val="center"/>
              <w:rPr>
                <w:rFonts w:ascii="宋体" w:cs="宋体"/>
                <w:sz w:val="18"/>
                <w:szCs w:val="18"/>
              </w:rPr>
            </w:pPr>
          </w:p>
        </w:tc>
        <w:tc>
          <w:tcPr>
            <w:tcW w:w="747" w:type="dxa"/>
            <w:gridSpan w:val="2"/>
            <w:vMerge/>
            <w:vAlign w:val="center"/>
          </w:tcPr>
          <w:p w14:paraId="2307D424">
            <w:pPr>
              <w:spacing w:line="260" w:lineRule="exact"/>
              <w:jc w:val="both"/>
              <w:textAlignment w:val="center"/>
              <w:rPr>
                <w:rFonts w:ascii="宋体" w:cs="宋体"/>
                <w:sz w:val="18"/>
                <w:szCs w:val="18"/>
              </w:rPr>
            </w:pPr>
          </w:p>
        </w:tc>
        <w:tc>
          <w:tcPr>
            <w:tcW w:w="2828" w:type="dxa"/>
            <w:vAlign w:val="center"/>
          </w:tcPr>
          <w:p w14:paraId="0D03896E">
            <w:pPr>
              <w:spacing w:line="260" w:lineRule="exact"/>
              <w:jc w:val="left"/>
              <w:textAlignment w:val="center"/>
              <w:rPr>
                <w:rFonts w:ascii="宋体" w:cs="宋体"/>
                <w:sz w:val="18"/>
                <w:szCs w:val="18"/>
              </w:rPr>
            </w:pPr>
            <w:r>
              <w:rPr>
                <w:rFonts w:ascii="宋体" w:hAnsi="宋体" w:cs="宋体" w:hint="eastAsia"/>
                <w:color w:val="000000"/>
                <w:kern w:val="0"/>
                <w:sz w:val="18"/>
                <w:szCs w:val="18"/>
              </w:rPr>
              <w:t>审批工作完成率</w:t>
            </w:r>
          </w:p>
        </w:tc>
        <w:tc>
          <w:tcPr>
            <w:tcW w:w="4163" w:type="dxa"/>
            <w:gridSpan w:val="2"/>
            <w:vAlign w:val="center"/>
          </w:tcPr>
          <w:p w14:paraId="0E50A660">
            <w:pPr>
              <w:spacing w:line="260" w:lineRule="exact"/>
              <w:jc w:val="center"/>
              <w:rPr>
                <w:rFonts w:ascii="宋体" w:cs="宋体"/>
                <w:sz w:val="18"/>
                <w:szCs w:val="18"/>
              </w:rPr>
            </w:pPr>
            <w:r>
              <w:rPr>
                <w:rFonts w:ascii="宋体" w:cs="宋体" w:hint="eastAsia"/>
                <w:sz w:val="18"/>
                <w:szCs w:val="18"/>
              </w:rPr>
              <w:t>100%</w:t>
            </w:r>
          </w:p>
        </w:tc>
      </w:tr>
      <w:tr w14:paraId="55E78C3E">
        <w:tblPrEx>
          <w:tblW w:w="0" w:type="auto"/>
          <w:tblInd w:w="0" w:type="dxa"/>
          <w:tblLayout w:type="fixed"/>
        </w:tblPrEx>
        <w:trPr>
          <w:trHeight w:val="408"/>
        </w:trPr>
        <w:tc>
          <w:tcPr>
            <w:tcW w:w="431" w:type="dxa"/>
            <w:vMerge/>
            <w:vAlign w:val="center"/>
          </w:tcPr>
          <w:p w14:paraId="4899C867">
            <w:pPr>
              <w:spacing w:line="260" w:lineRule="exact"/>
              <w:jc w:val="center"/>
              <w:rPr>
                <w:rFonts w:ascii="宋体" w:cs="宋体"/>
                <w:sz w:val="18"/>
                <w:szCs w:val="18"/>
              </w:rPr>
            </w:pPr>
          </w:p>
        </w:tc>
        <w:tc>
          <w:tcPr>
            <w:tcW w:w="711" w:type="dxa"/>
            <w:vMerge/>
            <w:vAlign w:val="center"/>
          </w:tcPr>
          <w:p w14:paraId="0526F270">
            <w:pPr>
              <w:spacing w:line="260" w:lineRule="exact"/>
              <w:jc w:val="center"/>
              <w:rPr>
                <w:rFonts w:ascii="宋体" w:cs="宋体"/>
                <w:sz w:val="18"/>
                <w:szCs w:val="18"/>
              </w:rPr>
            </w:pPr>
          </w:p>
        </w:tc>
        <w:tc>
          <w:tcPr>
            <w:tcW w:w="747" w:type="dxa"/>
            <w:gridSpan w:val="2"/>
            <w:vMerge/>
            <w:vAlign w:val="center"/>
          </w:tcPr>
          <w:p w14:paraId="73DBDEED">
            <w:pPr>
              <w:spacing w:line="260" w:lineRule="exact"/>
              <w:jc w:val="center"/>
              <w:rPr>
                <w:rFonts w:ascii="宋体" w:cs="宋体"/>
                <w:sz w:val="18"/>
                <w:szCs w:val="18"/>
              </w:rPr>
            </w:pPr>
          </w:p>
        </w:tc>
        <w:tc>
          <w:tcPr>
            <w:tcW w:w="2828" w:type="dxa"/>
            <w:vAlign w:val="center"/>
          </w:tcPr>
          <w:p w14:paraId="6289495E">
            <w:pPr>
              <w:spacing w:line="260" w:lineRule="exact"/>
              <w:jc w:val="left"/>
              <w:textAlignment w:val="center"/>
              <w:rPr>
                <w:rFonts w:ascii="宋体" w:cs="宋体"/>
                <w:sz w:val="18"/>
                <w:szCs w:val="18"/>
              </w:rPr>
            </w:pPr>
            <w:r>
              <w:rPr>
                <w:rFonts w:ascii="汉仪中秀体简" w:eastAsia="汉仪中秀体简" w:hAnsi="汉仪中秀体简" w:cs="汉仪中秀体简" w:hint="eastAsia"/>
                <w:color w:val="000000"/>
                <w:kern w:val="0"/>
                <w:sz w:val="18"/>
                <w:szCs w:val="18"/>
              </w:rPr>
              <w:t>公务接待</w:t>
            </w:r>
          </w:p>
        </w:tc>
        <w:tc>
          <w:tcPr>
            <w:tcW w:w="4163" w:type="dxa"/>
            <w:gridSpan w:val="2"/>
            <w:vAlign w:val="center"/>
          </w:tcPr>
          <w:p w14:paraId="31BF89AD">
            <w:pPr>
              <w:spacing w:line="260" w:lineRule="exact"/>
              <w:jc w:val="center"/>
              <w:rPr>
                <w:rFonts w:ascii="宋体" w:cs="宋体"/>
                <w:sz w:val="18"/>
                <w:szCs w:val="18"/>
              </w:rPr>
            </w:pPr>
            <w:r>
              <w:rPr>
                <w:rFonts w:ascii="宋体" w:cs="宋体" w:hint="eastAsia"/>
                <w:sz w:val="18"/>
                <w:szCs w:val="18"/>
              </w:rPr>
              <w:t>≥10次</w:t>
            </w:r>
          </w:p>
        </w:tc>
      </w:tr>
      <w:tr w14:paraId="1FEACC82">
        <w:tblPrEx>
          <w:tblW w:w="0" w:type="auto"/>
          <w:tblInd w:w="0" w:type="dxa"/>
          <w:tblLayout w:type="fixed"/>
        </w:tblPrEx>
        <w:trPr>
          <w:trHeight w:val="580"/>
        </w:trPr>
        <w:tc>
          <w:tcPr>
            <w:tcW w:w="431" w:type="dxa"/>
            <w:vMerge/>
            <w:vAlign w:val="center"/>
          </w:tcPr>
          <w:p w14:paraId="37255BAE">
            <w:pPr>
              <w:spacing w:line="260" w:lineRule="exact"/>
              <w:jc w:val="center"/>
              <w:rPr>
                <w:rFonts w:ascii="宋体" w:cs="宋体"/>
                <w:sz w:val="18"/>
                <w:szCs w:val="18"/>
              </w:rPr>
            </w:pPr>
          </w:p>
        </w:tc>
        <w:tc>
          <w:tcPr>
            <w:tcW w:w="711" w:type="dxa"/>
            <w:vMerge/>
            <w:vAlign w:val="center"/>
          </w:tcPr>
          <w:p w14:paraId="2EE0872D">
            <w:pPr>
              <w:spacing w:line="260" w:lineRule="exact"/>
              <w:jc w:val="center"/>
              <w:rPr>
                <w:rFonts w:ascii="宋体" w:cs="宋体"/>
                <w:sz w:val="18"/>
                <w:szCs w:val="18"/>
              </w:rPr>
            </w:pPr>
          </w:p>
        </w:tc>
        <w:tc>
          <w:tcPr>
            <w:tcW w:w="747" w:type="dxa"/>
            <w:gridSpan w:val="2"/>
            <w:vMerge/>
            <w:vAlign w:val="center"/>
          </w:tcPr>
          <w:p w14:paraId="3008C28E">
            <w:pPr>
              <w:spacing w:line="260" w:lineRule="exact"/>
              <w:jc w:val="both"/>
              <w:textAlignment w:val="center"/>
              <w:rPr>
                <w:rFonts w:ascii="宋体" w:cs="宋体"/>
                <w:sz w:val="18"/>
                <w:szCs w:val="18"/>
              </w:rPr>
            </w:pPr>
          </w:p>
        </w:tc>
        <w:tc>
          <w:tcPr>
            <w:tcW w:w="2828" w:type="dxa"/>
            <w:vAlign w:val="center"/>
          </w:tcPr>
          <w:p w14:paraId="4CA943A9">
            <w:pPr>
              <w:spacing w:line="260" w:lineRule="exact"/>
              <w:jc w:val="left"/>
              <w:textAlignment w:val="center"/>
              <w:rPr>
                <w:rFonts w:ascii="宋体" w:cs="宋体"/>
                <w:sz w:val="18"/>
                <w:szCs w:val="18"/>
              </w:rPr>
            </w:pPr>
            <w:r>
              <w:rPr>
                <w:rFonts w:ascii="宋体" w:hAnsi="宋体" w:cs="宋体" w:hint="eastAsia"/>
                <w:color w:val="000000"/>
                <w:kern w:val="0"/>
                <w:sz w:val="18"/>
                <w:szCs w:val="18"/>
              </w:rPr>
              <w:t>走访慰问离退休干部及遗属、困难党员</w:t>
            </w:r>
          </w:p>
        </w:tc>
        <w:tc>
          <w:tcPr>
            <w:tcW w:w="4163" w:type="dxa"/>
            <w:gridSpan w:val="2"/>
            <w:vAlign w:val="center"/>
          </w:tcPr>
          <w:p w14:paraId="58865497">
            <w:pPr>
              <w:spacing w:line="260" w:lineRule="exact"/>
              <w:jc w:val="center"/>
              <w:rPr>
                <w:rFonts w:ascii="宋体" w:cs="宋体"/>
                <w:sz w:val="18"/>
                <w:szCs w:val="18"/>
              </w:rPr>
            </w:pPr>
            <w:r>
              <w:rPr>
                <w:rFonts w:ascii="宋体" w:cs="宋体" w:hint="eastAsia"/>
                <w:sz w:val="18"/>
                <w:szCs w:val="18"/>
              </w:rPr>
              <w:t>≥1次</w:t>
            </w:r>
          </w:p>
        </w:tc>
      </w:tr>
      <w:tr w14:paraId="1AA408D1">
        <w:tblPrEx>
          <w:tblW w:w="0" w:type="auto"/>
          <w:tblInd w:w="0" w:type="dxa"/>
          <w:tblLayout w:type="fixed"/>
        </w:tblPrEx>
        <w:trPr>
          <w:trHeight w:val="408"/>
        </w:trPr>
        <w:tc>
          <w:tcPr>
            <w:tcW w:w="431" w:type="dxa"/>
            <w:vMerge/>
            <w:vAlign w:val="center"/>
          </w:tcPr>
          <w:p w14:paraId="7324ECB0">
            <w:pPr>
              <w:spacing w:line="260" w:lineRule="exact"/>
              <w:jc w:val="center"/>
              <w:rPr>
                <w:rFonts w:ascii="宋体" w:cs="宋体"/>
                <w:sz w:val="18"/>
                <w:szCs w:val="18"/>
              </w:rPr>
            </w:pPr>
          </w:p>
        </w:tc>
        <w:tc>
          <w:tcPr>
            <w:tcW w:w="711" w:type="dxa"/>
            <w:vMerge/>
            <w:vAlign w:val="center"/>
          </w:tcPr>
          <w:p w14:paraId="41BDA170">
            <w:pPr>
              <w:spacing w:line="260" w:lineRule="exact"/>
              <w:jc w:val="center"/>
              <w:rPr>
                <w:rFonts w:ascii="宋体" w:cs="宋体"/>
                <w:sz w:val="18"/>
                <w:szCs w:val="18"/>
              </w:rPr>
            </w:pPr>
          </w:p>
        </w:tc>
        <w:tc>
          <w:tcPr>
            <w:tcW w:w="747" w:type="dxa"/>
            <w:gridSpan w:val="2"/>
            <w:vMerge/>
            <w:vAlign w:val="center"/>
          </w:tcPr>
          <w:p w14:paraId="3D677D4F">
            <w:pPr>
              <w:spacing w:line="260" w:lineRule="exact"/>
              <w:jc w:val="center"/>
              <w:rPr>
                <w:rFonts w:ascii="宋体" w:cs="宋体"/>
                <w:sz w:val="18"/>
                <w:szCs w:val="18"/>
              </w:rPr>
            </w:pPr>
          </w:p>
        </w:tc>
        <w:tc>
          <w:tcPr>
            <w:tcW w:w="2828" w:type="dxa"/>
            <w:vAlign w:val="center"/>
          </w:tcPr>
          <w:p w14:paraId="15B479E3">
            <w:pPr>
              <w:spacing w:line="260" w:lineRule="exact"/>
              <w:jc w:val="left"/>
              <w:textAlignment w:val="center"/>
              <w:rPr>
                <w:rFonts w:ascii="宋体" w:cs="宋体"/>
                <w:sz w:val="18"/>
                <w:szCs w:val="18"/>
              </w:rPr>
            </w:pPr>
            <w:r>
              <w:rPr>
                <w:rFonts w:ascii="宋体" w:cs="宋体" w:hint="eastAsia"/>
                <w:sz w:val="18"/>
                <w:szCs w:val="18"/>
              </w:rPr>
              <w:t>干部轮训班</w:t>
            </w:r>
          </w:p>
        </w:tc>
        <w:tc>
          <w:tcPr>
            <w:tcW w:w="4163" w:type="dxa"/>
            <w:gridSpan w:val="2"/>
            <w:vAlign w:val="center"/>
          </w:tcPr>
          <w:p w14:paraId="6867C5BE">
            <w:pPr>
              <w:spacing w:line="260" w:lineRule="exact"/>
              <w:jc w:val="center"/>
              <w:rPr>
                <w:rFonts w:ascii="宋体" w:cs="宋体"/>
                <w:sz w:val="18"/>
                <w:szCs w:val="18"/>
              </w:rPr>
            </w:pPr>
            <w:r>
              <w:rPr>
                <w:rFonts w:ascii="宋体" w:cs="宋体" w:hint="eastAsia"/>
                <w:sz w:val="18"/>
                <w:szCs w:val="18"/>
              </w:rPr>
              <w:t>≥1次</w:t>
            </w:r>
          </w:p>
        </w:tc>
      </w:tr>
      <w:tr w14:paraId="7F5356A1">
        <w:tblPrEx>
          <w:tblW w:w="0" w:type="auto"/>
          <w:tblInd w:w="0" w:type="dxa"/>
          <w:tblLayout w:type="fixed"/>
        </w:tblPrEx>
        <w:trPr>
          <w:trHeight w:val="408"/>
        </w:trPr>
        <w:tc>
          <w:tcPr>
            <w:tcW w:w="431" w:type="dxa"/>
            <w:vMerge/>
            <w:vAlign w:val="center"/>
          </w:tcPr>
          <w:p w14:paraId="227726A6">
            <w:pPr>
              <w:spacing w:line="260" w:lineRule="exact"/>
              <w:jc w:val="center"/>
              <w:rPr>
                <w:rFonts w:ascii="宋体" w:cs="宋体"/>
                <w:sz w:val="18"/>
                <w:szCs w:val="18"/>
              </w:rPr>
            </w:pPr>
          </w:p>
        </w:tc>
        <w:tc>
          <w:tcPr>
            <w:tcW w:w="711" w:type="dxa"/>
            <w:vMerge/>
            <w:vAlign w:val="center"/>
          </w:tcPr>
          <w:p w14:paraId="3A7C899B">
            <w:pPr>
              <w:spacing w:line="260" w:lineRule="exact"/>
              <w:jc w:val="center"/>
              <w:rPr>
                <w:rFonts w:ascii="宋体" w:cs="宋体"/>
                <w:sz w:val="18"/>
                <w:szCs w:val="18"/>
              </w:rPr>
            </w:pPr>
          </w:p>
        </w:tc>
        <w:tc>
          <w:tcPr>
            <w:tcW w:w="747" w:type="dxa"/>
            <w:gridSpan w:val="2"/>
            <w:vMerge w:val="restart"/>
            <w:vAlign w:val="center"/>
          </w:tcPr>
          <w:p w14:paraId="5FD9CE53">
            <w:pPr>
              <w:spacing w:line="260" w:lineRule="exact"/>
              <w:jc w:val="center"/>
              <w:textAlignment w:val="center"/>
              <w:rPr>
                <w:rFonts w:ascii="宋体" w:cs="宋体"/>
                <w:sz w:val="18"/>
                <w:szCs w:val="18"/>
              </w:rPr>
            </w:pPr>
            <w:r>
              <w:rPr>
                <w:rFonts w:ascii="宋体" w:hAnsi="宋体" w:cs="宋体" w:hint="eastAsia"/>
                <w:color w:val="000000"/>
                <w:kern w:val="0"/>
                <w:sz w:val="18"/>
                <w:szCs w:val="18"/>
              </w:rPr>
              <w:t>质量指标</w:t>
            </w:r>
          </w:p>
        </w:tc>
        <w:tc>
          <w:tcPr>
            <w:tcW w:w="2828" w:type="dxa"/>
            <w:vAlign w:val="center"/>
          </w:tcPr>
          <w:p w14:paraId="5004E2FF">
            <w:pPr>
              <w:spacing w:line="260" w:lineRule="exact"/>
              <w:jc w:val="left"/>
              <w:textAlignment w:val="center"/>
              <w:rPr>
                <w:rFonts w:ascii="宋体" w:cs="宋体"/>
                <w:sz w:val="18"/>
                <w:szCs w:val="18"/>
              </w:rPr>
            </w:pPr>
            <w:r>
              <w:rPr>
                <w:rFonts w:ascii="宋体" w:hAnsi="宋体" w:cs="宋体" w:hint="eastAsia"/>
                <w:color w:val="000000"/>
                <w:kern w:val="0"/>
                <w:sz w:val="18"/>
                <w:szCs w:val="18"/>
              </w:rPr>
              <w:t>培训出席率</w:t>
            </w:r>
          </w:p>
        </w:tc>
        <w:tc>
          <w:tcPr>
            <w:tcW w:w="4163" w:type="dxa"/>
            <w:gridSpan w:val="2"/>
            <w:vAlign w:val="center"/>
          </w:tcPr>
          <w:p w14:paraId="3F902D4E">
            <w:pPr>
              <w:spacing w:line="260" w:lineRule="exact"/>
              <w:jc w:val="center"/>
              <w:rPr>
                <w:rFonts w:ascii="宋体" w:cs="宋体"/>
                <w:sz w:val="18"/>
                <w:szCs w:val="18"/>
              </w:rPr>
            </w:pPr>
            <w:r>
              <w:rPr>
                <w:rFonts w:ascii="宋体" w:cs="宋体" w:hint="eastAsia"/>
                <w:sz w:val="18"/>
                <w:szCs w:val="18"/>
              </w:rPr>
              <w:t>100%</w:t>
            </w:r>
          </w:p>
        </w:tc>
      </w:tr>
      <w:tr w14:paraId="6D65B17C">
        <w:tblPrEx>
          <w:tblW w:w="0" w:type="auto"/>
          <w:tblInd w:w="0" w:type="dxa"/>
          <w:tblLayout w:type="fixed"/>
        </w:tblPrEx>
        <w:trPr>
          <w:trHeight w:val="408"/>
        </w:trPr>
        <w:tc>
          <w:tcPr>
            <w:tcW w:w="431" w:type="dxa"/>
            <w:vMerge/>
            <w:vAlign w:val="center"/>
          </w:tcPr>
          <w:p w14:paraId="052B1B25">
            <w:pPr>
              <w:spacing w:line="260" w:lineRule="exact"/>
              <w:jc w:val="center"/>
              <w:rPr>
                <w:rFonts w:ascii="宋体" w:cs="宋体"/>
                <w:sz w:val="18"/>
                <w:szCs w:val="18"/>
              </w:rPr>
            </w:pPr>
          </w:p>
        </w:tc>
        <w:tc>
          <w:tcPr>
            <w:tcW w:w="711" w:type="dxa"/>
            <w:vMerge/>
            <w:vAlign w:val="center"/>
          </w:tcPr>
          <w:p w14:paraId="4CDEA84F">
            <w:pPr>
              <w:spacing w:line="260" w:lineRule="exact"/>
              <w:jc w:val="center"/>
              <w:rPr>
                <w:rFonts w:ascii="宋体" w:cs="宋体"/>
                <w:sz w:val="18"/>
                <w:szCs w:val="18"/>
              </w:rPr>
            </w:pPr>
          </w:p>
        </w:tc>
        <w:tc>
          <w:tcPr>
            <w:tcW w:w="747" w:type="dxa"/>
            <w:gridSpan w:val="2"/>
            <w:vMerge/>
            <w:vAlign w:val="center"/>
          </w:tcPr>
          <w:p w14:paraId="37AE8848">
            <w:pPr>
              <w:spacing w:line="260" w:lineRule="exact"/>
              <w:jc w:val="center"/>
              <w:rPr>
                <w:rFonts w:ascii="宋体" w:cs="宋体"/>
                <w:sz w:val="18"/>
                <w:szCs w:val="18"/>
              </w:rPr>
            </w:pPr>
          </w:p>
        </w:tc>
        <w:tc>
          <w:tcPr>
            <w:tcW w:w="2828" w:type="dxa"/>
            <w:vAlign w:val="center"/>
          </w:tcPr>
          <w:p w14:paraId="6981D7D4">
            <w:pPr>
              <w:spacing w:line="260" w:lineRule="exact"/>
              <w:jc w:val="left"/>
              <w:textAlignment w:val="center"/>
              <w:rPr>
                <w:rFonts w:ascii="宋体" w:cs="宋体"/>
                <w:sz w:val="18"/>
                <w:szCs w:val="18"/>
              </w:rPr>
            </w:pPr>
            <w:r>
              <w:rPr>
                <w:rFonts w:ascii="汉仪中秀体简" w:eastAsia="汉仪中秀体简" w:hAnsi="汉仪中秀体简" w:cs="汉仪中秀体简" w:hint="eastAsia"/>
                <w:color w:val="000000"/>
                <w:kern w:val="0"/>
                <w:sz w:val="18"/>
                <w:szCs w:val="18"/>
              </w:rPr>
              <w:t>学习宣传贯彻党宣传活动覆盖率</w:t>
            </w:r>
          </w:p>
        </w:tc>
        <w:tc>
          <w:tcPr>
            <w:tcW w:w="4163" w:type="dxa"/>
            <w:gridSpan w:val="2"/>
            <w:vAlign w:val="center"/>
          </w:tcPr>
          <w:p w14:paraId="3BDB31F7">
            <w:pPr>
              <w:spacing w:line="260" w:lineRule="exact"/>
              <w:jc w:val="center"/>
              <w:rPr>
                <w:rFonts w:ascii="宋体" w:cs="宋体"/>
                <w:sz w:val="18"/>
                <w:szCs w:val="18"/>
              </w:rPr>
            </w:pPr>
            <w:r>
              <w:rPr>
                <w:rFonts w:ascii="宋体" w:cs="宋体" w:hint="eastAsia"/>
                <w:sz w:val="18"/>
                <w:szCs w:val="18"/>
              </w:rPr>
              <w:t>100%</w:t>
            </w:r>
          </w:p>
        </w:tc>
      </w:tr>
      <w:tr w14:paraId="6D522DE6">
        <w:tblPrEx>
          <w:tblW w:w="0" w:type="auto"/>
          <w:tblInd w:w="0" w:type="dxa"/>
          <w:tblLayout w:type="fixed"/>
        </w:tblPrEx>
        <w:trPr>
          <w:trHeight w:val="580"/>
        </w:trPr>
        <w:tc>
          <w:tcPr>
            <w:tcW w:w="431" w:type="dxa"/>
            <w:vMerge/>
            <w:vAlign w:val="center"/>
          </w:tcPr>
          <w:p w14:paraId="58718DFE">
            <w:pPr>
              <w:spacing w:line="260" w:lineRule="exact"/>
              <w:jc w:val="center"/>
              <w:rPr>
                <w:rFonts w:ascii="宋体" w:cs="宋体"/>
                <w:sz w:val="18"/>
                <w:szCs w:val="18"/>
              </w:rPr>
            </w:pPr>
          </w:p>
        </w:tc>
        <w:tc>
          <w:tcPr>
            <w:tcW w:w="711" w:type="dxa"/>
            <w:vMerge/>
            <w:vAlign w:val="center"/>
          </w:tcPr>
          <w:p w14:paraId="69A7E638">
            <w:pPr>
              <w:spacing w:line="260" w:lineRule="exact"/>
              <w:jc w:val="center"/>
              <w:rPr>
                <w:rFonts w:ascii="宋体" w:cs="宋体"/>
                <w:sz w:val="18"/>
                <w:szCs w:val="18"/>
              </w:rPr>
            </w:pPr>
          </w:p>
        </w:tc>
        <w:tc>
          <w:tcPr>
            <w:tcW w:w="747" w:type="dxa"/>
            <w:gridSpan w:val="2"/>
            <w:vAlign w:val="center"/>
          </w:tcPr>
          <w:p w14:paraId="15C6AB60">
            <w:pPr>
              <w:spacing w:line="260" w:lineRule="exact"/>
              <w:jc w:val="center"/>
              <w:rPr>
                <w:rFonts w:ascii="宋体" w:hAnsi="宋体" w:cs="宋体"/>
                <w:sz w:val="18"/>
                <w:szCs w:val="18"/>
              </w:rPr>
            </w:pPr>
            <w:r>
              <w:rPr>
                <w:rFonts w:ascii="宋体" w:hAnsi="宋体" w:cs="宋体" w:hint="eastAsia"/>
                <w:sz w:val="18"/>
                <w:szCs w:val="18"/>
              </w:rPr>
              <w:t>时效指标</w:t>
            </w:r>
          </w:p>
        </w:tc>
        <w:tc>
          <w:tcPr>
            <w:tcW w:w="2828" w:type="dxa"/>
            <w:vAlign w:val="center"/>
          </w:tcPr>
          <w:p w14:paraId="0B6C10F9">
            <w:pPr>
              <w:spacing w:line="260" w:lineRule="exact"/>
              <w:jc w:val="left"/>
              <w:textAlignment w:val="center"/>
              <w:rPr>
                <w:rFonts w:ascii="宋体" w:hAnsi="宋体" w:cs="宋体"/>
                <w:sz w:val="18"/>
                <w:szCs w:val="18"/>
              </w:rPr>
            </w:pPr>
            <w:r>
              <w:rPr>
                <w:rFonts w:hint="eastAsia"/>
              </w:rPr>
              <w:t>工作完成及时率</w:t>
            </w:r>
          </w:p>
        </w:tc>
        <w:tc>
          <w:tcPr>
            <w:tcW w:w="4163" w:type="dxa"/>
            <w:gridSpan w:val="2"/>
            <w:vAlign w:val="center"/>
          </w:tcPr>
          <w:p w14:paraId="17CBB567">
            <w:pPr>
              <w:spacing w:line="260" w:lineRule="exact"/>
              <w:jc w:val="center"/>
              <w:rPr>
                <w:rFonts w:ascii="宋体" w:cs="宋体"/>
                <w:sz w:val="18"/>
                <w:szCs w:val="18"/>
              </w:rPr>
            </w:pPr>
            <w:r>
              <w:rPr>
                <w:rFonts w:ascii="宋体" w:cs="宋体" w:hint="eastAsia"/>
                <w:sz w:val="18"/>
                <w:szCs w:val="18"/>
              </w:rPr>
              <w:t>100%</w:t>
            </w:r>
          </w:p>
        </w:tc>
      </w:tr>
      <w:tr w14:paraId="76DCA795">
        <w:tblPrEx>
          <w:tblW w:w="0" w:type="auto"/>
          <w:tblInd w:w="0" w:type="dxa"/>
          <w:tblLayout w:type="fixed"/>
        </w:tblPrEx>
        <w:trPr>
          <w:trHeight w:val="580"/>
        </w:trPr>
        <w:tc>
          <w:tcPr>
            <w:tcW w:w="431" w:type="dxa"/>
            <w:vMerge/>
            <w:vAlign w:val="center"/>
          </w:tcPr>
          <w:p w14:paraId="05399BBA">
            <w:pPr>
              <w:spacing w:line="260" w:lineRule="exact"/>
              <w:jc w:val="center"/>
              <w:rPr>
                <w:rFonts w:ascii="宋体" w:cs="宋体"/>
                <w:sz w:val="18"/>
                <w:szCs w:val="18"/>
              </w:rPr>
            </w:pPr>
          </w:p>
        </w:tc>
        <w:tc>
          <w:tcPr>
            <w:tcW w:w="711" w:type="dxa"/>
            <w:vMerge/>
            <w:vAlign w:val="center"/>
          </w:tcPr>
          <w:p w14:paraId="5041F46D">
            <w:pPr>
              <w:spacing w:line="260" w:lineRule="exact"/>
              <w:jc w:val="center"/>
              <w:rPr>
                <w:rFonts w:ascii="宋体" w:cs="宋体"/>
                <w:sz w:val="18"/>
                <w:szCs w:val="18"/>
              </w:rPr>
            </w:pPr>
          </w:p>
        </w:tc>
        <w:tc>
          <w:tcPr>
            <w:tcW w:w="747" w:type="dxa"/>
            <w:gridSpan w:val="2"/>
            <w:vAlign w:val="center"/>
          </w:tcPr>
          <w:p w14:paraId="160D4262">
            <w:pPr>
              <w:spacing w:line="260" w:lineRule="exact"/>
              <w:jc w:val="both"/>
              <w:rPr>
                <w:rFonts w:ascii="宋体" w:eastAsia="宋体" w:hAnsi="宋体" w:cs="宋体" w:hint="default"/>
                <w:sz w:val="18"/>
                <w:szCs w:val="18"/>
                <w:lang w:val="en-US" w:eastAsia="zh-CN"/>
              </w:rPr>
            </w:pPr>
            <w:r>
              <w:rPr>
                <w:rFonts w:ascii="宋体" w:hAnsi="宋体" w:cs="宋体" w:hint="eastAsia"/>
                <w:sz w:val="18"/>
                <w:szCs w:val="18"/>
                <w:lang w:val="en-US" w:eastAsia="zh-CN"/>
              </w:rPr>
              <w:t>成本指标</w:t>
            </w:r>
          </w:p>
        </w:tc>
        <w:tc>
          <w:tcPr>
            <w:tcW w:w="2828" w:type="dxa"/>
            <w:vAlign w:val="center"/>
          </w:tcPr>
          <w:p w14:paraId="6BE6D1B6">
            <w:pPr>
              <w:spacing w:line="260" w:lineRule="exact"/>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成本率</w:t>
            </w:r>
          </w:p>
        </w:tc>
        <w:tc>
          <w:tcPr>
            <w:tcW w:w="4163" w:type="dxa"/>
            <w:gridSpan w:val="2"/>
            <w:vAlign w:val="center"/>
          </w:tcPr>
          <w:p w14:paraId="555E4EF4">
            <w:pPr>
              <w:spacing w:line="260" w:lineRule="exact"/>
              <w:jc w:val="center"/>
              <w:rPr>
                <w:rFonts w:ascii="宋体" w:cs="宋体"/>
                <w:sz w:val="18"/>
                <w:szCs w:val="18"/>
              </w:rPr>
            </w:pPr>
            <w:r>
              <w:rPr>
                <w:rFonts w:ascii="宋体" w:cs="宋体" w:hint="eastAsia"/>
                <w:sz w:val="18"/>
                <w:szCs w:val="18"/>
              </w:rPr>
              <w:t>100%</w:t>
            </w:r>
          </w:p>
        </w:tc>
      </w:tr>
      <w:tr w14:paraId="13A01EC4">
        <w:tblPrEx>
          <w:tblW w:w="0" w:type="auto"/>
          <w:tblInd w:w="0" w:type="dxa"/>
          <w:tblLayout w:type="fixed"/>
        </w:tblPrEx>
        <w:trPr>
          <w:trHeight w:val="698"/>
        </w:trPr>
        <w:tc>
          <w:tcPr>
            <w:tcW w:w="431" w:type="dxa"/>
            <w:vMerge/>
            <w:vAlign w:val="center"/>
          </w:tcPr>
          <w:p w14:paraId="208FBCD4">
            <w:pPr>
              <w:spacing w:line="260" w:lineRule="exact"/>
              <w:jc w:val="center"/>
              <w:rPr>
                <w:rFonts w:ascii="宋体" w:cs="宋体"/>
                <w:sz w:val="18"/>
                <w:szCs w:val="18"/>
              </w:rPr>
            </w:pPr>
          </w:p>
        </w:tc>
        <w:tc>
          <w:tcPr>
            <w:tcW w:w="711" w:type="dxa"/>
            <w:vAlign w:val="center"/>
          </w:tcPr>
          <w:p w14:paraId="0E5632DD">
            <w:pPr>
              <w:spacing w:line="260" w:lineRule="exact"/>
              <w:jc w:val="center"/>
              <w:rPr>
                <w:rFonts w:ascii="宋体" w:hAnsi="宋体" w:cs="宋体"/>
                <w:sz w:val="18"/>
                <w:szCs w:val="18"/>
              </w:rPr>
            </w:pPr>
            <w:r>
              <w:rPr>
                <w:rFonts w:ascii="宋体" w:hAnsi="宋体" w:cs="宋体" w:hint="eastAsia"/>
                <w:sz w:val="18"/>
                <w:szCs w:val="18"/>
              </w:rPr>
              <w:t>满意度指标</w:t>
            </w:r>
          </w:p>
        </w:tc>
        <w:tc>
          <w:tcPr>
            <w:tcW w:w="747" w:type="dxa"/>
            <w:gridSpan w:val="2"/>
            <w:vAlign w:val="center"/>
          </w:tcPr>
          <w:p w14:paraId="7C7DDAE0">
            <w:pPr>
              <w:spacing w:line="260" w:lineRule="exact"/>
              <w:jc w:val="center"/>
              <w:rPr>
                <w:rFonts w:ascii="宋体" w:hAnsi="宋体" w:cs="宋体"/>
                <w:sz w:val="18"/>
                <w:szCs w:val="18"/>
              </w:rPr>
            </w:pPr>
            <w:r>
              <w:rPr>
                <w:rFonts w:ascii="宋体" w:hAnsi="宋体" w:cs="宋体" w:hint="eastAsia"/>
                <w:sz w:val="18"/>
                <w:szCs w:val="18"/>
              </w:rPr>
              <w:t>满意度指标</w:t>
            </w:r>
          </w:p>
        </w:tc>
        <w:tc>
          <w:tcPr>
            <w:tcW w:w="2828" w:type="dxa"/>
            <w:vAlign w:val="center"/>
          </w:tcPr>
          <w:p w14:paraId="76A0CAD5">
            <w:pPr>
              <w:spacing w:line="260" w:lineRule="exact"/>
              <w:jc w:val="left"/>
              <w:textAlignment w:val="center"/>
              <w:rPr>
                <w:rFonts w:ascii="宋体" w:hAnsi="宋体" w:cs="宋体" w:hint="eastAsia"/>
                <w:color w:val="000000"/>
                <w:kern w:val="0"/>
                <w:sz w:val="18"/>
                <w:szCs w:val="18"/>
              </w:rPr>
            </w:pPr>
            <w:r>
              <w:rPr>
                <w:rFonts w:ascii="宋体" w:hAnsi="宋体" w:cs="宋体" w:hint="eastAsia"/>
                <w:color w:val="000000"/>
                <w:kern w:val="0"/>
                <w:sz w:val="18"/>
                <w:szCs w:val="18"/>
              </w:rPr>
              <w:t>服务对象</w:t>
            </w:r>
          </w:p>
          <w:p w14:paraId="53FA452E">
            <w:pPr>
              <w:spacing w:line="260" w:lineRule="exact"/>
              <w:jc w:val="left"/>
              <w:textAlignment w:val="center"/>
              <w:rPr>
                <w:rFonts w:ascii="宋体" w:eastAsia="宋体" w:hAnsi="宋体" w:cs="宋体" w:hint="eastAsia"/>
                <w:sz w:val="18"/>
                <w:szCs w:val="18"/>
                <w:lang w:val="en-US" w:eastAsia="zh-CN"/>
              </w:rPr>
            </w:pPr>
            <w:r>
              <w:rPr>
                <w:rFonts w:ascii="宋体" w:hAnsi="宋体" w:cs="宋体" w:hint="eastAsia"/>
                <w:color w:val="000000"/>
                <w:kern w:val="0"/>
                <w:sz w:val="18"/>
                <w:szCs w:val="18"/>
              </w:rPr>
              <w:t>满意度</w:t>
            </w:r>
            <w:r>
              <w:rPr>
                <w:rFonts w:ascii="宋体" w:hAnsi="宋体" w:cs="宋体" w:hint="eastAsia"/>
                <w:color w:val="000000"/>
                <w:kern w:val="0"/>
                <w:sz w:val="18"/>
                <w:szCs w:val="18"/>
                <w:lang w:val="en-US" w:eastAsia="zh-CN"/>
              </w:rPr>
              <w:t>指标</w:t>
            </w:r>
          </w:p>
        </w:tc>
        <w:tc>
          <w:tcPr>
            <w:tcW w:w="4163" w:type="dxa"/>
            <w:gridSpan w:val="2"/>
            <w:vAlign w:val="center"/>
          </w:tcPr>
          <w:p w14:paraId="69B2A902">
            <w:pPr>
              <w:spacing w:line="260" w:lineRule="exact"/>
              <w:jc w:val="center"/>
              <w:rPr>
                <w:rFonts w:ascii="宋体" w:eastAsia="宋体" w:cs="宋体" w:hint="default"/>
                <w:sz w:val="18"/>
                <w:szCs w:val="18"/>
                <w:lang w:val="en-US" w:eastAsia="zh-CN"/>
              </w:rPr>
            </w:pPr>
            <w:r>
              <w:rPr>
                <w:rFonts w:ascii="宋体" w:cs="宋体" w:hint="eastAsia"/>
                <w:sz w:val="18"/>
                <w:szCs w:val="18"/>
              </w:rPr>
              <w:t>≥</w:t>
            </w:r>
            <w:r>
              <w:rPr>
                <w:rFonts w:ascii="宋体" w:cs="宋体" w:hint="eastAsia"/>
                <w:sz w:val="18"/>
                <w:szCs w:val="18"/>
                <w:lang w:val="en-US" w:eastAsia="zh-CN"/>
              </w:rPr>
              <w:t>95</w:t>
            </w:r>
            <w:r>
              <w:rPr>
                <w:rFonts w:ascii="宋体" w:cs="宋体" w:hint="eastAsia"/>
                <w:sz w:val="18"/>
                <w:szCs w:val="18"/>
              </w:rPr>
              <w:t>次</w:t>
            </w:r>
          </w:p>
        </w:tc>
      </w:tr>
    </w:tbl>
    <w:p w14:paraId="40F00E0B">
      <w:pPr>
        <w:spacing w:line="560" w:lineRule="exact"/>
        <w:rPr>
          <w:rFonts w:ascii="仿宋" w:eastAsia="仿宋" w:hAnsi="仿宋"/>
          <w:b/>
          <w:sz w:val="32"/>
          <w:szCs w:val="32"/>
        </w:rPr>
      </w:pPr>
    </w:p>
    <w:p w14:paraId="0F9C4EE1">
      <w:pPr>
        <w:topLinePunct/>
        <w:adjustRightInd w:val="0"/>
        <w:snapToGrid w:val="0"/>
        <w:spacing w:line="560" w:lineRule="exact"/>
        <w:ind w:firstLine="640" w:firstLineChars="200"/>
        <w:rPr>
          <w:rFonts w:ascii="仿宋" w:eastAsia="仿宋" w:hAnsi="仿宋" w:cs="TimesNewRoman"/>
          <w:b/>
          <w:sz w:val="32"/>
          <w:szCs w:val="32"/>
        </w:rPr>
      </w:pPr>
      <w:r>
        <w:rPr>
          <w:rFonts w:ascii="仿宋" w:eastAsia="仿宋" w:hAnsi="仿宋" w:cs="TimesNewRoman" w:hint="eastAsia"/>
          <w:b/>
          <w:sz w:val="32"/>
          <w:szCs w:val="32"/>
        </w:rPr>
        <w:t>（二）机关运行经费。</w:t>
      </w:r>
    </w:p>
    <w:p w14:paraId="368CA4D2">
      <w:pPr>
        <w:topLinePunct/>
        <w:adjustRightInd w:val="0"/>
        <w:snapToGrid w:val="0"/>
        <w:spacing w:line="560" w:lineRule="exact"/>
        <w:ind w:firstLine="640" w:firstLineChars="200"/>
        <w:rPr>
          <w:rFonts w:ascii="仿宋" w:eastAsia="仿宋" w:hAnsi="仿宋" w:cs="TimesNewRoman"/>
          <w:sz w:val="32"/>
          <w:szCs w:val="32"/>
        </w:rPr>
      </w:pPr>
      <w:r>
        <w:rPr>
          <w:rFonts w:ascii="仿宋" w:eastAsia="仿宋" w:hAnsi="仿宋" w:cs="TimesNewRoman" w:hint="eastAsia"/>
          <w:sz w:val="32"/>
          <w:szCs w:val="32"/>
        </w:rPr>
        <w:t>寿县县委组织部2026年机关运行经费财政拨款预算54.33万元，比2025年预算增加2.58万元，增长4.99%，增长的主要原因是组织工作经费和老干部工作经费增加。</w:t>
      </w:r>
    </w:p>
    <w:p w14:paraId="484C2EA9">
      <w:pPr>
        <w:topLinePunct/>
        <w:adjustRightInd w:val="0"/>
        <w:snapToGrid w:val="0"/>
        <w:spacing w:line="560" w:lineRule="exact"/>
        <w:ind w:firstLine="640" w:firstLineChars="200"/>
        <w:rPr>
          <w:rFonts w:ascii="仿宋" w:eastAsia="仿宋" w:hAnsi="仿宋" w:cs="TimesNewRoman"/>
          <w:b/>
          <w:sz w:val="32"/>
          <w:szCs w:val="32"/>
        </w:rPr>
      </w:pPr>
      <w:r>
        <w:rPr>
          <w:rFonts w:ascii="仿宋" w:eastAsia="仿宋" w:hAnsi="仿宋" w:cs="TimesNewRoman" w:hint="eastAsia"/>
          <w:b/>
          <w:sz w:val="32"/>
          <w:szCs w:val="32"/>
        </w:rPr>
        <w:t>（三）政府采购情况。</w:t>
      </w:r>
    </w:p>
    <w:p w14:paraId="5520C25F">
      <w:pPr>
        <w:topLinePunct/>
        <w:adjustRightInd w:val="0"/>
        <w:snapToGrid w:val="0"/>
        <w:spacing w:line="560" w:lineRule="exact"/>
        <w:ind w:firstLine="640" w:firstLineChars="200"/>
        <w:rPr>
          <w:rFonts w:ascii="仿宋" w:eastAsia="仿宋" w:hAnsi="仿宋" w:cs="TimesNewRoman"/>
          <w:sz w:val="32"/>
          <w:szCs w:val="32"/>
        </w:rPr>
      </w:pPr>
      <w:r>
        <w:rPr>
          <w:rFonts w:ascii="仿宋" w:eastAsia="仿宋" w:hAnsi="仿宋" w:cs="TimesNewRoman" w:hint="eastAsia"/>
          <w:kern w:val="0"/>
          <w:sz w:val="32"/>
          <w:szCs w:val="32"/>
        </w:rPr>
        <w:t>寿县县委组织部</w:t>
      </w:r>
      <w:r>
        <w:rPr>
          <w:rFonts w:ascii="仿宋" w:eastAsia="仿宋" w:hAnsi="仿宋" w:cs="TimesNewRoman" w:hint="eastAsia"/>
          <w:sz w:val="32"/>
          <w:szCs w:val="32"/>
        </w:rPr>
        <w:t>2026年政府采购预算26.88万元。其中：政府采购货物预算26.88万元。</w:t>
      </w:r>
    </w:p>
    <w:p w14:paraId="633AD379">
      <w:pPr>
        <w:topLinePunct/>
        <w:adjustRightInd w:val="0"/>
        <w:snapToGrid w:val="0"/>
        <w:spacing w:line="560" w:lineRule="exact"/>
        <w:ind w:firstLine="640" w:firstLineChars="200"/>
        <w:rPr>
          <w:rFonts w:ascii="仿宋" w:eastAsia="仿宋" w:hAnsi="仿宋" w:cs="TimesNewRoman"/>
          <w:b/>
          <w:sz w:val="32"/>
          <w:szCs w:val="32"/>
        </w:rPr>
      </w:pPr>
      <w:r>
        <w:rPr>
          <w:rFonts w:ascii="仿宋" w:eastAsia="仿宋" w:hAnsi="仿宋" w:cs="TimesNewRoman" w:hint="eastAsia"/>
          <w:b/>
          <w:sz w:val="32"/>
          <w:szCs w:val="32"/>
        </w:rPr>
        <w:t>（四）国有资产占有使用情况。</w:t>
      </w:r>
    </w:p>
    <w:p w14:paraId="2AA38696">
      <w:pPr>
        <w:topLinePunct/>
        <w:adjustRightInd w:val="0"/>
        <w:snapToGrid w:val="0"/>
        <w:spacing w:line="560" w:lineRule="exact"/>
        <w:ind w:firstLine="640" w:firstLineChars="200"/>
        <w:rPr>
          <w:rFonts w:ascii="仿宋" w:eastAsia="仿宋" w:hAnsi="仿宋" w:cs="TimesNewRoman"/>
          <w:sz w:val="32"/>
          <w:szCs w:val="32"/>
        </w:rPr>
      </w:pPr>
      <w:r>
        <w:rPr>
          <w:rFonts w:ascii="仿宋" w:eastAsia="仿宋" w:hAnsi="仿宋" w:cs="TimesNewRoman" w:hint="eastAsia"/>
          <w:sz w:val="32"/>
          <w:szCs w:val="32"/>
        </w:rPr>
        <w:t>截至2025年12月31日，</w:t>
      </w:r>
      <w:r>
        <w:rPr>
          <w:rFonts w:ascii="仿宋" w:eastAsia="仿宋" w:hAnsi="仿宋" w:cs="TimesNewRoman" w:hint="eastAsia"/>
          <w:kern w:val="0"/>
          <w:sz w:val="32"/>
          <w:szCs w:val="32"/>
        </w:rPr>
        <w:t>寿县县委组织部</w:t>
      </w:r>
      <w:r>
        <w:rPr>
          <w:rFonts w:ascii="仿宋" w:eastAsia="仿宋" w:hAnsi="仿宋" w:cs="TimesNewRoman" w:hint="eastAsia"/>
          <w:sz w:val="32"/>
          <w:szCs w:val="32"/>
        </w:rPr>
        <w:t>共有车辆0辆。单价50万元以上的通用设备0台（套），单价100万元以上的专用设备0台（套）。</w:t>
      </w:r>
    </w:p>
    <w:p w14:paraId="315A4DCE">
      <w:pPr>
        <w:topLinePunct/>
        <w:adjustRightInd w:val="0"/>
        <w:snapToGrid w:val="0"/>
        <w:spacing w:line="560" w:lineRule="exact"/>
        <w:ind w:firstLine="640" w:firstLineChars="200"/>
        <w:rPr>
          <w:rFonts w:ascii="仿宋" w:eastAsia="仿宋" w:hAnsi="仿宋" w:cs="TimesNewRoman"/>
          <w:sz w:val="32"/>
          <w:szCs w:val="32"/>
        </w:rPr>
      </w:pPr>
      <w:r>
        <w:rPr>
          <w:rFonts w:ascii="仿宋" w:eastAsia="仿宋" w:hAnsi="仿宋" w:cs="TimesNewRoman" w:hint="eastAsia"/>
          <w:sz w:val="32"/>
          <w:szCs w:val="32"/>
        </w:rPr>
        <w:t>2026年部门预算安排购置公务用车0辆，购置费0万元；安排购置单价50万元以上的通用设备0台（套），购置费0万元；安排购置单价100万元以上专用设备0台（套），购置费0万元。</w:t>
      </w:r>
    </w:p>
    <w:p w14:paraId="6CF6CB5C">
      <w:pPr>
        <w:topLinePunct/>
        <w:adjustRightInd w:val="0"/>
        <w:snapToGrid w:val="0"/>
        <w:spacing w:line="560" w:lineRule="exact"/>
        <w:ind w:firstLine="640" w:firstLineChars="200"/>
        <w:rPr>
          <w:rFonts w:ascii="仿宋" w:eastAsia="仿宋" w:hAnsi="仿宋" w:cs="TimesNewRoman"/>
          <w:b/>
          <w:sz w:val="32"/>
          <w:szCs w:val="32"/>
        </w:rPr>
      </w:pPr>
      <w:r>
        <w:rPr>
          <w:rFonts w:ascii="仿宋" w:eastAsia="仿宋" w:hAnsi="仿宋" w:cs="TimesNewRoman" w:hint="eastAsia"/>
          <w:b/>
          <w:sz w:val="32"/>
          <w:szCs w:val="32"/>
        </w:rPr>
        <w:t>（五）绩效目标设置情况。</w:t>
      </w:r>
    </w:p>
    <w:p w14:paraId="36428910">
      <w:pPr>
        <w:topLinePunct/>
        <w:adjustRightInd w:val="0"/>
        <w:snapToGrid w:val="0"/>
        <w:spacing w:line="560" w:lineRule="exact"/>
        <w:ind w:firstLine="640" w:firstLineChars="200"/>
        <w:rPr>
          <w:rFonts w:ascii="仿宋" w:eastAsia="仿宋" w:hAnsi="仿宋" w:cs="TimesNewRoman"/>
          <w:sz w:val="32"/>
          <w:szCs w:val="32"/>
        </w:rPr>
      </w:pPr>
      <w:r>
        <w:rPr>
          <w:rFonts w:ascii="仿宋" w:eastAsia="仿宋" w:hAnsi="仿宋" w:cs="TimesNewRoman" w:hint="eastAsia"/>
          <w:sz w:val="32"/>
          <w:szCs w:val="32"/>
        </w:rPr>
        <w:t>2026年，</w:t>
      </w:r>
      <w:r>
        <w:rPr>
          <w:rFonts w:ascii="仿宋" w:eastAsia="仿宋" w:hAnsi="仿宋" w:cs="TimesNewRoman" w:hint="eastAsia"/>
          <w:kern w:val="0"/>
          <w:sz w:val="32"/>
          <w:szCs w:val="32"/>
        </w:rPr>
        <w:t>寿县县委组织部</w:t>
      </w:r>
      <w:r>
        <w:rPr>
          <w:rFonts w:ascii="仿宋" w:eastAsia="仿宋" w:hAnsi="仿宋" w:cs="TimesNewRoman" w:hint="eastAsia"/>
          <w:sz w:val="32"/>
          <w:szCs w:val="32"/>
        </w:rPr>
        <w:t>2个项目实行了绩效目标管理，涉及一般公共预算当年财政拨款304.00万元。</w:t>
      </w:r>
    </w:p>
    <w:p w14:paraId="4D59FB64">
      <w:pPr>
        <w:topLinePunct/>
        <w:adjustRightInd w:val="0"/>
        <w:snapToGrid w:val="0"/>
        <w:spacing w:line="560" w:lineRule="exact"/>
        <w:rPr>
          <w:rFonts w:ascii="TimesNewRoman" w:eastAsia="黑体" w:hAnsi="TimesNewRoman" w:cs="TimesNewRoman"/>
          <w:sz w:val="36"/>
          <w:szCs w:val="36"/>
        </w:rPr>
      </w:pPr>
    </w:p>
    <w:p w14:paraId="366A8874">
      <w:pPr>
        <w:topLinePunct/>
        <w:adjustRightInd w:val="0"/>
        <w:snapToGrid w:val="0"/>
        <w:spacing w:line="560" w:lineRule="exact"/>
        <w:jc w:val="center"/>
        <w:rPr>
          <w:rFonts w:ascii="TimesNewRoman" w:eastAsia="黑体" w:hAnsi="TimesNewRoman" w:cs="TimesNewRoman"/>
          <w:sz w:val="36"/>
          <w:szCs w:val="36"/>
        </w:rPr>
      </w:pPr>
    </w:p>
    <w:p w14:paraId="3286F4DF">
      <w:pPr>
        <w:topLinePunct/>
        <w:adjustRightInd w:val="0"/>
        <w:snapToGrid w:val="0"/>
        <w:spacing w:line="560" w:lineRule="exact"/>
        <w:jc w:val="center"/>
        <w:rPr>
          <w:rFonts w:ascii="TimesNewRoman" w:eastAsia="黑体" w:hAnsi="TimesNewRoman" w:cs="TimesNewRoman"/>
          <w:sz w:val="36"/>
          <w:szCs w:val="36"/>
        </w:rPr>
      </w:pPr>
    </w:p>
    <w:p w14:paraId="73C20C03">
      <w:pPr>
        <w:topLinePunct/>
        <w:adjustRightInd w:val="0"/>
        <w:snapToGrid w:val="0"/>
        <w:spacing w:line="560" w:lineRule="exact"/>
        <w:jc w:val="center"/>
        <w:rPr>
          <w:rFonts w:ascii="TimesNewRoman" w:eastAsia="黑体" w:hAnsi="TimesNewRoman" w:cs="TimesNewRoman"/>
          <w:sz w:val="36"/>
          <w:szCs w:val="36"/>
        </w:rPr>
      </w:pPr>
    </w:p>
    <w:p w14:paraId="7DF26322">
      <w:pPr>
        <w:topLinePunct/>
        <w:adjustRightInd w:val="0"/>
        <w:snapToGrid w:val="0"/>
        <w:spacing w:line="560" w:lineRule="exact"/>
        <w:jc w:val="center"/>
        <w:rPr>
          <w:rFonts w:ascii="TimesNewRoman" w:eastAsia="黑体" w:hAnsi="TimesNewRoman" w:cs="TimesNewRoman"/>
          <w:sz w:val="36"/>
          <w:szCs w:val="36"/>
        </w:rPr>
      </w:pPr>
    </w:p>
    <w:p w14:paraId="3033ADEE">
      <w:pPr>
        <w:topLinePunct/>
        <w:adjustRightInd w:val="0"/>
        <w:snapToGrid w:val="0"/>
        <w:spacing w:line="560" w:lineRule="exact"/>
        <w:jc w:val="center"/>
        <w:rPr>
          <w:rFonts w:ascii="TimesNewRoman" w:eastAsia="黑体" w:hAnsi="TimesNewRoman" w:cs="TimesNewRoman"/>
          <w:sz w:val="36"/>
          <w:szCs w:val="36"/>
        </w:rPr>
      </w:pPr>
    </w:p>
    <w:p w14:paraId="53CD9773">
      <w:pPr>
        <w:topLinePunct/>
        <w:adjustRightInd w:val="0"/>
        <w:snapToGrid w:val="0"/>
        <w:spacing w:line="560" w:lineRule="exact"/>
        <w:jc w:val="center"/>
        <w:rPr>
          <w:rFonts w:ascii="TimesNewRoman" w:eastAsia="黑体" w:hAnsi="TimesNewRoman" w:cs="TimesNewRoman"/>
          <w:sz w:val="36"/>
          <w:szCs w:val="36"/>
        </w:rPr>
      </w:pPr>
    </w:p>
    <w:p w14:paraId="43EE96A5">
      <w:pPr>
        <w:topLinePunct/>
        <w:adjustRightInd w:val="0"/>
        <w:snapToGrid w:val="0"/>
        <w:spacing w:line="560" w:lineRule="exact"/>
        <w:jc w:val="center"/>
        <w:rPr>
          <w:rFonts w:ascii="TimesNewRoman" w:eastAsia="黑体" w:hAnsi="TimesNewRoman" w:cs="TimesNewRoman"/>
          <w:sz w:val="36"/>
          <w:szCs w:val="36"/>
        </w:rPr>
      </w:pPr>
      <w:r>
        <w:rPr>
          <w:rFonts w:ascii="TimesNewRoman" w:eastAsia="黑体" w:hAnsi="TimesNewRoman" w:cs="TimesNewRoman"/>
          <w:sz w:val="36"/>
          <w:szCs w:val="36"/>
        </w:rPr>
        <w:t>第</w:t>
      </w:r>
      <w:r>
        <w:rPr>
          <w:rFonts w:ascii="TimesNewRoman" w:eastAsia="黑体" w:hAnsi="TimesNewRoman" w:cs="TimesNewRoman" w:hint="eastAsia"/>
          <w:sz w:val="36"/>
          <w:szCs w:val="36"/>
        </w:rPr>
        <w:t>三</w:t>
      </w:r>
      <w:r>
        <w:rPr>
          <w:rFonts w:ascii="TimesNewRoman" w:eastAsia="黑体" w:hAnsi="TimesNewRoman" w:cs="TimesNewRoman"/>
          <w:sz w:val="36"/>
          <w:szCs w:val="36"/>
        </w:rPr>
        <w:t>部分</w:t>
      </w:r>
      <w:r>
        <w:rPr>
          <w:rFonts w:ascii="TimesNewRoman" w:eastAsia="黑体" w:hAnsi="TimesNewRoman" w:cs="TimesNewRoman" w:hint="eastAsia"/>
          <w:sz w:val="36"/>
          <w:szCs w:val="36"/>
        </w:rPr>
        <w:t xml:space="preserve"> </w:t>
      </w:r>
      <w:r>
        <w:rPr>
          <w:rFonts w:ascii="TimesNewRoman" w:eastAsia="黑体" w:hAnsi="TimesNewRoman" w:cs="TimesNewRoman"/>
          <w:sz w:val="36"/>
          <w:szCs w:val="36"/>
        </w:rPr>
        <w:t>名词解释</w:t>
      </w:r>
    </w:p>
    <w:p w14:paraId="1812B0CF">
      <w:pPr>
        <w:topLinePunct/>
        <w:adjustRightInd w:val="0"/>
        <w:snapToGrid w:val="0"/>
        <w:spacing w:line="560" w:lineRule="exact"/>
        <w:rPr>
          <w:rFonts w:ascii="TimesNewRoman" w:eastAsia="黑体" w:hAnsi="TimesNewRoman" w:cs="TimesNewRoman"/>
          <w:szCs w:val="32"/>
        </w:rPr>
      </w:pPr>
    </w:p>
    <w:p w14:paraId="6E435395">
      <w:pPr>
        <w:topLinePunct/>
        <w:adjustRightInd w:val="0"/>
        <w:snapToGrid w:val="0"/>
        <w:spacing w:line="560" w:lineRule="exact"/>
        <w:ind w:firstLine="640" w:firstLineChars="200"/>
        <w:rPr>
          <w:rFonts w:ascii="仿宋" w:eastAsia="仿宋" w:hAnsi="仿宋" w:cs="TimesNewRoman"/>
          <w:kern w:val="0"/>
          <w:sz w:val="32"/>
          <w:szCs w:val="32"/>
        </w:rPr>
      </w:pPr>
      <w:r>
        <w:rPr>
          <w:rFonts w:ascii="仿宋" w:eastAsia="仿宋" w:hAnsi="仿宋" w:cs="TimesNewRoman" w:hint="eastAsia"/>
          <w:sz w:val="32"/>
          <w:szCs w:val="32"/>
        </w:rPr>
        <w:t>一、财政拨款收入</w:t>
      </w:r>
      <w:r>
        <w:rPr>
          <w:rFonts w:ascii="仿宋" w:eastAsia="仿宋" w:hAnsi="仿宋" w:cs="TimesNewRoman" w:hint="eastAsia"/>
          <w:b/>
          <w:sz w:val="32"/>
          <w:szCs w:val="32"/>
        </w:rPr>
        <w:t>：</w:t>
      </w:r>
      <w:r>
        <w:rPr>
          <w:rFonts w:ascii="仿宋" w:eastAsia="仿宋" w:hAnsi="仿宋" w:cs="TimesNewRoman"/>
          <w:kern w:val="0"/>
          <w:sz w:val="32"/>
          <w:szCs w:val="32"/>
        </w:rPr>
        <w:t>指部门或部门从同级财政部门取得的财政预算资金。</w:t>
      </w:r>
    </w:p>
    <w:p w14:paraId="58B50F24">
      <w:pPr>
        <w:pStyle w:val="NormalWeb"/>
        <w:topLinePunct/>
        <w:adjustRightInd w:val="0"/>
        <w:snapToGrid w:val="0"/>
        <w:spacing w:beforeAutospacing="0" w:afterAutospacing="0" w:line="560" w:lineRule="exact"/>
        <w:ind w:firstLine="627" w:firstLineChars="196"/>
        <w:jc w:val="both"/>
        <w:rPr>
          <w:rFonts w:ascii="仿宋" w:eastAsia="仿宋" w:hAnsi="仿宋" w:cs="TimesNewRoman"/>
          <w:sz w:val="32"/>
          <w:szCs w:val="32"/>
        </w:rPr>
      </w:pPr>
      <w:r>
        <w:rPr>
          <w:rFonts w:ascii="仿宋" w:eastAsia="仿宋" w:hAnsi="仿宋" w:cs="TimesNewRoman"/>
          <w:kern w:val="2"/>
          <w:sz w:val="32"/>
          <w:szCs w:val="32"/>
        </w:rPr>
        <w:t>二、事业收入：</w:t>
      </w:r>
      <w:r>
        <w:rPr>
          <w:rFonts w:ascii="仿宋" w:eastAsia="仿宋" w:hAnsi="仿宋" w:cs="TimesNewRoman"/>
          <w:sz w:val="32"/>
          <w:szCs w:val="32"/>
        </w:rPr>
        <w:t>指事业部门开展专业业务活动及辅助活动所取得的收入。</w:t>
      </w:r>
    </w:p>
    <w:p w14:paraId="21373F83">
      <w:pPr>
        <w:pStyle w:val="NormalWeb"/>
        <w:topLinePunct/>
        <w:adjustRightInd w:val="0"/>
        <w:snapToGrid w:val="0"/>
        <w:spacing w:beforeAutospacing="0" w:afterAutospacing="0" w:line="560" w:lineRule="exact"/>
        <w:ind w:firstLine="627" w:firstLineChars="196"/>
        <w:jc w:val="both"/>
        <w:rPr>
          <w:rFonts w:ascii="仿宋" w:eastAsia="仿宋" w:hAnsi="仿宋" w:cs="TimesNewRoman"/>
          <w:sz w:val="32"/>
          <w:szCs w:val="32"/>
        </w:rPr>
      </w:pPr>
      <w:r>
        <w:rPr>
          <w:rFonts w:ascii="仿宋" w:eastAsia="仿宋" w:hAnsi="仿宋" w:cs="TimesNewRoman"/>
          <w:kern w:val="2"/>
          <w:sz w:val="32"/>
          <w:szCs w:val="32"/>
        </w:rPr>
        <w:t>三、</w:t>
      </w:r>
      <w:bookmarkStart w:id="1" w:name="OLE_LINK4"/>
      <w:bookmarkStart w:id="2" w:name="OLE_LINK3"/>
      <w:r>
        <w:rPr>
          <w:rFonts w:ascii="仿宋" w:eastAsia="仿宋" w:hAnsi="仿宋" w:cs="TimesNewRoman"/>
          <w:kern w:val="2"/>
          <w:sz w:val="32"/>
          <w:szCs w:val="32"/>
        </w:rPr>
        <w:t>财政专户管理资金</w:t>
      </w:r>
      <w:bookmarkEnd w:id="1"/>
      <w:bookmarkEnd w:id="2"/>
      <w:r>
        <w:rPr>
          <w:rFonts w:ascii="仿宋" w:eastAsia="仿宋" w:hAnsi="仿宋" w:cs="TimesNewRoman"/>
          <w:kern w:val="2"/>
          <w:sz w:val="32"/>
          <w:szCs w:val="32"/>
        </w:rPr>
        <w:t>：</w:t>
      </w:r>
      <w:r>
        <w:rPr>
          <w:rFonts w:ascii="仿宋" w:eastAsia="仿宋" w:hAnsi="仿宋" w:cs="TimesNewRoman"/>
          <w:sz w:val="32"/>
          <w:szCs w:val="32"/>
        </w:rPr>
        <w:t>指按照非税收入管理相关规定，纳入财政专户管理的教育收费等。</w:t>
      </w:r>
    </w:p>
    <w:p w14:paraId="2BDF76CC">
      <w:pPr>
        <w:pStyle w:val="NormalWeb"/>
        <w:topLinePunct/>
        <w:adjustRightInd w:val="0"/>
        <w:snapToGrid w:val="0"/>
        <w:spacing w:beforeAutospacing="0" w:afterAutospacing="0" w:line="560" w:lineRule="exact"/>
        <w:ind w:firstLine="627" w:firstLineChars="196"/>
        <w:jc w:val="both"/>
        <w:rPr>
          <w:rFonts w:ascii="仿宋" w:eastAsia="仿宋" w:hAnsi="仿宋" w:cs="TimesNewRoman"/>
          <w:sz w:val="32"/>
          <w:szCs w:val="32"/>
        </w:rPr>
      </w:pPr>
      <w:r>
        <w:rPr>
          <w:rFonts w:ascii="仿宋" w:eastAsia="仿宋" w:hAnsi="仿宋" w:cs="TimesNewRoman"/>
          <w:kern w:val="2"/>
          <w:sz w:val="32"/>
          <w:szCs w:val="32"/>
        </w:rPr>
        <w:t>四、</w:t>
      </w:r>
      <w:bookmarkStart w:id="3" w:name="OLE_LINK13"/>
      <w:bookmarkStart w:id="4" w:name="OLE_LINK14"/>
      <w:r>
        <w:rPr>
          <w:rFonts w:ascii="仿宋" w:eastAsia="仿宋" w:hAnsi="仿宋" w:cs="TimesNewRoman"/>
          <w:kern w:val="2"/>
          <w:sz w:val="32"/>
          <w:szCs w:val="32"/>
        </w:rPr>
        <w:t>事业部门经营收入</w:t>
      </w:r>
      <w:bookmarkEnd w:id="3"/>
      <w:bookmarkEnd w:id="4"/>
      <w:r>
        <w:rPr>
          <w:rFonts w:ascii="仿宋" w:eastAsia="仿宋" w:hAnsi="仿宋" w:cs="TimesNewRoman"/>
          <w:kern w:val="2"/>
          <w:sz w:val="32"/>
          <w:szCs w:val="32"/>
        </w:rPr>
        <w:t>：</w:t>
      </w:r>
      <w:r>
        <w:rPr>
          <w:rFonts w:ascii="仿宋" w:eastAsia="仿宋" w:hAnsi="仿宋" w:cs="TimesNewRoman"/>
          <w:sz w:val="32"/>
          <w:szCs w:val="32"/>
        </w:rPr>
        <w:t>指事业部门在专业业务活动及其辅助活动之外开展非独立核算经营活动取得的收入。</w:t>
      </w:r>
    </w:p>
    <w:p w14:paraId="53038851">
      <w:pPr>
        <w:pStyle w:val="NormalWeb"/>
        <w:topLinePunct/>
        <w:adjustRightInd w:val="0"/>
        <w:snapToGrid w:val="0"/>
        <w:spacing w:beforeAutospacing="0" w:afterAutospacing="0" w:line="560" w:lineRule="exact"/>
        <w:ind w:firstLine="627" w:firstLineChars="196"/>
        <w:jc w:val="both"/>
        <w:rPr>
          <w:rFonts w:ascii="仿宋" w:eastAsia="仿宋" w:hAnsi="仿宋" w:cs="TimesNewRoman"/>
          <w:sz w:val="32"/>
          <w:szCs w:val="32"/>
        </w:rPr>
      </w:pPr>
      <w:r>
        <w:rPr>
          <w:rFonts w:ascii="仿宋" w:eastAsia="仿宋" w:hAnsi="仿宋" w:cs="TimesNewRoman"/>
          <w:kern w:val="2"/>
          <w:sz w:val="32"/>
          <w:szCs w:val="32"/>
        </w:rPr>
        <w:t>五、</w:t>
      </w:r>
      <w:bookmarkStart w:id="5" w:name="OLE_LINK6"/>
      <w:bookmarkStart w:id="6" w:name="OLE_LINK5"/>
      <w:r>
        <w:rPr>
          <w:rFonts w:ascii="仿宋" w:eastAsia="仿宋" w:hAnsi="仿宋" w:cs="TimesNewRoman"/>
          <w:kern w:val="2"/>
          <w:sz w:val="32"/>
          <w:szCs w:val="32"/>
        </w:rPr>
        <w:t>附属部门上缴收入</w:t>
      </w:r>
      <w:bookmarkEnd w:id="5"/>
      <w:bookmarkEnd w:id="6"/>
      <w:r>
        <w:rPr>
          <w:rFonts w:ascii="仿宋" w:eastAsia="仿宋" w:hAnsi="仿宋" w:cs="TimesNewRoman"/>
          <w:kern w:val="2"/>
          <w:sz w:val="32"/>
          <w:szCs w:val="32"/>
        </w:rPr>
        <w:t>：</w:t>
      </w:r>
      <w:r>
        <w:rPr>
          <w:rFonts w:ascii="仿宋" w:eastAsia="仿宋" w:hAnsi="仿宋" w:cs="TimesNewRoman"/>
          <w:sz w:val="32"/>
          <w:szCs w:val="32"/>
        </w:rPr>
        <w:t>本部门所属下级部门上缴给本部门的全部收入。</w:t>
      </w:r>
    </w:p>
    <w:p w14:paraId="59D8A5C4">
      <w:pPr>
        <w:pStyle w:val="NormalWeb"/>
        <w:topLinePunct/>
        <w:adjustRightInd w:val="0"/>
        <w:snapToGrid w:val="0"/>
        <w:spacing w:beforeAutospacing="0" w:afterAutospacing="0" w:line="560" w:lineRule="exact"/>
        <w:ind w:firstLine="627" w:firstLineChars="196"/>
        <w:jc w:val="both"/>
        <w:rPr>
          <w:rFonts w:ascii="仿宋" w:eastAsia="仿宋" w:hAnsi="仿宋" w:cs="TimesNewRoman"/>
          <w:sz w:val="32"/>
          <w:szCs w:val="32"/>
        </w:rPr>
      </w:pPr>
      <w:r>
        <w:rPr>
          <w:rFonts w:ascii="仿宋" w:eastAsia="仿宋" w:hAnsi="仿宋" w:cs="TimesNewRoman"/>
          <w:kern w:val="2"/>
          <w:sz w:val="32"/>
          <w:szCs w:val="32"/>
        </w:rPr>
        <w:t>六、</w:t>
      </w:r>
      <w:bookmarkStart w:id="7" w:name="OLE_LINK7"/>
      <w:bookmarkStart w:id="8" w:name="OLE_LINK8"/>
      <w:r>
        <w:rPr>
          <w:rFonts w:ascii="仿宋" w:eastAsia="仿宋" w:hAnsi="仿宋" w:cs="TimesNewRoman"/>
          <w:kern w:val="2"/>
          <w:sz w:val="32"/>
          <w:szCs w:val="32"/>
        </w:rPr>
        <w:t>上年结转</w:t>
      </w:r>
      <w:bookmarkEnd w:id="7"/>
      <w:bookmarkEnd w:id="8"/>
      <w:r>
        <w:rPr>
          <w:rFonts w:ascii="仿宋" w:eastAsia="仿宋" w:hAnsi="仿宋" w:cs="TimesNewRoman"/>
          <w:kern w:val="2"/>
          <w:sz w:val="32"/>
          <w:szCs w:val="32"/>
        </w:rPr>
        <w:t>：</w:t>
      </w:r>
      <w:r>
        <w:rPr>
          <w:rFonts w:ascii="仿宋" w:eastAsia="仿宋" w:hAnsi="仿宋" w:cs="TimesNewRoman"/>
          <w:sz w:val="32"/>
          <w:szCs w:val="32"/>
        </w:rPr>
        <w:t>指以前年度安排、结转到本年仍按原用途继续使用的资金。</w:t>
      </w:r>
    </w:p>
    <w:p w14:paraId="6C7C8A3C">
      <w:pPr>
        <w:pStyle w:val="NormalWeb"/>
        <w:topLinePunct/>
        <w:adjustRightInd w:val="0"/>
        <w:snapToGrid w:val="0"/>
        <w:spacing w:beforeAutospacing="0" w:afterAutospacing="0" w:line="560" w:lineRule="exact"/>
        <w:ind w:firstLine="627" w:firstLineChars="196"/>
        <w:jc w:val="both"/>
        <w:rPr>
          <w:rFonts w:ascii="仿宋" w:eastAsia="仿宋" w:hAnsi="仿宋" w:cs="TimesNewRoman"/>
          <w:sz w:val="32"/>
          <w:szCs w:val="32"/>
        </w:rPr>
      </w:pPr>
      <w:r>
        <w:rPr>
          <w:rFonts w:ascii="仿宋" w:eastAsia="仿宋" w:hAnsi="仿宋" w:cs="TimesNewRoman"/>
          <w:kern w:val="2"/>
          <w:sz w:val="32"/>
          <w:szCs w:val="32"/>
        </w:rPr>
        <w:t>七、</w:t>
      </w:r>
      <w:bookmarkStart w:id="9" w:name="OLE_LINK9"/>
      <w:bookmarkStart w:id="10" w:name="OLE_LINK10"/>
      <w:r>
        <w:rPr>
          <w:rFonts w:ascii="仿宋" w:eastAsia="仿宋" w:hAnsi="仿宋" w:cs="TimesNewRoman"/>
          <w:kern w:val="2"/>
          <w:sz w:val="32"/>
          <w:szCs w:val="32"/>
        </w:rPr>
        <w:t>结转下年</w:t>
      </w:r>
      <w:bookmarkEnd w:id="9"/>
      <w:bookmarkEnd w:id="10"/>
      <w:r>
        <w:rPr>
          <w:rFonts w:ascii="仿宋" w:eastAsia="仿宋" w:hAnsi="仿宋" w:cs="TimesNewRoman"/>
          <w:kern w:val="2"/>
          <w:sz w:val="32"/>
          <w:szCs w:val="32"/>
        </w:rPr>
        <w:t>：</w:t>
      </w:r>
      <w:r>
        <w:rPr>
          <w:rFonts w:ascii="仿宋" w:eastAsia="仿宋" w:hAnsi="仿宋" w:cs="TimesNewRoman"/>
          <w:sz w:val="32"/>
          <w:szCs w:val="32"/>
        </w:rPr>
        <w:t>指以前年度预算安排、因客观条件发生变化无法按原计划实施，需以后年度按原用途继续使用的资金。</w:t>
      </w:r>
    </w:p>
    <w:p w14:paraId="65150AE1">
      <w:pPr>
        <w:pStyle w:val="NormalWeb"/>
        <w:topLinePunct/>
        <w:adjustRightInd w:val="0"/>
        <w:snapToGrid w:val="0"/>
        <w:spacing w:beforeAutospacing="0" w:afterAutospacing="0" w:line="560" w:lineRule="exact"/>
        <w:ind w:firstLine="627" w:firstLineChars="196"/>
        <w:jc w:val="both"/>
        <w:rPr>
          <w:rFonts w:ascii="仿宋" w:eastAsia="仿宋" w:hAnsi="仿宋" w:cs="TimesNewRoman"/>
          <w:sz w:val="32"/>
          <w:szCs w:val="32"/>
        </w:rPr>
      </w:pPr>
      <w:r>
        <w:rPr>
          <w:rFonts w:ascii="仿宋" w:eastAsia="仿宋" w:hAnsi="仿宋" w:cs="TimesNewRoman"/>
          <w:kern w:val="2"/>
          <w:sz w:val="32"/>
          <w:szCs w:val="32"/>
        </w:rPr>
        <w:t>八、</w:t>
      </w:r>
      <w:bookmarkStart w:id="11" w:name="OLE_LINK11"/>
      <w:bookmarkStart w:id="12" w:name="OLE_LINK12"/>
      <w:r>
        <w:rPr>
          <w:rFonts w:ascii="仿宋" w:eastAsia="仿宋" w:hAnsi="仿宋" w:cs="TimesNewRoman"/>
          <w:kern w:val="2"/>
          <w:sz w:val="32"/>
          <w:szCs w:val="32"/>
        </w:rPr>
        <w:t>基本支出</w:t>
      </w:r>
      <w:bookmarkEnd w:id="11"/>
      <w:bookmarkEnd w:id="12"/>
      <w:r>
        <w:rPr>
          <w:rFonts w:ascii="仿宋" w:eastAsia="仿宋" w:hAnsi="仿宋" w:cs="TimesNewRoman"/>
          <w:kern w:val="2"/>
          <w:sz w:val="32"/>
          <w:szCs w:val="32"/>
        </w:rPr>
        <w:t>：</w:t>
      </w:r>
      <w:r>
        <w:rPr>
          <w:rFonts w:ascii="仿宋" w:eastAsia="仿宋" w:hAnsi="仿宋" w:cs="TimesNewRoman"/>
          <w:sz w:val="32"/>
          <w:szCs w:val="32"/>
        </w:rPr>
        <w:t>指为保障机构正常运转、完成日常工作任务而发生的人员支出和公用支出。</w:t>
      </w:r>
    </w:p>
    <w:p w14:paraId="2B23571F">
      <w:pPr>
        <w:pStyle w:val="NormalWeb"/>
        <w:topLinePunct/>
        <w:spacing w:beforeAutospacing="0" w:afterAutospacing="0" w:line="560" w:lineRule="exact"/>
        <w:ind w:firstLine="627" w:firstLineChars="196"/>
        <w:jc w:val="both"/>
        <w:rPr>
          <w:rFonts w:ascii="仿宋" w:eastAsia="仿宋" w:hAnsi="仿宋" w:cs="TimesNewRoman"/>
          <w:sz w:val="32"/>
          <w:szCs w:val="32"/>
        </w:rPr>
      </w:pPr>
      <w:r>
        <w:rPr>
          <w:rFonts w:ascii="仿宋" w:eastAsia="仿宋" w:hAnsi="仿宋" w:cs="TimesNewRoman"/>
          <w:kern w:val="2"/>
          <w:sz w:val="32"/>
          <w:szCs w:val="32"/>
        </w:rPr>
        <w:t>九、项目支出：</w:t>
      </w:r>
      <w:r>
        <w:rPr>
          <w:rFonts w:ascii="仿宋" w:eastAsia="仿宋" w:hAnsi="仿宋" w:cs="TimesNewRoman"/>
          <w:sz w:val="32"/>
          <w:szCs w:val="32"/>
        </w:rPr>
        <w:t>指在除基本支出之外的支出，主要用于完成特定的工作任务和事业发展目标。</w:t>
      </w:r>
      <w:r>
        <w:rPr>
          <w:rFonts w:ascii="仿宋" w:eastAsia="仿宋" w:hAnsi="仿宋" w:cs="TimesNewRoman"/>
          <w:sz w:val="32"/>
          <w:szCs w:val="32"/>
        </w:rPr>
        <w:br/>
      </w:r>
      <w:r>
        <w:rPr>
          <w:rFonts w:ascii="仿宋" w:eastAsia="仿宋" w:hAnsi="仿宋" w:cs="TimesNewRoman"/>
          <w:kern w:val="2"/>
          <w:sz w:val="32"/>
          <w:szCs w:val="32"/>
        </w:rPr>
        <w:t xml:space="preserve">    十、机关运行经费:</w:t>
      </w:r>
      <w:r>
        <w:rPr>
          <w:rFonts w:ascii="仿宋" w:eastAsia="仿宋" w:hAnsi="仿宋" w:cs="TimesNewRoman"/>
          <w:sz w:val="32"/>
          <w:szCs w:val="32"/>
        </w:rPr>
        <w:t>为保障行政部门（包括参照公务员法管理的事业部门）运行用于购买货物和服务的各项资金，包括办公及印刷费、邮电费、差旅费、会议费、日常维修费、一般设备购置费、办公用房水电费、办公用房取暖费、办公用房物业管理费、公务用车运行维护费以及其他费用。</w:t>
      </w:r>
    </w:p>
    <w:sectPr>
      <w:footerReference w:type="even" r:id="rId7"/>
      <w:footerReference w:type="default" r:id="rId8"/>
      <w:pgSz w:w="11907" w:h="16840"/>
      <w:pgMar w:top="2098" w:right="1474" w:bottom="1985" w:left="1588" w:header="851" w:footer="1134" w:gutter="0"/>
      <w:cols w:num="1" w:space="72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embedRegular r:id="rId1" w:subsetted="1" w:fontKey="{7EF06056-5530-43F8-AEF8-C712A7924BE2}"/>
  </w:font>
  <w:font w:name="黑体">
    <w:panose1 w:val="02010609060101010101"/>
    <w:charset w:val="86"/>
    <w:family w:val="auto"/>
    <w:pitch w:val="default"/>
    <w:sig w:usb0="800002BF" w:usb1="38CF7CFA" w:usb2="00000016" w:usb3="00000000" w:csb0="00040001" w:csb1="00000000"/>
    <w:embedRegular r:id="rId2" w:subsetted="1" w:fontKey="{661BC8DC-F522-4EE4-9AB6-2B0F1AB41F55}"/>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embedRegular r:id="rId3" w:subsetted="1" w:fontKey="{439C2871-4301-4897-99DC-9BE410644562}"/>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82016" w:usb3="00000000" w:csb0="00040001" w:csb1="00000000"/>
    <w:embedRegular r:id="rId4" w:subsetted="1" w:fontKey="{5B6874FA-7988-476D-976D-C3B8AC73BF9D}"/>
  </w:font>
  <w:font w:name="TimesNewRoman">
    <w:altName w:val="微软雅黑"/>
    <w:panose1 w:val="00000000000000000000"/>
    <w:charset w:val="86"/>
    <w:family w:val="auto"/>
    <w:pitch w:val="default"/>
    <w:sig w:usb0="00000000" w:usb1="00000000" w:usb2="00000006" w:usb3="00000000" w:csb0="00040001" w:csb1="00000000"/>
    <w:embedRegular r:id="rId5" w:subsetted="1" w:fontKey="{27619BED-BA6C-425C-9B80-ECF4FC488FAD}"/>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6" w:subsetted="1" w:fontKey="{F0E32272-DEC0-4DEE-8764-73A684130698}"/>
  </w:font>
  <w:font w:name="___WRD_EMBED_SUB_44">
    <w:panose1 w:val="02000000000000000000"/>
    <w:charset w:val="86"/>
    <w:family w:val="script"/>
    <w:pitch w:val="default"/>
    <w:sig w:usb0="A00002BF" w:usb1="38CF7CFA" w:usb2="00082016" w:usb3="00000000" w:csb0="00040001" w:csb1="00000000"/>
    <w:embedRegular r:id="rId7" w:subsetted="1" w:fontKey="{613B61CB-58D3-43FA-9DA8-D17D95AA1D60}"/>
  </w:font>
  <w:font w:name="汉仪中秀体简">
    <w:altName w:val="微软雅黑"/>
    <w:panose1 w:val="00000000000000000000"/>
    <w:charset w:val="86"/>
    <w:family w:val="auto"/>
    <w:pitch w:val="default"/>
    <w:sig w:usb0="00000000" w:usb1="00000000" w:usb2="00000006" w:usb3="00000000" w:csb0="00040001" w:csb1="00000000"/>
    <w:embedRegular r:id="rId8" w:subsetted="1" w:fontKey="{31D1D1D8-799A-4759-9D71-11205A0ED6D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F527F94">
    <w:pPr>
      <w:pStyle w:val="Footer"/>
      <w:ind w:left="420" w:leftChars="200"/>
      <w:rPr>
        <w:rFonts w:ascii="宋体" w:hAnsi="宋体"/>
        <w:sz w:val="28"/>
        <w:szCs w:val="28"/>
      </w:rPr>
    </w:pPr>
    <w:r>
      <w:rPr>
        <w:rFonts w:ascii="宋体" w:hAnsi="宋体" w:hint="eastAsia"/>
        <w:sz w:val="28"/>
        <w:szCs w:val="28"/>
      </w:rPr>
      <w:t xml:space="preserve">— </w:t>
    </w:r>
    <w:r>
      <w:rPr>
        <w:rFonts w:ascii="宋体" w:hAnsi="宋体" w:hint="eastAsia"/>
        <w:sz w:val="28"/>
        <w:szCs w:val="28"/>
      </w:rPr>
      <w:fldChar w:fldCharType="begin"/>
    </w:r>
    <w:r>
      <w:rPr>
        <w:rFonts w:ascii="宋体" w:hAnsi="宋体" w:hint="eastAsia"/>
        <w:sz w:val="28"/>
        <w:szCs w:val="28"/>
      </w:rPr>
      <w:instrText xml:space="preserve"> PAGE   \* MERGEFORMAT </w:instrText>
    </w:r>
    <w:r>
      <w:rPr>
        <w:rFonts w:ascii="宋体" w:hAnsi="宋体" w:hint="eastAsia"/>
        <w:sz w:val="28"/>
        <w:szCs w:val="28"/>
      </w:rPr>
      <w:fldChar w:fldCharType="separate"/>
    </w:r>
    <w:r>
      <w:rPr>
        <w:rFonts w:ascii="宋体" w:hAnsi="宋体"/>
        <w:sz w:val="28"/>
        <w:szCs w:val="28"/>
        <w:lang w:val="zh-CN"/>
      </w:rPr>
      <w:t>6</w:t>
    </w:r>
    <w:r>
      <w:rPr>
        <w:rFonts w:ascii="宋体" w:hAnsi="宋体" w:hint="eastAsia"/>
        <w:sz w:val="28"/>
        <w:szCs w:val="28"/>
      </w:rPr>
      <w:fldChar w:fldCharType="end"/>
    </w:r>
    <w:r>
      <w:rPr>
        <w:rFonts w:ascii="宋体" w:hAnsi="宋体" w:hint="eastAsia"/>
        <w:sz w:val="28"/>
        <w:szCs w:val="28"/>
      </w:rPr>
      <w:t xml:space="preserve"> —</w:t>
    </w:r>
  </w:p>
  <w:p w14:paraId="1B353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43B985D">
    <w:pPr>
      <w:pStyle w:val="Footer"/>
      <w:ind w:right="180"/>
      <w:jc w:val="right"/>
    </w:pPr>
    <w:r>
      <w:rPr>
        <w:rFonts w:ascii="宋体" w:hAnsi="宋体"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7</w:t>
    </w:r>
    <w:r>
      <w:rPr>
        <w:sz w:val="28"/>
        <w:szCs w:val="28"/>
      </w:rPr>
      <w:fldChar w:fldCharType="end"/>
    </w:r>
    <w:r>
      <w:rPr>
        <w:rFonts w:hint="eastAsia"/>
        <w:sz w:val="28"/>
        <w:szCs w:val="28"/>
      </w:rPr>
      <w:t xml:space="preserve"> </w:t>
    </w:r>
    <w:r>
      <w:rPr>
        <w:rFonts w:ascii="宋体" w:hAnsi="宋体" w:hint="eastAsia"/>
        <w:sz w:val="28"/>
        <w:szCs w:val="28"/>
      </w:rPr>
      <w:t xml:space="preserve">— </w:t>
    </w:r>
  </w:p>
  <w:p w14:paraId="0E8C19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C035621">
    <w:pPr>
      <w:pStyle w:val="Footer"/>
      <w:ind w:left="420" w:leftChars="200"/>
      <w:rPr>
        <w:rFonts w:ascii="宋体" w:hAnsi="宋体"/>
        <w:sz w:val="28"/>
        <w:szCs w:val="28"/>
      </w:rPr>
    </w:pPr>
    <w:r>
      <w:rPr>
        <w:rFonts w:ascii="宋体" w:hAnsi="宋体" w:hint="eastAsia"/>
        <w:sz w:val="28"/>
        <w:szCs w:val="28"/>
      </w:rPr>
      <w:t xml:space="preserve">— </w:t>
    </w:r>
    <w:r>
      <w:rPr>
        <w:rFonts w:ascii="宋体" w:hAnsi="宋体" w:hint="eastAsia"/>
        <w:sz w:val="28"/>
        <w:szCs w:val="28"/>
      </w:rPr>
      <w:fldChar w:fldCharType="begin"/>
    </w:r>
    <w:r>
      <w:rPr>
        <w:rFonts w:ascii="宋体" w:hAnsi="宋体" w:hint="eastAsia"/>
        <w:sz w:val="28"/>
        <w:szCs w:val="28"/>
      </w:rPr>
      <w:instrText xml:space="preserve"> PAGE   \* MERGEFORMAT </w:instrText>
    </w:r>
    <w:r>
      <w:rPr>
        <w:rFonts w:ascii="宋体" w:hAnsi="宋体" w:hint="eastAsia"/>
        <w:sz w:val="28"/>
        <w:szCs w:val="28"/>
      </w:rPr>
      <w:fldChar w:fldCharType="separate"/>
    </w:r>
    <w:r>
      <w:rPr>
        <w:rFonts w:ascii="宋体" w:hAnsi="宋体"/>
        <w:sz w:val="28"/>
        <w:szCs w:val="28"/>
        <w:lang w:val="zh-CN"/>
      </w:rPr>
      <w:t>10</w:t>
    </w:r>
    <w:r>
      <w:rPr>
        <w:rFonts w:ascii="宋体" w:hAnsi="宋体" w:hint="eastAsia"/>
        <w:sz w:val="28"/>
        <w:szCs w:val="28"/>
      </w:rPr>
      <w:fldChar w:fldCharType="end"/>
    </w:r>
    <w:r>
      <w:rPr>
        <w:rFonts w:ascii="宋体" w:hAnsi="宋体" w:hint="eastAsia"/>
        <w:sz w:val="28"/>
        <w:szCs w:val="28"/>
      </w:rPr>
      <w:t xml:space="preserve"> —</w:t>
    </w:r>
  </w:p>
  <w:p w14:paraId="16CAF1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AF85C49">
    <w:pPr>
      <w:pStyle w:val="Footer"/>
      <w:ind w:right="180"/>
      <w:jc w:val="right"/>
    </w:pPr>
    <w:r>
      <w:rPr>
        <w:rFonts w:ascii="宋体" w:hAnsi="宋体"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11</w:t>
    </w:r>
    <w:r>
      <w:rPr>
        <w:sz w:val="28"/>
        <w:szCs w:val="28"/>
      </w:rPr>
      <w:fldChar w:fldCharType="end"/>
    </w:r>
    <w:r>
      <w:rPr>
        <w:rFonts w:hint="eastAsia"/>
        <w:sz w:val="28"/>
        <w:szCs w:val="28"/>
      </w:rPr>
      <w:t xml:space="preserve"> </w:t>
    </w:r>
    <w:r>
      <w:rPr>
        <w:rFonts w:ascii="宋体" w:hAnsi="宋体" w:hint="eastAsia"/>
        <w:sz w:val="28"/>
        <w:szCs w:val="28"/>
      </w:rPr>
      <w:t xml:space="preserve">— </w:t>
    </w:r>
  </w:p>
  <w:p w14:paraId="03C998FB">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TrueTypeFonts/>
  <w:saveSubsetFonts/>
  <w:doNotTrackMoves/>
  <w:documentProtection w:formatting="1" w:enforcement="0"/>
  <w:defaultTabStop w:val="420"/>
  <w:evenAndOddHeaders/>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E3F"/>
    <w:rsid w:val="0000232A"/>
    <w:rsid w:val="00010698"/>
    <w:rsid w:val="00015EBA"/>
    <w:rsid w:val="00016C9C"/>
    <w:rsid w:val="00017D67"/>
    <w:rsid w:val="00024256"/>
    <w:rsid w:val="00027E92"/>
    <w:rsid w:val="0004045B"/>
    <w:rsid w:val="00047204"/>
    <w:rsid w:val="00054053"/>
    <w:rsid w:val="00056ACD"/>
    <w:rsid w:val="000641D7"/>
    <w:rsid w:val="00067428"/>
    <w:rsid w:val="000816DB"/>
    <w:rsid w:val="000826B6"/>
    <w:rsid w:val="000835CC"/>
    <w:rsid w:val="000856A0"/>
    <w:rsid w:val="00090C2B"/>
    <w:rsid w:val="000929BA"/>
    <w:rsid w:val="000A0333"/>
    <w:rsid w:val="000A2CBC"/>
    <w:rsid w:val="000A7B8C"/>
    <w:rsid w:val="000B27D8"/>
    <w:rsid w:val="000C2198"/>
    <w:rsid w:val="000C2532"/>
    <w:rsid w:val="000E6A6B"/>
    <w:rsid w:val="000F1F41"/>
    <w:rsid w:val="000F4C68"/>
    <w:rsid w:val="001025DC"/>
    <w:rsid w:val="001041A9"/>
    <w:rsid w:val="00105B02"/>
    <w:rsid w:val="00106094"/>
    <w:rsid w:val="001076D0"/>
    <w:rsid w:val="00114B22"/>
    <w:rsid w:val="00115FA0"/>
    <w:rsid w:val="001172E4"/>
    <w:rsid w:val="0013208E"/>
    <w:rsid w:val="0013671C"/>
    <w:rsid w:val="00147333"/>
    <w:rsid w:val="001521AF"/>
    <w:rsid w:val="001542E6"/>
    <w:rsid w:val="001645F9"/>
    <w:rsid w:val="00164B22"/>
    <w:rsid w:val="00166D42"/>
    <w:rsid w:val="00173919"/>
    <w:rsid w:val="0018379A"/>
    <w:rsid w:val="00183A3A"/>
    <w:rsid w:val="00184793"/>
    <w:rsid w:val="00184BAF"/>
    <w:rsid w:val="00184C9A"/>
    <w:rsid w:val="00185520"/>
    <w:rsid w:val="00195B5B"/>
    <w:rsid w:val="001978B4"/>
    <w:rsid w:val="001A3D2A"/>
    <w:rsid w:val="001A52C2"/>
    <w:rsid w:val="001A5DFE"/>
    <w:rsid w:val="001B03C4"/>
    <w:rsid w:val="001B694E"/>
    <w:rsid w:val="001C6A11"/>
    <w:rsid w:val="001D4D10"/>
    <w:rsid w:val="001D4E96"/>
    <w:rsid w:val="001D727A"/>
    <w:rsid w:val="001E0044"/>
    <w:rsid w:val="001E35D2"/>
    <w:rsid w:val="001F6F99"/>
    <w:rsid w:val="001F7E75"/>
    <w:rsid w:val="002049B3"/>
    <w:rsid w:val="00207369"/>
    <w:rsid w:val="00215700"/>
    <w:rsid w:val="0022408D"/>
    <w:rsid w:val="00233F27"/>
    <w:rsid w:val="00244B05"/>
    <w:rsid w:val="002503CA"/>
    <w:rsid w:val="00251C3B"/>
    <w:rsid w:val="00255D60"/>
    <w:rsid w:val="00255F80"/>
    <w:rsid w:val="002576A1"/>
    <w:rsid w:val="00262599"/>
    <w:rsid w:val="002629C6"/>
    <w:rsid w:val="00262D76"/>
    <w:rsid w:val="00266CFB"/>
    <w:rsid w:val="00281714"/>
    <w:rsid w:val="002823D8"/>
    <w:rsid w:val="00282567"/>
    <w:rsid w:val="00282DBF"/>
    <w:rsid w:val="00282FB5"/>
    <w:rsid w:val="002861C6"/>
    <w:rsid w:val="00287EB7"/>
    <w:rsid w:val="002946DB"/>
    <w:rsid w:val="002960DD"/>
    <w:rsid w:val="002A19D9"/>
    <w:rsid w:val="002A4A87"/>
    <w:rsid w:val="002A51B7"/>
    <w:rsid w:val="002A65E2"/>
    <w:rsid w:val="002A6E75"/>
    <w:rsid w:val="002A6EDB"/>
    <w:rsid w:val="002A7EA6"/>
    <w:rsid w:val="002B2A8E"/>
    <w:rsid w:val="002B413B"/>
    <w:rsid w:val="002B6771"/>
    <w:rsid w:val="002C23C3"/>
    <w:rsid w:val="002D31B9"/>
    <w:rsid w:val="002D3200"/>
    <w:rsid w:val="002E18B1"/>
    <w:rsid w:val="002E1C6C"/>
    <w:rsid w:val="002E5B2B"/>
    <w:rsid w:val="002E64D6"/>
    <w:rsid w:val="00304917"/>
    <w:rsid w:val="00306E22"/>
    <w:rsid w:val="00307133"/>
    <w:rsid w:val="00310D47"/>
    <w:rsid w:val="003232F6"/>
    <w:rsid w:val="00327655"/>
    <w:rsid w:val="003278E6"/>
    <w:rsid w:val="00331A28"/>
    <w:rsid w:val="00331E02"/>
    <w:rsid w:val="0034225D"/>
    <w:rsid w:val="003455BC"/>
    <w:rsid w:val="0034617D"/>
    <w:rsid w:val="00350088"/>
    <w:rsid w:val="003503B4"/>
    <w:rsid w:val="00352D7E"/>
    <w:rsid w:val="00353046"/>
    <w:rsid w:val="00354FB8"/>
    <w:rsid w:val="003608AF"/>
    <w:rsid w:val="00360A44"/>
    <w:rsid w:val="00361598"/>
    <w:rsid w:val="00362A04"/>
    <w:rsid w:val="003657CC"/>
    <w:rsid w:val="003713E8"/>
    <w:rsid w:val="00373B39"/>
    <w:rsid w:val="00386720"/>
    <w:rsid w:val="0039221C"/>
    <w:rsid w:val="00392C9C"/>
    <w:rsid w:val="003932D0"/>
    <w:rsid w:val="003A14CA"/>
    <w:rsid w:val="003A5493"/>
    <w:rsid w:val="003A7581"/>
    <w:rsid w:val="003A7FBD"/>
    <w:rsid w:val="003B58A1"/>
    <w:rsid w:val="003B68D1"/>
    <w:rsid w:val="003B6CDE"/>
    <w:rsid w:val="003B6E7A"/>
    <w:rsid w:val="003C37B6"/>
    <w:rsid w:val="003C63E5"/>
    <w:rsid w:val="003D02DF"/>
    <w:rsid w:val="003D6408"/>
    <w:rsid w:val="003D75D1"/>
    <w:rsid w:val="003D7D24"/>
    <w:rsid w:val="003E47AD"/>
    <w:rsid w:val="003F135D"/>
    <w:rsid w:val="003F7095"/>
    <w:rsid w:val="003F72F2"/>
    <w:rsid w:val="004013FF"/>
    <w:rsid w:val="0040512A"/>
    <w:rsid w:val="00405642"/>
    <w:rsid w:val="00405DFC"/>
    <w:rsid w:val="004068BA"/>
    <w:rsid w:val="00414D83"/>
    <w:rsid w:val="00415D0F"/>
    <w:rsid w:val="0041651B"/>
    <w:rsid w:val="00417596"/>
    <w:rsid w:val="0043126E"/>
    <w:rsid w:val="00431628"/>
    <w:rsid w:val="004330AB"/>
    <w:rsid w:val="00434B9B"/>
    <w:rsid w:val="00437DD1"/>
    <w:rsid w:val="0044132D"/>
    <w:rsid w:val="00442D06"/>
    <w:rsid w:val="00452C1A"/>
    <w:rsid w:val="00456DE2"/>
    <w:rsid w:val="00460261"/>
    <w:rsid w:val="00471E18"/>
    <w:rsid w:val="00474D75"/>
    <w:rsid w:val="00477779"/>
    <w:rsid w:val="004900A3"/>
    <w:rsid w:val="00490D5D"/>
    <w:rsid w:val="00492453"/>
    <w:rsid w:val="00496864"/>
    <w:rsid w:val="00497DF5"/>
    <w:rsid w:val="004A4500"/>
    <w:rsid w:val="004A4AE8"/>
    <w:rsid w:val="004C09F0"/>
    <w:rsid w:val="004C2239"/>
    <w:rsid w:val="004C5C63"/>
    <w:rsid w:val="004D0512"/>
    <w:rsid w:val="004D3F38"/>
    <w:rsid w:val="004E05B6"/>
    <w:rsid w:val="004E27FD"/>
    <w:rsid w:val="004E2E7B"/>
    <w:rsid w:val="004E3E03"/>
    <w:rsid w:val="004E40B8"/>
    <w:rsid w:val="004E678E"/>
    <w:rsid w:val="004E6D20"/>
    <w:rsid w:val="004E738E"/>
    <w:rsid w:val="004E7C81"/>
    <w:rsid w:val="004F0D61"/>
    <w:rsid w:val="004F172C"/>
    <w:rsid w:val="004F398A"/>
    <w:rsid w:val="004F3FC0"/>
    <w:rsid w:val="004F5F37"/>
    <w:rsid w:val="00500381"/>
    <w:rsid w:val="005007CB"/>
    <w:rsid w:val="00501118"/>
    <w:rsid w:val="00506D43"/>
    <w:rsid w:val="00507DC4"/>
    <w:rsid w:val="0052516D"/>
    <w:rsid w:val="00526D8B"/>
    <w:rsid w:val="00527A10"/>
    <w:rsid w:val="0053012B"/>
    <w:rsid w:val="00530C6C"/>
    <w:rsid w:val="0053317E"/>
    <w:rsid w:val="00533F3F"/>
    <w:rsid w:val="005360CA"/>
    <w:rsid w:val="005378ED"/>
    <w:rsid w:val="00543CF0"/>
    <w:rsid w:val="00544A04"/>
    <w:rsid w:val="005458A5"/>
    <w:rsid w:val="00551CF0"/>
    <w:rsid w:val="00552B1D"/>
    <w:rsid w:val="00555658"/>
    <w:rsid w:val="005608ED"/>
    <w:rsid w:val="005616E9"/>
    <w:rsid w:val="005643DB"/>
    <w:rsid w:val="00564A24"/>
    <w:rsid w:val="00565E35"/>
    <w:rsid w:val="00571EB4"/>
    <w:rsid w:val="00574E9F"/>
    <w:rsid w:val="00576D1B"/>
    <w:rsid w:val="00580F5C"/>
    <w:rsid w:val="005913A3"/>
    <w:rsid w:val="00597E64"/>
    <w:rsid w:val="005A58BE"/>
    <w:rsid w:val="005B288C"/>
    <w:rsid w:val="005B32C2"/>
    <w:rsid w:val="005B4A39"/>
    <w:rsid w:val="005B4CDA"/>
    <w:rsid w:val="005C32DC"/>
    <w:rsid w:val="005C4469"/>
    <w:rsid w:val="005D1411"/>
    <w:rsid w:val="005D54F6"/>
    <w:rsid w:val="005D7114"/>
    <w:rsid w:val="005E1834"/>
    <w:rsid w:val="005E360D"/>
    <w:rsid w:val="005E743E"/>
    <w:rsid w:val="005F18FB"/>
    <w:rsid w:val="005F4B44"/>
    <w:rsid w:val="00601CC4"/>
    <w:rsid w:val="006027A6"/>
    <w:rsid w:val="006124D4"/>
    <w:rsid w:val="0062014E"/>
    <w:rsid w:val="0062286C"/>
    <w:rsid w:val="00623B7D"/>
    <w:rsid w:val="00624657"/>
    <w:rsid w:val="00624AC6"/>
    <w:rsid w:val="00626B15"/>
    <w:rsid w:val="00632793"/>
    <w:rsid w:val="0063671C"/>
    <w:rsid w:val="00636F19"/>
    <w:rsid w:val="0064175E"/>
    <w:rsid w:val="0064211F"/>
    <w:rsid w:val="00644C2E"/>
    <w:rsid w:val="00652A7F"/>
    <w:rsid w:val="006539FD"/>
    <w:rsid w:val="00661556"/>
    <w:rsid w:val="00662384"/>
    <w:rsid w:val="00666478"/>
    <w:rsid w:val="00667DDC"/>
    <w:rsid w:val="00670EA3"/>
    <w:rsid w:val="0067147D"/>
    <w:rsid w:val="00674D75"/>
    <w:rsid w:val="006808D8"/>
    <w:rsid w:val="00684408"/>
    <w:rsid w:val="006865D6"/>
    <w:rsid w:val="0069149A"/>
    <w:rsid w:val="00691FB3"/>
    <w:rsid w:val="00696C1F"/>
    <w:rsid w:val="006A4913"/>
    <w:rsid w:val="006B2DFD"/>
    <w:rsid w:val="006B62CE"/>
    <w:rsid w:val="006B7323"/>
    <w:rsid w:val="006C2608"/>
    <w:rsid w:val="006C4FBF"/>
    <w:rsid w:val="006C5F43"/>
    <w:rsid w:val="006C6981"/>
    <w:rsid w:val="006D6310"/>
    <w:rsid w:val="006D710E"/>
    <w:rsid w:val="006E1868"/>
    <w:rsid w:val="006E2099"/>
    <w:rsid w:val="006F39F8"/>
    <w:rsid w:val="006F7761"/>
    <w:rsid w:val="00701217"/>
    <w:rsid w:val="00705D45"/>
    <w:rsid w:val="00706BA7"/>
    <w:rsid w:val="00712917"/>
    <w:rsid w:val="00713712"/>
    <w:rsid w:val="0072528F"/>
    <w:rsid w:val="00725F6A"/>
    <w:rsid w:val="007270A9"/>
    <w:rsid w:val="00730690"/>
    <w:rsid w:val="007312A1"/>
    <w:rsid w:val="007322F0"/>
    <w:rsid w:val="0073320F"/>
    <w:rsid w:val="00735D3A"/>
    <w:rsid w:val="00736E25"/>
    <w:rsid w:val="007420C1"/>
    <w:rsid w:val="00744B44"/>
    <w:rsid w:val="0074527F"/>
    <w:rsid w:val="00760F8D"/>
    <w:rsid w:val="00763AE0"/>
    <w:rsid w:val="00765CCF"/>
    <w:rsid w:val="00767EC7"/>
    <w:rsid w:val="00771F64"/>
    <w:rsid w:val="0077216F"/>
    <w:rsid w:val="00773599"/>
    <w:rsid w:val="00775C90"/>
    <w:rsid w:val="00775E5A"/>
    <w:rsid w:val="00781F28"/>
    <w:rsid w:val="00783B2D"/>
    <w:rsid w:val="00787CA8"/>
    <w:rsid w:val="00795685"/>
    <w:rsid w:val="00795F52"/>
    <w:rsid w:val="007A1AB1"/>
    <w:rsid w:val="007A5B40"/>
    <w:rsid w:val="007B3D43"/>
    <w:rsid w:val="007B4FE4"/>
    <w:rsid w:val="007C1C69"/>
    <w:rsid w:val="007C3052"/>
    <w:rsid w:val="007C667B"/>
    <w:rsid w:val="007C7F71"/>
    <w:rsid w:val="007D172E"/>
    <w:rsid w:val="007D5300"/>
    <w:rsid w:val="007E1FD8"/>
    <w:rsid w:val="007E3448"/>
    <w:rsid w:val="007E3E29"/>
    <w:rsid w:val="007E7BB1"/>
    <w:rsid w:val="007F401C"/>
    <w:rsid w:val="007F4B6A"/>
    <w:rsid w:val="007F70F2"/>
    <w:rsid w:val="007F7831"/>
    <w:rsid w:val="00801518"/>
    <w:rsid w:val="00803279"/>
    <w:rsid w:val="00804E3F"/>
    <w:rsid w:val="00807C87"/>
    <w:rsid w:val="00810FC9"/>
    <w:rsid w:val="00815327"/>
    <w:rsid w:val="00815BCC"/>
    <w:rsid w:val="00815E0F"/>
    <w:rsid w:val="00820A39"/>
    <w:rsid w:val="00826B4D"/>
    <w:rsid w:val="0084035D"/>
    <w:rsid w:val="00842BED"/>
    <w:rsid w:val="008435EB"/>
    <w:rsid w:val="00844C50"/>
    <w:rsid w:val="008477B8"/>
    <w:rsid w:val="008609B4"/>
    <w:rsid w:val="00860D5D"/>
    <w:rsid w:val="00862924"/>
    <w:rsid w:val="0086779B"/>
    <w:rsid w:val="00876B5D"/>
    <w:rsid w:val="008812EC"/>
    <w:rsid w:val="00897F2A"/>
    <w:rsid w:val="008A13CF"/>
    <w:rsid w:val="008A3D1F"/>
    <w:rsid w:val="008A5893"/>
    <w:rsid w:val="008B0646"/>
    <w:rsid w:val="008B1591"/>
    <w:rsid w:val="008B1916"/>
    <w:rsid w:val="008B4C5B"/>
    <w:rsid w:val="008C21BB"/>
    <w:rsid w:val="008D3985"/>
    <w:rsid w:val="008D3DDE"/>
    <w:rsid w:val="008D4D79"/>
    <w:rsid w:val="008D7724"/>
    <w:rsid w:val="008E0B9B"/>
    <w:rsid w:val="008E1783"/>
    <w:rsid w:val="008E4780"/>
    <w:rsid w:val="008E5937"/>
    <w:rsid w:val="008F1E7D"/>
    <w:rsid w:val="008F65D0"/>
    <w:rsid w:val="00901239"/>
    <w:rsid w:val="009040A7"/>
    <w:rsid w:val="00907320"/>
    <w:rsid w:val="00907A80"/>
    <w:rsid w:val="00907E2D"/>
    <w:rsid w:val="00914521"/>
    <w:rsid w:val="00921E57"/>
    <w:rsid w:val="00923EB2"/>
    <w:rsid w:val="00924A9C"/>
    <w:rsid w:val="00926DBC"/>
    <w:rsid w:val="00932009"/>
    <w:rsid w:val="00934481"/>
    <w:rsid w:val="00934673"/>
    <w:rsid w:val="0093613D"/>
    <w:rsid w:val="00941B09"/>
    <w:rsid w:val="0094235F"/>
    <w:rsid w:val="00952B0B"/>
    <w:rsid w:val="00955EC9"/>
    <w:rsid w:val="00961DC4"/>
    <w:rsid w:val="00961E01"/>
    <w:rsid w:val="009675AD"/>
    <w:rsid w:val="00967FB2"/>
    <w:rsid w:val="009736DA"/>
    <w:rsid w:val="009753FE"/>
    <w:rsid w:val="009768EE"/>
    <w:rsid w:val="0097694A"/>
    <w:rsid w:val="00984E06"/>
    <w:rsid w:val="00985A51"/>
    <w:rsid w:val="009876FB"/>
    <w:rsid w:val="009904A9"/>
    <w:rsid w:val="00996462"/>
    <w:rsid w:val="009A65B1"/>
    <w:rsid w:val="009C117E"/>
    <w:rsid w:val="009C20D0"/>
    <w:rsid w:val="009C7FD9"/>
    <w:rsid w:val="009D1436"/>
    <w:rsid w:val="009D1DE8"/>
    <w:rsid w:val="009D2142"/>
    <w:rsid w:val="009D2AC4"/>
    <w:rsid w:val="009D404E"/>
    <w:rsid w:val="009E1FE5"/>
    <w:rsid w:val="009E250F"/>
    <w:rsid w:val="009E40F4"/>
    <w:rsid w:val="009E50C3"/>
    <w:rsid w:val="009E5235"/>
    <w:rsid w:val="009F02BA"/>
    <w:rsid w:val="009F6863"/>
    <w:rsid w:val="009F6B49"/>
    <w:rsid w:val="00A0050D"/>
    <w:rsid w:val="00A10BF4"/>
    <w:rsid w:val="00A11F4A"/>
    <w:rsid w:val="00A12074"/>
    <w:rsid w:val="00A126B0"/>
    <w:rsid w:val="00A142B3"/>
    <w:rsid w:val="00A205E2"/>
    <w:rsid w:val="00A21044"/>
    <w:rsid w:val="00A2325B"/>
    <w:rsid w:val="00A2431A"/>
    <w:rsid w:val="00A26D82"/>
    <w:rsid w:val="00A2782E"/>
    <w:rsid w:val="00A3573F"/>
    <w:rsid w:val="00A37D1F"/>
    <w:rsid w:val="00A41F93"/>
    <w:rsid w:val="00A44025"/>
    <w:rsid w:val="00A448FA"/>
    <w:rsid w:val="00A46BA4"/>
    <w:rsid w:val="00A46D60"/>
    <w:rsid w:val="00A66634"/>
    <w:rsid w:val="00A740A8"/>
    <w:rsid w:val="00A76E4C"/>
    <w:rsid w:val="00A77491"/>
    <w:rsid w:val="00A83F75"/>
    <w:rsid w:val="00A84406"/>
    <w:rsid w:val="00A84E58"/>
    <w:rsid w:val="00A90719"/>
    <w:rsid w:val="00A93DE5"/>
    <w:rsid w:val="00AA57F6"/>
    <w:rsid w:val="00AB0625"/>
    <w:rsid w:val="00AB1310"/>
    <w:rsid w:val="00AB2A85"/>
    <w:rsid w:val="00AB3C90"/>
    <w:rsid w:val="00AC3651"/>
    <w:rsid w:val="00AC4DE1"/>
    <w:rsid w:val="00AC672C"/>
    <w:rsid w:val="00AD37C9"/>
    <w:rsid w:val="00AD66F4"/>
    <w:rsid w:val="00AE493F"/>
    <w:rsid w:val="00AF54F0"/>
    <w:rsid w:val="00B01C14"/>
    <w:rsid w:val="00B02A69"/>
    <w:rsid w:val="00B02C2E"/>
    <w:rsid w:val="00B03001"/>
    <w:rsid w:val="00B03AB4"/>
    <w:rsid w:val="00B10C4A"/>
    <w:rsid w:val="00B11F8C"/>
    <w:rsid w:val="00B12235"/>
    <w:rsid w:val="00B155A4"/>
    <w:rsid w:val="00B156DE"/>
    <w:rsid w:val="00B2142B"/>
    <w:rsid w:val="00B2273C"/>
    <w:rsid w:val="00B23A99"/>
    <w:rsid w:val="00B30E40"/>
    <w:rsid w:val="00B323B5"/>
    <w:rsid w:val="00B41B79"/>
    <w:rsid w:val="00B41F6F"/>
    <w:rsid w:val="00B43C4B"/>
    <w:rsid w:val="00B47AEC"/>
    <w:rsid w:val="00B50700"/>
    <w:rsid w:val="00B50DB7"/>
    <w:rsid w:val="00B526C5"/>
    <w:rsid w:val="00B53B9A"/>
    <w:rsid w:val="00B612F0"/>
    <w:rsid w:val="00B61833"/>
    <w:rsid w:val="00B634BE"/>
    <w:rsid w:val="00B670CA"/>
    <w:rsid w:val="00B72578"/>
    <w:rsid w:val="00B7330A"/>
    <w:rsid w:val="00B759D3"/>
    <w:rsid w:val="00B76C32"/>
    <w:rsid w:val="00B84855"/>
    <w:rsid w:val="00B94554"/>
    <w:rsid w:val="00B945A9"/>
    <w:rsid w:val="00BA120C"/>
    <w:rsid w:val="00BA25FD"/>
    <w:rsid w:val="00BC4BC9"/>
    <w:rsid w:val="00BC76D2"/>
    <w:rsid w:val="00BC7C40"/>
    <w:rsid w:val="00BD2C60"/>
    <w:rsid w:val="00BE0161"/>
    <w:rsid w:val="00BE20E9"/>
    <w:rsid w:val="00BE6343"/>
    <w:rsid w:val="00BE7764"/>
    <w:rsid w:val="00BF1E9B"/>
    <w:rsid w:val="00BF744A"/>
    <w:rsid w:val="00C02B47"/>
    <w:rsid w:val="00C07596"/>
    <w:rsid w:val="00C13D24"/>
    <w:rsid w:val="00C17CCE"/>
    <w:rsid w:val="00C2319C"/>
    <w:rsid w:val="00C23C2F"/>
    <w:rsid w:val="00C23ED9"/>
    <w:rsid w:val="00C24169"/>
    <w:rsid w:val="00C24F93"/>
    <w:rsid w:val="00C27BE1"/>
    <w:rsid w:val="00C30FC5"/>
    <w:rsid w:val="00C4309A"/>
    <w:rsid w:val="00C4479C"/>
    <w:rsid w:val="00C44F2A"/>
    <w:rsid w:val="00C47394"/>
    <w:rsid w:val="00C5040A"/>
    <w:rsid w:val="00C55735"/>
    <w:rsid w:val="00C60A17"/>
    <w:rsid w:val="00C63B2E"/>
    <w:rsid w:val="00C64827"/>
    <w:rsid w:val="00C702AE"/>
    <w:rsid w:val="00C706FB"/>
    <w:rsid w:val="00C74511"/>
    <w:rsid w:val="00C76C49"/>
    <w:rsid w:val="00C77988"/>
    <w:rsid w:val="00C803CA"/>
    <w:rsid w:val="00C80E7E"/>
    <w:rsid w:val="00C81630"/>
    <w:rsid w:val="00C82EF1"/>
    <w:rsid w:val="00C91952"/>
    <w:rsid w:val="00C93B01"/>
    <w:rsid w:val="00C965CF"/>
    <w:rsid w:val="00C96C10"/>
    <w:rsid w:val="00C97439"/>
    <w:rsid w:val="00CA68E2"/>
    <w:rsid w:val="00CB7FB7"/>
    <w:rsid w:val="00CC0B46"/>
    <w:rsid w:val="00CC1877"/>
    <w:rsid w:val="00CC650B"/>
    <w:rsid w:val="00CD2A13"/>
    <w:rsid w:val="00CD7A85"/>
    <w:rsid w:val="00CE0214"/>
    <w:rsid w:val="00CE3A31"/>
    <w:rsid w:val="00CE6C7E"/>
    <w:rsid w:val="00CE6E4F"/>
    <w:rsid w:val="00CF17E0"/>
    <w:rsid w:val="00CF2FF7"/>
    <w:rsid w:val="00CF3582"/>
    <w:rsid w:val="00CF4E72"/>
    <w:rsid w:val="00CF51ED"/>
    <w:rsid w:val="00D02B1E"/>
    <w:rsid w:val="00D12260"/>
    <w:rsid w:val="00D164E7"/>
    <w:rsid w:val="00D2422B"/>
    <w:rsid w:val="00D330E8"/>
    <w:rsid w:val="00D35ABC"/>
    <w:rsid w:val="00D442E3"/>
    <w:rsid w:val="00D44E68"/>
    <w:rsid w:val="00D47DD0"/>
    <w:rsid w:val="00D52856"/>
    <w:rsid w:val="00D54164"/>
    <w:rsid w:val="00D56777"/>
    <w:rsid w:val="00D61080"/>
    <w:rsid w:val="00D62E29"/>
    <w:rsid w:val="00D67F8D"/>
    <w:rsid w:val="00D70FE4"/>
    <w:rsid w:val="00D718D2"/>
    <w:rsid w:val="00D71E88"/>
    <w:rsid w:val="00D72E25"/>
    <w:rsid w:val="00D767F3"/>
    <w:rsid w:val="00D81AB3"/>
    <w:rsid w:val="00D8250E"/>
    <w:rsid w:val="00D82C41"/>
    <w:rsid w:val="00D9111C"/>
    <w:rsid w:val="00D91B0E"/>
    <w:rsid w:val="00D9215E"/>
    <w:rsid w:val="00D92A4C"/>
    <w:rsid w:val="00D93242"/>
    <w:rsid w:val="00D93534"/>
    <w:rsid w:val="00D96B59"/>
    <w:rsid w:val="00DA3ACB"/>
    <w:rsid w:val="00DB21EA"/>
    <w:rsid w:val="00DB4B2F"/>
    <w:rsid w:val="00DB5D52"/>
    <w:rsid w:val="00DB5E06"/>
    <w:rsid w:val="00DC0935"/>
    <w:rsid w:val="00DC0AC4"/>
    <w:rsid w:val="00DC1908"/>
    <w:rsid w:val="00DC5497"/>
    <w:rsid w:val="00DD0B73"/>
    <w:rsid w:val="00DD103A"/>
    <w:rsid w:val="00DD145F"/>
    <w:rsid w:val="00DD1F7E"/>
    <w:rsid w:val="00DD4A6C"/>
    <w:rsid w:val="00DD7134"/>
    <w:rsid w:val="00DD71EA"/>
    <w:rsid w:val="00DD782C"/>
    <w:rsid w:val="00DE0D0C"/>
    <w:rsid w:val="00DE35E8"/>
    <w:rsid w:val="00DE3FE8"/>
    <w:rsid w:val="00DE7F40"/>
    <w:rsid w:val="00E006E2"/>
    <w:rsid w:val="00E00C36"/>
    <w:rsid w:val="00E00CD7"/>
    <w:rsid w:val="00E026E6"/>
    <w:rsid w:val="00E03ADB"/>
    <w:rsid w:val="00E0749F"/>
    <w:rsid w:val="00E13891"/>
    <w:rsid w:val="00E13A67"/>
    <w:rsid w:val="00E14A7A"/>
    <w:rsid w:val="00E250DD"/>
    <w:rsid w:val="00E256D4"/>
    <w:rsid w:val="00E37D65"/>
    <w:rsid w:val="00E43D5E"/>
    <w:rsid w:val="00E46255"/>
    <w:rsid w:val="00E507F0"/>
    <w:rsid w:val="00E51281"/>
    <w:rsid w:val="00E51A8A"/>
    <w:rsid w:val="00E5412F"/>
    <w:rsid w:val="00E55818"/>
    <w:rsid w:val="00E572CF"/>
    <w:rsid w:val="00E61ED1"/>
    <w:rsid w:val="00E67AF8"/>
    <w:rsid w:val="00E7470E"/>
    <w:rsid w:val="00E74BFD"/>
    <w:rsid w:val="00E753AC"/>
    <w:rsid w:val="00E76659"/>
    <w:rsid w:val="00E77F14"/>
    <w:rsid w:val="00E815A3"/>
    <w:rsid w:val="00E8398D"/>
    <w:rsid w:val="00E84042"/>
    <w:rsid w:val="00E90F7E"/>
    <w:rsid w:val="00EA6A4C"/>
    <w:rsid w:val="00EB0B89"/>
    <w:rsid w:val="00EB126D"/>
    <w:rsid w:val="00EB6931"/>
    <w:rsid w:val="00EC3ABB"/>
    <w:rsid w:val="00EC6ABC"/>
    <w:rsid w:val="00EC6CA7"/>
    <w:rsid w:val="00ED6336"/>
    <w:rsid w:val="00EE4330"/>
    <w:rsid w:val="00EE58CE"/>
    <w:rsid w:val="00EF0FB6"/>
    <w:rsid w:val="00EF361A"/>
    <w:rsid w:val="00EF6645"/>
    <w:rsid w:val="00EF7F92"/>
    <w:rsid w:val="00F0001B"/>
    <w:rsid w:val="00F01B3E"/>
    <w:rsid w:val="00F02567"/>
    <w:rsid w:val="00F028DD"/>
    <w:rsid w:val="00F02B6C"/>
    <w:rsid w:val="00F0667C"/>
    <w:rsid w:val="00F10CFE"/>
    <w:rsid w:val="00F14E50"/>
    <w:rsid w:val="00F16850"/>
    <w:rsid w:val="00F172EC"/>
    <w:rsid w:val="00F2579A"/>
    <w:rsid w:val="00F264E5"/>
    <w:rsid w:val="00F2680D"/>
    <w:rsid w:val="00F30A52"/>
    <w:rsid w:val="00F33284"/>
    <w:rsid w:val="00F348D3"/>
    <w:rsid w:val="00F37BA8"/>
    <w:rsid w:val="00F402F9"/>
    <w:rsid w:val="00F42506"/>
    <w:rsid w:val="00F42EC1"/>
    <w:rsid w:val="00F458A1"/>
    <w:rsid w:val="00F45F8A"/>
    <w:rsid w:val="00F4792A"/>
    <w:rsid w:val="00F51C68"/>
    <w:rsid w:val="00F5241D"/>
    <w:rsid w:val="00F748D9"/>
    <w:rsid w:val="00F754F3"/>
    <w:rsid w:val="00F775C5"/>
    <w:rsid w:val="00F815C2"/>
    <w:rsid w:val="00F87F0F"/>
    <w:rsid w:val="00FA74E1"/>
    <w:rsid w:val="00FB2A91"/>
    <w:rsid w:val="00FB65E4"/>
    <w:rsid w:val="00FB6873"/>
    <w:rsid w:val="00FB775C"/>
    <w:rsid w:val="00FD03E4"/>
    <w:rsid w:val="00FD0E19"/>
    <w:rsid w:val="00FD130E"/>
    <w:rsid w:val="00FD2C8D"/>
    <w:rsid w:val="00FE4249"/>
    <w:rsid w:val="00FE456A"/>
    <w:rsid w:val="00FE7FAA"/>
    <w:rsid w:val="00FF1061"/>
    <w:rsid w:val="00FF15CF"/>
    <w:rsid w:val="00FF272F"/>
    <w:rsid w:val="03DB00CF"/>
    <w:rsid w:val="0C433405"/>
    <w:rsid w:val="122449C2"/>
    <w:rsid w:val="16502966"/>
    <w:rsid w:val="22C14D31"/>
    <w:rsid w:val="24805AB4"/>
    <w:rsid w:val="25911919"/>
    <w:rsid w:val="26772EBD"/>
    <w:rsid w:val="2F9F7C0D"/>
    <w:rsid w:val="40F63569"/>
    <w:rsid w:val="4AD9456E"/>
    <w:rsid w:val="4AEE10E6"/>
    <w:rsid w:val="4D1B576E"/>
    <w:rsid w:val="51DC6BCC"/>
    <w:rsid w:val="557A1ECC"/>
    <w:rsid w:val="5B3052AD"/>
    <w:rsid w:val="5ECD0CB3"/>
    <w:rsid w:val="5FF060B6"/>
    <w:rsid w:val="64B72DDB"/>
    <w:rsid w:val="67DD2D7C"/>
    <w:rsid w:val="7C5B52AF"/>
    <w:rsid w:val="7D3C673B"/>
    <w:rsid w:val="7F963CF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qFormat="1"/>
    <w:lsdException w:name="footnote text" w:semiHidden="0" w:unhideWhenUsed="0" w:qFormat="1"/>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qFormat="1"/>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qFormat="1"/>
    <w:lsdException w:name="Body Text First Indent" w:semiHidden="0" w:uiPriority="0" w:unhideWhenUsed="0"/>
    <w:lsdException w:name="Body Text First Indent 2" w:semiHidden="0" w:uiPriority="0" w:qFormat="1"/>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line="580" w:lineRule="exact"/>
      <w:jc w:val="both"/>
    </w:pPr>
    <w:rPr>
      <w:rFonts w:ascii="Times New Roman" w:eastAsia="宋体" w:hAnsi="Times New Roman" w:cs="Times New Roman"/>
      <w:kern w:val="2"/>
      <w:sz w:val="21"/>
      <w:szCs w:val="24"/>
      <w:lang w:val="en-US" w:eastAsia="zh-CN" w:bidi="ar-SA"/>
    </w:rPr>
  </w:style>
  <w:style w:type="paragraph" w:styleId="Heading1">
    <w:name w:val="heading 1"/>
    <w:basedOn w:val="Normal"/>
    <w:next w:val="Normal"/>
    <w:link w:val="1Char"/>
    <w:qFormat/>
    <w:pPr>
      <w:keepNext/>
      <w:keepLines/>
      <w:spacing w:line="576" w:lineRule="auto"/>
      <w:outlineLvl w:val="0"/>
    </w:pPr>
    <w:rPr>
      <w:rFonts w:ascii="Calibri" w:hAnsi="Calibri"/>
      <w:b/>
      <w:kern w:val="44"/>
      <w:sz w:val="44"/>
    </w:rPr>
  </w:style>
  <w:style w:type="paragraph" w:styleId="Heading2">
    <w:name w:val="heading 2"/>
    <w:basedOn w:val="Normal"/>
    <w:next w:val="Normal"/>
    <w:link w:val="2Char"/>
    <w:qFormat/>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3Char"/>
    <w:qFormat/>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Indent">
    <w:name w:val="Normal Indent"/>
    <w:basedOn w:val="Normal"/>
    <w:qFormat/>
    <w:pPr>
      <w:ind w:firstLine="420" w:firstLineChars="200"/>
    </w:pPr>
    <w:rPr>
      <w:szCs w:val="21"/>
    </w:rPr>
  </w:style>
  <w:style w:type="paragraph" w:styleId="BodyText">
    <w:name w:val="Body Text"/>
    <w:basedOn w:val="Normal"/>
    <w:link w:val="Char"/>
    <w:qFormat/>
    <w:pPr>
      <w:jc w:val="center"/>
    </w:pPr>
    <w:rPr>
      <w:rFonts w:eastAsia="黑体"/>
      <w:sz w:val="36"/>
      <w:szCs w:val="20"/>
    </w:rPr>
  </w:style>
  <w:style w:type="paragraph" w:styleId="BodyTextIndent">
    <w:name w:val="Body Text Indent"/>
    <w:basedOn w:val="Normal"/>
    <w:link w:val="Char10"/>
    <w:qFormat/>
    <w:pPr>
      <w:spacing w:after="120"/>
      <w:ind w:left="420" w:leftChars="200"/>
    </w:pPr>
  </w:style>
  <w:style w:type="paragraph" w:styleId="PlainText">
    <w:name w:val="Plain Text"/>
    <w:basedOn w:val="Normal"/>
    <w:link w:val="Char1"/>
    <w:qFormat/>
    <w:rPr>
      <w:rFonts w:ascii="宋体" w:hAnsi="Courier New"/>
    </w:rPr>
  </w:style>
  <w:style w:type="paragraph" w:styleId="Date">
    <w:name w:val="Date"/>
    <w:basedOn w:val="Normal"/>
    <w:next w:val="Normal"/>
    <w:link w:val="Char2"/>
    <w:qFormat/>
    <w:pPr>
      <w:ind w:left="100" w:leftChars="2500"/>
    </w:pPr>
  </w:style>
  <w:style w:type="paragraph" w:styleId="BodyTextIndent2">
    <w:name w:val="Body Text Indent 2"/>
    <w:basedOn w:val="Normal"/>
    <w:link w:val="2Char0"/>
    <w:pPr>
      <w:spacing w:after="120" w:line="480" w:lineRule="auto"/>
      <w:ind w:left="420" w:leftChars="200"/>
    </w:pPr>
  </w:style>
  <w:style w:type="paragraph" w:styleId="BalloonText">
    <w:name w:val="Balloon Text"/>
    <w:basedOn w:val="Normal"/>
    <w:link w:val="Char3"/>
    <w:rPr>
      <w:sz w:val="18"/>
      <w:szCs w:val="18"/>
    </w:rPr>
  </w:style>
  <w:style w:type="paragraph" w:styleId="Footer">
    <w:name w:val="footer"/>
    <w:basedOn w:val="Normal"/>
    <w:link w:val="Char4"/>
    <w:qFormat/>
    <w:pPr>
      <w:tabs>
        <w:tab w:val="center" w:pos="4153"/>
        <w:tab w:val="right" w:pos="8306"/>
      </w:tabs>
      <w:snapToGrid w:val="0"/>
      <w:jc w:val="left"/>
    </w:pPr>
    <w:rPr>
      <w:sz w:val="18"/>
      <w:szCs w:val="18"/>
    </w:rPr>
  </w:style>
  <w:style w:type="paragraph" w:styleId="Header">
    <w:name w:val="header"/>
    <w:basedOn w:val="Normal"/>
    <w:link w:val="Char5"/>
    <w:qFormat/>
    <w:pPr>
      <w:pBdr>
        <w:bottom w:val="single" w:sz="6" w:space="1" w:color="auto"/>
      </w:pBdr>
      <w:tabs>
        <w:tab w:val="center" w:pos="4153"/>
        <w:tab w:val="right" w:pos="8306"/>
      </w:tabs>
      <w:snapToGrid w:val="0"/>
      <w:jc w:val="center"/>
    </w:pPr>
    <w:rPr>
      <w:sz w:val="18"/>
      <w:szCs w:val="18"/>
    </w:rPr>
  </w:style>
  <w:style w:type="paragraph" w:styleId="FootnoteText">
    <w:name w:val="footnote text"/>
    <w:basedOn w:val="Normal"/>
    <w:link w:val="Char6"/>
    <w:uiPriority w:val="99"/>
    <w:qFormat/>
    <w:pPr>
      <w:snapToGrid w:val="0"/>
      <w:jc w:val="left"/>
    </w:pPr>
    <w:rPr>
      <w:sz w:val="18"/>
      <w:szCs w:val="18"/>
    </w:rPr>
  </w:style>
  <w:style w:type="paragraph" w:styleId="NormalWeb">
    <w:name w:val="Normal (Web)"/>
    <w:basedOn w:val="Normal"/>
    <w:qFormat/>
    <w:pPr>
      <w:spacing w:beforeAutospacing="1" w:afterAutospacing="1"/>
      <w:jc w:val="left"/>
    </w:pPr>
    <w:rPr>
      <w:rFonts w:ascii="Calibri" w:hAnsi="Calibri"/>
      <w:kern w:val="0"/>
      <w:sz w:val="24"/>
    </w:rPr>
  </w:style>
  <w:style w:type="paragraph" w:styleId="BodyTextFirstIndent">
    <w:name w:val="Body Text First Indent"/>
    <w:basedOn w:val="BodyText"/>
    <w:link w:val="Char7"/>
    <w:pPr>
      <w:spacing w:after="120"/>
      <w:ind w:firstLine="420" w:firstLineChars="100"/>
      <w:jc w:val="both"/>
    </w:pPr>
    <w:rPr>
      <w:rFonts w:eastAsia="宋体"/>
      <w:sz w:val="21"/>
      <w:szCs w:val="24"/>
    </w:rPr>
  </w:style>
  <w:style w:type="paragraph" w:styleId="BodyTextFirstIndent2">
    <w:name w:val="Body Text First Indent 2"/>
    <w:basedOn w:val="BodyTextIndent"/>
    <w:next w:val="BodyTextFirstIndent"/>
    <w:link w:val="2Char1"/>
    <w:unhideWhenUsed/>
    <w:qFormat/>
    <w:pPr>
      <w:ind w:firstLine="420" w:firstLineChars="200"/>
    </w:pPr>
    <w:rPr>
      <w:rFonts w:ascii="Calibri" w:hAnsi="Calibri"/>
      <w:szCs w:val="22"/>
    </w:rPr>
  </w:style>
  <w:style w:type="character" w:styleId="Strong">
    <w:name w:val="Strong"/>
    <w:basedOn w:val="DefaultParagraphFont"/>
    <w:qFormat/>
    <w:rPr>
      <w:b/>
      <w:bCs/>
    </w:rPr>
  </w:style>
  <w:style w:type="character" w:styleId="Hyperlink">
    <w:name w:val="Hyperlink"/>
    <w:basedOn w:val="DefaultParagraphFont"/>
    <w:rPr>
      <w:color w:val="0000FF"/>
      <w:u w:val="single"/>
    </w:rPr>
  </w:style>
  <w:style w:type="character" w:customStyle="1" w:styleId="1Char">
    <w:name w:val="标题 1 Char"/>
    <w:basedOn w:val="DefaultParagraphFont"/>
    <w:link w:val="Heading1"/>
    <w:rPr>
      <w:rFonts w:ascii="Calibri" w:eastAsia="宋体" w:hAnsi="Calibri" w:cs="Times New Roman"/>
      <w:b/>
      <w:kern w:val="44"/>
      <w:sz w:val="44"/>
      <w:szCs w:val="24"/>
    </w:rPr>
  </w:style>
  <w:style w:type="character" w:customStyle="1" w:styleId="2Char">
    <w:name w:val="标题 2 Char"/>
    <w:basedOn w:val="DefaultParagraphFont"/>
    <w:link w:val="Heading2"/>
    <w:semiHidden/>
    <w:rPr>
      <w:rFonts w:ascii="Cambria" w:eastAsia="宋体" w:hAnsi="Cambria" w:cs="Times New Roman"/>
      <w:b/>
      <w:bCs/>
      <w:kern w:val="2"/>
      <w:sz w:val="32"/>
      <w:szCs w:val="32"/>
    </w:rPr>
  </w:style>
  <w:style w:type="character" w:customStyle="1" w:styleId="3Char">
    <w:name w:val="标题 3 Char"/>
    <w:basedOn w:val="DefaultParagraphFont"/>
    <w:link w:val="Heading3"/>
    <w:semiHidden/>
    <w:rPr>
      <w:b/>
      <w:bCs/>
      <w:kern w:val="2"/>
      <w:sz w:val="32"/>
      <w:szCs w:val="32"/>
    </w:rPr>
  </w:style>
  <w:style w:type="character" w:customStyle="1" w:styleId="Char">
    <w:name w:val="正文文本 Char"/>
    <w:basedOn w:val="DefaultParagraphFont"/>
    <w:link w:val="BodyText"/>
    <w:qFormat/>
    <w:rPr>
      <w:rFonts w:eastAsia="黑体"/>
      <w:kern w:val="2"/>
      <w:sz w:val="36"/>
    </w:rPr>
  </w:style>
  <w:style w:type="character" w:customStyle="1" w:styleId="Char0">
    <w:name w:val="正文文本缩进 Char"/>
    <w:basedOn w:val="DefaultParagraphFont"/>
    <w:link w:val="BodyTextIndent"/>
    <w:rPr>
      <w:kern w:val="2"/>
      <w:sz w:val="21"/>
      <w:szCs w:val="24"/>
    </w:rPr>
  </w:style>
  <w:style w:type="character" w:customStyle="1" w:styleId="Char1">
    <w:name w:val="纯文本 Char"/>
    <w:basedOn w:val="DefaultParagraphFont"/>
    <w:link w:val="PlainText"/>
    <w:rPr>
      <w:rFonts w:ascii="宋体" w:hAnsi="Courier New"/>
      <w:kern w:val="2"/>
      <w:sz w:val="21"/>
      <w:szCs w:val="24"/>
    </w:rPr>
  </w:style>
  <w:style w:type="character" w:customStyle="1" w:styleId="Char2">
    <w:name w:val="日期 Char"/>
    <w:basedOn w:val="DefaultParagraphFont"/>
    <w:link w:val="Date"/>
    <w:rPr>
      <w:kern w:val="2"/>
      <w:sz w:val="21"/>
      <w:szCs w:val="24"/>
    </w:rPr>
  </w:style>
  <w:style w:type="character" w:customStyle="1" w:styleId="2Char0">
    <w:name w:val="正文文本缩进 2 Char"/>
    <w:basedOn w:val="DefaultParagraphFont"/>
    <w:link w:val="BodyTextIndent2"/>
    <w:rPr>
      <w:kern w:val="2"/>
      <w:sz w:val="21"/>
      <w:szCs w:val="24"/>
    </w:rPr>
  </w:style>
  <w:style w:type="character" w:customStyle="1" w:styleId="Char3">
    <w:name w:val="批注框文本 Char"/>
    <w:basedOn w:val="DefaultParagraphFont"/>
    <w:link w:val="BalloonText"/>
    <w:rPr>
      <w:kern w:val="2"/>
      <w:sz w:val="18"/>
      <w:szCs w:val="18"/>
    </w:rPr>
  </w:style>
  <w:style w:type="character" w:customStyle="1" w:styleId="Char4">
    <w:name w:val="页脚 Char"/>
    <w:basedOn w:val="DefaultParagraphFont"/>
    <w:link w:val="Footer"/>
    <w:uiPriority w:val="99"/>
    <w:qFormat/>
    <w:rPr>
      <w:kern w:val="2"/>
      <w:sz w:val="18"/>
      <w:szCs w:val="18"/>
    </w:rPr>
  </w:style>
  <w:style w:type="character" w:customStyle="1" w:styleId="Char5">
    <w:name w:val="页眉 Char"/>
    <w:basedOn w:val="DefaultParagraphFont"/>
    <w:link w:val="Header"/>
    <w:uiPriority w:val="99"/>
    <w:rPr>
      <w:kern w:val="2"/>
      <w:sz w:val="18"/>
      <w:szCs w:val="18"/>
    </w:rPr>
  </w:style>
  <w:style w:type="character" w:customStyle="1" w:styleId="Char6">
    <w:name w:val="脚注文本 Char"/>
    <w:basedOn w:val="DefaultParagraphFont"/>
    <w:link w:val="FootnoteText"/>
    <w:uiPriority w:val="99"/>
    <w:rPr>
      <w:kern w:val="2"/>
      <w:sz w:val="18"/>
      <w:szCs w:val="18"/>
    </w:rPr>
  </w:style>
  <w:style w:type="character" w:customStyle="1" w:styleId="Char7">
    <w:name w:val="正文首行缩进 Char"/>
    <w:basedOn w:val="Char"/>
    <w:link w:val="BodyTextFirstIndent"/>
    <w:rPr>
      <w:sz w:val="21"/>
      <w:szCs w:val="24"/>
    </w:rPr>
  </w:style>
  <w:style w:type="character" w:customStyle="1" w:styleId="2Char1">
    <w:name w:val="正文首行缩进 2 Char"/>
    <w:basedOn w:val="Char0"/>
    <w:link w:val="BodyTextFirstIndent2"/>
    <w:uiPriority w:val="99"/>
    <w:rPr>
      <w:rFonts w:ascii="Calibri" w:hAnsi="Calibri"/>
      <w:szCs w:val="22"/>
    </w:rPr>
  </w:style>
  <w:style w:type="character" w:customStyle="1" w:styleId="Char10">
    <w:name w:val="正文文本缩进 Char1"/>
    <w:basedOn w:val="DefaultParagraphFont"/>
    <w:link w:val="BodyTextIndent"/>
    <w:rPr>
      <w:kern w:val="2"/>
      <w:sz w:val="21"/>
      <w:szCs w:val="24"/>
    </w:rPr>
  </w:style>
  <w:style w:type="paragraph" w:customStyle="1" w:styleId="Heading20">
    <w:name w:val="Heading 2_0"/>
    <w:basedOn w:val="Normal"/>
    <w:uiPriority w:val="1"/>
    <w:qFormat/>
    <w:pPr>
      <w:jc w:val="left"/>
      <w:outlineLvl w:val="2"/>
    </w:pPr>
    <w:rPr>
      <w:rFonts w:ascii="宋体" w:hAnsi="宋体"/>
      <w:kern w:val="0"/>
      <w:sz w:val="31"/>
      <w:szCs w:val="31"/>
      <w:lang w:eastAsia="en-US"/>
    </w:rPr>
  </w:style>
  <w:style w:type="paragraph" w:customStyle="1" w:styleId="Heading10">
    <w:name w:val="Heading 1_0"/>
    <w:basedOn w:val="Normal"/>
    <w:uiPriority w:val="1"/>
    <w:qFormat/>
    <w:pPr>
      <w:spacing w:before="38"/>
      <w:ind w:left="118"/>
      <w:jc w:val="left"/>
      <w:outlineLvl w:val="1"/>
    </w:pPr>
    <w:rPr>
      <w:rFonts w:ascii="宋体" w:hAnsi="宋体"/>
      <w:kern w:val="0"/>
      <w:sz w:val="32"/>
      <w:szCs w:val="32"/>
      <w:lang w:eastAsia="en-US"/>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1"/>
    <w:uiPriority w:val="99"/>
    <w:unhideWhenUsed/>
    <w:qFormat/>
    <w:locked/>
    <w:rPr>
      <w:rFonts w:ascii="PMingLiU" w:eastAsia="PMingLiU"/>
      <w:sz w:val="30"/>
      <w:shd w:val="clear" w:color="auto" w:fill="FFFFFF"/>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uiPriority w:val="99"/>
    <w:unhideWhenUsed/>
    <w:qFormat/>
    <w:pPr>
      <w:shd w:val="clear" w:color="auto" w:fill="FFFFFF"/>
      <w:spacing w:before="560" w:after="280" w:line="300" w:lineRule="exact"/>
    </w:pPr>
    <w:rPr>
      <w:rFonts w:ascii="PMingLiU" w:eastAsia="PMingLiU" w:hint="eastAsia"/>
      <w:kern w:val="0"/>
      <w:sz w:val="30"/>
      <w:szCs w:val="20"/>
    </w:rPr>
  </w:style>
  <w:style w:type="character" w:customStyle="1" w:styleId="a">
    <w:name w:val="正文文本_"/>
    <w:basedOn w:val="DefaultParagraphFont"/>
    <w:link w:val="1"/>
    <w:qFormat/>
    <w:rPr>
      <w:rFonts w:ascii="Arial Unicode MS" w:eastAsia="Arial Unicode MS" w:hAnsi="Arial Unicode MS" w:cs="Arial Unicode MS"/>
      <w:sz w:val="30"/>
      <w:szCs w:val="30"/>
      <w:shd w:val="clear" w:color="auto" w:fill="FFFFFF"/>
    </w:rPr>
  </w:style>
  <w:style w:type="paragraph" w:customStyle="1" w:styleId="1">
    <w:name w:val="正文文本1"/>
    <w:basedOn w:val="Normal"/>
    <w:link w:val="a"/>
    <w:qFormat/>
    <w:pPr>
      <w:shd w:val="clear" w:color="auto" w:fill="FFFFFF"/>
      <w:spacing w:line="619" w:lineRule="exact"/>
      <w:ind w:hanging="1100"/>
      <w:jc w:val="left"/>
    </w:pPr>
    <w:rPr>
      <w:rFonts w:ascii="Arial Unicode MS" w:eastAsia="Arial Unicode MS" w:hAnsi="Arial Unicode MS" w:cs="Arial Unicode MS"/>
      <w:kern w:val="0"/>
      <w:sz w:val="30"/>
      <w:szCs w:val="30"/>
    </w:rPr>
  </w:style>
  <w:style w:type="character" w:customStyle="1" w:styleId="17pt">
    <w:name w:val="正文文本 + 17 pt"/>
    <w:basedOn w:val="a"/>
    <w:qFormat/>
    <w:rPr>
      <w:color w:val="000000"/>
      <w:spacing w:val="0"/>
      <w:w w:val="80"/>
      <w:position w:val="0"/>
      <w:sz w:val="34"/>
      <w:szCs w:val="34"/>
      <w:lang w:val="zh-CN"/>
    </w:rPr>
  </w:style>
  <w:style w:type="character" w:customStyle="1" w:styleId="17pt1">
    <w:name w:val="正文文本 + 17 pt1"/>
    <w:basedOn w:val="a"/>
    <w:qFormat/>
    <w:rPr>
      <w:color w:val="000000"/>
      <w:spacing w:val="0"/>
      <w:w w:val="80"/>
      <w:position w:val="0"/>
      <w:sz w:val="34"/>
      <w:szCs w:val="34"/>
      <w:lang w:val="zh-CN"/>
    </w:rPr>
  </w:style>
  <w:style w:type="character" w:customStyle="1" w:styleId="4">
    <w:name w:val="正文文本 (4)_"/>
    <w:basedOn w:val="DefaultParagraphFont"/>
    <w:link w:val="40"/>
    <w:rPr>
      <w:rFonts w:ascii="Arial Unicode MS" w:eastAsia="Arial Unicode MS" w:hAnsi="Arial Unicode MS" w:cs="Arial Unicode MS"/>
      <w:sz w:val="30"/>
      <w:szCs w:val="30"/>
      <w:shd w:val="clear" w:color="auto" w:fill="FFFFFF"/>
    </w:rPr>
  </w:style>
  <w:style w:type="paragraph" w:customStyle="1" w:styleId="40">
    <w:name w:val="正文文本 (4)"/>
    <w:basedOn w:val="Normal"/>
    <w:link w:val="4"/>
    <w:pPr>
      <w:shd w:val="clear" w:color="auto" w:fill="FFFFFF"/>
      <w:spacing w:line="619" w:lineRule="exact"/>
      <w:jc w:val="distribute"/>
    </w:pPr>
    <w:rPr>
      <w:rFonts w:ascii="Arial Unicode MS" w:eastAsia="Arial Unicode MS" w:hAnsi="Arial Unicode MS" w:cs="Arial Unicode MS"/>
      <w:kern w:val="0"/>
      <w:sz w:val="30"/>
      <w:szCs w:val="30"/>
    </w:rPr>
  </w:style>
  <w:style w:type="character" w:customStyle="1" w:styleId="80">
    <w:name w:val="正文文本 + 缩放 80%"/>
    <w:basedOn w:val="a"/>
    <w:qFormat/>
    <w:rPr>
      <w:color w:val="000000"/>
      <w:spacing w:val="0"/>
      <w:w w:val="80"/>
      <w:position w:val="0"/>
      <w:lang w:val="zh-CN"/>
    </w:rPr>
  </w:style>
  <w:style w:type="character" w:customStyle="1" w:styleId="9">
    <w:name w:val="正文文本 (9)_"/>
    <w:basedOn w:val="DefaultParagraphFont"/>
    <w:link w:val="90"/>
    <w:qFormat/>
    <w:rPr>
      <w:rFonts w:ascii="Arial Unicode MS" w:eastAsia="Arial Unicode MS" w:hAnsi="Arial Unicode MS" w:cs="Arial Unicode MS"/>
      <w:spacing w:val="20"/>
      <w:w w:val="80"/>
      <w:sz w:val="30"/>
      <w:szCs w:val="30"/>
      <w:shd w:val="clear" w:color="auto" w:fill="FFFFFF"/>
    </w:rPr>
  </w:style>
  <w:style w:type="paragraph" w:customStyle="1" w:styleId="90">
    <w:name w:val="正文文本 (9)"/>
    <w:basedOn w:val="Normal"/>
    <w:link w:val="9"/>
    <w:pPr>
      <w:shd w:val="clear" w:color="auto" w:fill="FFFFFF"/>
      <w:spacing w:line="0" w:lineRule="atLeast"/>
      <w:jc w:val="left"/>
    </w:pPr>
    <w:rPr>
      <w:rFonts w:ascii="Arial Unicode MS" w:eastAsia="Arial Unicode MS" w:hAnsi="Arial Unicode MS" w:cs="Arial Unicode MS"/>
      <w:spacing w:val="20"/>
      <w:w w:val="80"/>
      <w:kern w:val="0"/>
      <w:sz w:val="30"/>
      <w:szCs w:val="30"/>
    </w:rPr>
  </w:style>
  <w:style w:type="character" w:customStyle="1" w:styleId="2">
    <w:name w:val="标题 #2_"/>
    <w:basedOn w:val="DefaultParagraphFont"/>
    <w:link w:val="20"/>
    <w:qFormat/>
    <w:rPr>
      <w:rFonts w:ascii="Arial Unicode MS" w:eastAsia="Arial Unicode MS" w:hAnsi="Arial Unicode MS" w:cs="Arial Unicode MS"/>
      <w:sz w:val="36"/>
      <w:szCs w:val="36"/>
      <w:shd w:val="clear" w:color="auto" w:fill="FFFFFF"/>
    </w:rPr>
  </w:style>
  <w:style w:type="paragraph" w:customStyle="1" w:styleId="20">
    <w:name w:val="标题 #2"/>
    <w:basedOn w:val="Normal"/>
    <w:link w:val="2"/>
    <w:qFormat/>
    <w:pPr>
      <w:shd w:val="clear" w:color="auto" w:fill="FFFFFF"/>
      <w:spacing w:after="420" w:line="0" w:lineRule="atLeast"/>
      <w:jc w:val="center"/>
      <w:outlineLvl w:val="1"/>
    </w:pPr>
    <w:rPr>
      <w:rFonts w:ascii="Arial Unicode MS" w:eastAsia="Arial Unicode MS" w:hAnsi="Arial Unicode MS" w:cs="Arial Unicode MS"/>
      <w:kern w:val="0"/>
      <w:sz w:val="36"/>
      <w:szCs w:val="36"/>
    </w:rPr>
  </w:style>
  <w:style w:type="character" w:customStyle="1" w:styleId="13">
    <w:name w:val="正文文本 (13)_"/>
    <w:basedOn w:val="DefaultParagraphFont"/>
    <w:link w:val="130"/>
    <w:qFormat/>
    <w:rPr>
      <w:rFonts w:ascii="Arial Unicode MS" w:eastAsia="Arial Unicode MS" w:hAnsi="Arial Unicode MS" w:cs="Arial Unicode MS"/>
      <w:sz w:val="28"/>
      <w:szCs w:val="28"/>
      <w:shd w:val="clear" w:color="auto" w:fill="FFFFFF"/>
    </w:rPr>
  </w:style>
  <w:style w:type="paragraph" w:customStyle="1" w:styleId="130">
    <w:name w:val="正文文本 (13)"/>
    <w:basedOn w:val="Normal"/>
    <w:link w:val="13"/>
    <w:qFormat/>
    <w:pPr>
      <w:shd w:val="clear" w:color="auto" w:fill="FFFFFF"/>
      <w:spacing w:after="360" w:line="0" w:lineRule="atLeast"/>
      <w:jc w:val="left"/>
    </w:pPr>
    <w:rPr>
      <w:rFonts w:ascii="Arial Unicode MS" w:eastAsia="Arial Unicode MS" w:hAnsi="Arial Unicode MS" w:cs="Arial Unicode MS"/>
      <w:kern w:val="0"/>
      <w:sz w:val="28"/>
      <w:szCs w:val="28"/>
    </w:rPr>
  </w:style>
  <w:style w:type="character" w:customStyle="1" w:styleId="10">
    <w:name w:val="标题 #1_"/>
    <w:basedOn w:val="DefaultParagraphFont"/>
    <w:link w:val="11"/>
    <w:qFormat/>
    <w:rPr>
      <w:rFonts w:ascii="Arial Unicode MS" w:eastAsia="Arial Unicode MS" w:hAnsi="Arial Unicode MS" w:cs="Arial Unicode MS"/>
      <w:sz w:val="46"/>
      <w:szCs w:val="46"/>
      <w:shd w:val="clear" w:color="auto" w:fill="FFFFFF"/>
    </w:rPr>
  </w:style>
  <w:style w:type="paragraph" w:customStyle="1" w:styleId="11">
    <w:name w:val="标题 #1"/>
    <w:basedOn w:val="Normal"/>
    <w:link w:val="10"/>
    <w:qFormat/>
    <w:pPr>
      <w:shd w:val="clear" w:color="auto" w:fill="FFFFFF"/>
      <w:spacing w:before="360" w:after="1020" w:line="946" w:lineRule="exact"/>
      <w:jc w:val="center"/>
      <w:outlineLvl w:val="0"/>
    </w:pPr>
    <w:rPr>
      <w:rFonts w:ascii="Arial Unicode MS" w:eastAsia="Arial Unicode MS" w:hAnsi="Arial Unicode MS" w:cs="Arial Unicode MS"/>
      <w:kern w:val="0"/>
      <w:sz w:val="46"/>
      <w:szCs w:val="46"/>
    </w:rPr>
  </w:style>
  <w:style w:type="character" w:customStyle="1" w:styleId="90pt1">
    <w:name w:val="正文文本 (9) + 间距 0 pt1"/>
    <w:basedOn w:val="9"/>
    <w:rPr>
      <w:color w:val="000000"/>
      <w:spacing w:val="0"/>
      <w:w w:val="100"/>
      <w:position w:val="0"/>
      <w:lang w:val="zh-CN"/>
    </w:rPr>
  </w:style>
  <w:style w:type="character" w:customStyle="1" w:styleId="9100">
    <w:name w:val="正文文本 (9) + 缩放 100%"/>
    <w:basedOn w:val="9"/>
    <w:qFormat/>
    <w:rPr>
      <w:color w:val="000000"/>
      <w:w w:val="100"/>
      <w:position w:val="0"/>
      <w:lang w:val="zh-CN"/>
    </w:rPr>
  </w:style>
  <w:style w:type="character" w:customStyle="1" w:styleId="font11">
    <w:name w:val="font11"/>
    <w:basedOn w:val="DefaultParagraphFont"/>
    <w:qFormat/>
    <w:rPr>
      <w:rFonts w:ascii="仿宋_GB2312" w:eastAsia="仿宋_GB2312" w:cs="仿宋_GB2312" w:hint="eastAsia"/>
      <w:color w:val="000000"/>
      <w:sz w:val="32"/>
      <w:szCs w:val="32"/>
      <w:u w:val="none"/>
    </w:rPr>
  </w:style>
  <w:style w:type="character" w:customStyle="1" w:styleId="font41">
    <w:name w:val="font41"/>
    <w:basedOn w:val="DefaultParagraphFont"/>
    <w:qFormat/>
    <w:rPr>
      <w:rFonts w:ascii="宋体" w:eastAsia="宋体" w:hAnsi="宋体" w:cs="宋体" w:hint="eastAsia"/>
      <w:color w:val="000000"/>
      <w:sz w:val="32"/>
      <w:szCs w:val="32"/>
      <w:u w:val="none"/>
    </w:rPr>
  </w:style>
  <w:style w:type="paragraph" w:styleId="ListParagraph">
    <w:name w:val="List Paragraph"/>
    <w:basedOn w:val="Normal"/>
    <w:uiPriority w:val="34"/>
    <w:qFormat/>
    <w:pPr>
      <w:ind w:firstLine="420" w:firstLineChars="200"/>
    </w:pPr>
    <w:rPr>
      <w:rFonts w:ascii="Calibri" w:hAnsi="Calibri"/>
      <w:szCs w:val="22"/>
    </w:rPr>
  </w:style>
  <w:style w:type="paragraph" w:customStyle="1" w:styleId="paragraphtext-align-type-centerpap-line-28ptpap-line-rule-exactpap-spacing-before-0ptpap-spacing-after-0pt">
    <w:name w:val="paragraph text-align-type-center pap-line-28pt pap-line-rule-exact pap-spacing-before-0pt pap-spacing-after-0pt"/>
    <w:basedOn w:val="Normal"/>
    <w:pPr>
      <w:widowControl/>
      <w:spacing w:before="100" w:beforeAutospacing="1" w:after="100" w:afterAutospacing="1"/>
      <w:jc w:val="left"/>
    </w:pPr>
    <w:rPr>
      <w:rFonts w:ascii="宋体" w:hAnsi="宋体" w:cs="宋体"/>
      <w:kern w:val="0"/>
      <w:sz w:val="24"/>
    </w:rPr>
  </w:style>
  <w:style w:type="paragraph" w:customStyle="1" w:styleId="paragraphtext-align-type-justifypap-line-28ptpap-line-rule-exactpap-spacing-before-0ptpap-spacing-after-0pt">
    <w:name w:val="paragraph text-align-type-justify pap-line-28pt pap-line-rule-exact pap-spacing-before-0pt pap-spacing-after-0pt"/>
    <w:basedOn w:val="Normal"/>
    <w:pPr>
      <w:widowControl/>
      <w:spacing w:before="100" w:beforeAutospacing="1" w:after="100" w:afterAutospacing="1"/>
      <w:jc w:val="left"/>
    </w:pPr>
    <w:rPr>
      <w:rFonts w:ascii="宋体" w:hAnsi="宋体" w:cs="宋体"/>
      <w:kern w:val="0"/>
      <w:sz w:val="24"/>
    </w:rPr>
  </w:style>
  <w:style w:type="character" w:customStyle="1" w:styleId="NormalCharacter">
    <w:name w:val="NormalCharacter"/>
    <w:qFormat/>
  </w:style>
  <w:style w:type="paragraph" w:customStyle="1" w:styleId="ParaCharCharCharChar">
    <w:name w:val="默认段落字体 Para Char Char Char Char"/>
    <w:basedOn w:val="Normal"/>
    <w:rPr>
      <w:szCs w:val="21"/>
    </w:rPr>
  </w:style>
  <w:style w:type="paragraph" w:customStyle="1" w:styleId="Default">
    <w:name w:val="Default"/>
    <w:uiPriority w:val="99"/>
    <w:qFormat/>
    <w:pPr>
      <w:widowControl w:val="0"/>
      <w:autoSpaceDE w:val="0"/>
      <w:autoSpaceDN w:val="0"/>
      <w:adjustRightInd w:val="0"/>
      <w:spacing w:line="580" w:lineRule="exact"/>
    </w:pPr>
    <w:rPr>
      <w:rFonts w:ascii="Times New Roman" w:eastAsia="宋体" w:hAnsi="Times New Roman" w:cs="Times New Roman"/>
      <w:color w:val="000000"/>
      <w:sz w:val="24"/>
      <w:szCs w:val="24"/>
      <w:lang w:val="en-US" w:eastAsia="zh-CN" w:bidi="ar-SA"/>
    </w:rPr>
  </w:style>
  <w:style w:type="character" w:customStyle="1" w:styleId="15">
    <w:name w:val="15"/>
    <w:basedOn w:val="DefaultParagraphFont"/>
    <w:qFormat/>
    <w:rPr>
      <w:rFonts w:ascii="Times New Roman" w:hAnsi="Times New Roman" w:cs="Times New Roman" w:hint="default"/>
    </w:rPr>
  </w:style>
  <w:style w:type="paragraph" w:customStyle="1" w:styleId="p0">
    <w:name w:val="p0"/>
    <w:basedOn w:val="Normal"/>
    <w:qFormat/>
    <w:rPr>
      <w:kern w:val="0"/>
      <w:szCs w:val="21"/>
    </w:rPr>
  </w:style>
  <w:style w:type="character" w:customStyle="1" w:styleId="16">
    <w:name w:val="16"/>
    <w:basedOn w:val="DefaultParagraphFont"/>
    <w:qFormat/>
    <w:rPr>
      <w:rFonts w:ascii="Times New Roman" w:eastAsia="楷体_GB2312" w:hAnsi="Times New Roman" w:cs="楷体_GB2312" w:hint="default"/>
      <w:sz w:val="32"/>
      <w:szCs w:val="32"/>
    </w:rPr>
  </w:style>
  <w:style w:type="paragraph" w:customStyle="1" w:styleId="a0">
    <w:name w:val="正文格式"/>
    <w:basedOn w:val="Normal"/>
    <w:qFormat/>
    <w:pPr>
      <w:tabs>
        <w:tab w:val="left" w:pos="992"/>
      </w:tabs>
      <w:ind w:firstLine="200" w:firstLineChars="200"/>
    </w:pPr>
    <w:rPr>
      <w:rFonts w:ascii="宋体" w:hAnsi="宋体"/>
    </w:rPr>
  </w:style>
  <w:style w:type="paragraph" w:customStyle="1" w:styleId="12">
    <w:name w:val="样式1"/>
    <w:basedOn w:val="Normal"/>
    <w:qFormat/>
    <w:pPr>
      <w:spacing w:line="560" w:lineRule="exact"/>
    </w:pPr>
    <w:rPr>
      <w:rFonts w:ascii="Calibri" w:eastAsia="仿宋_GB2312" w:hAnsi="Calibri"/>
      <w:sz w:val="32"/>
    </w:rPr>
  </w:style>
  <w:style w:type="paragraph" w:customStyle="1" w:styleId="NormalIndent0">
    <w:name w:val="NormalIndent"/>
    <w:qFormat/>
    <w:pPr>
      <w:spacing w:line="580" w:lineRule="exact"/>
      <w:ind w:firstLine="420" w:firstLineChars="200"/>
      <w:jc w:val="both"/>
      <w:textAlignment w:val="baseline"/>
    </w:pPr>
    <w:rPr>
      <w:rFonts w:ascii="Times New Roman" w:eastAsia="仿宋_GB2312" w:hAnsi="Times New Roman" w:cs="Times New Roman"/>
      <w:kern w:val="2"/>
      <w:sz w:val="32"/>
      <w:szCs w:val="32"/>
      <w:lang w:val="en-US" w:eastAsia="zh-CN" w:bidi="ar-SA"/>
    </w:rPr>
  </w:style>
  <w:style w:type="paragraph" w:customStyle="1" w:styleId="09922">
    <w:name w:val="样式 四号 首行缩进:  0.99 厘米 行距: 固定值 22 磅"/>
    <w:basedOn w:val="Normal"/>
    <w:qFormat/>
    <w:pPr>
      <w:spacing w:line="520" w:lineRule="exact"/>
      <w:ind w:firstLine="567"/>
    </w:pPr>
    <w:rPr>
      <w:rFonts w:ascii="Calibri" w:hAnsi="Calibri" w:cs="宋体"/>
      <w:szCs w:val="20"/>
    </w:rPr>
  </w:style>
  <w:style w:type="character" w:customStyle="1" w:styleId="bjh-p">
    <w:name w:val="bjh-p"/>
    <w:basedOn w:val="DefaultParagraphFont"/>
  </w:style>
  <w:style w:type="paragraph" w:customStyle="1" w:styleId="Char8">
    <w:name w:val="普通(网站) Char"/>
    <w:basedOn w:val="Normal"/>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theme" Target="theme/theme1.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 Id="rId6" Type="http://schemas.openxmlformats.org/officeDocument/2006/relationships/font" Target="fonts/font6.odttf" /><Relationship Id="rId7" Type="http://schemas.openxmlformats.org/officeDocument/2006/relationships/font" Target="fonts/font7.odttf" /><Relationship Id="rId8" Type="http://schemas.openxmlformats.org/officeDocument/2006/relationships/font" Target="fonts/font8.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18552A4-10F0-47E2-B601-F7B9754A6DA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19</Words>
  <Characters>25</Characters>
  <Application>Microsoft Office Word</Application>
  <DocSecurity>0</DocSecurity>
  <Lines>52</Lines>
  <Paragraphs>14</Paragraphs>
  <ScaleCrop>false</ScaleCrop>
  <Company>china</Company>
  <LinksUpToDate>false</LinksUpToDate>
  <CharactersWithSpaces>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7</cp:revision>
  <cp:lastPrinted>2026-01-21T01:47:00Z</cp:lastPrinted>
  <dcterms:created xsi:type="dcterms:W3CDTF">2026-02-10T06:14:00Z</dcterms:created>
  <dcterms:modified xsi:type="dcterms:W3CDTF">2026-02-11T01:17:01Z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1848F5649A834667AD7475F74D1E3106_13</vt:lpwstr>
  </property>
  <property fmtid="{D5CDD505-2E9C-101B-9397-08002B2CF9AE}" pid="3" name="KSOProductBuildVer">
    <vt:lpwstr>2052-12.1.0.25225</vt:lpwstr>
  </property>
  <property fmtid="{D5CDD505-2E9C-101B-9397-08002B2CF9AE}" pid="4" name="KSOTemplateDocerSaveRecord">
    <vt:lpwstr>eyJoZGlkIjoiNTM1MDExYmFhMzlhM2U1NDc5ZTAyMDg5ZDFkYzg1YWQifQ==</vt:lpwstr>
  </property>
</Properties>
</file>