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adjustRightInd w:val="0"/>
        <w:snapToGrid w:val="0"/>
        <w:spacing w:line="360" w:lineRule="auto"/>
        <w:jc w:val="center"/>
        <w:rPr>
          <w:rFonts w:ascii="仿宋_GB2312" w:eastAsia="仿宋_GB2312" w:hAnsi="华文中宋" w:cs="华文中宋" w:hint="eastAsia"/>
          <w:b/>
          <w:sz w:val="32"/>
          <w:szCs w:val="32"/>
        </w:rPr>
      </w:pPr>
    </w:p>
    <w:p>
      <w:pPr>
        <w:adjustRightInd w:val="0"/>
        <w:snapToGrid w:val="0"/>
        <w:spacing w:line="360" w:lineRule="auto"/>
        <w:jc w:val="center"/>
        <w:rPr>
          <w:rFonts w:ascii="仿宋_GB2312" w:eastAsia="仿宋_GB2312" w:hAnsi="华文中宋" w:cs="华文中宋"/>
          <w:b/>
          <w:sz w:val="32"/>
          <w:szCs w:val="32"/>
        </w:rPr>
      </w:pPr>
    </w:p>
    <w:p>
      <w:pPr>
        <w:adjustRightInd w:val="0"/>
        <w:snapToGrid w:val="0"/>
        <w:spacing w:line="360" w:lineRule="auto"/>
        <w:jc w:val="center"/>
        <w:rPr>
          <w:rFonts w:ascii="方正小标宋简体" w:eastAsia="方正小标宋简体" w:hAnsi="方正小标宋简体" w:cs="华文中宋"/>
          <w:b/>
          <w:sz w:val="44"/>
          <w:szCs w:val="44"/>
        </w:rPr>
      </w:pPr>
      <w:r>
        <w:rPr>
          <w:rFonts w:ascii="方正小标宋简体" w:eastAsia="方正小标宋简体" w:hAnsi="方正小标宋简体" w:cs="华文中宋" w:hint="eastAsia"/>
          <w:b/>
          <w:sz w:val="44"/>
          <w:szCs w:val="44"/>
        </w:rPr>
        <w:t>寿县县委宣传部2023年部门预算</w:t>
      </w:r>
    </w:p>
    <w:p>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pPr>
        <w:pStyle w:val="NormalWeb"/>
        <w:adjustRightInd w:val="0"/>
        <w:snapToGrid w:val="0"/>
        <w:spacing w:before="0" w:beforeAutospacing="0" w:after="0" w:afterAutospacing="0" w:line="360" w:lineRule="auto"/>
        <w:jc w:val="center"/>
        <w:rPr>
          <w:rFonts w:ascii="方正小标宋简体" w:eastAsia="方正小标宋简体" w:hAnsi="方正小标宋简体"/>
          <w:bCs/>
          <w:sz w:val="44"/>
          <w:szCs w:val="44"/>
        </w:rPr>
      </w:pPr>
      <w:r>
        <w:rPr>
          <w:rFonts w:ascii="方正小标宋简体" w:eastAsia="方正小标宋简体" w:hAnsi="方正小标宋简体" w:hint="eastAsia"/>
          <w:bCs/>
          <w:sz w:val="44"/>
          <w:szCs w:val="44"/>
        </w:rPr>
        <w:t>2023年1月</w:t>
      </w:r>
    </w:p>
    <w:p>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pPr>
        <w:pStyle w:val="NormalWeb"/>
        <w:adjustRightInd w:val="0"/>
        <w:snapToGrid w:val="0"/>
        <w:spacing w:before="0" w:beforeAutospacing="0" w:after="0" w:afterAutospacing="0" w:line="500" w:lineRule="exact"/>
        <w:jc w:val="center"/>
        <w:rPr>
          <w:rFonts w:ascii="方正小标宋简体" w:eastAsia="方正小标宋简体" w:hAnsi="方正小标宋简体"/>
          <w:bCs/>
          <w:sz w:val="44"/>
          <w:szCs w:val="44"/>
        </w:rPr>
      </w:pPr>
      <w:r>
        <w:rPr>
          <w:rFonts w:ascii="方正小标宋简体" w:eastAsia="方正小标宋简体" w:hAnsi="方正小标宋简体" w:hint="eastAsia"/>
          <w:bCs/>
          <w:sz w:val="44"/>
          <w:szCs w:val="44"/>
        </w:rPr>
        <w:br w:type="page"/>
      </w:r>
      <w:r>
        <w:rPr>
          <w:rFonts w:ascii="方正小标宋简体" w:eastAsia="方正小标宋简体" w:hAnsi="方正小标宋简体" w:hint="eastAsia"/>
          <w:bCs/>
          <w:sz w:val="44"/>
          <w:szCs w:val="44"/>
        </w:rPr>
        <w:t>目 录</w:t>
      </w:r>
    </w:p>
    <w:p>
      <w:pPr>
        <w:pStyle w:val="NormalWeb"/>
        <w:adjustRightInd w:val="0"/>
        <w:snapToGrid w:val="0"/>
        <w:spacing w:before="0" w:beforeAutospacing="0" w:after="0" w:afterAutospacing="0" w:line="500" w:lineRule="exact"/>
        <w:jc w:val="center"/>
        <w:rPr>
          <w:rFonts w:ascii="仿宋_GB2312" w:eastAsia="仿宋_GB2312" w:hAnsi="黑体"/>
          <w:bCs/>
          <w:sz w:val="32"/>
          <w:szCs w:val="32"/>
        </w:rPr>
      </w:pP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r>
        <w:rPr>
          <w:rFonts w:ascii="仿宋_GB2312" w:eastAsia="仿宋_GB2312" w:hAnsi="仿宋" w:cs="仿宋" w:hint="eastAsia"/>
          <w:b/>
          <w:sz w:val="32"/>
          <w:szCs w:val="32"/>
        </w:rPr>
        <w:t>第一部分 部门概况</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1.主要职责</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2.部门预算单位构成</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3.2023年度主要工作任务</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r>
        <w:rPr>
          <w:rFonts w:ascii="仿宋_GB2312" w:eastAsia="仿宋_GB2312" w:hAnsi="仿宋" w:cs="仿宋" w:hint="eastAsia"/>
          <w:b/>
          <w:sz w:val="32"/>
          <w:szCs w:val="32"/>
        </w:rPr>
        <w:t>第二部分 2023年部门预算表</w:t>
      </w:r>
    </w:p>
    <w:p>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Pr>
          <w:rFonts w:ascii="仿宋_GB2312" w:eastAsia="仿宋_GB2312" w:hAnsi="仿宋" w:cs="仿宋" w:hint="eastAsia"/>
          <w:bCs/>
          <w:sz w:val="32"/>
          <w:szCs w:val="32"/>
        </w:rPr>
        <w:t>1.2023年财政拨款收支预算总表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2.2023年一般公共预算支出预算表</w:t>
      </w:r>
    </w:p>
    <w:p>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Pr>
          <w:rFonts w:ascii="仿宋_GB2312" w:eastAsia="仿宋_GB2312" w:hAnsi="仿宋" w:cs="仿宋" w:hint="eastAsia"/>
          <w:bCs/>
          <w:sz w:val="32"/>
          <w:szCs w:val="32"/>
        </w:rPr>
        <w:t>3.2023年一般公共预算基本支出预算表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4.2023年政府性基金预算收支预算表</w:t>
      </w:r>
    </w:p>
    <w:p>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Pr>
          <w:rFonts w:ascii="仿宋_GB2312" w:eastAsia="仿宋_GB2312" w:hAnsi="仿宋" w:cs="仿宋" w:hint="eastAsia"/>
          <w:bCs/>
          <w:sz w:val="32"/>
          <w:szCs w:val="32"/>
        </w:rPr>
        <w:t>5.2023年国有资本经营预算收支预算表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6.2023年收支预算总表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7.2023年收入预算总表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8.2023年支出预算总表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9. 2023年项目支出表(不含涉密项目)</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10. 2023年政府采购支出表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11. 2023年政府购买服务支出表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r>
        <w:rPr>
          <w:rFonts w:ascii="仿宋_GB2312" w:eastAsia="仿宋_GB2312" w:hAnsi="仿宋" w:cs="仿宋" w:hint="eastAsia"/>
          <w:b/>
          <w:sz w:val="32"/>
          <w:szCs w:val="32"/>
        </w:rPr>
        <w:t>第三部分 2023年部门预算情况说明</w:t>
      </w:r>
    </w:p>
    <w:p>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Pr>
          <w:rFonts w:ascii="仿宋_GB2312" w:eastAsia="仿宋_GB2312" w:hAnsi="仿宋" w:cs="仿宋" w:hint="eastAsia"/>
          <w:bCs/>
          <w:sz w:val="32"/>
          <w:szCs w:val="32"/>
        </w:rPr>
        <w:t>1.关于2023年财政拨款收支预算总体情况说明</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2.关于2023年一般公共预算财政拨款情况说明</w:t>
      </w:r>
    </w:p>
    <w:p>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Pr>
          <w:rFonts w:ascii="仿宋_GB2312" w:eastAsia="仿宋_GB2312" w:hAnsi="仿宋" w:cs="仿宋" w:hint="eastAsia"/>
          <w:bCs/>
          <w:sz w:val="32"/>
          <w:szCs w:val="32"/>
        </w:rPr>
        <w:t>3.关于2023年一般公共预算基本支出情况说明</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4.关于2023年政府性基金预算拨款情况说明</w:t>
      </w:r>
    </w:p>
    <w:p>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Pr>
          <w:rFonts w:ascii="仿宋_GB2312" w:eastAsia="仿宋_GB2312" w:hAnsi="仿宋" w:cs="仿宋" w:hint="eastAsia"/>
          <w:bCs/>
          <w:sz w:val="32"/>
          <w:szCs w:val="32"/>
        </w:rPr>
        <w:t>5.关于2023年国有资本经营预算拨款情况说明</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6.关于2023年收支预算总体情况说明</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7.关于2023年收入预算情况说明</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8.关于2023年支出预算情况说明</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9.其他重要事项情况说明</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r>
        <w:rPr>
          <w:rFonts w:ascii="仿宋_GB2312" w:eastAsia="仿宋_GB2312" w:hAnsi="仿宋" w:cs="仿宋" w:hint="eastAsia"/>
          <w:b/>
          <w:sz w:val="32"/>
          <w:szCs w:val="32"/>
        </w:rPr>
        <w:t>第四部分 名词解释</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p>
    <w:p>
      <w:pPr>
        <w:pStyle w:val="NormalWeb"/>
        <w:adjustRightInd w:val="0"/>
        <w:snapToGrid w:val="0"/>
        <w:spacing w:before="0" w:beforeAutospacing="0" w:after="0" w:afterAutospacing="0" w:line="580" w:lineRule="exact"/>
        <w:jc w:val="center"/>
        <w:rPr>
          <w:rFonts w:ascii="方正小标宋简体" w:eastAsia="方正小标宋简体" w:hAnsi="方正小标宋简体"/>
          <w:bCs/>
          <w:sz w:val="44"/>
          <w:szCs w:val="44"/>
        </w:rPr>
      </w:pPr>
      <w:r>
        <w:rPr>
          <w:rFonts w:ascii="方正小标宋简体" w:eastAsia="方正小标宋简体" w:hAnsi="方正小标宋简体" w:hint="eastAsia"/>
          <w:bCs/>
          <w:sz w:val="44"/>
          <w:szCs w:val="44"/>
        </w:rPr>
        <w:br w:type="page"/>
      </w:r>
      <w:r>
        <w:rPr>
          <w:rFonts w:ascii="方正小标宋简体" w:eastAsia="方正小标宋简体" w:hAnsi="方正小标宋简体" w:hint="eastAsia"/>
          <w:bCs/>
          <w:sz w:val="44"/>
          <w:szCs w:val="44"/>
        </w:rPr>
        <w:t>第一部分 部门概况</w:t>
      </w:r>
    </w:p>
    <w:p>
      <w:pPr>
        <w:pStyle w:val="NormalWeb"/>
        <w:adjustRightInd w:val="0"/>
        <w:snapToGrid w:val="0"/>
        <w:spacing w:before="0" w:beforeAutospacing="0" w:after="0" w:afterAutospacing="0" w:line="580" w:lineRule="exact"/>
        <w:ind w:firstLine="627" w:firstLineChars="196"/>
        <w:rPr>
          <w:rFonts w:ascii="黑体" w:eastAsia="黑体" w:hAnsi="黑体"/>
          <w:sz w:val="32"/>
          <w:szCs w:val="32"/>
        </w:rPr>
      </w:pPr>
      <w:r>
        <w:rPr>
          <w:rFonts w:ascii="黑体" w:eastAsia="黑体" w:hAnsi="黑体" w:hint="eastAsia"/>
          <w:bCs/>
          <w:sz w:val="32"/>
          <w:szCs w:val="32"/>
        </w:rPr>
        <w:t>一、主要职责</w:t>
      </w:r>
    </w:p>
    <w:p>
      <w:pPr>
        <w:spacing w:line="60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1、贯彻执行中央关于宣传思想文化工作重大方针、政策和事业发展总体规划，督促检查落实情况；按照上级宣传部门和县委要求，安排布置全县宣传思想文化工作，指导协调各乡镇和县直宣传文化系统各部门开展宣传思想工作。</w:t>
      </w:r>
    </w:p>
    <w:p>
      <w:pPr>
        <w:spacing w:line="60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2、负责指导全县理论研究、理论学习、理论宣传工作，组织推动理论武装工作，负责全县副科级以上单位党组织理论学习中心组部署、检查、指导。</w:t>
      </w:r>
    </w:p>
    <w:p>
      <w:pPr>
        <w:spacing w:line="60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3、负责规划、部署全县性思想政治工作任务；承担县委思想政治工作领导小组办公室工作；配合县委组织部做好党员教育工作，会同有关部门研究和改进群众思想教育工作。</w:t>
      </w:r>
    </w:p>
    <w:p>
      <w:pPr>
        <w:spacing w:line="60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4、负责正确舆论的引导，指导、协调县直新闻单位工作；负责落实县委确定的各项外宣工作任务，组织全县突发公共事件应急新闻工作。</w:t>
      </w:r>
    </w:p>
    <w:p>
      <w:pPr>
        <w:spacing w:line="60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5、指导全县精神文明创建工作，从宏观上统筹指导协同推动全县精神产品生产的创作和生产，协调组织中华优秀传统文化传承发展有关工作，指导协调推动群众文化建设；组织协调、协同有关部门做好社会宣传工作，组织指导、协调全县“扫黄打非”工作。</w:t>
      </w:r>
    </w:p>
    <w:p>
      <w:pPr>
        <w:spacing w:line="60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6、统筹指导协调全县文化体制改革和文化事业、文化产业发展，按规定负责县级文化资金管理工作。</w:t>
      </w:r>
    </w:p>
    <w:p>
      <w:pPr>
        <w:spacing w:line="60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7、统筹协调组织开展全县新闻发布工作，会同有关部门做好来访记者采访事务方面的工作，负责全县新闻记者证的管理。</w:t>
      </w:r>
    </w:p>
    <w:p>
      <w:pPr>
        <w:spacing w:line="60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8、受县委委托，会同县委组织部管理宣传口各单位新闻、文化、互联网信息等方面县直宣传思想文化单位的领导干部；负责有关重要宣传舆论阵地和重要岗位领导干部管理。对乡镇宣传委员的任免提出意见；负责组织开展制定对宣传系统干部的教育培训和有关人才工作；负责对全县新闻、政工系统、专业技术职称评审工作；配合有关部门做好宣传口知识分子工作。</w:t>
      </w:r>
    </w:p>
    <w:p>
      <w:pPr>
        <w:pStyle w:val="NormalWeb"/>
        <w:adjustRightInd w:val="0"/>
        <w:snapToGrid w:val="0"/>
        <w:spacing w:before="0" w:beforeAutospacing="0" w:after="0" w:afterAutospacing="0" w:line="600" w:lineRule="exact"/>
        <w:ind w:firstLine="640" w:firstLineChars="200"/>
        <w:rPr>
          <w:rFonts w:asciiTheme="minorEastAsia" w:eastAsiaTheme="minorEastAsia" w:hAnsiTheme="minorEastAsia"/>
          <w:sz w:val="32"/>
          <w:szCs w:val="32"/>
        </w:rPr>
      </w:pPr>
      <w:r>
        <w:rPr>
          <w:rFonts w:asciiTheme="minorEastAsia" w:eastAsiaTheme="minorEastAsia" w:hAnsiTheme="minorEastAsia" w:hint="eastAsia"/>
          <w:sz w:val="32"/>
          <w:szCs w:val="32"/>
        </w:rPr>
        <w:t>9、归口领导县融媒体中心，受县委委托管理县委讲师组、县文联。</w:t>
      </w:r>
    </w:p>
    <w:p>
      <w:pPr>
        <w:pStyle w:val="NormalWeb"/>
        <w:adjustRightInd w:val="0"/>
        <w:snapToGrid w:val="0"/>
        <w:spacing w:before="0" w:beforeAutospacing="0" w:after="0" w:afterAutospacing="0" w:line="600" w:lineRule="exact"/>
        <w:ind w:firstLine="640" w:firstLineChars="200"/>
        <w:rPr>
          <w:rFonts w:asciiTheme="minorEastAsia" w:eastAsiaTheme="minorEastAsia" w:hAnsiTheme="minorEastAsia"/>
          <w:sz w:val="32"/>
          <w:szCs w:val="32"/>
        </w:rPr>
      </w:pPr>
      <w:r>
        <w:rPr>
          <w:rFonts w:asciiTheme="minorEastAsia" w:eastAsiaTheme="minorEastAsia" w:hAnsiTheme="minorEastAsia" w:hint="eastAsia"/>
          <w:sz w:val="32"/>
          <w:szCs w:val="32"/>
        </w:rPr>
        <w:t>10、贯彻上级精神文明建设指导委员会及其办公室工作部署，组织指导、协调文明创建活动和全县公民道德建设，组织评选精神文明建设先进典型。负责全县志愿者服务工作的统筹规划、协调指导、督促检查和经验推广。</w:t>
      </w:r>
    </w:p>
    <w:p>
      <w:pPr>
        <w:pStyle w:val="NormalWeb"/>
        <w:adjustRightInd w:val="0"/>
        <w:snapToGrid w:val="0"/>
        <w:spacing w:before="0" w:beforeAutospacing="0" w:after="0" w:afterAutospacing="0" w:line="600" w:lineRule="exact"/>
        <w:ind w:firstLine="640" w:firstLineChars="200"/>
        <w:rPr>
          <w:rFonts w:asciiTheme="minorEastAsia" w:eastAsiaTheme="minorEastAsia" w:hAnsiTheme="minorEastAsia"/>
          <w:sz w:val="32"/>
          <w:szCs w:val="32"/>
        </w:rPr>
      </w:pPr>
      <w:r>
        <w:rPr>
          <w:rFonts w:asciiTheme="minorEastAsia" w:eastAsiaTheme="minorEastAsia" w:hAnsiTheme="minorEastAsia" w:hint="eastAsia"/>
          <w:sz w:val="32"/>
          <w:szCs w:val="32"/>
        </w:rPr>
        <w:t>11、完成市委宣传部和县委交给的其他任务。</w:t>
      </w:r>
    </w:p>
    <w:p>
      <w:pPr>
        <w:pStyle w:val="NormalWeb"/>
        <w:adjustRightInd w:val="0"/>
        <w:snapToGrid w:val="0"/>
        <w:spacing w:before="0" w:beforeAutospacing="0" w:after="0" w:afterAutospacing="0" w:line="580" w:lineRule="exact"/>
        <w:ind w:firstLine="627" w:firstLineChars="196"/>
        <w:rPr>
          <w:rFonts w:ascii="仿宋_GB2312" w:eastAsia="仿宋_GB2312"/>
          <w:sz w:val="32"/>
          <w:szCs w:val="32"/>
        </w:rPr>
      </w:pPr>
      <w:r>
        <w:rPr>
          <w:rFonts w:ascii="黑体" w:eastAsia="黑体" w:hAnsi="黑体" w:hint="eastAsia"/>
          <w:bCs/>
          <w:sz w:val="32"/>
          <w:szCs w:val="32"/>
        </w:rPr>
        <w:t>二、部门预算单位构成</w:t>
      </w:r>
    </w:p>
    <w:p>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Pr>
          <w:rFonts w:asciiTheme="minorEastAsia" w:eastAsiaTheme="minorEastAsia" w:hAnsiTheme="minorEastAsia" w:hint="eastAsia"/>
          <w:sz w:val="32"/>
          <w:szCs w:val="32"/>
        </w:rPr>
        <w:t>从预算单位构成看，寿县县委宣传部2023年度部门预算仅包括本级预算，无其他下属单位预算。纳入部门预算编制范围的单位共1个，具体情况见下表。</w:t>
      </w:r>
    </w:p>
    <w:tbl>
      <w:tblPr>
        <w:tblStyle w:val="TableNormal"/>
        <w:tblW w:w="9000" w:type="dxa"/>
        <w:tblInd w:w="288" w:type="dxa"/>
        <w:shd w:val="clear" w:color="auto" w:fill="FFFFFF"/>
        <w:tblLayout w:type="fixed"/>
        <w:tblCellMar>
          <w:top w:w="0" w:type="dxa"/>
          <w:left w:w="0" w:type="dxa"/>
          <w:bottom w:w="0" w:type="dxa"/>
          <w:right w:w="0" w:type="dxa"/>
        </w:tblCellMar>
      </w:tblPr>
      <w:tblGrid>
        <w:gridCol w:w="900"/>
        <w:gridCol w:w="3600"/>
        <w:gridCol w:w="4500"/>
      </w:tblGrid>
      <w:tr>
        <w:tblPrEx>
          <w:tblW w:w="9000" w:type="dxa"/>
          <w:tblInd w:w="288" w:type="dxa"/>
          <w:shd w:val="clear" w:color="auto" w:fill="FFFFFF"/>
          <w:tblLayout w:type="fixed"/>
        </w:tblPrEx>
        <w:trPr>
          <w:trHeight w:hRule="exact" w:val="643"/>
        </w:trPr>
        <w:tc>
          <w:tcPr>
            <w:tcW w:w="9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adjustRightInd w:val="0"/>
              <w:snapToGrid w:val="0"/>
              <w:spacing w:line="580" w:lineRule="exact"/>
              <w:jc w:val="left"/>
              <w:rPr>
                <w:rFonts w:asciiTheme="minorEastAsia" w:eastAsiaTheme="minorEastAsia" w:hAnsiTheme="minorEastAsia"/>
                <w:sz w:val="32"/>
                <w:szCs w:val="32"/>
              </w:rPr>
            </w:pPr>
            <w:r>
              <w:rPr>
                <w:rFonts w:asciiTheme="minorEastAsia" w:eastAsiaTheme="minorEastAsia" w:hAnsiTheme="minorEastAsia" w:hint="eastAsia"/>
                <w:sz w:val="32"/>
                <w:szCs w:val="32"/>
              </w:rPr>
              <w:t>序号</w:t>
            </w:r>
          </w:p>
        </w:tc>
        <w:tc>
          <w:tcPr>
            <w:tcW w:w="36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adjustRightInd w:val="0"/>
              <w:snapToGrid w:val="0"/>
              <w:spacing w:line="580" w:lineRule="exact"/>
              <w:jc w:val="left"/>
              <w:rPr>
                <w:rFonts w:asciiTheme="minorEastAsia" w:eastAsiaTheme="minorEastAsia" w:hAnsiTheme="minorEastAsia"/>
                <w:sz w:val="32"/>
                <w:szCs w:val="32"/>
              </w:rPr>
            </w:pPr>
            <w:r>
              <w:rPr>
                <w:rFonts w:asciiTheme="minorEastAsia" w:eastAsiaTheme="minorEastAsia" w:hAnsiTheme="minorEastAsia" w:hint="eastAsia"/>
                <w:sz w:val="32"/>
                <w:szCs w:val="32"/>
              </w:rPr>
              <w:t>单位名称</w:t>
            </w:r>
          </w:p>
        </w:tc>
        <w:tc>
          <w:tcPr>
            <w:tcW w:w="4500" w:type="dxa"/>
            <w:tcBorders>
              <w:top w:val="single" w:sz="8" w:space="0" w:color="auto"/>
              <w:left w:val="nil"/>
              <w:bottom w:val="single" w:sz="8" w:space="0" w:color="auto"/>
              <w:right w:val="single" w:sz="8" w:space="0" w:color="auto"/>
            </w:tcBorders>
            <w:shd w:val="clear" w:color="auto" w:fill="FFFFFF"/>
          </w:tcPr>
          <w:p>
            <w:pPr>
              <w:adjustRightInd w:val="0"/>
              <w:snapToGrid w:val="0"/>
              <w:spacing w:line="580" w:lineRule="exact"/>
              <w:jc w:val="left"/>
              <w:rPr>
                <w:rFonts w:asciiTheme="minorEastAsia" w:eastAsiaTheme="minorEastAsia" w:hAnsiTheme="minorEastAsia"/>
                <w:sz w:val="32"/>
                <w:szCs w:val="32"/>
              </w:rPr>
            </w:pPr>
            <w:r>
              <w:rPr>
                <w:rFonts w:asciiTheme="minorEastAsia" w:eastAsiaTheme="minorEastAsia" w:hAnsiTheme="minorEastAsia" w:hint="eastAsia"/>
                <w:sz w:val="32"/>
                <w:szCs w:val="32"/>
              </w:rPr>
              <w:t>单位性质</w:t>
            </w:r>
          </w:p>
        </w:tc>
      </w:tr>
      <w:tr>
        <w:tblPrEx>
          <w:tblW w:w="9000" w:type="dxa"/>
          <w:tblInd w:w="288" w:type="dxa"/>
          <w:shd w:val="clear" w:color="auto" w:fill="FFFFFF"/>
          <w:tblLayout w:type="fixed"/>
        </w:tblPrEx>
        <w:trPr>
          <w:trHeight w:hRule="exact" w:val="668"/>
        </w:trPr>
        <w:tc>
          <w:tcPr>
            <w:tcW w:w="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adjustRightInd w:val="0"/>
              <w:snapToGrid w:val="0"/>
              <w:spacing w:line="580" w:lineRule="exact"/>
              <w:jc w:val="left"/>
              <w:rPr>
                <w:rFonts w:asciiTheme="minorEastAsia" w:eastAsiaTheme="minorEastAsia" w:hAnsiTheme="minorEastAsia" w:cs="宋体"/>
                <w:sz w:val="32"/>
                <w:szCs w:val="32"/>
              </w:rPr>
            </w:pPr>
            <w:r>
              <w:rPr>
                <w:rFonts w:asciiTheme="minorEastAsia" w:eastAsiaTheme="minorEastAsia" w:hAnsiTheme="minorEastAsia" w:hint="eastAsia"/>
                <w:sz w:val="32"/>
                <w:szCs w:val="32"/>
              </w:rPr>
              <w:t>1</w:t>
            </w:r>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adjustRightInd w:val="0"/>
              <w:snapToGrid w:val="0"/>
              <w:spacing w:line="580" w:lineRule="exact"/>
              <w:jc w:val="left"/>
              <w:rPr>
                <w:rFonts w:asciiTheme="minorEastAsia" w:eastAsiaTheme="minorEastAsia" w:hAnsiTheme="minorEastAsia"/>
                <w:sz w:val="32"/>
                <w:szCs w:val="32"/>
                <w:u w:val="single"/>
              </w:rPr>
            </w:pPr>
            <w:r>
              <w:rPr>
                <w:rFonts w:asciiTheme="minorEastAsia" w:eastAsiaTheme="minorEastAsia" w:hAnsiTheme="minorEastAsia" w:cs="仿宋" w:hint="eastAsia"/>
                <w:bCs/>
                <w:sz w:val="32"/>
                <w:szCs w:val="32"/>
              </w:rPr>
              <w:t>寿县县委宣传部本级</w:t>
            </w:r>
          </w:p>
        </w:tc>
        <w:tc>
          <w:tcPr>
            <w:tcW w:w="4500" w:type="dxa"/>
            <w:tcBorders>
              <w:top w:val="nil"/>
              <w:left w:val="nil"/>
              <w:bottom w:val="single" w:sz="8" w:space="0" w:color="auto"/>
              <w:right w:val="single" w:sz="8" w:space="0" w:color="auto"/>
            </w:tcBorders>
            <w:shd w:val="clear" w:color="auto" w:fill="FFFFFF"/>
          </w:tcPr>
          <w:p>
            <w:pPr>
              <w:adjustRightInd w:val="0"/>
              <w:snapToGrid w:val="0"/>
              <w:spacing w:line="580" w:lineRule="exact"/>
              <w:jc w:val="left"/>
              <w:rPr>
                <w:rFonts w:asciiTheme="minorEastAsia" w:eastAsiaTheme="minorEastAsia" w:hAnsiTheme="minorEastAsia"/>
                <w:sz w:val="32"/>
                <w:szCs w:val="32"/>
                <w:u w:val="single"/>
              </w:rPr>
            </w:pPr>
            <w:r>
              <w:rPr>
                <w:rFonts w:asciiTheme="minorEastAsia" w:eastAsiaTheme="minorEastAsia" w:hAnsiTheme="minorEastAsia" w:cs="仿宋" w:hint="eastAsia"/>
                <w:bCs/>
                <w:sz w:val="32"/>
                <w:szCs w:val="32"/>
              </w:rPr>
              <w:t>行政单位</w:t>
            </w:r>
          </w:p>
        </w:tc>
      </w:tr>
    </w:tbl>
    <w:p>
      <w:pPr>
        <w:pStyle w:val="NormalWeb"/>
        <w:adjustRightInd w:val="0"/>
        <w:snapToGrid w:val="0"/>
        <w:spacing w:before="0" w:beforeAutospacing="0" w:after="0" w:afterAutospacing="0" w:line="580" w:lineRule="exact"/>
        <w:ind w:firstLine="627" w:firstLineChars="196"/>
        <w:rPr>
          <w:rFonts w:ascii="黑体" w:eastAsia="黑体" w:hAnsi="黑体"/>
          <w:bCs/>
          <w:sz w:val="32"/>
          <w:szCs w:val="32"/>
        </w:rPr>
      </w:pPr>
      <w:r>
        <w:rPr>
          <w:rFonts w:ascii="黑体" w:eastAsia="黑体" w:hAnsi="黑体" w:hint="eastAsia"/>
          <w:bCs/>
          <w:sz w:val="32"/>
          <w:szCs w:val="32"/>
        </w:rPr>
        <w:t>三、2023年度主要工作任务</w:t>
      </w:r>
    </w:p>
    <w:p>
      <w:pPr>
        <w:pStyle w:val="NormalWeb"/>
        <w:spacing w:before="0" w:beforeAutospacing="0" w:after="300" w:afterAutospacing="0" w:line="600" w:lineRule="exact"/>
        <w:ind w:firstLine="640" w:firstLineChars="20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以习近平新时代中国特色社会主义思想为指导，</w:t>
      </w:r>
      <w:r>
        <w:rPr>
          <w:rFonts w:asciiTheme="minorEastAsia" w:eastAsiaTheme="minorEastAsia" w:hAnsiTheme="minorEastAsia" w:cs="仿宋" w:hint="eastAsia"/>
          <w:sz w:val="32"/>
          <w:szCs w:val="32"/>
          <w:lang w:val="en-US" w:eastAsia="zh-CN"/>
        </w:rPr>
        <w:t>全面学习</w:t>
      </w:r>
      <w:r>
        <w:rPr>
          <w:rFonts w:asciiTheme="minorEastAsia" w:eastAsiaTheme="minorEastAsia" w:hAnsiTheme="minorEastAsia" w:cs="仿宋" w:hint="eastAsia"/>
          <w:sz w:val="32"/>
          <w:szCs w:val="32"/>
        </w:rPr>
        <w:t>贯彻</w:t>
      </w:r>
      <w:r>
        <w:rPr>
          <w:rFonts w:asciiTheme="minorEastAsia" w:eastAsiaTheme="minorEastAsia" w:hAnsiTheme="minorEastAsia" w:cs="仿宋" w:hint="eastAsia"/>
          <w:sz w:val="32"/>
          <w:szCs w:val="32"/>
          <w:lang w:val="en-US" w:eastAsia="zh-CN"/>
        </w:rPr>
        <w:t>党的二十大精神</w:t>
      </w:r>
      <w:r>
        <w:rPr>
          <w:rFonts w:asciiTheme="minorEastAsia" w:eastAsiaTheme="minorEastAsia" w:hAnsiTheme="minorEastAsia" w:cs="仿宋" w:hint="eastAsia"/>
          <w:sz w:val="32"/>
          <w:szCs w:val="32"/>
        </w:rPr>
        <w:t>，深入学习领会习近平总书记关于宣传思想工作的重要论述，</w:t>
      </w:r>
      <w:r>
        <w:rPr>
          <w:rFonts w:asciiTheme="minorEastAsia" w:eastAsiaTheme="minorEastAsia" w:hAnsiTheme="minorEastAsia" w:cs="仿宋" w:hint="eastAsia"/>
          <w:sz w:val="32"/>
          <w:szCs w:val="32"/>
          <w:lang w:val="en-US" w:eastAsia="zh-CN"/>
        </w:rPr>
        <w:t>深刻领悟“两个确立”的决定性意义，</w:t>
      </w:r>
      <w:r>
        <w:rPr>
          <w:rFonts w:asciiTheme="minorEastAsia" w:eastAsiaTheme="minorEastAsia" w:hAnsiTheme="minorEastAsia" w:cs="仿宋" w:hint="eastAsia"/>
          <w:sz w:val="32"/>
          <w:szCs w:val="32"/>
        </w:rPr>
        <w:t>增强“四个意识”、坚定“四个自信”、做到“两个维护”。按照“12345</w:t>
      </w:r>
      <w:r>
        <w:rPr>
          <w:rFonts w:asciiTheme="minorEastAsia" w:eastAsiaTheme="minorEastAsia" w:hAnsiTheme="minorEastAsia" w:cs="仿宋" w:hint="eastAsia"/>
          <w:sz w:val="32"/>
          <w:szCs w:val="32"/>
          <w:lang w:val="en-US" w:eastAsia="zh-CN"/>
        </w:rPr>
        <w:t>6</w:t>
      </w:r>
      <w:r>
        <w:rPr>
          <w:rFonts w:asciiTheme="minorEastAsia" w:eastAsiaTheme="minorEastAsia" w:hAnsiTheme="minorEastAsia" w:cs="仿宋" w:hint="eastAsia"/>
          <w:sz w:val="32"/>
          <w:szCs w:val="32"/>
        </w:rPr>
        <w:t>”的工作思路，即突出一个引领、贯穿一条主线（以习近平新时代中国特色社会主义思想为引领、以</w:t>
      </w:r>
      <w:r>
        <w:rPr>
          <w:rFonts w:asciiTheme="minorEastAsia" w:eastAsiaTheme="minorEastAsia" w:hAnsiTheme="minorEastAsia" w:cs="仿宋" w:hint="eastAsia"/>
          <w:sz w:val="32"/>
          <w:szCs w:val="32"/>
          <w:lang w:val="en-US" w:eastAsia="zh-CN"/>
        </w:rPr>
        <w:t>学习宣传</w:t>
      </w:r>
      <w:r>
        <w:rPr>
          <w:rFonts w:asciiTheme="minorEastAsia" w:eastAsiaTheme="minorEastAsia" w:hAnsiTheme="minorEastAsia" w:cs="仿宋" w:hint="eastAsia"/>
          <w:sz w:val="32"/>
          <w:szCs w:val="32"/>
        </w:rPr>
        <w:t>贯彻党的二十大</w:t>
      </w:r>
      <w:r>
        <w:rPr>
          <w:rFonts w:asciiTheme="minorEastAsia" w:eastAsiaTheme="minorEastAsia" w:hAnsiTheme="minorEastAsia" w:cs="仿宋" w:hint="eastAsia"/>
          <w:sz w:val="32"/>
          <w:szCs w:val="32"/>
          <w:lang w:val="en-US" w:eastAsia="zh-CN"/>
        </w:rPr>
        <w:t>精神</w:t>
      </w:r>
      <w:r>
        <w:rPr>
          <w:rFonts w:asciiTheme="minorEastAsia" w:eastAsiaTheme="minorEastAsia" w:hAnsiTheme="minorEastAsia" w:cs="仿宋" w:hint="eastAsia"/>
          <w:sz w:val="32"/>
          <w:szCs w:val="32"/>
        </w:rPr>
        <w:t>为主线），持续推动“两论”（理论武装、舆论引导），深培厚植“三文”（文明实践、文明创建、文化惠民），聚焦聚力“四个重点”（意识形态安全、网络安全、“两中心一平台”建设、“四力”实践教育），切实担负起“举旗帜、聚民心、育新人、兴文化、展形象”的五大使命任务</w:t>
      </w:r>
      <w:r>
        <w:rPr>
          <w:rFonts w:asciiTheme="minorEastAsia" w:eastAsiaTheme="minorEastAsia" w:hAnsiTheme="minorEastAsia" w:cs="仿宋" w:hint="eastAsia"/>
          <w:sz w:val="32"/>
          <w:szCs w:val="32"/>
          <w:lang w:eastAsia="zh-CN"/>
        </w:rPr>
        <w:t>，</w:t>
      </w:r>
      <w:r>
        <w:rPr>
          <w:rFonts w:asciiTheme="minorEastAsia" w:eastAsiaTheme="minorEastAsia" w:hAnsiTheme="minorEastAsia" w:cs="仿宋" w:hint="eastAsia"/>
          <w:sz w:val="32"/>
          <w:szCs w:val="32"/>
        </w:rPr>
        <w:t>抓实抓好六个聚焦，为新阶段现代化美好寿县建设提供有力思想保证、舆论支持、精神动力和文化条件。</w:t>
      </w:r>
    </w:p>
    <w:p>
      <w:pPr>
        <w:pStyle w:val="NormalWeb"/>
        <w:adjustRightInd w:val="0"/>
        <w:snapToGrid w:val="0"/>
        <w:spacing w:before="0" w:beforeAutospacing="0" w:after="0" w:afterAutospacing="0" w:line="580" w:lineRule="exact"/>
        <w:jc w:val="center"/>
        <w:rPr>
          <w:rFonts w:ascii="方正小标宋简体" w:eastAsia="方正小标宋简体" w:hAnsi="方正小标宋简体"/>
          <w:bCs/>
          <w:sz w:val="44"/>
          <w:szCs w:val="44"/>
        </w:rPr>
      </w:pPr>
    </w:p>
    <w:p>
      <w:pPr>
        <w:pStyle w:val="NormalWeb"/>
        <w:adjustRightInd w:val="0"/>
        <w:snapToGrid w:val="0"/>
        <w:spacing w:before="0" w:beforeAutospacing="0" w:after="0" w:afterAutospacing="0" w:line="580" w:lineRule="exact"/>
        <w:jc w:val="center"/>
        <w:rPr>
          <w:rFonts w:ascii="方正小标宋简体" w:eastAsia="方正小标宋简体" w:hAnsi="方正小标宋简体"/>
          <w:bCs/>
          <w:sz w:val="44"/>
          <w:szCs w:val="44"/>
        </w:rPr>
      </w:pPr>
      <w:r>
        <w:rPr>
          <w:rFonts w:ascii="方正小标宋简体" w:eastAsia="方正小标宋简体" w:hAnsi="方正小标宋简体" w:hint="eastAsia"/>
          <w:bCs/>
          <w:sz w:val="44"/>
          <w:szCs w:val="44"/>
        </w:rPr>
        <w:br w:type="page"/>
      </w:r>
      <w:r>
        <w:rPr>
          <w:rFonts w:ascii="方正小标宋简体" w:eastAsia="方正小标宋简体" w:hAnsi="方正小标宋简体" w:hint="eastAsia"/>
          <w:bCs/>
          <w:sz w:val="44"/>
          <w:szCs w:val="44"/>
        </w:rPr>
        <w:t>第二部分 2023年部门预算表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1.2023年收支总表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2.2023年收入总表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3.2023年支出总表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4.2023年财政拨款收支总表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5.2023年一般公共预算支出表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6.2023年一般公共预算基本支出表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7.2023年政府性基金预算支出表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8.2023年国有资本经营预算支出预算表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9.2023年项目支出表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10.2023年政府采购支出表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11.2023年政府购买服务支出表</w:t>
      </w:r>
    </w:p>
    <w:p>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共11张表，具体内容</w:t>
      </w:r>
      <w:r>
        <w:rPr>
          <w:rFonts w:ascii="仿宋_GB2312" w:eastAsia="仿宋_GB2312" w:hAnsi="仿宋" w:cs="仿宋" w:hint="eastAsia"/>
          <w:bCs/>
          <w:sz w:val="32"/>
          <w:szCs w:val="32"/>
        </w:rPr>
        <w:t>详见附表</w:t>
      </w:r>
    </w:p>
    <w:p>
      <w:pPr>
        <w:pStyle w:val="NormalWeb"/>
        <w:adjustRightInd w:val="0"/>
        <w:snapToGrid w:val="0"/>
        <w:spacing w:before="0" w:beforeAutospacing="0" w:after="0" w:afterAutospacing="0" w:line="580" w:lineRule="exact"/>
        <w:ind w:firstLine="784" w:firstLineChars="245"/>
        <w:rPr>
          <w:rFonts w:ascii="仿宋_GB2312" w:eastAsia="仿宋_GB2312" w:hAnsi="黑体"/>
          <w:b/>
          <w:bCs/>
          <w:color w:val="FF0000"/>
          <w:sz w:val="32"/>
          <w:szCs w:val="32"/>
        </w:rPr>
      </w:pPr>
    </w:p>
    <w:p>
      <w:pPr>
        <w:pStyle w:val="NormalWeb"/>
        <w:adjustRightInd w:val="0"/>
        <w:snapToGrid w:val="0"/>
        <w:spacing w:before="0" w:beforeAutospacing="0" w:after="0" w:afterAutospacing="0" w:line="580" w:lineRule="exact"/>
        <w:jc w:val="center"/>
        <w:rPr>
          <w:rFonts w:ascii="方正小标宋简体" w:eastAsia="方正小标宋简体" w:hAnsi="方正小标宋简体"/>
          <w:bCs/>
          <w:sz w:val="44"/>
          <w:szCs w:val="44"/>
        </w:rPr>
      </w:pPr>
      <w:r>
        <w:rPr>
          <w:rFonts w:ascii="方正小标宋简体" w:eastAsia="方正小标宋简体" w:hAnsi="方正小标宋简体" w:hint="eastAsia"/>
          <w:bCs/>
          <w:sz w:val="44"/>
          <w:szCs w:val="44"/>
        </w:rPr>
        <w:br w:type="page"/>
      </w:r>
      <w:r>
        <w:rPr>
          <w:rFonts w:ascii="方正小标宋简体" w:eastAsia="方正小标宋简体" w:hAnsi="方正小标宋简体" w:hint="eastAsia"/>
          <w:bCs/>
          <w:sz w:val="44"/>
          <w:szCs w:val="44"/>
        </w:rPr>
        <w:t>第三部分 2023年部门预算情况说明</w:t>
      </w:r>
    </w:p>
    <w:p>
      <w:pPr>
        <w:pStyle w:val="NormalWeb"/>
        <w:adjustRightInd w:val="0"/>
        <w:snapToGrid w:val="0"/>
        <w:spacing w:before="0" w:beforeAutospacing="0" w:after="0" w:afterAutospacing="0" w:line="580" w:lineRule="exact"/>
        <w:ind w:firstLine="640" w:firstLineChars="200"/>
        <w:rPr>
          <w:rFonts w:ascii="黑体" w:eastAsia="黑体" w:hAnsi="黑体"/>
          <w:bCs/>
          <w:sz w:val="32"/>
          <w:szCs w:val="32"/>
        </w:rPr>
      </w:pPr>
      <w:r>
        <w:rPr>
          <w:rFonts w:ascii="黑体" w:eastAsia="黑体" w:hAnsi="黑体" w:hint="eastAsia"/>
          <w:bCs/>
          <w:sz w:val="32"/>
          <w:szCs w:val="32"/>
        </w:rPr>
        <w:t>一、关于2023年财政拨款收支预算总体情况说明</w:t>
      </w:r>
    </w:p>
    <w:p>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cs="Times New Roman"/>
          <w:kern w:val="2"/>
          <w:sz w:val="32"/>
          <w:szCs w:val="32"/>
        </w:rPr>
      </w:pPr>
      <w:r>
        <w:rPr>
          <w:rFonts w:asciiTheme="minorEastAsia" w:eastAsiaTheme="minorEastAsia" w:hAnsiTheme="minorEastAsia" w:hint="eastAsia"/>
          <w:sz w:val="32"/>
          <w:szCs w:val="32"/>
        </w:rPr>
        <w:t>寿县县委宣传部</w:t>
      </w:r>
      <w:r>
        <w:rPr>
          <w:rFonts w:asciiTheme="minorEastAsia" w:eastAsiaTheme="minorEastAsia" w:hAnsiTheme="minorEastAsia" w:cs="Times New Roman" w:hint="eastAsia"/>
          <w:kern w:val="2"/>
          <w:sz w:val="32"/>
          <w:szCs w:val="32"/>
        </w:rPr>
        <w:t>2023年财政拨款收支预算</w:t>
      </w:r>
      <w:r>
        <w:rPr>
          <w:rFonts w:asciiTheme="minorEastAsia" w:eastAsiaTheme="minorEastAsia" w:hAnsiTheme="minorEastAsia" w:hint="eastAsia"/>
          <w:sz w:val="32"/>
          <w:szCs w:val="32"/>
        </w:rPr>
        <w:t>592.74</w:t>
      </w:r>
      <w:r>
        <w:rPr>
          <w:rFonts w:asciiTheme="minorEastAsia" w:eastAsiaTheme="minorEastAsia" w:hAnsiTheme="minorEastAsia" w:cs="Times New Roman" w:hint="eastAsia"/>
          <w:kern w:val="2"/>
          <w:sz w:val="32"/>
          <w:szCs w:val="32"/>
        </w:rPr>
        <w:t>万元。收入按资金来源分为：一般公共预算拨款592.74万元、政府性基金预算拨款0万元、国有资本经营预算拨款0万元；按资金年度分为：当年财政拨款收入592.74万元，上年结转0万元。支出按功能分类分为：一般公共服务支出497.09万元，占83.86%；社会保障和就业支出52.44万元，占8.85%；卫生健康支出17.22万元，占2.91%；住房保障支出25.99万元，占4.38%。</w:t>
      </w:r>
    </w:p>
    <w:p>
      <w:pPr>
        <w:pStyle w:val="NormalWeb"/>
        <w:adjustRightInd w:val="0"/>
        <w:snapToGrid w:val="0"/>
        <w:spacing w:before="0" w:beforeAutospacing="0" w:after="0" w:afterAutospacing="0" w:line="580" w:lineRule="exact"/>
        <w:ind w:firstLine="640" w:firstLineChars="200"/>
        <w:rPr>
          <w:rFonts w:ascii="黑体" w:eastAsia="黑体" w:hAnsi="黑体" w:cs="Times New Roman"/>
          <w:kern w:val="2"/>
          <w:sz w:val="32"/>
          <w:szCs w:val="32"/>
        </w:rPr>
      </w:pPr>
      <w:r>
        <w:rPr>
          <w:rFonts w:ascii="黑体" w:eastAsia="黑体" w:hAnsi="黑体" w:cs="Times New Roman" w:hint="eastAsia"/>
          <w:kern w:val="2"/>
          <w:sz w:val="32"/>
          <w:szCs w:val="32"/>
        </w:rPr>
        <w:t>二、关于2023年一般公共预算拨款情况说明</w:t>
      </w:r>
    </w:p>
    <w:p>
      <w:pPr>
        <w:pStyle w:val="NormalWeb"/>
        <w:adjustRightInd w:val="0"/>
        <w:snapToGrid w:val="0"/>
        <w:spacing w:before="0" w:beforeAutospacing="0" w:after="0" w:afterAutospacing="0" w:line="580" w:lineRule="exact"/>
        <w:ind w:firstLine="627" w:firstLineChars="196"/>
        <w:rPr>
          <w:rFonts w:ascii="仿宋_GB2312" w:eastAsia="仿宋_GB2312" w:hAnsi="仿宋" w:cs="Times New Roman"/>
          <w:b/>
          <w:kern w:val="2"/>
          <w:sz w:val="32"/>
          <w:szCs w:val="32"/>
        </w:rPr>
      </w:pPr>
      <w:r>
        <w:rPr>
          <w:rFonts w:ascii="仿宋_GB2312" w:eastAsia="仿宋_GB2312" w:hAnsi="仿宋" w:cs="Times New Roman" w:hint="eastAsia"/>
          <w:b/>
          <w:kern w:val="2"/>
          <w:sz w:val="32"/>
          <w:szCs w:val="32"/>
        </w:rPr>
        <w:t>（一）一般公共预算拨款规模变化情况</w:t>
      </w:r>
    </w:p>
    <w:p>
      <w:pPr>
        <w:adjustRightInd w:val="0"/>
        <w:snapToGrid w:val="0"/>
        <w:spacing w:line="600" w:lineRule="exact"/>
        <w:ind w:firstLine="640" w:firstLineChars="200"/>
        <w:jc w:val="left"/>
        <w:rPr>
          <w:rFonts w:asciiTheme="minorEastAsia" w:eastAsiaTheme="minorEastAsia" w:hAnsiTheme="minorEastAsia" w:hint="eastAsia"/>
          <w:sz w:val="32"/>
          <w:szCs w:val="32"/>
        </w:rPr>
      </w:pPr>
      <w:r>
        <w:rPr>
          <w:rFonts w:asciiTheme="minorEastAsia" w:eastAsiaTheme="minorEastAsia" w:hAnsiTheme="minorEastAsia" w:hint="eastAsia"/>
          <w:sz w:val="32"/>
          <w:szCs w:val="32"/>
        </w:rPr>
        <w:t>寿县县委宣传部2023年一般公共预算拨款592.74万元，比2022年预算拨款增加24.23万元，增长4.26%，增长的主要原因是</w:t>
      </w:r>
      <w:r>
        <w:rPr>
          <w:rFonts w:asciiTheme="minorEastAsia" w:eastAsiaTheme="minorEastAsia" w:hAnsiTheme="minorEastAsia" w:hint="eastAsia"/>
          <w:sz w:val="32"/>
          <w:szCs w:val="32"/>
          <w:lang w:val="en-US" w:eastAsia="zh-CN"/>
        </w:rPr>
        <w:t>下属事业单位新增3名事业人员工资福利以及</w:t>
      </w:r>
      <w:r>
        <w:rPr>
          <w:rFonts w:asciiTheme="minorEastAsia" w:eastAsiaTheme="minorEastAsia" w:hAnsiTheme="minorEastAsia" w:hint="eastAsia"/>
          <w:sz w:val="32"/>
          <w:szCs w:val="32"/>
        </w:rPr>
        <w:t>2023年度基础性绩效奖励纳入年初预算。</w:t>
      </w:r>
    </w:p>
    <w:p>
      <w:pPr>
        <w:pStyle w:val="NormalWeb"/>
        <w:widowControl w:val="0"/>
        <w:adjustRightInd w:val="0"/>
        <w:snapToGrid w:val="0"/>
        <w:spacing w:before="0" w:beforeAutospacing="0" w:after="0" w:afterAutospacing="0" w:line="580" w:lineRule="exact"/>
        <w:ind w:firstLine="627" w:firstLineChars="196"/>
        <w:rPr>
          <w:rFonts w:ascii="仿宋_GB2312" w:eastAsia="仿宋_GB2312" w:hAnsi="仿宋" w:cs="Times New Roman"/>
          <w:b/>
          <w:kern w:val="2"/>
          <w:sz w:val="32"/>
          <w:szCs w:val="32"/>
        </w:rPr>
      </w:pPr>
      <w:r>
        <w:rPr>
          <w:rFonts w:ascii="仿宋_GB2312" w:eastAsia="仿宋_GB2312" w:hAnsi="仿宋" w:cs="Times New Roman" w:hint="eastAsia"/>
          <w:b/>
          <w:kern w:val="2"/>
          <w:sz w:val="32"/>
          <w:szCs w:val="32"/>
        </w:rPr>
        <w:t>（二）一般公共预算拨款结构情况</w:t>
      </w:r>
    </w:p>
    <w:p>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cs="Times New Roman"/>
          <w:kern w:val="2"/>
          <w:sz w:val="32"/>
          <w:szCs w:val="32"/>
        </w:rPr>
      </w:pPr>
      <w:r>
        <w:rPr>
          <w:rFonts w:asciiTheme="minorEastAsia" w:eastAsiaTheme="minorEastAsia" w:hAnsiTheme="minorEastAsia" w:cs="Times New Roman" w:hint="eastAsia"/>
          <w:kern w:val="2"/>
          <w:sz w:val="32"/>
          <w:szCs w:val="32"/>
        </w:rPr>
        <w:t>一般公共服务支出497.09万元，占83.86%；社会保障和就业支出52.44万元，占8.85%；卫生健康支出17.22万元，占2.91%；住房保障支出25.99万元，占4.38%。</w:t>
      </w:r>
    </w:p>
    <w:p>
      <w:pPr>
        <w:adjustRightInd w:val="0"/>
        <w:snapToGrid w:val="0"/>
        <w:spacing w:line="580" w:lineRule="exact"/>
        <w:ind w:firstLine="640" w:firstLineChars="200"/>
        <w:jc w:val="left"/>
        <w:rPr>
          <w:rFonts w:ascii="仿宋_GB2312" w:eastAsia="仿宋_GB2312" w:hAnsi="仿宋"/>
          <w:b/>
          <w:sz w:val="32"/>
          <w:szCs w:val="32"/>
        </w:rPr>
      </w:pPr>
      <w:r>
        <w:rPr>
          <w:rFonts w:ascii="仿宋_GB2312" w:eastAsia="仿宋_GB2312" w:hAnsi="仿宋" w:hint="eastAsia"/>
          <w:b/>
          <w:sz w:val="32"/>
          <w:szCs w:val="32"/>
        </w:rPr>
        <w:t>（三）一般公共预算拨款具体使用情况</w:t>
      </w:r>
    </w:p>
    <w:p>
      <w:pPr>
        <w:pStyle w:val="NormalWeb"/>
        <w:widowControl w:val="0"/>
        <w:adjustRightInd w:val="0"/>
        <w:snapToGrid w:val="0"/>
        <w:spacing w:before="0" w:beforeAutospacing="0" w:after="0" w:afterAutospacing="0" w:line="580" w:lineRule="exact"/>
        <w:ind w:firstLine="627" w:firstLineChars="196"/>
        <w:rPr>
          <w:rFonts w:asciiTheme="minorEastAsia" w:eastAsiaTheme="minorEastAsia" w:hAnsiTheme="minorEastAsia"/>
          <w:color w:val="000000"/>
          <w:sz w:val="32"/>
          <w:szCs w:val="32"/>
        </w:rPr>
      </w:pPr>
      <w:r>
        <w:rPr>
          <w:rFonts w:ascii="仿宋_GB2312" w:eastAsia="仿宋_GB2312" w:hAnsi="仿宋" w:hint="eastAsia"/>
          <w:b/>
          <w:sz w:val="32"/>
          <w:szCs w:val="32"/>
        </w:rPr>
        <w:t>1.一般公共服务支出（类）宣传事务（款）行政运行、一般行政管理事务（项）</w:t>
      </w:r>
      <w:r>
        <w:rPr>
          <w:rFonts w:asciiTheme="minorEastAsia" w:eastAsiaTheme="minorEastAsia" w:hAnsiTheme="minorEastAsia" w:hint="eastAsia"/>
          <w:sz w:val="32"/>
          <w:szCs w:val="32"/>
        </w:rPr>
        <w:t>2023年预算497.09万元，比2022年预算减少4.31万元，下降0.86%，下降的</w:t>
      </w:r>
      <w:r>
        <w:rPr>
          <w:rFonts w:asciiTheme="minorEastAsia" w:eastAsiaTheme="minorEastAsia" w:hAnsiTheme="minorEastAsia" w:cs="Times New Roman" w:hint="eastAsia"/>
          <w:kern w:val="2"/>
          <w:sz w:val="32"/>
          <w:szCs w:val="32"/>
        </w:rPr>
        <w:t>主要原因是人员调出。</w:t>
      </w:r>
    </w:p>
    <w:p>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Pr>
          <w:rFonts w:ascii="仿宋_GB2312" w:eastAsia="仿宋_GB2312" w:hAnsi="仿宋" w:hint="eastAsia"/>
          <w:b/>
          <w:sz w:val="32"/>
          <w:szCs w:val="32"/>
        </w:rPr>
        <w:t>2.社会保障和就业支出（类）行政事业单位养老支出、其他社会保障和就业支出（款）机关事业单位基本养老保险缴费、其他社会保障和就业支出（项）</w:t>
      </w:r>
      <w:r>
        <w:rPr>
          <w:rFonts w:asciiTheme="minorEastAsia" w:eastAsiaTheme="minorEastAsia" w:hAnsiTheme="minorEastAsia" w:hint="eastAsia"/>
          <w:sz w:val="32"/>
          <w:szCs w:val="32"/>
        </w:rPr>
        <w:t>2023年预算52.44万元，比2022年预算增加17.82万元，增长51.47%，增长的主要原因是2023年职业年金缴费纳入了预算。</w:t>
      </w:r>
    </w:p>
    <w:p>
      <w:pPr>
        <w:adjustRightInd w:val="0"/>
        <w:snapToGrid w:val="0"/>
        <w:spacing w:line="580" w:lineRule="exact"/>
        <w:ind w:firstLine="640" w:firstLineChars="200"/>
        <w:jc w:val="left"/>
        <w:rPr>
          <w:rFonts w:asciiTheme="minorEastAsia" w:eastAsiaTheme="minorEastAsia" w:hAnsiTheme="minorEastAsia"/>
          <w:sz w:val="32"/>
          <w:szCs w:val="32"/>
        </w:rPr>
      </w:pPr>
      <w:r>
        <w:rPr>
          <w:rFonts w:ascii="仿宋_GB2312" w:eastAsia="仿宋_GB2312" w:hAnsi="仿宋" w:hint="eastAsia"/>
          <w:b/>
          <w:sz w:val="32"/>
          <w:szCs w:val="32"/>
        </w:rPr>
        <w:t xml:space="preserve">3.卫生健康支出（类）行政事业单位医疗（款）行政单位医疗、公务员医疗补助（项） </w:t>
      </w:r>
      <w:r>
        <w:rPr>
          <w:rFonts w:asciiTheme="minorEastAsia" w:eastAsiaTheme="minorEastAsia" w:hAnsiTheme="minorEastAsia" w:hint="eastAsia"/>
          <w:sz w:val="32"/>
          <w:szCs w:val="32"/>
        </w:rPr>
        <w:t>2023年预算17.22万元，比2022年预算增加1.88万元，增长12.26%，增长的主要原因是医保缴费基数调整。</w:t>
      </w:r>
    </w:p>
    <w:p>
      <w:pPr>
        <w:adjustRightInd w:val="0"/>
        <w:snapToGrid w:val="0"/>
        <w:spacing w:line="580" w:lineRule="exact"/>
        <w:ind w:firstLine="640" w:firstLineChars="200"/>
        <w:jc w:val="left"/>
        <w:rPr>
          <w:rFonts w:asciiTheme="minorEastAsia" w:eastAsiaTheme="minorEastAsia" w:hAnsiTheme="minorEastAsia"/>
          <w:sz w:val="32"/>
          <w:szCs w:val="32"/>
        </w:rPr>
      </w:pPr>
      <w:r>
        <w:rPr>
          <w:rFonts w:ascii="仿宋_GB2312" w:eastAsia="仿宋_GB2312" w:hAnsi="仿宋" w:hint="eastAsia"/>
          <w:b/>
          <w:sz w:val="32"/>
          <w:szCs w:val="32"/>
        </w:rPr>
        <w:t>4.住房保障支出（类）住房改革支出（款）住房公积金（项）</w:t>
      </w:r>
      <w:r>
        <w:rPr>
          <w:rFonts w:asciiTheme="minorEastAsia" w:eastAsiaTheme="minorEastAsia" w:hAnsiTheme="minorEastAsia" w:hint="eastAsia"/>
          <w:sz w:val="32"/>
          <w:szCs w:val="32"/>
        </w:rPr>
        <w:t>2023年预算25.99万元，比2022年预算增加8.85万元，增长51.63%，增长的主要原因公积金缴费基数调整。</w:t>
      </w:r>
    </w:p>
    <w:p>
      <w:pPr>
        <w:pStyle w:val="NormalWeb"/>
        <w:adjustRightInd w:val="0"/>
        <w:snapToGrid w:val="0"/>
        <w:spacing w:before="0" w:beforeAutospacing="0" w:after="0" w:afterAutospacing="0" w:line="580" w:lineRule="exact"/>
        <w:ind w:firstLine="640" w:firstLineChars="200"/>
        <w:rPr>
          <w:rFonts w:ascii="黑体" w:eastAsia="黑体" w:hAnsi="黑体"/>
          <w:sz w:val="32"/>
          <w:szCs w:val="32"/>
        </w:rPr>
      </w:pPr>
      <w:r>
        <w:rPr>
          <w:rFonts w:ascii="黑体" w:eastAsia="黑体" w:hAnsi="黑体" w:cs="Times New Roman" w:hint="eastAsia"/>
          <w:kern w:val="2"/>
          <w:sz w:val="32"/>
          <w:szCs w:val="32"/>
        </w:rPr>
        <w:t>三、关于2023年一般公共预算基本支出情况说明</w:t>
      </w:r>
    </w:p>
    <w:p>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sz w:val="32"/>
          <w:szCs w:val="32"/>
          <w:u w:val="single"/>
        </w:rPr>
      </w:pPr>
      <w:r>
        <w:rPr>
          <w:rFonts w:asciiTheme="minorEastAsia" w:eastAsiaTheme="minorEastAsia" w:hAnsiTheme="minorEastAsia" w:cs="Times New Roman" w:hint="eastAsia"/>
          <w:kern w:val="2"/>
          <w:sz w:val="32"/>
          <w:szCs w:val="32"/>
        </w:rPr>
        <w:t>寿县县委宣传部</w:t>
      </w:r>
      <w:r>
        <w:rPr>
          <w:rFonts w:asciiTheme="minorEastAsia" w:eastAsiaTheme="minorEastAsia" w:hAnsiTheme="minorEastAsia" w:hint="eastAsia"/>
          <w:sz w:val="32"/>
          <w:szCs w:val="32"/>
        </w:rPr>
        <w:t>2023年一般公共预算基本支出334.64万元，其中：工资福利支出297.72万元，主要包括：基本工资、津贴补贴、绩效工资、机关事业单位基本养老保险缴费、职业年金缴费、职工基本医疗保险缴费、住房公积金、医疗费、其他工资福利支出等。商品和服务支出34.92万元，主要包括：办公费、印刷费、咨询费、手续费、水费、电费、邮电费、物业管理费、差旅费、维修（护）费、租赁费、会议费、培训费、劳务费、委托业务给、工会经费、福利费、其他交通费、其他商品和服务支出等。资本性支出2万元，主要包括办公设备购置。</w:t>
      </w:r>
    </w:p>
    <w:p>
      <w:pPr>
        <w:pStyle w:val="NormalWeb"/>
        <w:adjustRightInd w:val="0"/>
        <w:snapToGrid w:val="0"/>
        <w:spacing w:before="0" w:beforeAutospacing="0" w:after="0" w:afterAutospacing="0" w:line="580" w:lineRule="exact"/>
        <w:ind w:firstLine="640" w:firstLineChars="200"/>
        <w:rPr>
          <w:rFonts w:ascii="黑体" w:eastAsia="黑体" w:hAnsi="黑体"/>
          <w:sz w:val="32"/>
          <w:szCs w:val="32"/>
        </w:rPr>
      </w:pPr>
      <w:r>
        <w:rPr>
          <w:rFonts w:ascii="黑体" w:eastAsia="黑体" w:hAnsi="黑体" w:hint="eastAsia"/>
          <w:sz w:val="32"/>
          <w:szCs w:val="32"/>
        </w:rPr>
        <w:t>四、关于2023年政府性基金预算拨款情况说明</w:t>
      </w:r>
    </w:p>
    <w:p>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sz w:val="32"/>
          <w:szCs w:val="32"/>
        </w:rPr>
      </w:pPr>
      <w:r>
        <w:rPr>
          <w:rFonts w:asciiTheme="minorEastAsia" w:eastAsiaTheme="minorEastAsia" w:hAnsiTheme="minorEastAsia" w:cs="Times New Roman" w:hint="eastAsia"/>
          <w:kern w:val="2"/>
          <w:sz w:val="32"/>
          <w:szCs w:val="32"/>
        </w:rPr>
        <w:t>寿县县委宣传部</w:t>
      </w:r>
      <w:r>
        <w:rPr>
          <w:rFonts w:asciiTheme="minorEastAsia" w:eastAsiaTheme="minorEastAsia" w:hAnsiTheme="minorEastAsia" w:hint="eastAsia"/>
          <w:sz w:val="32"/>
          <w:szCs w:val="32"/>
        </w:rPr>
        <w:t>2023年没有政府性基金预算拨款收入，也没有使用政府性基金预算拨款安排的支出。</w:t>
      </w:r>
    </w:p>
    <w:p>
      <w:pPr>
        <w:pStyle w:val="NormalWeb"/>
        <w:adjustRightInd w:val="0"/>
        <w:snapToGrid w:val="0"/>
        <w:spacing w:before="0" w:beforeAutospacing="0" w:after="0" w:afterAutospacing="0" w:line="580" w:lineRule="exact"/>
        <w:ind w:firstLine="640" w:firstLineChars="200"/>
        <w:rPr>
          <w:rFonts w:ascii="黑体" w:eastAsia="黑体" w:hAnsi="黑体"/>
          <w:sz w:val="32"/>
          <w:szCs w:val="32"/>
        </w:rPr>
      </w:pPr>
      <w:r>
        <w:rPr>
          <w:rFonts w:ascii="黑体" w:eastAsia="黑体" w:hAnsi="黑体" w:hint="eastAsia"/>
          <w:sz w:val="32"/>
          <w:szCs w:val="32"/>
        </w:rPr>
        <w:t>五、关于2023年国有资本经营预算拨款情况说明</w:t>
      </w:r>
    </w:p>
    <w:p>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sz w:val="32"/>
          <w:szCs w:val="32"/>
        </w:rPr>
      </w:pPr>
      <w:r>
        <w:rPr>
          <w:rFonts w:asciiTheme="minorEastAsia" w:eastAsiaTheme="minorEastAsia" w:hAnsiTheme="minorEastAsia" w:cs="Times New Roman" w:hint="eastAsia"/>
          <w:kern w:val="2"/>
          <w:sz w:val="32"/>
          <w:szCs w:val="32"/>
        </w:rPr>
        <w:t>寿县县委宣传部</w:t>
      </w:r>
      <w:r>
        <w:rPr>
          <w:rFonts w:asciiTheme="minorEastAsia" w:eastAsiaTheme="minorEastAsia" w:hAnsiTheme="minorEastAsia" w:hint="eastAsia"/>
          <w:sz w:val="32"/>
          <w:szCs w:val="32"/>
        </w:rPr>
        <w:t>2023年没有国有资本经营预算拨款收入，也没有使用国有资本经营预算拨款安排的支出。</w:t>
      </w:r>
    </w:p>
    <w:p>
      <w:pPr>
        <w:pStyle w:val="NormalWeb"/>
        <w:adjustRightInd w:val="0"/>
        <w:snapToGrid w:val="0"/>
        <w:spacing w:before="0" w:beforeAutospacing="0" w:after="0" w:afterAutospacing="0" w:line="580" w:lineRule="exact"/>
        <w:ind w:firstLine="640" w:firstLineChars="200"/>
        <w:rPr>
          <w:rFonts w:ascii="黑体" w:eastAsia="黑体" w:hAnsi="黑体"/>
          <w:sz w:val="32"/>
          <w:szCs w:val="32"/>
        </w:rPr>
      </w:pPr>
      <w:r>
        <w:rPr>
          <w:rFonts w:ascii="黑体" w:eastAsia="黑体" w:hAnsi="黑体" w:hint="eastAsia"/>
          <w:sz w:val="32"/>
          <w:szCs w:val="32"/>
        </w:rPr>
        <w:t>六、关于2023年收支预算总体情况说明</w:t>
      </w:r>
    </w:p>
    <w:p>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Pr>
          <w:rFonts w:asciiTheme="minorEastAsia" w:eastAsiaTheme="minorEastAsia" w:hAnsiTheme="minorEastAsia" w:hint="eastAsia"/>
          <w:sz w:val="32"/>
          <w:szCs w:val="32"/>
        </w:rPr>
        <w:t>按照综合预算的原则，</w:t>
      </w:r>
      <w:r>
        <w:rPr>
          <w:rFonts w:asciiTheme="minorEastAsia" w:eastAsiaTheme="minorEastAsia" w:hAnsiTheme="minorEastAsia" w:cs="Times New Roman" w:hint="eastAsia"/>
          <w:kern w:val="2"/>
          <w:sz w:val="32"/>
          <w:szCs w:val="32"/>
        </w:rPr>
        <w:t>寿县县委宣传部</w:t>
      </w:r>
      <w:r>
        <w:rPr>
          <w:rFonts w:asciiTheme="minorEastAsia" w:eastAsiaTheme="minorEastAsia" w:hAnsiTheme="minorEastAsia" w:hint="eastAsia"/>
          <w:sz w:val="32"/>
          <w:szCs w:val="32"/>
        </w:rPr>
        <w:t>所有收入和支出均纳入部门预算管理。</w:t>
      </w:r>
      <w:r>
        <w:rPr>
          <w:rFonts w:asciiTheme="minorEastAsia" w:eastAsiaTheme="minorEastAsia" w:hAnsiTheme="minorEastAsia" w:cs="Times New Roman" w:hint="eastAsia"/>
          <w:kern w:val="2"/>
          <w:sz w:val="32"/>
          <w:szCs w:val="32"/>
        </w:rPr>
        <w:t>寿县县委宣传部</w:t>
      </w:r>
      <w:r>
        <w:rPr>
          <w:rFonts w:asciiTheme="minorEastAsia" w:eastAsiaTheme="minorEastAsia" w:hAnsiTheme="minorEastAsia" w:hint="eastAsia"/>
          <w:sz w:val="32"/>
          <w:szCs w:val="32"/>
        </w:rPr>
        <w:t>2023年收支总预算592.74万元，收入全部是一般公共预算拨款收入，支出包括：一般公共服务、社会保障和就业支出、卫生健康支出、住房保障支出。</w:t>
      </w:r>
    </w:p>
    <w:p>
      <w:pPr>
        <w:pStyle w:val="NormalWeb"/>
        <w:adjustRightInd w:val="0"/>
        <w:snapToGrid w:val="0"/>
        <w:spacing w:before="0" w:beforeAutospacing="0" w:after="0" w:afterAutospacing="0" w:line="580" w:lineRule="exact"/>
        <w:ind w:firstLine="627" w:firstLineChars="196"/>
        <w:rPr>
          <w:rFonts w:ascii="黑体" w:eastAsia="黑体" w:hAnsi="黑体"/>
          <w:sz w:val="32"/>
          <w:szCs w:val="32"/>
        </w:rPr>
      </w:pPr>
      <w:r>
        <w:rPr>
          <w:rFonts w:ascii="黑体" w:eastAsia="黑体" w:hAnsi="黑体" w:hint="eastAsia"/>
          <w:sz w:val="32"/>
          <w:szCs w:val="32"/>
        </w:rPr>
        <w:t>七、关于2023年收入预算情况说明</w:t>
      </w:r>
    </w:p>
    <w:p>
      <w:pPr>
        <w:pStyle w:val="NormalWeb"/>
        <w:widowControl w:val="0"/>
        <w:adjustRightInd w:val="0"/>
        <w:snapToGrid w:val="0"/>
        <w:spacing w:before="0" w:beforeAutospacing="0" w:after="0" w:afterAutospacing="0" w:line="580" w:lineRule="exact"/>
        <w:ind w:firstLine="627" w:firstLineChars="196"/>
        <w:rPr>
          <w:rFonts w:asciiTheme="minorEastAsia" w:eastAsiaTheme="minorEastAsia" w:hAnsiTheme="minorEastAsia" w:hint="eastAsia"/>
          <w:sz w:val="32"/>
          <w:szCs w:val="32"/>
        </w:rPr>
      </w:pPr>
      <w:r>
        <w:rPr>
          <w:rFonts w:asciiTheme="minorEastAsia" w:eastAsiaTheme="minorEastAsia" w:hAnsiTheme="minorEastAsia" w:hint="eastAsia"/>
          <w:sz w:val="32"/>
          <w:szCs w:val="32"/>
        </w:rPr>
        <w:t>寿县县委宣传部2023年收入预算592.74万元，其中：一般公共预算拨款收入592.74万元，占100%，</w:t>
      </w:r>
      <w:r>
        <w:rPr>
          <w:rFonts w:asciiTheme="minorEastAsia" w:eastAsiaTheme="minorEastAsia" w:hAnsiTheme="minorEastAsia" w:cs="Times New Roman" w:hint="eastAsia"/>
          <w:kern w:val="2"/>
          <w:sz w:val="32"/>
          <w:szCs w:val="32"/>
        </w:rPr>
        <w:t>比2022年预算收入增加24.23万元，增长4.26%，</w:t>
      </w:r>
      <w:r>
        <w:rPr>
          <w:rFonts w:asciiTheme="minorEastAsia" w:eastAsiaTheme="minorEastAsia" w:hAnsiTheme="minorEastAsia" w:hint="eastAsia"/>
          <w:sz w:val="32"/>
          <w:szCs w:val="32"/>
        </w:rPr>
        <w:t>增长的</w:t>
      </w:r>
      <w:r>
        <w:rPr>
          <w:rFonts w:asciiTheme="minorEastAsia" w:eastAsiaTheme="minorEastAsia" w:hAnsiTheme="minorEastAsia" w:cs="Times New Roman" w:hint="eastAsia"/>
          <w:kern w:val="2"/>
          <w:sz w:val="32"/>
          <w:szCs w:val="32"/>
        </w:rPr>
        <w:t>主要</w:t>
      </w:r>
      <w:r>
        <w:rPr>
          <w:rFonts w:asciiTheme="minorEastAsia" w:eastAsiaTheme="minorEastAsia" w:hAnsiTheme="minorEastAsia" w:hint="eastAsia"/>
          <w:sz w:val="32"/>
          <w:szCs w:val="32"/>
        </w:rPr>
        <w:t>原因是</w:t>
      </w:r>
      <w:r>
        <w:rPr>
          <w:rFonts w:asciiTheme="minorEastAsia" w:eastAsiaTheme="minorEastAsia" w:hAnsiTheme="minorEastAsia" w:hint="eastAsia"/>
          <w:sz w:val="32"/>
          <w:szCs w:val="32"/>
          <w:lang w:val="en-US" w:eastAsia="zh-CN"/>
        </w:rPr>
        <w:t>下属事业单位新增3名事业人员工资福利以及</w:t>
      </w:r>
      <w:r>
        <w:rPr>
          <w:rFonts w:asciiTheme="minorEastAsia" w:eastAsiaTheme="minorEastAsia" w:hAnsiTheme="minorEastAsia" w:hint="eastAsia"/>
          <w:sz w:val="32"/>
          <w:szCs w:val="32"/>
        </w:rPr>
        <w:t>2023年度基础性绩效奖励纳入年初预算。</w:t>
      </w:r>
    </w:p>
    <w:p>
      <w:pPr>
        <w:pStyle w:val="NormalWeb"/>
        <w:widowControl w:val="0"/>
        <w:adjustRightInd w:val="0"/>
        <w:snapToGrid w:val="0"/>
        <w:spacing w:before="0" w:beforeAutospacing="0" w:after="0" w:afterAutospacing="0" w:line="580" w:lineRule="exact"/>
        <w:ind w:firstLine="627" w:firstLineChars="196"/>
        <w:rPr>
          <w:rFonts w:ascii="黑体" w:eastAsia="黑体" w:hAnsi="黑体"/>
          <w:sz w:val="32"/>
          <w:szCs w:val="32"/>
        </w:rPr>
      </w:pPr>
      <w:r>
        <w:rPr>
          <w:rFonts w:ascii="黑体" w:eastAsia="黑体" w:hAnsi="黑体" w:hint="eastAsia"/>
          <w:sz w:val="32"/>
          <w:szCs w:val="32"/>
        </w:rPr>
        <w:t>八、关于2023年支出预算情况说明</w:t>
      </w:r>
    </w:p>
    <w:p>
      <w:pPr>
        <w:pStyle w:val="NormalWeb"/>
        <w:widowControl w:val="0"/>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Pr>
          <w:rFonts w:asciiTheme="minorEastAsia" w:eastAsiaTheme="minorEastAsia" w:hAnsiTheme="minorEastAsia" w:hint="eastAsia"/>
          <w:sz w:val="32"/>
          <w:szCs w:val="32"/>
        </w:rPr>
        <w:t>寿县县委宣传部2023年支出预算592.74万元，</w:t>
      </w:r>
      <w:r>
        <w:rPr>
          <w:rFonts w:asciiTheme="minorEastAsia" w:eastAsiaTheme="minorEastAsia" w:hAnsiTheme="minorEastAsia" w:cs="Times New Roman" w:hint="eastAsia"/>
          <w:kern w:val="2"/>
          <w:sz w:val="32"/>
          <w:szCs w:val="32"/>
        </w:rPr>
        <w:t>比2022年预算支出增加24.23万元，增长4.26%，</w:t>
      </w:r>
      <w:r>
        <w:rPr>
          <w:rFonts w:asciiTheme="minorEastAsia" w:eastAsiaTheme="minorEastAsia" w:hAnsiTheme="minorEastAsia" w:hint="eastAsia"/>
          <w:sz w:val="32"/>
          <w:szCs w:val="32"/>
        </w:rPr>
        <w:t>增长的</w:t>
      </w:r>
      <w:r>
        <w:rPr>
          <w:rFonts w:asciiTheme="minorEastAsia" w:eastAsiaTheme="minorEastAsia" w:hAnsiTheme="minorEastAsia" w:cs="Times New Roman" w:hint="eastAsia"/>
          <w:kern w:val="2"/>
          <w:sz w:val="32"/>
          <w:szCs w:val="32"/>
        </w:rPr>
        <w:t>主要</w:t>
      </w:r>
      <w:r>
        <w:rPr>
          <w:rFonts w:asciiTheme="minorEastAsia" w:eastAsiaTheme="minorEastAsia" w:hAnsiTheme="minorEastAsia" w:hint="eastAsia"/>
          <w:sz w:val="32"/>
          <w:szCs w:val="32"/>
        </w:rPr>
        <w:t>原因是</w:t>
      </w:r>
      <w:r>
        <w:rPr>
          <w:rFonts w:asciiTheme="minorEastAsia" w:eastAsiaTheme="minorEastAsia" w:hAnsiTheme="minorEastAsia" w:hint="eastAsia"/>
          <w:sz w:val="32"/>
          <w:szCs w:val="32"/>
          <w:lang w:val="en-US" w:eastAsia="zh-CN"/>
        </w:rPr>
        <w:t>下属事业单位新增3名事业人员工资福利以及</w:t>
      </w:r>
      <w:r>
        <w:rPr>
          <w:rFonts w:asciiTheme="minorEastAsia" w:eastAsiaTheme="minorEastAsia" w:hAnsiTheme="minorEastAsia" w:hint="eastAsia"/>
          <w:sz w:val="32"/>
          <w:szCs w:val="32"/>
        </w:rPr>
        <w:t>2023年度基础性绩效奖励纳入年初预算。其中，基本支出334.64万元，占56.46%，主要用于保障机构日常运转、完成日常工作任务等；项目支出258.1万元，占43.54%，</w:t>
      </w:r>
      <w:r>
        <w:rPr>
          <w:rFonts w:asciiTheme="minorEastAsia" w:eastAsiaTheme="minorEastAsia" w:hAnsiTheme="minorEastAsia" w:cs="Times New Roman" w:hint="eastAsia"/>
          <w:sz w:val="32"/>
          <w:szCs w:val="32"/>
        </w:rPr>
        <w:t>主要用于城市文明创建</w:t>
      </w:r>
      <w:r>
        <w:rPr>
          <w:rFonts w:asciiTheme="minorEastAsia" w:eastAsiaTheme="minorEastAsia" w:hAnsiTheme="minorEastAsia" w:cs="Times New Roman" w:hint="eastAsia"/>
          <w:sz w:val="32"/>
          <w:szCs w:val="32"/>
          <w:lang w:eastAsia="zh-CN"/>
        </w:rPr>
        <w:t>、</w:t>
      </w:r>
      <w:r>
        <w:rPr>
          <w:rFonts w:asciiTheme="minorEastAsia" w:eastAsiaTheme="minorEastAsia" w:hAnsiTheme="minorEastAsia" w:cs="Times New Roman" w:hint="eastAsia"/>
          <w:sz w:val="32"/>
          <w:szCs w:val="32"/>
          <w:lang w:val="en-US" w:eastAsia="zh-CN"/>
        </w:rPr>
        <w:t>内外</w:t>
      </w:r>
      <w:r>
        <w:rPr>
          <w:rFonts w:asciiTheme="minorEastAsia" w:eastAsiaTheme="minorEastAsia" w:hAnsiTheme="minorEastAsia" w:cs="Times New Roman" w:hint="eastAsia"/>
          <w:sz w:val="32"/>
          <w:szCs w:val="32"/>
        </w:rPr>
        <w:t>宣传</w:t>
      </w:r>
      <w:r>
        <w:rPr>
          <w:rFonts w:asciiTheme="minorEastAsia" w:eastAsiaTheme="minorEastAsia" w:hAnsiTheme="minorEastAsia" w:cs="Times New Roman" w:hint="eastAsia"/>
          <w:sz w:val="32"/>
          <w:szCs w:val="32"/>
          <w:lang w:eastAsia="zh-CN"/>
        </w:rPr>
        <w:t>、</w:t>
      </w:r>
      <w:r>
        <w:rPr>
          <w:rFonts w:asciiTheme="minorEastAsia" w:eastAsiaTheme="minorEastAsia" w:hAnsiTheme="minorEastAsia" w:cs="Times New Roman" w:hint="eastAsia"/>
          <w:sz w:val="32"/>
          <w:szCs w:val="32"/>
          <w:lang w:val="en-US" w:eastAsia="zh-CN"/>
        </w:rPr>
        <w:t>理论宣讲、舆情处置、文化文艺事业发展等方面</w:t>
      </w:r>
      <w:r>
        <w:rPr>
          <w:rFonts w:asciiTheme="minorEastAsia" w:eastAsiaTheme="minorEastAsia" w:hAnsiTheme="minorEastAsia" w:hint="eastAsia"/>
          <w:sz w:val="32"/>
          <w:szCs w:val="32"/>
        </w:rPr>
        <w:t>。</w:t>
      </w:r>
    </w:p>
    <w:p>
      <w:pPr>
        <w:adjustRightInd w:val="0"/>
        <w:snapToGrid w:val="0"/>
        <w:spacing w:line="580" w:lineRule="exact"/>
        <w:ind w:firstLine="640" w:firstLineChars="200"/>
        <w:jc w:val="left"/>
        <w:rPr>
          <w:rFonts w:ascii="黑体" w:eastAsia="黑体" w:hAnsi="黑体"/>
          <w:sz w:val="32"/>
          <w:szCs w:val="32"/>
        </w:rPr>
      </w:pPr>
      <w:r>
        <w:rPr>
          <w:rFonts w:ascii="黑体" w:eastAsia="黑体" w:hAnsi="黑体" w:hint="eastAsia"/>
          <w:sz w:val="32"/>
          <w:szCs w:val="32"/>
        </w:rPr>
        <w:t>九、其他重要事项情况说明</w:t>
      </w:r>
    </w:p>
    <w:p>
      <w:pPr>
        <w:adjustRightInd w:val="0"/>
        <w:snapToGrid w:val="0"/>
        <w:spacing w:line="580" w:lineRule="exact"/>
        <w:ind w:firstLine="640" w:firstLineChars="200"/>
        <w:jc w:val="left"/>
        <w:rPr>
          <w:rFonts w:asciiTheme="minorEastAsia" w:eastAsiaTheme="minorEastAsia" w:hAnsiTheme="minorEastAsia"/>
          <w:color w:val="FF0000"/>
          <w:sz w:val="32"/>
          <w:szCs w:val="32"/>
        </w:rPr>
      </w:pPr>
      <w:r>
        <w:rPr>
          <w:rFonts w:asciiTheme="minorEastAsia" w:eastAsiaTheme="minorEastAsia" w:hAnsiTheme="minorEastAsia" w:hint="eastAsia"/>
          <w:sz w:val="32"/>
          <w:szCs w:val="32"/>
        </w:rPr>
        <w:t>寿县县委宣传部无需要说明的重点项目。</w:t>
      </w:r>
    </w:p>
    <w:p>
      <w:pPr>
        <w:adjustRightInd w:val="0"/>
        <w:snapToGrid w:val="0"/>
        <w:spacing w:line="580" w:lineRule="exact"/>
        <w:ind w:firstLine="640" w:firstLineChars="200"/>
        <w:jc w:val="left"/>
        <w:rPr>
          <w:rFonts w:ascii="仿宋_GB2312" w:eastAsia="仿宋_GB2312" w:hAnsi="楷体"/>
          <w:b/>
          <w:sz w:val="32"/>
          <w:szCs w:val="32"/>
        </w:rPr>
      </w:pPr>
      <w:r>
        <w:rPr>
          <w:rFonts w:ascii="仿宋_GB2312" w:eastAsia="仿宋_GB2312" w:hAnsi="楷体" w:hint="eastAsia"/>
          <w:b/>
          <w:sz w:val="32"/>
          <w:szCs w:val="32"/>
        </w:rPr>
        <w:t>（二）机关运行经费。</w:t>
      </w:r>
    </w:p>
    <w:p>
      <w:pPr>
        <w:adjustRightInd w:val="0"/>
        <w:snapToGrid w:val="0"/>
        <w:spacing w:line="58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cs="宋体" w:hint="eastAsia"/>
          <w:kern w:val="0"/>
          <w:sz w:val="32"/>
          <w:szCs w:val="32"/>
        </w:rPr>
        <w:t>寿县县委宣传部</w:t>
      </w:r>
      <w:r>
        <w:rPr>
          <w:rFonts w:asciiTheme="minorEastAsia" w:eastAsiaTheme="minorEastAsia" w:hAnsiTheme="minorEastAsia" w:hint="eastAsia"/>
          <w:sz w:val="32"/>
          <w:szCs w:val="32"/>
        </w:rPr>
        <w:t>2023年机关运行经费财政拨款预算292.52万元，比2022年预算减少64.34万元，下降18.03%，下降原因主要是厉行节约、压缩开支。</w:t>
      </w:r>
    </w:p>
    <w:p>
      <w:pPr>
        <w:adjustRightInd w:val="0"/>
        <w:snapToGrid w:val="0"/>
        <w:spacing w:line="580" w:lineRule="exact"/>
        <w:ind w:firstLine="640" w:firstLineChars="200"/>
        <w:jc w:val="left"/>
        <w:rPr>
          <w:rFonts w:ascii="仿宋_GB2312" w:eastAsia="仿宋_GB2312" w:hAnsi="楷体"/>
          <w:b/>
          <w:sz w:val="32"/>
          <w:szCs w:val="32"/>
        </w:rPr>
      </w:pPr>
      <w:r>
        <w:rPr>
          <w:rFonts w:ascii="仿宋_GB2312" w:eastAsia="仿宋_GB2312" w:hAnsi="楷体" w:hint="eastAsia"/>
          <w:b/>
          <w:sz w:val="32"/>
          <w:szCs w:val="32"/>
        </w:rPr>
        <w:t>（三）政府采购情况。</w:t>
      </w:r>
    </w:p>
    <w:p>
      <w:pPr>
        <w:adjustRightInd w:val="0"/>
        <w:snapToGrid w:val="0"/>
        <w:spacing w:line="580" w:lineRule="exact"/>
        <w:ind w:firstLine="640" w:firstLineChars="200"/>
        <w:jc w:val="left"/>
        <w:rPr>
          <w:rFonts w:asciiTheme="minorEastAsia" w:eastAsiaTheme="minorEastAsia" w:hAnsiTheme="minorEastAsia" w:hint="eastAsia"/>
          <w:sz w:val="32"/>
          <w:szCs w:val="32"/>
        </w:rPr>
      </w:pPr>
      <w:r>
        <w:rPr>
          <w:rFonts w:asciiTheme="minorEastAsia" w:eastAsiaTheme="minorEastAsia" w:hAnsiTheme="minorEastAsia" w:hint="eastAsia"/>
          <w:sz w:val="32"/>
          <w:szCs w:val="32"/>
        </w:rPr>
        <w:t>寿县县委宣传部2023年无政府采购预算。</w:t>
      </w:r>
    </w:p>
    <w:p>
      <w:pPr>
        <w:adjustRightInd w:val="0"/>
        <w:snapToGrid w:val="0"/>
        <w:spacing w:line="580" w:lineRule="exact"/>
        <w:ind w:firstLine="640" w:firstLineChars="200"/>
        <w:jc w:val="left"/>
        <w:rPr>
          <w:rFonts w:ascii="仿宋_GB2312" w:eastAsia="仿宋_GB2312" w:hAnsi="楷体"/>
          <w:b/>
          <w:sz w:val="32"/>
          <w:szCs w:val="32"/>
        </w:rPr>
      </w:pPr>
      <w:r>
        <w:rPr>
          <w:rFonts w:ascii="仿宋_GB2312" w:eastAsia="仿宋_GB2312" w:hAnsi="楷体" w:hint="eastAsia"/>
          <w:b/>
          <w:sz w:val="32"/>
          <w:szCs w:val="32"/>
        </w:rPr>
        <w:t>（四）政府购买服务情况。</w:t>
      </w:r>
    </w:p>
    <w:p>
      <w:pPr>
        <w:adjustRightInd w:val="0"/>
        <w:snapToGrid w:val="0"/>
        <w:spacing w:line="580" w:lineRule="exact"/>
        <w:ind w:firstLine="640" w:firstLineChars="200"/>
        <w:jc w:val="left"/>
        <w:rPr>
          <w:rFonts w:asciiTheme="minorEastAsia" w:eastAsiaTheme="minorEastAsia" w:hAnsiTheme="minorEastAsia"/>
          <w:color w:val="FF0000"/>
          <w:sz w:val="32"/>
          <w:szCs w:val="32"/>
        </w:rPr>
      </w:pPr>
      <w:r>
        <w:rPr>
          <w:rFonts w:asciiTheme="minorEastAsia" w:eastAsiaTheme="minorEastAsia" w:hAnsiTheme="minorEastAsia" w:hint="eastAsia"/>
          <w:sz w:val="32"/>
          <w:szCs w:val="32"/>
        </w:rPr>
        <w:t>寿县县委宣传部2023年无政府购买服务预算。</w:t>
      </w:r>
    </w:p>
    <w:p>
      <w:pPr>
        <w:adjustRightInd w:val="0"/>
        <w:snapToGrid w:val="0"/>
        <w:spacing w:line="580" w:lineRule="exact"/>
        <w:ind w:firstLine="640" w:firstLineChars="200"/>
        <w:jc w:val="left"/>
        <w:rPr>
          <w:rFonts w:ascii="仿宋_GB2312" w:eastAsia="仿宋_GB2312" w:hAnsi="楷体"/>
          <w:b/>
          <w:sz w:val="32"/>
          <w:szCs w:val="32"/>
        </w:rPr>
      </w:pPr>
      <w:r>
        <w:rPr>
          <w:rFonts w:ascii="仿宋_GB2312" w:eastAsia="仿宋_GB2312" w:hAnsi="楷体" w:hint="eastAsia"/>
          <w:b/>
          <w:sz w:val="32"/>
          <w:szCs w:val="32"/>
        </w:rPr>
        <w:t>（五）国有资产占有使用情况。</w:t>
      </w:r>
    </w:p>
    <w:p>
      <w:pPr>
        <w:adjustRightInd w:val="0"/>
        <w:snapToGrid w:val="0"/>
        <w:spacing w:line="580" w:lineRule="exact"/>
        <w:ind w:firstLine="640" w:firstLineChars="200"/>
        <w:jc w:val="left"/>
        <w:rPr>
          <w:rFonts w:asciiTheme="minorEastAsia" w:eastAsiaTheme="minorEastAsia" w:hAnsiTheme="minorEastAsia"/>
          <w:color w:val="3366FF"/>
          <w:sz w:val="32"/>
          <w:szCs w:val="32"/>
        </w:rPr>
      </w:pPr>
      <w:r>
        <w:rPr>
          <w:rFonts w:asciiTheme="minorEastAsia" w:eastAsiaTheme="minorEastAsia" w:hAnsiTheme="minorEastAsia" w:hint="eastAsia"/>
          <w:sz w:val="32"/>
          <w:szCs w:val="32"/>
        </w:rPr>
        <w:t>截至2022年12月31日，</w:t>
      </w:r>
      <w:r>
        <w:rPr>
          <w:rFonts w:asciiTheme="minorEastAsia" w:eastAsiaTheme="minorEastAsia" w:hAnsiTheme="minorEastAsia" w:cs="宋体" w:hint="eastAsia"/>
          <w:kern w:val="0"/>
          <w:sz w:val="32"/>
          <w:szCs w:val="32"/>
        </w:rPr>
        <w:t>寿县县委宣传部</w:t>
      </w:r>
      <w:r>
        <w:rPr>
          <w:rFonts w:asciiTheme="minorEastAsia" w:eastAsiaTheme="minorEastAsia" w:hAnsiTheme="minorEastAsia" w:hint="eastAsia"/>
          <w:sz w:val="32"/>
          <w:szCs w:val="32"/>
        </w:rPr>
        <w:t>共有车辆0辆；单位价值50万元以上的通用设备0台（套）；单位价值100万元以上的专用设备0台（套）。</w:t>
      </w:r>
    </w:p>
    <w:p>
      <w:pPr>
        <w:adjustRightInd w:val="0"/>
        <w:snapToGrid w:val="0"/>
        <w:spacing w:line="58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2023年部门预算安排购置公务用车0辆，购置费0万元；安排购置单位价值50万元以上的通用设备0台（套），购置费0万元；安排购置单位价值100万元以上专用设备0台（套），购置费0万元。</w:t>
      </w:r>
    </w:p>
    <w:p>
      <w:pPr>
        <w:adjustRightInd w:val="0"/>
        <w:snapToGrid w:val="0"/>
        <w:spacing w:line="580" w:lineRule="exact"/>
        <w:ind w:firstLine="640" w:firstLineChars="200"/>
        <w:jc w:val="left"/>
        <w:rPr>
          <w:rFonts w:ascii="仿宋_GB2312" w:eastAsia="仿宋_GB2312" w:hAnsi="楷体"/>
          <w:b/>
          <w:sz w:val="32"/>
          <w:szCs w:val="32"/>
        </w:rPr>
      </w:pPr>
      <w:r>
        <w:rPr>
          <w:rFonts w:ascii="仿宋_GB2312" w:eastAsia="仿宋_GB2312" w:hAnsi="楷体" w:hint="eastAsia"/>
          <w:b/>
          <w:sz w:val="32"/>
          <w:szCs w:val="32"/>
        </w:rPr>
        <w:t>（六）预算绩效目标设置情况。</w:t>
      </w:r>
    </w:p>
    <w:p>
      <w:pPr>
        <w:adjustRightInd w:val="0"/>
        <w:snapToGrid w:val="0"/>
        <w:spacing w:line="580" w:lineRule="exact"/>
        <w:ind w:firstLine="640" w:firstLineChars="200"/>
        <w:jc w:val="left"/>
        <w:outlineLvl w:val="0"/>
        <w:rPr>
          <w:rFonts w:asciiTheme="minorEastAsia" w:eastAsiaTheme="minorEastAsia" w:hAnsiTheme="minorEastAsia"/>
          <w:sz w:val="32"/>
          <w:szCs w:val="32"/>
        </w:rPr>
      </w:pPr>
      <w:r>
        <w:rPr>
          <w:rFonts w:asciiTheme="minorEastAsia" w:eastAsiaTheme="minorEastAsia" w:hAnsiTheme="minorEastAsia" w:hint="eastAsia"/>
          <w:sz w:val="32"/>
          <w:szCs w:val="32"/>
        </w:rPr>
        <w:t>2023年，</w:t>
      </w:r>
      <w:r>
        <w:rPr>
          <w:rFonts w:asciiTheme="minorEastAsia" w:eastAsiaTheme="minorEastAsia" w:hAnsiTheme="minorEastAsia" w:cs="宋体" w:hint="eastAsia"/>
          <w:kern w:val="0"/>
          <w:sz w:val="32"/>
          <w:szCs w:val="32"/>
        </w:rPr>
        <w:t>寿县县委宣传部</w:t>
      </w:r>
      <w:r>
        <w:rPr>
          <w:rFonts w:asciiTheme="minorEastAsia" w:eastAsiaTheme="minorEastAsia" w:hAnsiTheme="minorEastAsia" w:hint="eastAsia"/>
          <w:sz w:val="32"/>
          <w:szCs w:val="32"/>
        </w:rPr>
        <w:t>2个项目实行了绩效目标管理，涉及一般公共预算当年财政拨款258.1万元。</w:t>
      </w:r>
    </w:p>
    <w:p>
      <w:pPr>
        <w:adjustRightInd w:val="0"/>
        <w:snapToGrid w:val="0"/>
        <w:spacing w:line="580" w:lineRule="exact"/>
        <w:ind w:firstLine="640" w:firstLineChars="200"/>
        <w:jc w:val="left"/>
        <w:rPr>
          <w:rFonts w:ascii="仿宋_GB2312" w:eastAsia="仿宋_GB2312" w:cs="宋体"/>
          <w:sz w:val="32"/>
          <w:szCs w:val="32"/>
        </w:rPr>
      </w:pPr>
      <w:r>
        <w:rPr>
          <w:rFonts w:ascii="仿宋_GB2312" w:eastAsia="仿宋_GB2312" w:hAnsi="楷体" w:hint="eastAsia"/>
          <w:sz w:val="32"/>
          <w:szCs w:val="32"/>
        </w:rPr>
        <w:t xml:space="preserve">                    </w:t>
      </w:r>
    </w:p>
    <w:p>
      <w:pPr>
        <w:adjustRightInd w:val="0"/>
        <w:snapToGrid w:val="0"/>
        <w:spacing w:line="580" w:lineRule="exact"/>
        <w:jc w:val="center"/>
        <w:rPr>
          <w:rFonts w:ascii="方正小标宋简体" w:eastAsia="方正小标宋简体" w:hAnsi="方正小标宋简体" w:cs="宋体"/>
          <w:sz w:val="44"/>
          <w:szCs w:val="44"/>
        </w:rPr>
      </w:pPr>
      <w:r>
        <w:rPr>
          <w:rFonts w:ascii="方正小标宋简体" w:eastAsia="方正小标宋简体" w:hAnsi="方正小标宋简体" w:cs="宋体" w:hint="eastAsia"/>
          <w:sz w:val="44"/>
          <w:szCs w:val="44"/>
        </w:rPr>
        <w:br w:type="page"/>
      </w:r>
      <w:bookmarkStart w:id="0" w:name="_GoBack"/>
      <w:bookmarkEnd w:id="0"/>
      <w:r>
        <w:rPr>
          <w:rFonts w:ascii="方正小标宋简体" w:eastAsia="方正小标宋简体" w:hAnsi="方正小标宋简体" w:cs="宋体" w:hint="eastAsia"/>
          <w:sz w:val="44"/>
          <w:szCs w:val="44"/>
        </w:rPr>
        <w:t>第四部分 名词解释</w:t>
      </w:r>
    </w:p>
    <w:p>
      <w:pPr>
        <w:adjustRightInd w:val="0"/>
        <w:snapToGrid w:val="0"/>
        <w:spacing w:line="58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b/>
          <w:sz w:val="32"/>
          <w:szCs w:val="32"/>
        </w:rPr>
        <w:t>一、财政拨款收入：</w:t>
      </w:r>
      <w:r>
        <w:rPr>
          <w:rFonts w:asciiTheme="minorEastAsia" w:eastAsiaTheme="minorEastAsia" w:hAnsiTheme="minorEastAsia" w:hint="eastAsia"/>
          <w:sz w:val="32"/>
          <w:szCs w:val="32"/>
        </w:rPr>
        <w:t>指县财政当年拨付的资金，主要包括一般公共预算拨款收入、政府性基金预算拨款收入、国有资本经营预算拨款收入。</w:t>
      </w:r>
    </w:p>
    <w:p>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cs="Times New Roman"/>
          <w:kern w:val="2"/>
          <w:sz w:val="32"/>
          <w:szCs w:val="32"/>
        </w:rPr>
      </w:pPr>
      <w:r>
        <w:rPr>
          <w:rFonts w:asciiTheme="minorEastAsia" w:eastAsiaTheme="minorEastAsia" w:hAnsiTheme="minorEastAsia" w:hint="eastAsia"/>
          <w:b/>
          <w:sz w:val="32"/>
          <w:szCs w:val="32"/>
        </w:rPr>
        <w:t>二、财政专户管理非税收入：</w:t>
      </w:r>
      <w:r>
        <w:rPr>
          <w:rFonts w:asciiTheme="minorEastAsia" w:eastAsiaTheme="minorEastAsia" w:hAnsiTheme="minorEastAsia" w:cs="Times New Roman" w:hint="eastAsia"/>
          <w:kern w:val="2"/>
          <w:sz w:val="32"/>
          <w:szCs w:val="32"/>
        </w:rPr>
        <w:t>指按照非税收入管理相关规定，纳入财政专户管理的教育收费等。</w:t>
      </w:r>
    </w:p>
    <w:p>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cs="Times New Roman"/>
          <w:kern w:val="2"/>
          <w:sz w:val="32"/>
          <w:szCs w:val="32"/>
        </w:rPr>
      </w:pPr>
      <w:r>
        <w:rPr>
          <w:rFonts w:asciiTheme="minorEastAsia" w:eastAsiaTheme="minorEastAsia" w:hAnsiTheme="minorEastAsia" w:hint="eastAsia"/>
          <w:b/>
          <w:sz w:val="32"/>
          <w:szCs w:val="32"/>
        </w:rPr>
        <w:t>三、其他收入：</w:t>
      </w:r>
      <w:r>
        <w:rPr>
          <w:rFonts w:asciiTheme="minorEastAsia" w:eastAsiaTheme="minorEastAsia" w:hAnsiTheme="minorEastAsia" w:cs="Times New Roman" w:hint="eastAsia"/>
          <w:kern w:val="2"/>
          <w:sz w:val="32"/>
          <w:szCs w:val="32"/>
        </w:rPr>
        <w:t>指除了财政拨款收入、财政专户管理非税收入等以外的收入。</w:t>
      </w:r>
    </w:p>
    <w:p>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cs="Times New Roman"/>
          <w:kern w:val="2"/>
          <w:sz w:val="32"/>
          <w:szCs w:val="32"/>
        </w:rPr>
      </w:pPr>
      <w:r>
        <w:rPr>
          <w:rFonts w:asciiTheme="minorEastAsia" w:eastAsiaTheme="minorEastAsia" w:hAnsiTheme="minorEastAsia" w:hint="eastAsia"/>
          <w:b/>
          <w:sz w:val="32"/>
          <w:szCs w:val="32"/>
        </w:rPr>
        <w:t>四、上年结转：</w:t>
      </w:r>
      <w:r>
        <w:rPr>
          <w:rFonts w:asciiTheme="minorEastAsia" w:eastAsiaTheme="minorEastAsia" w:hAnsiTheme="minorEastAsia" w:cs="Times New Roman" w:hint="eastAsia"/>
          <w:kern w:val="2"/>
          <w:sz w:val="32"/>
          <w:szCs w:val="32"/>
        </w:rPr>
        <w:t>指以前年度安排、结转到本年仍按原用途继续使用的资金。</w:t>
      </w:r>
    </w:p>
    <w:p>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cs="Times New Roman"/>
          <w:kern w:val="2"/>
          <w:sz w:val="32"/>
          <w:szCs w:val="32"/>
        </w:rPr>
      </w:pPr>
      <w:r>
        <w:rPr>
          <w:rFonts w:asciiTheme="minorEastAsia" w:eastAsiaTheme="minorEastAsia" w:hAnsiTheme="minorEastAsia" w:hint="eastAsia"/>
          <w:b/>
          <w:sz w:val="32"/>
          <w:szCs w:val="32"/>
        </w:rPr>
        <w:t>五、结转下年：</w:t>
      </w:r>
      <w:r>
        <w:rPr>
          <w:rFonts w:asciiTheme="minorEastAsia" w:eastAsiaTheme="minorEastAsia" w:hAnsiTheme="minorEastAsia" w:cs="Times New Roman" w:hint="eastAsia"/>
          <w:kern w:val="2"/>
          <w:sz w:val="32"/>
          <w:szCs w:val="32"/>
        </w:rPr>
        <w:t>指以前年度预算安排、因客观条件发生变化无法按原计划实施，需以后年度按原用途继续使用的资金。</w:t>
      </w:r>
    </w:p>
    <w:p>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Pr>
          <w:rFonts w:asciiTheme="minorEastAsia" w:eastAsiaTheme="minorEastAsia" w:hAnsiTheme="minorEastAsia" w:hint="eastAsia"/>
          <w:b/>
          <w:sz w:val="32"/>
          <w:szCs w:val="32"/>
        </w:rPr>
        <w:t>六、基本支出：</w:t>
      </w:r>
      <w:r>
        <w:rPr>
          <w:rFonts w:asciiTheme="minorEastAsia" w:eastAsiaTheme="minorEastAsia" w:hAnsiTheme="minorEastAsia" w:hint="eastAsia"/>
          <w:sz w:val="32"/>
          <w:szCs w:val="32"/>
        </w:rPr>
        <w:t>指为保障机构正常运转、完成日常工作任务而发生的人员支出和公用支出。</w:t>
      </w:r>
    </w:p>
    <w:p>
      <w:pPr>
        <w:pStyle w:val="NormalWeb"/>
        <w:snapToGrid w:val="0"/>
        <w:spacing w:before="0" w:beforeAutospacing="0" w:after="0" w:afterAutospacing="0" w:line="580" w:lineRule="exact"/>
        <w:ind w:firstLine="627" w:firstLineChars="196"/>
        <w:rPr>
          <w:rFonts w:asciiTheme="minorEastAsia" w:eastAsiaTheme="minorEastAsia" w:hAnsiTheme="minorEastAsia"/>
          <w:color w:val="auto"/>
          <w:sz w:val="32"/>
          <w:szCs w:val="32"/>
        </w:rPr>
      </w:pPr>
      <w:r>
        <w:rPr>
          <w:rFonts w:asciiTheme="minorEastAsia" w:eastAsiaTheme="minorEastAsia" w:hAnsiTheme="minorEastAsia" w:hint="eastAsia"/>
          <w:b/>
          <w:sz w:val="32"/>
          <w:szCs w:val="32"/>
        </w:rPr>
        <w:t>七、项目支出：</w:t>
      </w:r>
      <w:r>
        <w:rPr>
          <w:rFonts w:asciiTheme="minorEastAsia" w:eastAsiaTheme="minorEastAsia" w:hAnsiTheme="minorEastAsia" w:hint="eastAsia"/>
          <w:sz w:val="32"/>
          <w:szCs w:val="32"/>
        </w:rPr>
        <w:t>指在基本支出之外为完成特定工作任务和事业发展目标所发生的支出。</w:t>
      </w:r>
      <w:r>
        <w:rPr>
          <w:rFonts w:asciiTheme="minorEastAsia" w:eastAsiaTheme="minorEastAsia" w:hAnsiTheme="minorEastAsia" w:hint="eastAsia"/>
          <w:sz w:val="32"/>
          <w:szCs w:val="32"/>
        </w:rPr>
        <w:br/>
      </w:r>
      <w:r>
        <w:rPr>
          <w:rFonts w:asciiTheme="minorEastAsia" w:eastAsiaTheme="minorEastAsia" w:hAnsiTheme="minorEastAsia" w:hint="eastAsia"/>
          <w:sz w:val="32"/>
          <w:szCs w:val="32"/>
        </w:rPr>
        <w:t xml:space="preserve">   </w:t>
      </w:r>
      <w:r>
        <w:rPr>
          <w:rFonts w:asciiTheme="minorEastAsia" w:eastAsiaTheme="minorEastAsia" w:hAnsiTheme="minorEastAsia" w:hint="eastAsia"/>
          <w:b/>
          <w:sz w:val="32"/>
          <w:szCs w:val="32"/>
        </w:rPr>
        <w:t xml:space="preserve"> 八、“三公”经费：</w:t>
      </w:r>
      <w:r>
        <w:rPr>
          <w:rFonts w:asciiTheme="minorEastAsia" w:eastAsiaTheme="minorEastAsia" w:hAnsiTheme="minorEastAsia" w:hint="eastAsia"/>
          <w:sz w:val="32"/>
          <w:szCs w:val="32"/>
        </w:rPr>
        <w:t>纳入财政预决算管理的“三公”经费，是</w:t>
      </w:r>
      <w:r>
        <w:rPr>
          <w:rFonts w:asciiTheme="minorEastAsia" w:eastAsiaTheme="minorEastAsia" w:hAnsiTheme="minorEastAsia" w:hint="eastAsia"/>
          <w:color w:val="auto"/>
          <w:sz w:val="32"/>
          <w:szCs w:val="32"/>
        </w:rPr>
        <w:t>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pPr>
        <w:pStyle w:val="NormalWeb"/>
        <w:snapToGrid w:val="0"/>
        <w:spacing w:before="0" w:beforeAutospacing="0" w:after="0" w:afterAutospacing="0" w:line="580" w:lineRule="exact"/>
        <w:ind w:firstLine="538" w:firstLineChars="168"/>
        <w:rPr>
          <w:rFonts w:asciiTheme="minorEastAsia" w:eastAsiaTheme="minorEastAsia" w:hAnsiTheme="minorEastAsia" w:cs="Arial"/>
          <w:color w:val="auto"/>
          <w:sz w:val="32"/>
          <w:szCs w:val="32"/>
          <w:shd w:val="clear" w:color="auto" w:fill="FFFFFF"/>
        </w:rPr>
      </w:pPr>
      <w:r>
        <w:rPr>
          <w:rFonts w:asciiTheme="minorEastAsia" w:eastAsiaTheme="minorEastAsia" w:hAnsiTheme="minorEastAsia" w:cs="Arial" w:hint="eastAsia"/>
          <w:b/>
          <w:color w:val="auto"/>
          <w:sz w:val="32"/>
          <w:szCs w:val="32"/>
          <w:shd w:val="clear" w:color="auto" w:fill="FFFFFF"/>
        </w:rPr>
        <w:t>九、支出功能分类科目:</w:t>
      </w:r>
      <w:r>
        <w:rPr>
          <w:rFonts w:asciiTheme="minorEastAsia" w:eastAsiaTheme="minorEastAsia" w:hAnsiTheme="minorEastAsia" w:cs="Arial" w:hint="eastAsia"/>
          <w:color w:val="auto"/>
          <w:sz w:val="32"/>
          <w:szCs w:val="32"/>
          <w:shd w:val="clear" w:color="auto" w:fill="FFFFFF"/>
        </w:rPr>
        <w:t>主要反映政府活动的不同功能和政策目标，具体设类、款、项三级。</w:t>
      </w:r>
    </w:p>
    <w:p>
      <w:pPr>
        <w:pStyle w:val="NormalWeb"/>
        <w:snapToGrid w:val="0"/>
        <w:spacing w:before="0" w:beforeAutospacing="0" w:after="0" w:afterAutospacing="0" w:line="580" w:lineRule="exact"/>
        <w:ind w:firstLine="538" w:firstLineChars="168"/>
        <w:rPr>
          <w:rFonts w:asciiTheme="minorEastAsia" w:eastAsiaTheme="minorEastAsia" w:hAnsiTheme="minorEastAsia" w:cs="Arial"/>
          <w:color w:val="auto"/>
          <w:sz w:val="32"/>
          <w:szCs w:val="32"/>
          <w:shd w:val="clear" w:color="auto" w:fill="FFFFFF"/>
        </w:rPr>
      </w:pPr>
      <w:r>
        <w:rPr>
          <w:rFonts w:asciiTheme="minorEastAsia" w:eastAsiaTheme="minorEastAsia" w:hAnsiTheme="minorEastAsia" w:cs="Arial" w:hint="eastAsia"/>
          <w:b/>
          <w:color w:val="auto"/>
          <w:sz w:val="32"/>
          <w:szCs w:val="32"/>
          <w:shd w:val="clear" w:color="auto" w:fill="FFFFFF"/>
        </w:rPr>
        <w:t>十、支出经济分类科目：</w:t>
      </w:r>
      <w:r>
        <w:rPr>
          <w:rFonts w:asciiTheme="minorEastAsia" w:eastAsiaTheme="minorEastAsia" w:hAnsiTheme="minorEastAsia" w:cs="Arial" w:hint="eastAsia"/>
          <w:color w:val="auto"/>
          <w:sz w:val="32"/>
          <w:szCs w:val="32"/>
          <w:shd w:val="clear" w:color="auto" w:fill="FFFFFF"/>
        </w:rPr>
        <w:t>是指政府支出按经济性质和具体用途所作的一种分类科目，具体设类、款两级。</w:t>
      </w:r>
    </w:p>
    <w:p>
      <w:pPr>
        <w:pStyle w:val="NormalWeb"/>
        <w:snapToGrid w:val="0"/>
        <w:spacing w:before="0" w:beforeAutospacing="0" w:after="0" w:afterAutospacing="0" w:line="580" w:lineRule="exact"/>
        <w:ind w:firstLine="640" w:firstLineChars="200"/>
        <w:rPr>
          <w:rFonts w:asciiTheme="minorEastAsia" w:eastAsiaTheme="minorEastAsia" w:hAnsiTheme="minorEastAsia"/>
          <w:kern w:val="2"/>
          <w:sz w:val="32"/>
          <w:szCs w:val="32"/>
        </w:rPr>
      </w:pPr>
      <w:r>
        <w:rPr>
          <w:rFonts w:asciiTheme="minorEastAsia" w:eastAsiaTheme="minorEastAsia" w:hAnsiTheme="minorEastAsia" w:cs="Arial" w:hint="eastAsia"/>
          <w:b/>
          <w:color w:val="auto"/>
          <w:sz w:val="32"/>
          <w:szCs w:val="32"/>
          <w:shd w:val="clear" w:color="auto" w:fill="FFFFFF"/>
        </w:rPr>
        <w:t>十一、机关运行经费:</w:t>
      </w:r>
      <w:r>
        <w:rPr>
          <w:rFonts w:asciiTheme="minorEastAsia" w:eastAsiaTheme="minorEastAsia" w:hAnsiTheme="minorEastAsia" w:hint="eastAsia"/>
          <w:color w:val="auto"/>
          <w:sz w:val="32"/>
          <w:szCs w:val="32"/>
        </w:rPr>
        <w:t>指为保障行政单位（包括参照公务员法管理的事业单位）运行，用于购买货物和服务的各项资金。机关运行经费为财政拨款中以下支出内容</w:t>
      </w:r>
      <w:r>
        <w:rPr>
          <w:rFonts w:asciiTheme="minorEastAsia" w:eastAsiaTheme="minorEastAsia" w:hAnsiTheme="minorEastAsia" w:hint="eastAsia"/>
          <w:color w:val="auto"/>
          <w:kern w:val="2"/>
          <w:sz w:val="32"/>
          <w:szCs w:val="32"/>
        </w:rPr>
        <w:t>办公费、印刷费、邮</w:t>
      </w:r>
      <w:r>
        <w:rPr>
          <w:rFonts w:asciiTheme="minorEastAsia" w:eastAsiaTheme="minorEastAsia" w:hAnsiTheme="minorEastAsia" w:hint="eastAsia"/>
          <w:kern w:val="2"/>
          <w:sz w:val="32"/>
          <w:szCs w:val="32"/>
        </w:rPr>
        <w:t>电费、差旅费、因公出国（境）费用、租赁费、会议费、培训费、公务接待费、福利费、日常维修（护）费、专用材料费、办公设备购置、办公用房水费、电费、取暖费、物业管理费，公务用车购置、公务用车运行维护费等。</w:t>
      </w:r>
    </w:p>
    <w:p>
      <w:pPr>
        <w:pStyle w:val="NormalWeb"/>
        <w:snapToGrid w:val="0"/>
        <w:spacing w:before="0" w:beforeAutospacing="0" w:after="0" w:afterAutospacing="0" w:line="580" w:lineRule="exact"/>
        <w:ind w:firstLine="480" w:firstLineChars="150"/>
        <w:rPr>
          <w:rFonts w:asciiTheme="minorEastAsia" w:eastAsiaTheme="minorEastAsia" w:hAnsiTheme="minorEastAsia"/>
          <w:kern w:val="2"/>
          <w:sz w:val="32"/>
          <w:szCs w:val="32"/>
        </w:rPr>
      </w:pPr>
    </w:p>
    <w:p>
      <w:pPr>
        <w:pStyle w:val="NormalWeb"/>
        <w:snapToGrid w:val="0"/>
        <w:spacing w:before="0" w:beforeAutospacing="0" w:after="0" w:afterAutospacing="0" w:line="580" w:lineRule="exact"/>
        <w:ind w:firstLine="480" w:firstLineChars="150"/>
        <w:rPr>
          <w:rFonts w:asciiTheme="minorEastAsia" w:eastAsiaTheme="minorEastAsia" w:hAnsiTheme="minorEastAsia"/>
          <w:kern w:val="2"/>
          <w:sz w:val="32"/>
          <w:szCs w:val="32"/>
        </w:rPr>
      </w:pPr>
      <w:r>
        <w:rPr>
          <w:rFonts w:asciiTheme="minorEastAsia" w:eastAsiaTheme="minorEastAsia" w:hAnsiTheme="minorEastAsia" w:hint="eastAsia"/>
          <w:kern w:val="2"/>
          <w:sz w:val="32"/>
          <w:szCs w:val="32"/>
        </w:rPr>
        <w:t>附表：</w:t>
      </w:r>
      <w:r>
        <w:rPr>
          <w:rFonts w:asciiTheme="minorEastAsia" w:eastAsiaTheme="minorEastAsia" w:hAnsiTheme="minorEastAsia" w:hint="eastAsia"/>
          <w:bCs/>
          <w:color w:val="000000"/>
          <w:sz w:val="32"/>
          <w:szCs w:val="32"/>
        </w:rPr>
        <w:t>寿县县委宣传部</w:t>
      </w:r>
      <w:r>
        <w:rPr>
          <w:rFonts w:asciiTheme="minorEastAsia" w:eastAsiaTheme="minorEastAsia" w:hAnsiTheme="minorEastAsia" w:hint="eastAsia"/>
          <w:bCs/>
          <w:sz w:val="32"/>
          <w:szCs w:val="32"/>
        </w:rPr>
        <w:t>2023年部门预算表</w:t>
      </w:r>
    </w:p>
    <w:sectPr>
      <w:footerReference w:type="default" r:id="rId4"/>
      <w:pgSz w:w="11906" w:h="16838"/>
      <w:pgMar w:top="1440" w:right="141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 xml:space="preserve"> PAGE   \* MERGEFORMAT </w:instrText>
    </w:r>
    <w:r>
      <w:fldChar w:fldCharType="separate"/>
    </w:r>
    <w:r>
      <w:rPr>
        <w:lang w:val="zh-CN"/>
      </w:rPr>
      <w:t>12</w:t>
    </w:r>
    <w:r>
      <w:rPr>
        <w:lang w:val="zh-CN"/>
      </w:rPr>
      <w:fldChar w:fldCharType="end"/>
    </w:r>
  </w:p>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F3"/>
    <w:rsid w:val="00001C4D"/>
    <w:rsid w:val="00002A39"/>
    <w:rsid w:val="00003A55"/>
    <w:rsid w:val="00004F0D"/>
    <w:rsid w:val="0000665B"/>
    <w:rsid w:val="0001185F"/>
    <w:rsid w:val="00020DE5"/>
    <w:rsid w:val="0002245A"/>
    <w:rsid w:val="000235D0"/>
    <w:rsid w:val="0002496B"/>
    <w:rsid w:val="0004172E"/>
    <w:rsid w:val="00041A3C"/>
    <w:rsid w:val="00044A17"/>
    <w:rsid w:val="00044AF5"/>
    <w:rsid w:val="0004504D"/>
    <w:rsid w:val="00046C78"/>
    <w:rsid w:val="0005172D"/>
    <w:rsid w:val="00054C28"/>
    <w:rsid w:val="00066783"/>
    <w:rsid w:val="00066E8F"/>
    <w:rsid w:val="0007222A"/>
    <w:rsid w:val="000767EB"/>
    <w:rsid w:val="00076D39"/>
    <w:rsid w:val="00080FA1"/>
    <w:rsid w:val="00086201"/>
    <w:rsid w:val="000876F2"/>
    <w:rsid w:val="000900BD"/>
    <w:rsid w:val="00091AAC"/>
    <w:rsid w:val="000922BD"/>
    <w:rsid w:val="000A2B6B"/>
    <w:rsid w:val="000A3109"/>
    <w:rsid w:val="000A440A"/>
    <w:rsid w:val="000A494F"/>
    <w:rsid w:val="000A5B80"/>
    <w:rsid w:val="000A7793"/>
    <w:rsid w:val="000B102E"/>
    <w:rsid w:val="000B7C34"/>
    <w:rsid w:val="000C751B"/>
    <w:rsid w:val="000D0688"/>
    <w:rsid w:val="000D56C5"/>
    <w:rsid w:val="000E208B"/>
    <w:rsid w:val="000E4F06"/>
    <w:rsid w:val="000F01D6"/>
    <w:rsid w:val="000F560D"/>
    <w:rsid w:val="000F591D"/>
    <w:rsid w:val="000F678E"/>
    <w:rsid w:val="001003FB"/>
    <w:rsid w:val="00101A9A"/>
    <w:rsid w:val="00102014"/>
    <w:rsid w:val="00103721"/>
    <w:rsid w:val="001055D0"/>
    <w:rsid w:val="001119B2"/>
    <w:rsid w:val="00112450"/>
    <w:rsid w:val="00112D2B"/>
    <w:rsid w:val="00116634"/>
    <w:rsid w:val="00120CF9"/>
    <w:rsid w:val="001221A2"/>
    <w:rsid w:val="001231FE"/>
    <w:rsid w:val="001278AA"/>
    <w:rsid w:val="00130820"/>
    <w:rsid w:val="00130975"/>
    <w:rsid w:val="00132B96"/>
    <w:rsid w:val="001431FA"/>
    <w:rsid w:val="00144CED"/>
    <w:rsid w:val="00153162"/>
    <w:rsid w:val="00153F41"/>
    <w:rsid w:val="00154DD9"/>
    <w:rsid w:val="00154EB8"/>
    <w:rsid w:val="0015647F"/>
    <w:rsid w:val="001576E5"/>
    <w:rsid w:val="00165ECB"/>
    <w:rsid w:val="001748CD"/>
    <w:rsid w:val="0017717F"/>
    <w:rsid w:val="001822C2"/>
    <w:rsid w:val="001852B4"/>
    <w:rsid w:val="0018592E"/>
    <w:rsid w:val="00194180"/>
    <w:rsid w:val="00196579"/>
    <w:rsid w:val="001A022B"/>
    <w:rsid w:val="001A1297"/>
    <w:rsid w:val="001A252D"/>
    <w:rsid w:val="001B3434"/>
    <w:rsid w:val="001C0BD2"/>
    <w:rsid w:val="001C0F29"/>
    <w:rsid w:val="001D029A"/>
    <w:rsid w:val="001D2191"/>
    <w:rsid w:val="001D513F"/>
    <w:rsid w:val="001D561C"/>
    <w:rsid w:val="001D7312"/>
    <w:rsid w:val="001D73EC"/>
    <w:rsid w:val="001E36E2"/>
    <w:rsid w:val="001E46D7"/>
    <w:rsid w:val="001F0790"/>
    <w:rsid w:val="001F07F0"/>
    <w:rsid w:val="001F32D7"/>
    <w:rsid w:val="001F37B1"/>
    <w:rsid w:val="001F5422"/>
    <w:rsid w:val="0020030E"/>
    <w:rsid w:val="00201BB6"/>
    <w:rsid w:val="00204AF2"/>
    <w:rsid w:val="00204EFF"/>
    <w:rsid w:val="00210E2A"/>
    <w:rsid w:val="00212A5F"/>
    <w:rsid w:val="00213575"/>
    <w:rsid w:val="002161FA"/>
    <w:rsid w:val="00216582"/>
    <w:rsid w:val="00216F14"/>
    <w:rsid w:val="00223037"/>
    <w:rsid w:val="00223DD6"/>
    <w:rsid w:val="00232957"/>
    <w:rsid w:val="0023587C"/>
    <w:rsid w:val="00235E7C"/>
    <w:rsid w:val="00240354"/>
    <w:rsid w:val="00241D6B"/>
    <w:rsid w:val="0024264B"/>
    <w:rsid w:val="00244ADF"/>
    <w:rsid w:val="00262483"/>
    <w:rsid w:val="00263FFD"/>
    <w:rsid w:val="0026486F"/>
    <w:rsid w:val="00264952"/>
    <w:rsid w:val="00264F08"/>
    <w:rsid w:val="00265181"/>
    <w:rsid w:val="00266F6F"/>
    <w:rsid w:val="00271BD2"/>
    <w:rsid w:val="002731B1"/>
    <w:rsid w:val="00274682"/>
    <w:rsid w:val="00275175"/>
    <w:rsid w:val="00277138"/>
    <w:rsid w:val="002809D9"/>
    <w:rsid w:val="00281B96"/>
    <w:rsid w:val="002822B7"/>
    <w:rsid w:val="002843F3"/>
    <w:rsid w:val="00284AD1"/>
    <w:rsid w:val="00284B1C"/>
    <w:rsid w:val="002912FF"/>
    <w:rsid w:val="0029292C"/>
    <w:rsid w:val="002A0119"/>
    <w:rsid w:val="002A15BD"/>
    <w:rsid w:val="002A201D"/>
    <w:rsid w:val="002A2BA9"/>
    <w:rsid w:val="002A4CEA"/>
    <w:rsid w:val="002A6E39"/>
    <w:rsid w:val="002B2296"/>
    <w:rsid w:val="002B4F53"/>
    <w:rsid w:val="002B4FEF"/>
    <w:rsid w:val="002C451D"/>
    <w:rsid w:val="002D1FE7"/>
    <w:rsid w:val="002D3774"/>
    <w:rsid w:val="002D3CBA"/>
    <w:rsid w:val="002D43CF"/>
    <w:rsid w:val="002D5BA6"/>
    <w:rsid w:val="002E5F07"/>
    <w:rsid w:val="002E6EE7"/>
    <w:rsid w:val="002F50BC"/>
    <w:rsid w:val="002F6B5C"/>
    <w:rsid w:val="00300844"/>
    <w:rsid w:val="00303152"/>
    <w:rsid w:val="00306434"/>
    <w:rsid w:val="003123EC"/>
    <w:rsid w:val="00312897"/>
    <w:rsid w:val="00315AC7"/>
    <w:rsid w:val="003202A5"/>
    <w:rsid w:val="00322E4D"/>
    <w:rsid w:val="00323501"/>
    <w:rsid w:val="0033096E"/>
    <w:rsid w:val="00336AE6"/>
    <w:rsid w:val="0034241B"/>
    <w:rsid w:val="00344196"/>
    <w:rsid w:val="0034469C"/>
    <w:rsid w:val="0034526F"/>
    <w:rsid w:val="003479E4"/>
    <w:rsid w:val="003607C5"/>
    <w:rsid w:val="003613BE"/>
    <w:rsid w:val="00361D0B"/>
    <w:rsid w:val="00364339"/>
    <w:rsid w:val="003708B2"/>
    <w:rsid w:val="0037368D"/>
    <w:rsid w:val="00374A95"/>
    <w:rsid w:val="003764C5"/>
    <w:rsid w:val="00376B6E"/>
    <w:rsid w:val="003853BB"/>
    <w:rsid w:val="003872E9"/>
    <w:rsid w:val="00387A5C"/>
    <w:rsid w:val="00392333"/>
    <w:rsid w:val="00394026"/>
    <w:rsid w:val="00396026"/>
    <w:rsid w:val="00397065"/>
    <w:rsid w:val="003A1262"/>
    <w:rsid w:val="003A34FD"/>
    <w:rsid w:val="003A3AB3"/>
    <w:rsid w:val="003B59A4"/>
    <w:rsid w:val="003B70C8"/>
    <w:rsid w:val="003B742B"/>
    <w:rsid w:val="003C11AF"/>
    <w:rsid w:val="003C18FB"/>
    <w:rsid w:val="003C1D28"/>
    <w:rsid w:val="003C3C10"/>
    <w:rsid w:val="003C5996"/>
    <w:rsid w:val="003C60DA"/>
    <w:rsid w:val="003C69BD"/>
    <w:rsid w:val="003D1D2A"/>
    <w:rsid w:val="003D2A66"/>
    <w:rsid w:val="003D5C34"/>
    <w:rsid w:val="003D7E92"/>
    <w:rsid w:val="003E20CD"/>
    <w:rsid w:val="003E43F8"/>
    <w:rsid w:val="003E4E65"/>
    <w:rsid w:val="003E6CE9"/>
    <w:rsid w:val="003F17B8"/>
    <w:rsid w:val="003F2586"/>
    <w:rsid w:val="003F369E"/>
    <w:rsid w:val="003F48A6"/>
    <w:rsid w:val="003F4E12"/>
    <w:rsid w:val="003F6420"/>
    <w:rsid w:val="003F736F"/>
    <w:rsid w:val="003F7A4E"/>
    <w:rsid w:val="003F7F66"/>
    <w:rsid w:val="0040046F"/>
    <w:rsid w:val="00405697"/>
    <w:rsid w:val="004074D7"/>
    <w:rsid w:val="00414C62"/>
    <w:rsid w:val="00416F0B"/>
    <w:rsid w:val="00417956"/>
    <w:rsid w:val="004205EB"/>
    <w:rsid w:val="00421510"/>
    <w:rsid w:val="00422A81"/>
    <w:rsid w:val="004271C2"/>
    <w:rsid w:val="00427398"/>
    <w:rsid w:val="0043251E"/>
    <w:rsid w:val="004348D5"/>
    <w:rsid w:val="00443AD4"/>
    <w:rsid w:val="00446019"/>
    <w:rsid w:val="00456891"/>
    <w:rsid w:val="00457E1E"/>
    <w:rsid w:val="00464B12"/>
    <w:rsid w:val="00465648"/>
    <w:rsid w:val="00465890"/>
    <w:rsid w:val="004720A3"/>
    <w:rsid w:val="00476387"/>
    <w:rsid w:val="00477601"/>
    <w:rsid w:val="00477896"/>
    <w:rsid w:val="00481181"/>
    <w:rsid w:val="0048209E"/>
    <w:rsid w:val="00486114"/>
    <w:rsid w:val="004869A4"/>
    <w:rsid w:val="0048782D"/>
    <w:rsid w:val="00492545"/>
    <w:rsid w:val="00492E81"/>
    <w:rsid w:val="004A0464"/>
    <w:rsid w:val="004A17BF"/>
    <w:rsid w:val="004A34C0"/>
    <w:rsid w:val="004A4E47"/>
    <w:rsid w:val="004A63C3"/>
    <w:rsid w:val="004B18F7"/>
    <w:rsid w:val="004B45C1"/>
    <w:rsid w:val="004C2D13"/>
    <w:rsid w:val="004C39F8"/>
    <w:rsid w:val="004D16C1"/>
    <w:rsid w:val="004D4377"/>
    <w:rsid w:val="004D5AFE"/>
    <w:rsid w:val="004E5D79"/>
    <w:rsid w:val="004F2B8B"/>
    <w:rsid w:val="004F6506"/>
    <w:rsid w:val="005035AE"/>
    <w:rsid w:val="00505B42"/>
    <w:rsid w:val="005073A2"/>
    <w:rsid w:val="00510BEC"/>
    <w:rsid w:val="00511848"/>
    <w:rsid w:val="00513252"/>
    <w:rsid w:val="00515E34"/>
    <w:rsid w:val="00517A1B"/>
    <w:rsid w:val="0052036E"/>
    <w:rsid w:val="0052098F"/>
    <w:rsid w:val="00520F09"/>
    <w:rsid w:val="005254AD"/>
    <w:rsid w:val="00527460"/>
    <w:rsid w:val="00530BC3"/>
    <w:rsid w:val="00532451"/>
    <w:rsid w:val="00536194"/>
    <w:rsid w:val="00536A8C"/>
    <w:rsid w:val="005404B7"/>
    <w:rsid w:val="005422A6"/>
    <w:rsid w:val="00542C85"/>
    <w:rsid w:val="00543AF0"/>
    <w:rsid w:val="00545495"/>
    <w:rsid w:val="005560DF"/>
    <w:rsid w:val="005566B5"/>
    <w:rsid w:val="00556ACC"/>
    <w:rsid w:val="005672DB"/>
    <w:rsid w:val="00567AC7"/>
    <w:rsid w:val="00570085"/>
    <w:rsid w:val="005720A0"/>
    <w:rsid w:val="00573536"/>
    <w:rsid w:val="005738ED"/>
    <w:rsid w:val="005749F4"/>
    <w:rsid w:val="005851C2"/>
    <w:rsid w:val="0059103C"/>
    <w:rsid w:val="005A0A22"/>
    <w:rsid w:val="005B0ECF"/>
    <w:rsid w:val="005B4458"/>
    <w:rsid w:val="005B68B7"/>
    <w:rsid w:val="005C28DE"/>
    <w:rsid w:val="005C2D46"/>
    <w:rsid w:val="005C542F"/>
    <w:rsid w:val="005C66FF"/>
    <w:rsid w:val="005D141D"/>
    <w:rsid w:val="005D1F22"/>
    <w:rsid w:val="005D384F"/>
    <w:rsid w:val="005D617F"/>
    <w:rsid w:val="005D7F46"/>
    <w:rsid w:val="005E0697"/>
    <w:rsid w:val="005E39D1"/>
    <w:rsid w:val="005F42CE"/>
    <w:rsid w:val="005F43C4"/>
    <w:rsid w:val="005F67C0"/>
    <w:rsid w:val="005F7E38"/>
    <w:rsid w:val="006056A7"/>
    <w:rsid w:val="00612140"/>
    <w:rsid w:val="00613EE8"/>
    <w:rsid w:val="00614EC4"/>
    <w:rsid w:val="00615C41"/>
    <w:rsid w:val="00616DE7"/>
    <w:rsid w:val="00620E62"/>
    <w:rsid w:val="00622F70"/>
    <w:rsid w:val="0062426F"/>
    <w:rsid w:val="006308F5"/>
    <w:rsid w:val="00631013"/>
    <w:rsid w:val="00633459"/>
    <w:rsid w:val="00634A98"/>
    <w:rsid w:val="006374E0"/>
    <w:rsid w:val="006376DB"/>
    <w:rsid w:val="00645436"/>
    <w:rsid w:val="006456B8"/>
    <w:rsid w:val="0064594E"/>
    <w:rsid w:val="00654F07"/>
    <w:rsid w:val="00656BF5"/>
    <w:rsid w:val="00657A31"/>
    <w:rsid w:val="00660201"/>
    <w:rsid w:val="00664AC7"/>
    <w:rsid w:val="0066794A"/>
    <w:rsid w:val="00670DCE"/>
    <w:rsid w:val="00671243"/>
    <w:rsid w:val="00680702"/>
    <w:rsid w:val="0068587E"/>
    <w:rsid w:val="0068788C"/>
    <w:rsid w:val="00696430"/>
    <w:rsid w:val="006A0FCD"/>
    <w:rsid w:val="006A288D"/>
    <w:rsid w:val="006A49EE"/>
    <w:rsid w:val="006A54A2"/>
    <w:rsid w:val="006A59F4"/>
    <w:rsid w:val="006A65C8"/>
    <w:rsid w:val="006B04A0"/>
    <w:rsid w:val="006B309C"/>
    <w:rsid w:val="006B5BB8"/>
    <w:rsid w:val="006C0606"/>
    <w:rsid w:val="006C0D39"/>
    <w:rsid w:val="006C208D"/>
    <w:rsid w:val="006C5CA9"/>
    <w:rsid w:val="006D7F79"/>
    <w:rsid w:val="006E2E5E"/>
    <w:rsid w:val="006F077B"/>
    <w:rsid w:val="007028CE"/>
    <w:rsid w:val="00707041"/>
    <w:rsid w:val="00710708"/>
    <w:rsid w:val="00710E1F"/>
    <w:rsid w:val="007110A4"/>
    <w:rsid w:val="0071177E"/>
    <w:rsid w:val="00714275"/>
    <w:rsid w:val="00715743"/>
    <w:rsid w:val="0071575A"/>
    <w:rsid w:val="00716783"/>
    <w:rsid w:val="007220E1"/>
    <w:rsid w:val="00725A67"/>
    <w:rsid w:val="00727AAB"/>
    <w:rsid w:val="00732B18"/>
    <w:rsid w:val="0073588B"/>
    <w:rsid w:val="007361AD"/>
    <w:rsid w:val="00740224"/>
    <w:rsid w:val="0074079B"/>
    <w:rsid w:val="00741687"/>
    <w:rsid w:val="0074378C"/>
    <w:rsid w:val="007456AE"/>
    <w:rsid w:val="0074635D"/>
    <w:rsid w:val="00746CE0"/>
    <w:rsid w:val="007507F4"/>
    <w:rsid w:val="00753AFD"/>
    <w:rsid w:val="00755B89"/>
    <w:rsid w:val="00755C84"/>
    <w:rsid w:val="00763351"/>
    <w:rsid w:val="007711B0"/>
    <w:rsid w:val="00771958"/>
    <w:rsid w:val="00776EE1"/>
    <w:rsid w:val="00787632"/>
    <w:rsid w:val="00795B9A"/>
    <w:rsid w:val="007A0D9E"/>
    <w:rsid w:val="007A65E2"/>
    <w:rsid w:val="007B1B53"/>
    <w:rsid w:val="007B3A89"/>
    <w:rsid w:val="007B4C39"/>
    <w:rsid w:val="007B71F4"/>
    <w:rsid w:val="007B76CC"/>
    <w:rsid w:val="007C06FB"/>
    <w:rsid w:val="007C24BB"/>
    <w:rsid w:val="007C719C"/>
    <w:rsid w:val="007E78AE"/>
    <w:rsid w:val="007E795C"/>
    <w:rsid w:val="007F514E"/>
    <w:rsid w:val="008274B3"/>
    <w:rsid w:val="008277DE"/>
    <w:rsid w:val="00831FAA"/>
    <w:rsid w:val="00837C89"/>
    <w:rsid w:val="0084029F"/>
    <w:rsid w:val="00850039"/>
    <w:rsid w:val="00850D77"/>
    <w:rsid w:val="008553E8"/>
    <w:rsid w:val="00855475"/>
    <w:rsid w:val="008619C0"/>
    <w:rsid w:val="008671E1"/>
    <w:rsid w:val="00870B98"/>
    <w:rsid w:val="00873BAD"/>
    <w:rsid w:val="00874923"/>
    <w:rsid w:val="00876DCB"/>
    <w:rsid w:val="00877781"/>
    <w:rsid w:val="00880749"/>
    <w:rsid w:val="0088165C"/>
    <w:rsid w:val="00884EF3"/>
    <w:rsid w:val="00884F63"/>
    <w:rsid w:val="00887E4C"/>
    <w:rsid w:val="008938B9"/>
    <w:rsid w:val="00896448"/>
    <w:rsid w:val="008A35EB"/>
    <w:rsid w:val="008A5956"/>
    <w:rsid w:val="008B096B"/>
    <w:rsid w:val="008B0EC5"/>
    <w:rsid w:val="008B6CBB"/>
    <w:rsid w:val="008C29C4"/>
    <w:rsid w:val="008C4CF4"/>
    <w:rsid w:val="008C576D"/>
    <w:rsid w:val="008C7933"/>
    <w:rsid w:val="008D0B29"/>
    <w:rsid w:val="008D2E27"/>
    <w:rsid w:val="008D4556"/>
    <w:rsid w:val="008D7118"/>
    <w:rsid w:val="008E2EAA"/>
    <w:rsid w:val="008E3B53"/>
    <w:rsid w:val="008E6387"/>
    <w:rsid w:val="008F088B"/>
    <w:rsid w:val="008F1453"/>
    <w:rsid w:val="008F429C"/>
    <w:rsid w:val="008F430F"/>
    <w:rsid w:val="009004CD"/>
    <w:rsid w:val="009014F5"/>
    <w:rsid w:val="0090196E"/>
    <w:rsid w:val="00901EC3"/>
    <w:rsid w:val="0090208D"/>
    <w:rsid w:val="0091270C"/>
    <w:rsid w:val="00912832"/>
    <w:rsid w:val="00913636"/>
    <w:rsid w:val="0091481C"/>
    <w:rsid w:val="0091660C"/>
    <w:rsid w:val="0092492B"/>
    <w:rsid w:val="0092511F"/>
    <w:rsid w:val="0092634C"/>
    <w:rsid w:val="009340C8"/>
    <w:rsid w:val="00934132"/>
    <w:rsid w:val="0094235B"/>
    <w:rsid w:val="00946992"/>
    <w:rsid w:val="00952F19"/>
    <w:rsid w:val="009531FE"/>
    <w:rsid w:val="00954BA6"/>
    <w:rsid w:val="00956354"/>
    <w:rsid w:val="009636BD"/>
    <w:rsid w:val="00966E69"/>
    <w:rsid w:val="00971CE5"/>
    <w:rsid w:val="00972438"/>
    <w:rsid w:val="0097393E"/>
    <w:rsid w:val="0097584C"/>
    <w:rsid w:val="009772DC"/>
    <w:rsid w:val="0098072D"/>
    <w:rsid w:val="00984D8B"/>
    <w:rsid w:val="0098740D"/>
    <w:rsid w:val="00994F0E"/>
    <w:rsid w:val="00996EB5"/>
    <w:rsid w:val="009A2AC0"/>
    <w:rsid w:val="009A46F9"/>
    <w:rsid w:val="009A4818"/>
    <w:rsid w:val="009B052D"/>
    <w:rsid w:val="009B63C8"/>
    <w:rsid w:val="009C2A87"/>
    <w:rsid w:val="009C493D"/>
    <w:rsid w:val="009C7E66"/>
    <w:rsid w:val="009D6311"/>
    <w:rsid w:val="009D6373"/>
    <w:rsid w:val="009E1D5C"/>
    <w:rsid w:val="009E2DE8"/>
    <w:rsid w:val="009E4817"/>
    <w:rsid w:val="009E4968"/>
    <w:rsid w:val="009F0CB4"/>
    <w:rsid w:val="00A012BA"/>
    <w:rsid w:val="00A01DE6"/>
    <w:rsid w:val="00A04B86"/>
    <w:rsid w:val="00A054BC"/>
    <w:rsid w:val="00A067BC"/>
    <w:rsid w:val="00A0692F"/>
    <w:rsid w:val="00A07986"/>
    <w:rsid w:val="00A07B94"/>
    <w:rsid w:val="00A101B6"/>
    <w:rsid w:val="00A10362"/>
    <w:rsid w:val="00A14C1B"/>
    <w:rsid w:val="00A22990"/>
    <w:rsid w:val="00A33E37"/>
    <w:rsid w:val="00A3675B"/>
    <w:rsid w:val="00A411E7"/>
    <w:rsid w:val="00A45394"/>
    <w:rsid w:val="00A50CB9"/>
    <w:rsid w:val="00A519AE"/>
    <w:rsid w:val="00A60F6F"/>
    <w:rsid w:val="00A635B6"/>
    <w:rsid w:val="00A637EB"/>
    <w:rsid w:val="00A6402E"/>
    <w:rsid w:val="00A643D4"/>
    <w:rsid w:val="00A64936"/>
    <w:rsid w:val="00A655D0"/>
    <w:rsid w:val="00A661BA"/>
    <w:rsid w:val="00A666E6"/>
    <w:rsid w:val="00A80281"/>
    <w:rsid w:val="00A813B4"/>
    <w:rsid w:val="00A83F2A"/>
    <w:rsid w:val="00A91B46"/>
    <w:rsid w:val="00A96C2F"/>
    <w:rsid w:val="00AA2F3F"/>
    <w:rsid w:val="00AA6510"/>
    <w:rsid w:val="00AB18BA"/>
    <w:rsid w:val="00AB3162"/>
    <w:rsid w:val="00AB3DC4"/>
    <w:rsid w:val="00AC4555"/>
    <w:rsid w:val="00AC7D74"/>
    <w:rsid w:val="00AD022C"/>
    <w:rsid w:val="00AD303C"/>
    <w:rsid w:val="00AD4670"/>
    <w:rsid w:val="00AD48C7"/>
    <w:rsid w:val="00AD6FC7"/>
    <w:rsid w:val="00AE423C"/>
    <w:rsid w:val="00AE59A2"/>
    <w:rsid w:val="00AE6D7A"/>
    <w:rsid w:val="00AE6D95"/>
    <w:rsid w:val="00AF11AD"/>
    <w:rsid w:val="00AF35B1"/>
    <w:rsid w:val="00AF79A3"/>
    <w:rsid w:val="00B022DB"/>
    <w:rsid w:val="00B02744"/>
    <w:rsid w:val="00B121B4"/>
    <w:rsid w:val="00B122F7"/>
    <w:rsid w:val="00B133EB"/>
    <w:rsid w:val="00B1516E"/>
    <w:rsid w:val="00B160C4"/>
    <w:rsid w:val="00B20BA8"/>
    <w:rsid w:val="00B20F47"/>
    <w:rsid w:val="00B222C0"/>
    <w:rsid w:val="00B32A12"/>
    <w:rsid w:val="00B32CDF"/>
    <w:rsid w:val="00B346B9"/>
    <w:rsid w:val="00B34ACF"/>
    <w:rsid w:val="00B41180"/>
    <w:rsid w:val="00B421CD"/>
    <w:rsid w:val="00B43BD6"/>
    <w:rsid w:val="00B451F6"/>
    <w:rsid w:val="00B47F29"/>
    <w:rsid w:val="00B505B3"/>
    <w:rsid w:val="00B613F4"/>
    <w:rsid w:val="00B62D55"/>
    <w:rsid w:val="00B6658E"/>
    <w:rsid w:val="00B67C2F"/>
    <w:rsid w:val="00B71D99"/>
    <w:rsid w:val="00B73B33"/>
    <w:rsid w:val="00B73BA8"/>
    <w:rsid w:val="00B74799"/>
    <w:rsid w:val="00B833E6"/>
    <w:rsid w:val="00B84ACD"/>
    <w:rsid w:val="00B92470"/>
    <w:rsid w:val="00B93AC4"/>
    <w:rsid w:val="00B951A4"/>
    <w:rsid w:val="00B95691"/>
    <w:rsid w:val="00BA5EAE"/>
    <w:rsid w:val="00BA698B"/>
    <w:rsid w:val="00BB08AD"/>
    <w:rsid w:val="00BB790A"/>
    <w:rsid w:val="00BB7D79"/>
    <w:rsid w:val="00BC11BF"/>
    <w:rsid w:val="00BC4E44"/>
    <w:rsid w:val="00BC5748"/>
    <w:rsid w:val="00BC73C5"/>
    <w:rsid w:val="00BC76E7"/>
    <w:rsid w:val="00BD5856"/>
    <w:rsid w:val="00BD7B2E"/>
    <w:rsid w:val="00BE7EE3"/>
    <w:rsid w:val="00BF19D4"/>
    <w:rsid w:val="00BF1A11"/>
    <w:rsid w:val="00BF31A2"/>
    <w:rsid w:val="00BF3884"/>
    <w:rsid w:val="00BF5F40"/>
    <w:rsid w:val="00BF6887"/>
    <w:rsid w:val="00C00534"/>
    <w:rsid w:val="00C00A7D"/>
    <w:rsid w:val="00C0101E"/>
    <w:rsid w:val="00C01050"/>
    <w:rsid w:val="00C0278A"/>
    <w:rsid w:val="00C04464"/>
    <w:rsid w:val="00C07C17"/>
    <w:rsid w:val="00C101A5"/>
    <w:rsid w:val="00C130C1"/>
    <w:rsid w:val="00C21019"/>
    <w:rsid w:val="00C26F63"/>
    <w:rsid w:val="00C31BA6"/>
    <w:rsid w:val="00C339D0"/>
    <w:rsid w:val="00C33E51"/>
    <w:rsid w:val="00C33EBC"/>
    <w:rsid w:val="00C359C1"/>
    <w:rsid w:val="00C36363"/>
    <w:rsid w:val="00C36618"/>
    <w:rsid w:val="00C36EB0"/>
    <w:rsid w:val="00C40B80"/>
    <w:rsid w:val="00C431B1"/>
    <w:rsid w:val="00C4788B"/>
    <w:rsid w:val="00C47F0E"/>
    <w:rsid w:val="00C50415"/>
    <w:rsid w:val="00C52432"/>
    <w:rsid w:val="00C54FF6"/>
    <w:rsid w:val="00C5684C"/>
    <w:rsid w:val="00C5738B"/>
    <w:rsid w:val="00C607EA"/>
    <w:rsid w:val="00C6175F"/>
    <w:rsid w:val="00C6189A"/>
    <w:rsid w:val="00C73941"/>
    <w:rsid w:val="00C76AC9"/>
    <w:rsid w:val="00C80099"/>
    <w:rsid w:val="00C8284A"/>
    <w:rsid w:val="00C82F44"/>
    <w:rsid w:val="00C84238"/>
    <w:rsid w:val="00C85201"/>
    <w:rsid w:val="00C956E8"/>
    <w:rsid w:val="00C95E76"/>
    <w:rsid w:val="00C96A16"/>
    <w:rsid w:val="00C96B2A"/>
    <w:rsid w:val="00CA0519"/>
    <w:rsid w:val="00CA0830"/>
    <w:rsid w:val="00CA0DAB"/>
    <w:rsid w:val="00CA5E16"/>
    <w:rsid w:val="00CA632A"/>
    <w:rsid w:val="00CB0AD1"/>
    <w:rsid w:val="00CB28A4"/>
    <w:rsid w:val="00CB770B"/>
    <w:rsid w:val="00CC30D2"/>
    <w:rsid w:val="00CC3738"/>
    <w:rsid w:val="00CC43B8"/>
    <w:rsid w:val="00CC5AE2"/>
    <w:rsid w:val="00CE0C13"/>
    <w:rsid w:val="00CE15C2"/>
    <w:rsid w:val="00CE486A"/>
    <w:rsid w:val="00CE4FAE"/>
    <w:rsid w:val="00CF5990"/>
    <w:rsid w:val="00CF70F3"/>
    <w:rsid w:val="00D03EA1"/>
    <w:rsid w:val="00D075AC"/>
    <w:rsid w:val="00D078E9"/>
    <w:rsid w:val="00D1401D"/>
    <w:rsid w:val="00D170D2"/>
    <w:rsid w:val="00D1757B"/>
    <w:rsid w:val="00D251D8"/>
    <w:rsid w:val="00D27203"/>
    <w:rsid w:val="00D27256"/>
    <w:rsid w:val="00D274BD"/>
    <w:rsid w:val="00D37795"/>
    <w:rsid w:val="00D40487"/>
    <w:rsid w:val="00D41B2F"/>
    <w:rsid w:val="00D42C98"/>
    <w:rsid w:val="00D42D34"/>
    <w:rsid w:val="00D45982"/>
    <w:rsid w:val="00D46408"/>
    <w:rsid w:val="00D5339B"/>
    <w:rsid w:val="00D53DD9"/>
    <w:rsid w:val="00D53F07"/>
    <w:rsid w:val="00D60F41"/>
    <w:rsid w:val="00D6170A"/>
    <w:rsid w:val="00D61843"/>
    <w:rsid w:val="00D62DAF"/>
    <w:rsid w:val="00D6754B"/>
    <w:rsid w:val="00D7721D"/>
    <w:rsid w:val="00D773A8"/>
    <w:rsid w:val="00D84005"/>
    <w:rsid w:val="00D84594"/>
    <w:rsid w:val="00D90837"/>
    <w:rsid w:val="00D93D87"/>
    <w:rsid w:val="00DA10CB"/>
    <w:rsid w:val="00DB3194"/>
    <w:rsid w:val="00DB5900"/>
    <w:rsid w:val="00DB7C3C"/>
    <w:rsid w:val="00DC5B60"/>
    <w:rsid w:val="00DD27E8"/>
    <w:rsid w:val="00DD53A1"/>
    <w:rsid w:val="00DD6113"/>
    <w:rsid w:val="00DD6909"/>
    <w:rsid w:val="00DE2AB7"/>
    <w:rsid w:val="00DF03C1"/>
    <w:rsid w:val="00DF76BC"/>
    <w:rsid w:val="00E0276C"/>
    <w:rsid w:val="00E05F0B"/>
    <w:rsid w:val="00E05FB7"/>
    <w:rsid w:val="00E1479A"/>
    <w:rsid w:val="00E15132"/>
    <w:rsid w:val="00E1520F"/>
    <w:rsid w:val="00E17CAB"/>
    <w:rsid w:val="00E208A8"/>
    <w:rsid w:val="00E2266D"/>
    <w:rsid w:val="00E30532"/>
    <w:rsid w:val="00E335B2"/>
    <w:rsid w:val="00E36BA2"/>
    <w:rsid w:val="00E379A2"/>
    <w:rsid w:val="00E548F8"/>
    <w:rsid w:val="00E56542"/>
    <w:rsid w:val="00E6028D"/>
    <w:rsid w:val="00E615FA"/>
    <w:rsid w:val="00E7553A"/>
    <w:rsid w:val="00E76927"/>
    <w:rsid w:val="00E817E9"/>
    <w:rsid w:val="00E81888"/>
    <w:rsid w:val="00E81B96"/>
    <w:rsid w:val="00E91D5F"/>
    <w:rsid w:val="00E929E3"/>
    <w:rsid w:val="00E957C9"/>
    <w:rsid w:val="00E97020"/>
    <w:rsid w:val="00EA0180"/>
    <w:rsid w:val="00EA0C02"/>
    <w:rsid w:val="00EA2965"/>
    <w:rsid w:val="00EA6CBA"/>
    <w:rsid w:val="00EB0CE3"/>
    <w:rsid w:val="00EC3187"/>
    <w:rsid w:val="00EC4FE9"/>
    <w:rsid w:val="00EC6AAB"/>
    <w:rsid w:val="00ED307F"/>
    <w:rsid w:val="00ED414E"/>
    <w:rsid w:val="00EE32E9"/>
    <w:rsid w:val="00EE482B"/>
    <w:rsid w:val="00EE7924"/>
    <w:rsid w:val="00EE7E9C"/>
    <w:rsid w:val="00EF19F7"/>
    <w:rsid w:val="00EF4421"/>
    <w:rsid w:val="00EF44B3"/>
    <w:rsid w:val="00EF459A"/>
    <w:rsid w:val="00EF56E9"/>
    <w:rsid w:val="00F00150"/>
    <w:rsid w:val="00F00DEB"/>
    <w:rsid w:val="00F00E14"/>
    <w:rsid w:val="00F0139E"/>
    <w:rsid w:val="00F03C25"/>
    <w:rsid w:val="00F051CA"/>
    <w:rsid w:val="00F0626F"/>
    <w:rsid w:val="00F06647"/>
    <w:rsid w:val="00F143AE"/>
    <w:rsid w:val="00F24679"/>
    <w:rsid w:val="00F33052"/>
    <w:rsid w:val="00F33190"/>
    <w:rsid w:val="00F34855"/>
    <w:rsid w:val="00F35CFB"/>
    <w:rsid w:val="00F4131B"/>
    <w:rsid w:val="00F4165F"/>
    <w:rsid w:val="00F42834"/>
    <w:rsid w:val="00F4338B"/>
    <w:rsid w:val="00F57D7D"/>
    <w:rsid w:val="00F6132D"/>
    <w:rsid w:val="00F616E4"/>
    <w:rsid w:val="00F6277C"/>
    <w:rsid w:val="00F62E7A"/>
    <w:rsid w:val="00F662EC"/>
    <w:rsid w:val="00F85055"/>
    <w:rsid w:val="00F859B3"/>
    <w:rsid w:val="00F85E23"/>
    <w:rsid w:val="00F8649C"/>
    <w:rsid w:val="00F86876"/>
    <w:rsid w:val="00F9141A"/>
    <w:rsid w:val="00F91ABE"/>
    <w:rsid w:val="00FA0AEA"/>
    <w:rsid w:val="00FA1852"/>
    <w:rsid w:val="00FA3A2F"/>
    <w:rsid w:val="00FA4039"/>
    <w:rsid w:val="00FA4ECF"/>
    <w:rsid w:val="00FA4F06"/>
    <w:rsid w:val="00FB28D6"/>
    <w:rsid w:val="00FC5CAD"/>
    <w:rsid w:val="00FC6C4B"/>
    <w:rsid w:val="00FD2F5D"/>
    <w:rsid w:val="00FD7647"/>
    <w:rsid w:val="00FE4839"/>
    <w:rsid w:val="00FF0413"/>
    <w:rsid w:val="00FF6961"/>
    <w:rsid w:val="08A71940"/>
    <w:rsid w:val="0D18335F"/>
    <w:rsid w:val="0F4D5D3B"/>
    <w:rsid w:val="149D2DE5"/>
    <w:rsid w:val="16515577"/>
    <w:rsid w:val="19BE0982"/>
    <w:rsid w:val="21515666"/>
    <w:rsid w:val="2483194D"/>
    <w:rsid w:val="2693132C"/>
    <w:rsid w:val="274D6682"/>
    <w:rsid w:val="28B82A64"/>
    <w:rsid w:val="298629FB"/>
    <w:rsid w:val="43424BB8"/>
    <w:rsid w:val="45171F5F"/>
    <w:rsid w:val="4A435BE4"/>
    <w:rsid w:val="4DE2243D"/>
    <w:rsid w:val="51D620DD"/>
    <w:rsid w:val="526B6ECC"/>
    <w:rsid w:val="52C94A44"/>
    <w:rsid w:val="547A6A60"/>
    <w:rsid w:val="55592760"/>
    <w:rsid w:val="556F4099"/>
    <w:rsid w:val="5A5E709D"/>
    <w:rsid w:val="5D393916"/>
    <w:rsid w:val="619A4C7D"/>
    <w:rsid w:val="63E22F8D"/>
    <w:rsid w:val="660712E0"/>
    <w:rsid w:val="6B9923BB"/>
    <w:rsid w:val="6E7365C0"/>
    <w:rsid w:val="77874AC8"/>
    <w:rsid w:val="7E5A57D6"/>
    <w:rsid w:val="7FCC1129"/>
  </w:rsids>
  <w:docVars>
    <w:docVar w:name="commondata" w:val="eyJoZGlkIjoiMDBlNTMxMjU1ZmNhMjcxYjY1MTdmZGM5MTk5NTZkZ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qFormat="1"/>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DocumentMap">
    <w:name w:val="Document Map"/>
    <w:basedOn w:val="Normal"/>
    <w:semiHidden/>
    <w:pPr>
      <w:shd w:val="clear" w:color="auto" w:fill="000080"/>
    </w:pPr>
  </w:style>
  <w:style w:type="paragraph" w:styleId="BalloonText">
    <w:name w:val="Balloon Text"/>
    <w:basedOn w:val="Normal"/>
    <w:semiHidden/>
    <w:qFormat/>
    <w:rPr>
      <w:sz w:val="18"/>
      <w:szCs w:val="18"/>
    </w:rPr>
  </w:style>
  <w:style w:type="paragraph" w:styleId="Footer">
    <w:name w:val="footer"/>
    <w:basedOn w:val="Normal"/>
    <w:link w:val="Char0"/>
    <w:uiPriority w:val="99"/>
    <w:qFormat/>
    <w:pPr>
      <w:tabs>
        <w:tab w:val="center" w:pos="4153"/>
        <w:tab w:val="right" w:pos="8306"/>
      </w:tabs>
      <w:snapToGrid w:val="0"/>
      <w:jc w:val="left"/>
    </w:pPr>
    <w:rPr>
      <w:sz w:val="18"/>
      <w:szCs w:val="18"/>
    </w:rPr>
  </w:style>
  <w:style w:type="paragraph" w:styleId="Header">
    <w:name w:val="header"/>
    <w:basedOn w:val="Normal"/>
    <w:link w:val="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qFormat/>
    <w:rPr>
      <w:b/>
    </w:rPr>
  </w:style>
  <w:style w:type="character" w:customStyle="1" w:styleId="Char">
    <w:name w:val="页眉 Char"/>
    <w:basedOn w:val="DefaultParagraphFont"/>
    <w:link w:val="Header"/>
    <w:qFormat/>
    <w:rPr>
      <w:kern w:val="2"/>
      <w:sz w:val="18"/>
      <w:szCs w:val="18"/>
    </w:rPr>
  </w:style>
  <w:style w:type="character" w:customStyle="1" w:styleId="Char0">
    <w:name w:val="页脚 Char"/>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4</TotalTime>
  <Pages>11</Pages>
  <Words>4423</Words>
  <Characters>4970</Characters>
  <Application>Microsoft Office Word</Application>
  <DocSecurity>0</DocSecurity>
  <Lines>37</Lines>
  <Paragraphs>10</Paragraphs>
  <ScaleCrop>false</ScaleCrop>
  <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安徽省财政厅2015年部门预算</dc:title>
  <dc:creator>微软用户</dc:creator>
  <cp:lastModifiedBy>在此</cp:lastModifiedBy>
  <cp:revision>4</cp:revision>
  <cp:lastPrinted>2019-01-15T08:53:00Z</cp:lastPrinted>
  <dcterms:created xsi:type="dcterms:W3CDTF">2023-01-05T16:44:00Z</dcterms:created>
  <dcterms:modified xsi:type="dcterms:W3CDTF">2023-01-06T02:33:41Z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CF95183A41C4419BB953857A4B63B55C</vt:lpwstr>
  </property>
  <property fmtid="{D5CDD505-2E9C-101B-9397-08002B2CF9AE}" pid="3" name="KSOProductBuildVer">
    <vt:lpwstr>2052-11.1.0.13703</vt:lpwstr>
  </property>
</Properties>
</file>