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C3A1F">
      <w:pPr>
        <w:spacing w:line="560" w:lineRule="exact"/>
        <w:jc w:val="center"/>
        <w:rPr>
          <w:rFonts w:hint="eastAsia" w:ascii="方正小标宋_GBK" w:hAnsi="TimesNewRoman" w:eastAsia="方正小标宋_GBK" w:cs="TimesNewRoman"/>
          <w:sz w:val="44"/>
          <w:szCs w:val="44"/>
        </w:rPr>
      </w:pPr>
      <w:bookmarkStart w:id="0" w:name="_GoBack"/>
      <w:bookmarkEnd w:id="0"/>
    </w:p>
    <w:p w14:paraId="48260F54">
      <w:pPr>
        <w:spacing w:line="560" w:lineRule="exact"/>
        <w:jc w:val="center"/>
        <w:rPr>
          <w:rFonts w:hint="eastAsia" w:ascii="方正小标宋_GBK" w:hAnsi="TimesNewRoman" w:eastAsia="方正小标宋_GBK" w:cs="TimesNewRoman"/>
          <w:sz w:val="44"/>
          <w:szCs w:val="44"/>
        </w:rPr>
      </w:pPr>
    </w:p>
    <w:p w14:paraId="162826CE">
      <w:pPr>
        <w:spacing w:line="560" w:lineRule="exact"/>
        <w:jc w:val="center"/>
        <w:rPr>
          <w:rFonts w:hint="eastAsia" w:ascii="方正小标宋_GBK" w:hAnsi="TimesNewRoman" w:eastAsia="方正小标宋_GBK" w:cs="TimesNewRoman"/>
          <w:sz w:val="44"/>
          <w:szCs w:val="44"/>
        </w:rPr>
      </w:pPr>
    </w:p>
    <w:p w14:paraId="3EB03E39">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_GBK" w:hAnsi="TimesNewRoman" w:eastAsia="方正小标宋_GBK" w:cs="TimesNewRoman"/>
          <w:spacing w:val="51"/>
          <w:sz w:val="44"/>
          <w:szCs w:val="44"/>
        </w:rPr>
      </w:pPr>
    </w:p>
    <w:p w14:paraId="6450960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TimesNewRoman"/>
          <w:spacing w:val="51"/>
          <w:sz w:val="44"/>
          <w:szCs w:val="44"/>
        </w:rPr>
      </w:pPr>
      <w:r>
        <w:rPr>
          <w:rFonts w:hint="eastAsia" w:ascii="方正小标宋简体" w:hAnsi="方正小标宋简体" w:eastAsia="方正小标宋简体" w:cs="TimesNewRoman"/>
          <w:spacing w:val="51"/>
          <w:sz w:val="44"/>
          <w:szCs w:val="44"/>
          <w:lang w:val="en-US" w:eastAsia="zh-CN"/>
        </w:rPr>
        <w:t>寿县文学艺术院（寿州循理书院）</w:t>
      </w:r>
      <w:r>
        <w:rPr>
          <w:rFonts w:hint="eastAsia" w:ascii="方正小标宋简体" w:hAnsi="方正小标宋简体" w:eastAsia="方正小标宋简体" w:cs="TimesNewRoman"/>
          <w:spacing w:val="51"/>
          <w:sz w:val="44"/>
          <w:szCs w:val="44"/>
        </w:rPr>
        <w:t>202</w:t>
      </w:r>
      <w:r>
        <w:rPr>
          <w:rFonts w:hint="eastAsia" w:ascii="方正小标宋简体" w:hAnsi="方正小标宋简体" w:eastAsia="方正小标宋简体" w:cs="TimesNewRoman"/>
          <w:spacing w:val="51"/>
          <w:sz w:val="44"/>
          <w:szCs w:val="44"/>
          <w:lang w:val="en-US" w:eastAsia="zh-CN"/>
        </w:rPr>
        <w:t>6</w:t>
      </w:r>
      <w:r>
        <w:rPr>
          <w:rFonts w:hint="eastAsia" w:ascii="方正小标宋简体" w:hAnsi="方正小标宋简体" w:eastAsia="方正小标宋简体" w:cs="TimesNewRoman"/>
          <w:spacing w:val="51"/>
          <w:sz w:val="44"/>
          <w:szCs w:val="44"/>
        </w:rPr>
        <w:t>年</w:t>
      </w:r>
      <w:r>
        <w:rPr>
          <w:rFonts w:hint="eastAsia" w:ascii="方正小标宋简体" w:hAnsi="方正小标宋简体" w:eastAsia="方正小标宋简体" w:cs="TimesNewRoman"/>
          <w:spacing w:val="51"/>
          <w:sz w:val="44"/>
          <w:szCs w:val="44"/>
          <w:lang w:val="en-US" w:eastAsia="zh-CN"/>
        </w:rPr>
        <w:t>单位</w:t>
      </w:r>
      <w:r>
        <w:rPr>
          <w:rFonts w:hint="eastAsia" w:ascii="方正小标宋简体" w:hAnsi="方正小标宋简体" w:eastAsia="方正小标宋简体" w:cs="TimesNewRoman"/>
          <w:spacing w:val="51"/>
          <w:sz w:val="44"/>
          <w:szCs w:val="44"/>
        </w:rPr>
        <w:t>预算</w:t>
      </w:r>
    </w:p>
    <w:p w14:paraId="4761790D">
      <w:pPr>
        <w:pStyle w:val="3"/>
        <w:adjustRightInd w:val="0"/>
        <w:snapToGrid w:val="0"/>
        <w:spacing w:line="560" w:lineRule="exact"/>
        <w:jc w:val="center"/>
        <w:outlineLvl w:val="0"/>
        <w:rPr>
          <w:rFonts w:hint="eastAsia" w:ascii="方正小标宋简体" w:hAnsi="方正小标宋简体" w:eastAsia="方正小标宋简体" w:cs="TimesNewRoman"/>
          <w:sz w:val="32"/>
          <w:szCs w:val="32"/>
        </w:rPr>
      </w:pPr>
    </w:p>
    <w:p w14:paraId="2251BDF1">
      <w:pPr>
        <w:pStyle w:val="3"/>
        <w:adjustRightInd w:val="0"/>
        <w:snapToGrid w:val="0"/>
        <w:spacing w:line="560" w:lineRule="exact"/>
        <w:jc w:val="center"/>
        <w:rPr>
          <w:rFonts w:hint="eastAsia" w:ascii="仿宋_GB2312" w:hAnsi="TimesNewRoman" w:eastAsia="仿宋_GB2312" w:cs="TimesNewRoman"/>
          <w:bCs/>
          <w:sz w:val="32"/>
          <w:szCs w:val="32"/>
        </w:rPr>
      </w:pPr>
    </w:p>
    <w:p w14:paraId="1DB939B1">
      <w:pPr>
        <w:pStyle w:val="3"/>
        <w:adjustRightInd w:val="0"/>
        <w:snapToGrid w:val="0"/>
        <w:spacing w:line="560" w:lineRule="exact"/>
        <w:jc w:val="center"/>
        <w:rPr>
          <w:rFonts w:hint="eastAsia" w:ascii="仿宋_GB2312" w:hAnsi="TimesNewRoman" w:eastAsia="仿宋_GB2312" w:cs="TimesNewRoman"/>
          <w:bCs/>
          <w:sz w:val="32"/>
          <w:szCs w:val="32"/>
        </w:rPr>
      </w:pPr>
    </w:p>
    <w:p w14:paraId="3A43F779">
      <w:pPr>
        <w:pStyle w:val="3"/>
        <w:adjustRightInd w:val="0"/>
        <w:snapToGrid w:val="0"/>
        <w:spacing w:line="560" w:lineRule="exact"/>
        <w:jc w:val="center"/>
        <w:rPr>
          <w:rFonts w:hint="eastAsia" w:ascii="仿宋_GB2312" w:hAnsi="TimesNewRoman" w:eastAsia="仿宋_GB2312" w:cs="TimesNewRoman"/>
          <w:bCs/>
          <w:sz w:val="32"/>
          <w:szCs w:val="32"/>
        </w:rPr>
      </w:pPr>
    </w:p>
    <w:p w14:paraId="2231B56C">
      <w:pPr>
        <w:pStyle w:val="3"/>
        <w:adjustRightInd w:val="0"/>
        <w:snapToGrid w:val="0"/>
        <w:spacing w:line="560" w:lineRule="exact"/>
        <w:jc w:val="center"/>
        <w:rPr>
          <w:rFonts w:hint="eastAsia" w:ascii="仿宋_GB2312" w:hAnsi="TimesNewRoman" w:eastAsia="仿宋_GB2312" w:cs="TimesNewRoman"/>
          <w:bCs/>
          <w:sz w:val="32"/>
          <w:szCs w:val="32"/>
        </w:rPr>
      </w:pPr>
    </w:p>
    <w:p w14:paraId="314C78B0">
      <w:pPr>
        <w:pStyle w:val="3"/>
        <w:adjustRightInd w:val="0"/>
        <w:snapToGrid w:val="0"/>
        <w:spacing w:line="560" w:lineRule="exact"/>
        <w:jc w:val="center"/>
        <w:rPr>
          <w:rFonts w:hint="eastAsia" w:ascii="仿宋_GB2312" w:hAnsi="TimesNewRoman" w:eastAsia="仿宋_GB2312" w:cs="TimesNewRoman"/>
          <w:bCs/>
          <w:sz w:val="32"/>
          <w:szCs w:val="32"/>
        </w:rPr>
      </w:pPr>
    </w:p>
    <w:p w14:paraId="413A9238">
      <w:pPr>
        <w:pStyle w:val="3"/>
        <w:adjustRightInd w:val="0"/>
        <w:snapToGrid w:val="0"/>
        <w:spacing w:line="560" w:lineRule="exact"/>
        <w:jc w:val="center"/>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                       </w:t>
      </w:r>
    </w:p>
    <w:p w14:paraId="08BA2047">
      <w:pPr>
        <w:pStyle w:val="3"/>
        <w:adjustRightInd w:val="0"/>
        <w:snapToGrid w:val="0"/>
        <w:spacing w:line="560" w:lineRule="exact"/>
        <w:jc w:val="center"/>
        <w:rPr>
          <w:rFonts w:hint="eastAsia" w:ascii="仿宋_GB2312" w:hAnsi="TimesNewRoman" w:eastAsia="仿宋_GB2312" w:cs="TimesNewRoman"/>
          <w:bCs/>
          <w:sz w:val="32"/>
          <w:szCs w:val="32"/>
        </w:rPr>
      </w:pPr>
    </w:p>
    <w:p w14:paraId="6120BB2B">
      <w:pPr>
        <w:pStyle w:val="3"/>
        <w:adjustRightInd w:val="0"/>
        <w:snapToGrid w:val="0"/>
        <w:spacing w:line="560" w:lineRule="exact"/>
        <w:jc w:val="center"/>
        <w:rPr>
          <w:rFonts w:hint="eastAsia" w:ascii="仿宋_GB2312" w:hAnsi="TimesNewRoman" w:eastAsia="仿宋_GB2312" w:cs="TimesNewRoman"/>
          <w:bCs/>
          <w:sz w:val="32"/>
          <w:szCs w:val="32"/>
        </w:rPr>
      </w:pPr>
    </w:p>
    <w:p w14:paraId="2BCAB71E">
      <w:pPr>
        <w:pStyle w:val="3"/>
        <w:adjustRightInd w:val="0"/>
        <w:snapToGrid w:val="0"/>
        <w:spacing w:line="560" w:lineRule="exact"/>
        <w:jc w:val="center"/>
        <w:rPr>
          <w:rFonts w:hint="eastAsia" w:ascii="仿宋_GB2312" w:hAnsi="TimesNewRoman" w:eastAsia="仿宋_GB2312" w:cs="TimesNewRoman"/>
          <w:bCs/>
          <w:sz w:val="32"/>
          <w:szCs w:val="32"/>
        </w:rPr>
      </w:pPr>
    </w:p>
    <w:p w14:paraId="562793CB">
      <w:pPr>
        <w:pStyle w:val="3"/>
        <w:adjustRightInd w:val="0"/>
        <w:snapToGrid w:val="0"/>
        <w:spacing w:line="560" w:lineRule="exact"/>
        <w:jc w:val="center"/>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2026年1月</w:t>
      </w:r>
    </w:p>
    <w:p w14:paraId="62E3BA96">
      <w:pPr>
        <w:pStyle w:val="3"/>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32BE1952">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585ECA65">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第一部分 </w:t>
      </w:r>
      <w:r>
        <w:rPr>
          <w:rFonts w:hint="eastAsia" w:ascii="黑体" w:hAnsi="黑体" w:eastAsia="黑体" w:cs="TimesNewRoman"/>
          <w:sz w:val="32"/>
          <w:szCs w:val="32"/>
          <w:lang w:val="en-US" w:eastAsia="zh-CN"/>
        </w:rPr>
        <w:t>单位</w:t>
      </w:r>
      <w:r>
        <w:rPr>
          <w:rFonts w:ascii="黑体" w:hAnsi="黑体" w:eastAsia="黑体" w:cs="TimesNewRoman"/>
          <w:sz w:val="32"/>
          <w:szCs w:val="32"/>
        </w:rPr>
        <w:t>概况</w:t>
      </w:r>
    </w:p>
    <w:p w14:paraId="5EDF0199">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27FBAF7F">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w:t>
      </w:r>
      <w:r>
        <w:rPr>
          <w:rFonts w:hint="eastAsia" w:ascii="仿宋_GB2312" w:hAnsi="TimesNewRoman" w:eastAsia="仿宋_GB2312" w:cs="TimesNewRoman"/>
          <w:bCs/>
          <w:sz w:val="32"/>
          <w:szCs w:val="32"/>
          <w:lang w:val="en-US" w:eastAsia="zh-CN"/>
        </w:rPr>
        <w:t>单位</w:t>
      </w:r>
      <w:r>
        <w:rPr>
          <w:rFonts w:hint="eastAsia" w:ascii="仿宋_GB2312" w:hAnsi="TimesNewRoman" w:eastAsia="仿宋_GB2312" w:cs="TimesNewRoman"/>
          <w:bCs/>
          <w:sz w:val="32"/>
          <w:szCs w:val="32"/>
        </w:rPr>
        <w:t>预算构成</w:t>
      </w:r>
    </w:p>
    <w:p w14:paraId="4850C690">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w:t>
      </w:r>
      <w:r>
        <w:rPr>
          <w:rFonts w:hint="eastAsia" w:ascii="仿宋_GB2312" w:hAnsi="TimesNewRoman" w:eastAsia="仿宋_GB2312" w:cs="TimesNewRoman"/>
          <w:bCs/>
          <w:sz w:val="32"/>
          <w:szCs w:val="32"/>
          <w:lang w:val="en-US" w:eastAsia="zh-CN"/>
        </w:rPr>
        <w:t>6</w:t>
      </w:r>
      <w:r>
        <w:rPr>
          <w:rFonts w:hint="eastAsia" w:ascii="仿宋_GB2312" w:hAnsi="TimesNewRoman" w:eastAsia="仿宋_GB2312" w:cs="TimesNewRoman"/>
          <w:bCs/>
          <w:sz w:val="32"/>
          <w:szCs w:val="32"/>
        </w:rPr>
        <w:t>年度主要工作任务</w:t>
      </w:r>
    </w:p>
    <w:p w14:paraId="2F1B4D53">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w:t>
      </w:r>
      <w:r>
        <w:rPr>
          <w:rFonts w:hint="eastAsia" w:ascii="黑体" w:hAnsi="黑体" w:eastAsia="黑体" w:cs="TimesNewRoman"/>
          <w:sz w:val="32"/>
          <w:szCs w:val="32"/>
          <w:lang w:val="en-US" w:eastAsia="zh-CN"/>
        </w:rPr>
        <w:t>6</w:t>
      </w:r>
      <w:r>
        <w:rPr>
          <w:rFonts w:ascii="黑体" w:hAnsi="黑体" w:eastAsia="黑体" w:cs="TimesNewRoman"/>
          <w:sz w:val="32"/>
          <w:szCs w:val="32"/>
        </w:rPr>
        <w:t>年</w:t>
      </w:r>
      <w:r>
        <w:rPr>
          <w:rFonts w:hint="eastAsia" w:ascii="黑体" w:hAnsi="黑体" w:eastAsia="黑体" w:cs="TimesNewRoman"/>
          <w:sz w:val="32"/>
          <w:szCs w:val="32"/>
          <w:lang w:val="en-US" w:eastAsia="zh-CN"/>
        </w:rPr>
        <w:t>单位</w:t>
      </w:r>
      <w:r>
        <w:rPr>
          <w:rFonts w:ascii="黑体" w:hAnsi="黑体" w:eastAsia="黑体" w:cs="TimesNewRoman"/>
          <w:sz w:val="32"/>
          <w:szCs w:val="32"/>
        </w:rPr>
        <w:t>预算情况说明</w:t>
      </w:r>
    </w:p>
    <w:p w14:paraId="4CDE65E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年收支总表的说明</w:t>
      </w:r>
    </w:p>
    <w:p w14:paraId="30C56F1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年收入总表的说明</w:t>
      </w:r>
    </w:p>
    <w:p w14:paraId="7B889FAA">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年支出总表的说明</w:t>
      </w:r>
    </w:p>
    <w:p w14:paraId="2A8F764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年财政拨款收支总表的说明</w:t>
      </w:r>
    </w:p>
    <w:p w14:paraId="6764B9C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年一般公共预算支出表的说明</w:t>
      </w:r>
    </w:p>
    <w:p w14:paraId="081DEDB8">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年一般公共预算基本支出表的说明</w:t>
      </w:r>
    </w:p>
    <w:p w14:paraId="14A3422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年政府性基金预算支出表的说明</w:t>
      </w:r>
    </w:p>
    <w:p w14:paraId="7B5D1E29">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年国有资本经营预算支出表的说明</w:t>
      </w:r>
    </w:p>
    <w:p w14:paraId="3AED907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年项目支出表的说明</w:t>
      </w:r>
    </w:p>
    <w:p w14:paraId="356A4E76">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年政府采购支出表的说明</w:t>
      </w:r>
    </w:p>
    <w:p w14:paraId="2B17C4F4">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w:t>
      </w:r>
      <w:r>
        <w:rPr>
          <w:rFonts w:hint="eastAsia" w:ascii="仿宋_GB2312" w:hAnsi="TimesNewRoman" w:eastAsia="仿宋_GB2312" w:cs="TimesNewRoman"/>
          <w:bCs/>
          <w:sz w:val="32"/>
          <w:szCs w:val="32"/>
          <w:lang w:val="en-US" w:eastAsia="zh-CN"/>
        </w:rPr>
        <w:t>6</w:t>
      </w:r>
      <w:r>
        <w:rPr>
          <w:rFonts w:ascii="仿宋_GB2312" w:hAnsi="TimesNewRoman" w:eastAsia="仿宋_GB2312" w:cs="TimesNewRoman"/>
          <w:bCs/>
          <w:sz w:val="32"/>
          <w:szCs w:val="32"/>
        </w:rPr>
        <w:t>年政府购买服务支出表的说明</w:t>
      </w:r>
    </w:p>
    <w:p w14:paraId="532477D4">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12.关于2026年一般公共预算“三公”经费支出情况说明</w:t>
      </w:r>
    </w:p>
    <w:p w14:paraId="54615ECA">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ascii="仿宋_GB2312" w:hAnsi="TimesNewRoman" w:eastAsia="仿宋_GB2312" w:cs="TimesNewRoman"/>
          <w:bCs/>
          <w:sz w:val="32"/>
          <w:szCs w:val="32"/>
        </w:rPr>
        <w:t>.其他重要事项情况说明</w:t>
      </w:r>
    </w:p>
    <w:p w14:paraId="0F82857B">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558825A6">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18F564CF">
      <w:pPr>
        <w:pStyle w:val="3"/>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lang w:val="en-US" w:eastAsia="zh-CN"/>
        </w:rPr>
        <w:t>单位</w:t>
      </w:r>
      <w:r>
        <w:rPr>
          <w:rFonts w:ascii="TimesNewRoman" w:hAnsi="TimesNewRoman" w:eastAsia="黑体" w:cs="TimesNewRoman"/>
          <w:bCs/>
          <w:sz w:val="36"/>
          <w:szCs w:val="36"/>
        </w:rPr>
        <w:t>概况</w:t>
      </w:r>
    </w:p>
    <w:p w14:paraId="0C0EE618">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27" w:firstLineChars="196"/>
        <w:jc w:val="both"/>
        <w:textAlignment w:val="auto"/>
        <w:outlineLvl w:val="9"/>
        <w:rPr>
          <w:rFonts w:ascii="TimesNewRoman" w:hAnsi="TimesNewRoman" w:eastAsia="黑体" w:cs="TimesNewRoman"/>
          <w:bCs/>
          <w:sz w:val="32"/>
          <w:szCs w:val="32"/>
        </w:rPr>
      </w:pPr>
    </w:p>
    <w:p w14:paraId="742BDEDC">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43" w:firstLineChars="200"/>
        <w:jc w:val="both"/>
        <w:textAlignment w:val="auto"/>
        <w:outlineLvl w:val="9"/>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32182B5F">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1.负责中国“文学之乡”的申创及日常管理工作，依托中国“文学之乡”平台，组织、承办各类文学赛事，组织、指导全县文学艺术创作活动;</w:t>
      </w:r>
    </w:p>
    <w:p w14:paraId="343D16C8">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开展文艺作品创作、文艺理论研究，组织专题创作采风活动;</w:t>
      </w:r>
    </w:p>
    <w:p w14:paraId="096F448A">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承担寿县文艺丛书、公益性文学刊物的策划、组织、编辑、出版、研讨、展览、宣传推广工作;</w:t>
      </w:r>
    </w:p>
    <w:p w14:paraId="759FE12F">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组织实施各类文艺选题的作品创作、举办文艺作品交流活动，组织开展文艺培训、调研等活动，为文艺家创作提供设立签约作家机制、组建文艺名家工作室等相关服务;</w:t>
      </w:r>
    </w:p>
    <w:p w14:paraId="725D4581">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负责寿州循理书院的日常管理运营等相关工作。</w:t>
      </w:r>
    </w:p>
    <w:p w14:paraId="478DED2A">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hint="eastAsia" w:ascii="楷体_GB2312" w:hAnsi="TimesNewRoman" w:eastAsia="楷体_GB2312" w:cs="TimesNewRoman"/>
          <w:b/>
          <w:bCs/>
          <w:sz w:val="32"/>
          <w:szCs w:val="32"/>
          <w:lang w:val="en-US" w:eastAsia="zh-CN"/>
        </w:rPr>
        <w:t>单位</w:t>
      </w:r>
      <w:r>
        <w:rPr>
          <w:rFonts w:ascii="楷体_GB2312" w:hAnsi="TimesNewRoman" w:eastAsia="楷体_GB2312" w:cs="TimesNewRoman"/>
          <w:b/>
          <w:bCs/>
          <w:sz w:val="32"/>
          <w:szCs w:val="32"/>
        </w:rPr>
        <w:t>预算构成</w:t>
      </w:r>
    </w:p>
    <w:p w14:paraId="7695C0D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从预算单位构成看，</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年度</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预算仅包括</w:t>
      </w:r>
      <w:r>
        <w:rPr>
          <w:rFonts w:hint="eastAsia" w:ascii="仿宋_GB2312" w:hAnsi="TimesNewRoman" w:eastAsia="仿宋_GB2312" w:cs="TimesNewRoman"/>
          <w:sz w:val="32"/>
          <w:szCs w:val="32"/>
          <w:lang w:val="en-US" w:eastAsia="zh-CN"/>
        </w:rPr>
        <w:t>县文学院</w:t>
      </w:r>
      <w:r>
        <w:rPr>
          <w:rFonts w:hint="eastAsia" w:ascii="仿宋_GB2312" w:hAnsi="TimesNewRoman" w:eastAsia="仿宋_GB2312" w:cs="TimesNewRoman"/>
          <w:sz w:val="32"/>
          <w:szCs w:val="32"/>
        </w:rPr>
        <w:t>本级预算，无其他下属单位预算。</w:t>
      </w:r>
    </w:p>
    <w:p w14:paraId="4165C218">
      <w:pPr>
        <w:pStyle w:val="3"/>
        <w:topLinePunct/>
        <w:adjustRightInd w:val="0"/>
        <w:snapToGrid w:val="0"/>
        <w:spacing w:beforeAutospacing="0" w:afterAutospacing="0" w:line="580" w:lineRule="exact"/>
        <w:ind w:firstLine="643"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w:t>
      </w:r>
      <w:r>
        <w:rPr>
          <w:rFonts w:hint="eastAsia" w:ascii="楷体_GB2312" w:hAnsi="TimesNewRoman" w:eastAsia="楷体_GB2312" w:cs="TimesNewRoman"/>
          <w:b/>
          <w:bCs/>
          <w:sz w:val="32"/>
          <w:szCs w:val="32"/>
          <w:lang w:val="en-US" w:eastAsia="zh-CN"/>
        </w:rPr>
        <w:t>6</w:t>
      </w:r>
      <w:r>
        <w:rPr>
          <w:rFonts w:hint="eastAsia" w:ascii="楷体_GB2312" w:hAnsi="TimesNewRoman" w:eastAsia="楷体_GB2312" w:cs="TimesNewRoman"/>
          <w:b/>
          <w:bCs/>
          <w:sz w:val="32"/>
          <w:szCs w:val="32"/>
        </w:rPr>
        <w:t>年度主要工作任务</w:t>
      </w:r>
    </w:p>
    <w:p w14:paraId="62A5BCDF">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 深耕“文学之乡”品牌，高质量承办中国“文学之乡”年度授牌、采风、论坛或成果展示等活动。</w:t>
      </w:r>
    </w:p>
    <w:p w14:paraId="08ED7D00">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 对接上级作协，承接中国作协、省作协安排的文学讲座、专题研讨、作家定点深入生活、文学志愿服务等活动。</w:t>
      </w:r>
    </w:p>
    <w:p w14:paraId="36587BE4">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 举办作品首发式与作品研讨系列活动</w:t>
      </w:r>
    </w:p>
    <w:p w14:paraId="3A6772EC">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（1）举办 《春到正阳关》首发式及研讨会（聚焦特定主题作品）。</w:t>
      </w:r>
    </w:p>
    <w:p w14:paraId="6CE5F900">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（2）举办寿县地域文学作品首发式及研讨会（聚焦寿县历史、文化题材）。</w:t>
      </w:r>
    </w:p>
    <w:p w14:paraId="1BAE5500">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（3）举办寿县本土作家作品首发式及研讨会（聚焦本土作家最新力作）。</w:t>
      </w:r>
    </w:p>
    <w:p w14:paraId="1EA28116">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 参与协办 “寿春四月文学月” 系列活动。</w:t>
      </w:r>
    </w:p>
    <w:p w14:paraId="76E31244">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 开展县域文学交流活动，与兄弟县（市、区）作协或文学团体进行互访、座谈、联合采风。</w:t>
      </w:r>
    </w:p>
    <w:p w14:paraId="2D161B7F">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 编撰、出版文艺系列丛书。</w:t>
      </w:r>
    </w:p>
    <w:p w14:paraId="36715D3E">
      <w:pPr>
        <w:spacing w:line="600" w:lineRule="exact"/>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7.参与并组织 “中国共产党成立105周年、红军长征胜利90周年” 文学纪念活动。</w:t>
      </w:r>
    </w:p>
    <w:p w14:paraId="387DE933">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4A5C26DF">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55B78586">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1BF8870F">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7920B522">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10138DBF">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41C5C80F">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23540713">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17497FA4">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4D9ADAA5">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楷体_GB2312" w:hAnsi="TimesNewRoman" w:eastAsia="楷体_GB2312" w:cs="TimesNewRoman"/>
          <w:b/>
          <w:bCs/>
          <w:sz w:val="36"/>
          <w:szCs w:val="36"/>
        </w:rPr>
        <w:t>202</w:t>
      </w:r>
      <w:r>
        <w:rPr>
          <w:rFonts w:hint="eastAsia" w:ascii="楷体_GB2312" w:hAnsi="TimesNewRoman" w:eastAsia="楷体_GB2312" w:cs="TimesNewRoman"/>
          <w:b/>
          <w:bCs/>
          <w:sz w:val="36"/>
          <w:szCs w:val="36"/>
          <w:lang w:val="en-US" w:eastAsia="zh-CN"/>
        </w:rPr>
        <w:t>6</w:t>
      </w:r>
      <w:r>
        <w:rPr>
          <w:rFonts w:ascii="TimesNewRoman" w:hAnsi="TimesNewRoman" w:eastAsia="黑体" w:cs="TimesNewRoman"/>
          <w:bCs/>
          <w:sz w:val="36"/>
          <w:szCs w:val="36"/>
        </w:rPr>
        <w:t>年</w:t>
      </w:r>
      <w:r>
        <w:rPr>
          <w:rFonts w:hint="eastAsia" w:ascii="TimesNewRoman" w:hAnsi="TimesNewRoman" w:eastAsia="黑体" w:cs="TimesNewRoman"/>
          <w:bCs/>
          <w:sz w:val="36"/>
          <w:szCs w:val="36"/>
          <w:lang w:val="en-US" w:eastAsia="zh-CN"/>
        </w:rPr>
        <w:t>单位</w:t>
      </w:r>
      <w:r>
        <w:rPr>
          <w:rFonts w:ascii="TimesNewRoman" w:hAnsi="TimesNewRoman" w:eastAsia="黑体" w:cs="TimesNewRoman"/>
          <w:bCs/>
          <w:sz w:val="36"/>
          <w:szCs w:val="36"/>
        </w:rPr>
        <w:t>预算情况说明</w:t>
      </w:r>
    </w:p>
    <w:p w14:paraId="2104D4D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715D7847">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年收支总表的说明</w:t>
      </w:r>
    </w:p>
    <w:p w14:paraId="41376E14">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w:t>
      </w: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所有收入和支出均纳入</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预算管理。</w:t>
      </w:r>
      <w:r>
        <w:rPr>
          <w:rFonts w:hint="eastAsia" w:ascii="仿宋_GB2312" w:hAnsi="TimesNewRoman" w:eastAsia="仿宋_GB2312" w:cs="TimesNewRoman"/>
          <w:sz w:val="32"/>
          <w:szCs w:val="32"/>
          <w:lang w:val="en-US" w:eastAsia="zh-CN"/>
        </w:rPr>
        <w:t>寿县文学艺术院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年收支总预算</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万元，收入全部是一般公共预算拨款收入，支出包括：</w:t>
      </w:r>
      <w:r>
        <w:rPr>
          <w:rFonts w:hint="eastAsia" w:ascii="仿宋_GB2312" w:hAnsi="TimesNewRoman" w:eastAsia="仿宋_GB2312" w:cs="TimesNewRoman"/>
          <w:sz w:val="32"/>
          <w:szCs w:val="32"/>
          <w:lang w:val="en-US" w:eastAsia="zh-CN"/>
        </w:rPr>
        <w:t>文化旅游体育与传媒支出</w:t>
      </w:r>
      <w:r>
        <w:rPr>
          <w:rFonts w:hint="eastAsia" w:ascii="仿宋_GB2312" w:hAnsi="TimesNewRoman" w:eastAsia="仿宋_GB2312" w:cs="TimesNewRoman"/>
          <w:sz w:val="32"/>
          <w:szCs w:val="32"/>
        </w:rPr>
        <w:t>、社会保障和就业支出、卫生健康支出、住房保障支出。</w:t>
      </w:r>
    </w:p>
    <w:p w14:paraId="02C3DA9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年收入总表的说明</w:t>
      </w:r>
    </w:p>
    <w:p w14:paraId="16F263CC">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年收入预算</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6A5F4C60">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（一）本年收入</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万元，全部为一般公共预算拨款收入</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比202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增加14.8</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增长28.58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增长</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2026年度单位在职职工调入1人，导致人员经费增加。</w:t>
      </w:r>
    </w:p>
    <w:p w14:paraId="68910D33">
      <w:pPr>
        <w:topLinePunct/>
        <w:adjustRightInd w:val="0"/>
        <w:snapToGrid w:val="0"/>
        <w:spacing w:line="580" w:lineRule="exact"/>
        <w:ind w:firstLine="640" w:firstLineChars="200"/>
        <w:rPr>
          <w:rFonts w:hint="eastAsia" w:ascii="仿宋_GB2312" w:hAnsi="TimesNewRoman" w:eastAsia="仿宋_GB2312" w:cs="TimesNewRoman"/>
          <w:color w:val="000000" w:themeColor="text1"/>
          <w:sz w:val="32"/>
          <w:szCs w:val="32"/>
          <w:lang w:val="en-US" w:eastAsia="zh-CN"/>
          <w14:textFill>
            <w14:solidFill>
              <w14:schemeClr w14:val="tx1"/>
            </w14:solidFill>
          </w14:textFill>
        </w:rPr>
      </w:pPr>
      <w:r>
        <w:rPr>
          <w:rFonts w:hint="eastAsia" w:ascii="仿宋_GB2312" w:hAnsi="TimesNewRoman" w:eastAsia="仿宋_GB2312" w:cs="TimesNewRoman"/>
          <w:color w:val="000000" w:themeColor="text1"/>
          <w:sz w:val="32"/>
          <w:szCs w:val="32"/>
          <w:lang w:val="en-US" w:eastAsia="zh-CN"/>
          <w14:textFill>
            <w14:solidFill>
              <w14:schemeClr w14:val="tx1"/>
            </w14:solidFill>
          </w14:textFill>
        </w:rPr>
        <w:t>（二）上年结转收入0万元。</w:t>
      </w:r>
    </w:p>
    <w:p w14:paraId="6CC0353D">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年支出总表的说明</w:t>
      </w:r>
    </w:p>
    <w:p w14:paraId="72187640">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年支出预算</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增加14.8</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增长28.58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增长</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2026年度单位在职职工调入1人，导致人员经费增加。</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50.59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75.97</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16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24.03</w:t>
      </w:r>
      <w:r>
        <w:rPr>
          <w:rFonts w:hint="eastAsia" w:ascii="仿宋_GB2312" w:hAnsi="TimesNewRoman" w:eastAsia="仿宋_GB2312" w:cs="TimesNewRoman"/>
          <w:sz w:val="32"/>
          <w:szCs w:val="32"/>
        </w:rPr>
        <w:t>%，</w:t>
      </w:r>
      <w:r>
        <w:rPr>
          <w:rFonts w:hint="eastAsia" w:ascii="仿宋_GB2312" w:hAnsi="TimesNewRoman" w:eastAsia="仿宋_GB2312" w:cs="TimesNewRoman"/>
          <w:color w:val="000000" w:themeColor="text1"/>
          <w:sz w:val="32"/>
          <w:szCs w:val="32"/>
          <w14:textFill>
            <w14:solidFill>
              <w14:schemeClr w14:val="tx1"/>
            </w14:solidFill>
          </w14:textFill>
        </w:rPr>
        <w:t>主要用于</w:t>
      </w:r>
      <w:r>
        <w:rPr>
          <w:rFonts w:hint="eastAsia" w:ascii="仿宋_GB2312" w:hAnsi="TimesNewRoman" w:eastAsia="仿宋_GB2312" w:cs="TimesNewRoman"/>
          <w:color w:val="000000" w:themeColor="text1"/>
          <w:sz w:val="32"/>
          <w:szCs w:val="32"/>
          <w:lang w:val="en-US" w:eastAsia="zh-CN"/>
          <w14:textFill>
            <w14:solidFill>
              <w14:schemeClr w14:val="tx1"/>
            </w14:solidFill>
          </w14:textFill>
        </w:rPr>
        <w:t>保障单位文学艺术工作相关支出</w:t>
      </w:r>
      <w:r>
        <w:rPr>
          <w:rFonts w:hint="eastAsia" w:ascii="仿宋_GB2312" w:hAnsi="TimesNewRoman" w:eastAsia="仿宋_GB2312" w:cs="TimesNewRoman"/>
          <w:sz w:val="32"/>
          <w:szCs w:val="32"/>
        </w:rPr>
        <w:t>；事业单位经营支出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%；上缴上级支出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%；对附属单位补助支出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w:t>
      </w:r>
    </w:p>
    <w:p w14:paraId="4FF433F1">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年财政拨款收支总表的说明</w:t>
      </w:r>
    </w:p>
    <w:p w14:paraId="57E6D2EB">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年财政拨款收支预算</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万元。收入按资金来源分全部为一般公共预算拨款；按资金年度分全部为当年财政拨款收入。支出按功能分类分为：</w:t>
      </w:r>
      <w:r>
        <w:rPr>
          <w:rFonts w:hint="eastAsia" w:ascii="仿宋_GB2312" w:hAnsi="TimesNewRoman" w:eastAsia="仿宋_GB2312" w:cs="TimesNewRoman"/>
          <w:sz w:val="32"/>
          <w:szCs w:val="32"/>
          <w:lang w:val="en-US" w:eastAsia="zh-CN"/>
        </w:rPr>
        <w:t>文化旅游体育与传媒</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55.34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83.09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5.42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8.14</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2.57</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4.13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6.20</w:t>
      </w:r>
      <w:r>
        <w:rPr>
          <w:rFonts w:hint="eastAsia" w:ascii="仿宋_GB2312" w:hAnsi="TimesNewRoman" w:eastAsia="仿宋_GB2312" w:cs="TimesNewRoman"/>
          <w:sz w:val="32"/>
          <w:szCs w:val="32"/>
        </w:rPr>
        <w:t>%。</w:t>
      </w:r>
    </w:p>
    <w:p w14:paraId="00C80B3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年一般公共预算支出表的说明</w:t>
      </w:r>
    </w:p>
    <w:p w14:paraId="5AFFF71A">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4F56C278">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年一般公共预算支出</w:t>
      </w:r>
      <w:r>
        <w:rPr>
          <w:rFonts w:hint="eastAsia" w:ascii="仿宋_GB2312" w:hAnsi="TimesNewRoman" w:eastAsia="仿宋_GB2312" w:cs="TimesNewRoman"/>
          <w:sz w:val="32"/>
          <w:szCs w:val="32"/>
          <w:lang w:val="en-US" w:eastAsia="zh-CN"/>
        </w:rPr>
        <w:t>66.59</w:t>
      </w:r>
      <w:r>
        <w:rPr>
          <w:rFonts w:hint="eastAsia" w:ascii="仿宋_GB2312" w:hAnsi="TimesNewRoman" w:eastAsia="仿宋_GB2312" w:cs="TimesNewRoman"/>
          <w:sz w:val="32"/>
          <w:szCs w:val="32"/>
        </w:rPr>
        <w:t>万元，比2025年预算增加14.8万元，增长28.58%，增长原因主要是：2026年度单位在职职工调入1人，导致人员经费增加。</w:t>
      </w:r>
    </w:p>
    <w:p w14:paraId="73A9EC24">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05C22B1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文化旅游体育与传媒</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55.34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83.09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5.42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8.14</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2.57</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4.13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6.20</w:t>
      </w:r>
      <w:r>
        <w:rPr>
          <w:rFonts w:hint="eastAsia" w:ascii="仿宋_GB2312" w:hAnsi="TimesNewRoman" w:eastAsia="仿宋_GB2312" w:cs="TimesNewRoman"/>
          <w:sz w:val="32"/>
          <w:szCs w:val="32"/>
        </w:rPr>
        <w:t>%。</w:t>
      </w:r>
    </w:p>
    <w:p w14:paraId="37CACFA9">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4B098D1B">
      <w:pPr>
        <w:pStyle w:val="3"/>
        <w:adjustRightInd w:val="0"/>
        <w:snapToGrid w:val="0"/>
        <w:spacing w:before="0" w:beforeAutospacing="0" w:after="0" w:afterAutospacing="0" w:line="600" w:lineRule="exact"/>
        <w:ind w:firstLine="630" w:firstLineChars="196"/>
        <w:rPr>
          <w:rFonts w:hint="default" w:ascii="仿宋_GB2312" w:hAnsi="仿宋" w:eastAsia="仿宋_GB2312"/>
          <w:sz w:val="32"/>
          <w:szCs w:val="32"/>
          <w:lang w:val="en-US" w:eastAsia="zh-CN"/>
        </w:rPr>
      </w:pPr>
      <w:r>
        <w:rPr>
          <w:rFonts w:hint="eastAsia" w:ascii="仿宋" w:hAnsi="仿宋" w:eastAsia="仿宋"/>
          <w:b/>
          <w:sz w:val="32"/>
          <w:szCs w:val="32"/>
        </w:rPr>
        <w:t>1.</w:t>
      </w:r>
      <w:r>
        <w:rPr>
          <w:rFonts w:hint="eastAsia" w:ascii="仿宋" w:hAnsi="仿宋" w:eastAsia="仿宋"/>
          <w:b/>
          <w:sz w:val="32"/>
          <w:szCs w:val="32"/>
          <w:lang w:val="en-US" w:eastAsia="zh-CN"/>
        </w:rPr>
        <w:t>文化旅游体育与传媒支出</w:t>
      </w:r>
      <w:r>
        <w:rPr>
          <w:rFonts w:hint="eastAsia" w:ascii="仿宋" w:hAnsi="仿宋" w:eastAsia="仿宋"/>
          <w:b/>
          <w:sz w:val="32"/>
          <w:szCs w:val="32"/>
        </w:rPr>
        <w:t>（类）</w:t>
      </w:r>
      <w:r>
        <w:rPr>
          <w:rFonts w:hint="eastAsia" w:ascii="仿宋" w:hAnsi="仿宋" w:eastAsia="仿宋"/>
          <w:b/>
          <w:sz w:val="32"/>
          <w:szCs w:val="32"/>
          <w:lang w:val="en-US" w:eastAsia="zh-CN"/>
        </w:rPr>
        <w:t>文化和旅游</w:t>
      </w:r>
      <w:r>
        <w:rPr>
          <w:rFonts w:hint="eastAsia" w:ascii="仿宋" w:hAnsi="仿宋" w:eastAsia="仿宋"/>
          <w:b/>
          <w:sz w:val="32"/>
          <w:szCs w:val="32"/>
        </w:rPr>
        <w:t>（款）</w:t>
      </w:r>
      <w:r>
        <w:rPr>
          <w:rFonts w:hint="eastAsia" w:ascii="仿宋" w:hAnsi="仿宋" w:eastAsia="仿宋"/>
          <w:b/>
          <w:sz w:val="32"/>
          <w:szCs w:val="32"/>
          <w:lang w:val="en-US" w:eastAsia="zh-CN"/>
        </w:rPr>
        <w:t>其他文化和旅游支出</w:t>
      </w:r>
      <w:r>
        <w:rPr>
          <w:rFonts w:hint="eastAsia" w:ascii="仿宋" w:hAnsi="仿宋" w:eastAsia="仿宋"/>
          <w:b/>
          <w:sz w:val="32"/>
          <w:szCs w:val="32"/>
        </w:rPr>
        <w:t>（项）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55.34</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比2025年预算增加10.7万元，增长23.97%，增长原因主要是</w:t>
      </w:r>
      <w:r>
        <w:rPr>
          <w:rFonts w:hint="eastAsia" w:ascii="仿宋_GB2312" w:hAnsi="TimesNewRoman" w:eastAsia="仿宋_GB2312" w:cs="TimesNewRoman"/>
          <w:sz w:val="32"/>
          <w:szCs w:val="32"/>
        </w:rPr>
        <w:t>2026年度单位在职职工调入1人，导致人员经费增加。</w:t>
      </w:r>
    </w:p>
    <w:p w14:paraId="6BAD16CA">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_GB2312" w:hAnsi="TimesNewRoman" w:eastAsia="仿宋_GB2312" w:cs="TimesNewRoman"/>
          <w:b/>
          <w:sz w:val="32"/>
          <w:szCs w:val="32"/>
        </w:rPr>
        <w:t>2.</w:t>
      </w:r>
      <w:r>
        <w:rPr>
          <w:rFonts w:hint="eastAsia" w:ascii="仿宋" w:hAnsi="仿宋" w:eastAsia="仿宋"/>
          <w:b/>
          <w:sz w:val="32"/>
          <w:szCs w:val="32"/>
        </w:rPr>
        <w:t>社会保障和就业支出（类） 行政事业单位养老支出（款）  机关事业单位基本养老保险缴费支出（项）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5.25</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比2025年预算增加1.85万元，增长54.41%，增长</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2026年度单位在职职工调入1人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变大</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w:t>
      </w:r>
    </w:p>
    <w:p w14:paraId="6F3D7468">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 w:hAnsi="仿宋" w:eastAsia="仿宋"/>
          <w:b/>
          <w:sz w:val="32"/>
          <w:szCs w:val="32"/>
          <w:lang w:val="en-US" w:eastAsia="zh-CN"/>
        </w:rPr>
        <w:t>3</w:t>
      </w:r>
      <w:r>
        <w:rPr>
          <w:rFonts w:hint="eastAsia" w:ascii="仿宋" w:hAnsi="仿宋" w:eastAsia="仿宋"/>
          <w:b/>
          <w:sz w:val="32"/>
          <w:szCs w:val="32"/>
        </w:rPr>
        <w:t>.社会保障和就业支出（类） 其他社会保障和就业支出（款）其他社会保障和就业支出（项）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年预算</w:t>
      </w:r>
      <w:r>
        <w:rPr>
          <w:rFonts w:ascii="仿宋_GB2312" w:hAnsi="仿宋" w:eastAsia="仿宋_GB2312"/>
          <w:sz w:val="32"/>
          <w:szCs w:val="32"/>
        </w:rPr>
        <w:t>0.</w:t>
      </w:r>
      <w:r>
        <w:rPr>
          <w:rFonts w:hint="eastAsia" w:ascii="仿宋_GB2312" w:hAnsi="仿宋" w:eastAsia="仿宋_GB2312"/>
          <w:sz w:val="32"/>
          <w:szCs w:val="32"/>
          <w:lang w:val="en-US" w:eastAsia="zh-CN"/>
        </w:rPr>
        <w:t>17</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比2025年预算增加0.06万元，增长54.55%，增长</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2026年度单位在职职工调入1人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变大</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w:t>
      </w:r>
    </w:p>
    <w:p w14:paraId="0A1ED636">
      <w:pPr>
        <w:pStyle w:val="3"/>
        <w:adjustRightInd w:val="0"/>
        <w:snapToGrid w:val="0"/>
        <w:spacing w:before="0" w:beforeAutospacing="0" w:after="0" w:afterAutospacing="0" w:line="600" w:lineRule="exact"/>
        <w:ind w:firstLine="643" w:firstLineChars="200"/>
        <w:rPr>
          <w:rFonts w:ascii="仿宋_GB2312" w:hAnsi="仿宋" w:eastAsia="仿宋_GB2312"/>
          <w:sz w:val="32"/>
          <w:szCs w:val="32"/>
        </w:rPr>
      </w:pPr>
      <w:r>
        <w:rPr>
          <w:rFonts w:hint="eastAsia" w:ascii="仿宋" w:hAnsi="仿宋" w:eastAsia="仿宋"/>
          <w:b/>
          <w:sz w:val="32"/>
          <w:szCs w:val="32"/>
          <w:lang w:val="en-US" w:eastAsia="zh-CN"/>
        </w:rPr>
        <w:t>4</w:t>
      </w:r>
      <w:r>
        <w:rPr>
          <w:rFonts w:hint="eastAsia" w:ascii="仿宋" w:hAnsi="仿宋" w:eastAsia="仿宋"/>
          <w:b/>
          <w:sz w:val="32"/>
          <w:szCs w:val="32"/>
        </w:rPr>
        <w:t>.卫生健康支出（类）行政</w:t>
      </w:r>
      <w:r>
        <w:rPr>
          <w:rFonts w:hint="eastAsia" w:ascii="仿宋" w:hAnsi="仿宋" w:eastAsia="仿宋"/>
          <w:b/>
          <w:sz w:val="32"/>
          <w:szCs w:val="32"/>
          <w:lang w:val="en-US" w:eastAsia="zh-CN"/>
        </w:rPr>
        <w:t>事业</w:t>
      </w:r>
      <w:r>
        <w:rPr>
          <w:rFonts w:hint="eastAsia" w:ascii="仿宋" w:hAnsi="仿宋" w:eastAsia="仿宋"/>
          <w:b/>
          <w:sz w:val="32"/>
          <w:szCs w:val="32"/>
        </w:rPr>
        <w:t>单位医疗（款）</w:t>
      </w:r>
      <w:r>
        <w:rPr>
          <w:rFonts w:hint="eastAsia" w:ascii="仿宋" w:hAnsi="仿宋" w:eastAsia="仿宋"/>
          <w:b/>
          <w:sz w:val="32"/>
          <w:szCs w:val="32"/>
          <w:lang w:val="en-US" w:eastAsia="zh-CN"/>
        </w:rPr>
        <w:t>事业</w:t>
      </w:r>
      <w:r>
        <w:rPr>
          <w:rFonts w:hint="eastAsia" w:ascii="仿宋" w:hAnsi="仿宋" w:eastAsia="仿宋"/>
          <w:b/>
          <w:sz w:val="32"/>
          <w:szCs w:val="32"/>
        </w:rPr>
        <w:t>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1.71</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比2025年预算增加0.62万元，增长56.88%，增长</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2026年度单位在职职工调入1人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变大</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w:t>
      </w:r>
    </w:p>
    <w:p w14:paraId="04BFD097">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_GB2312" w:hAnsi="仿宋" w:eastAsia="仿宋_GB2312"/>
          <w:b/>
          <w:sz w:val="32"/>
          <w:szCs w:val="32"/>
          <w:lang w:val="en-US" w:eastAsia="zh-CN"/>
        </w:rPr>
        <w:t>5</w:t>
      </w:r>
      <w:r>
        <w:rPr>
          <w:rFonts w:hint="eastAsia" w:ascii="仿宋_GB2312" w:hAnsi="仿宋" w:eastAsia="仿宋_GB2312"/>
          <w:b/>
          <w:sz w:val="32"/>
          <w:szCs w:val="32"/>
        </w:rPr>
        <w:t>.住房保障支出（类）住房改革支出（款）住房公积金（项）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4.13</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比2025年预算增加1.58万元，增长61.96%，增长</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2026年度单位在职职工调入1人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变大</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w:t>
      </w:r>
    </w:p>
    <w:p w14:paraId="53B3794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年一般公共预算基本支出表的说明</w:t>
      </w:r>
    </w:p>
    <w:p w14:paraId="6A88F30F">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年一般公共预算基本支出</w:t>
      </w:r>
      <w:r>
        <w:rPr>
          <w:rFonts w:hint="eastAsia" w:ascii="仿宋_GB2312" w:hAnsi="TimesNewRoman" w:eastAsia="仿宋_GB2312" w:cs="TimesNewRoman"/>
          <w:sz w:val="32"/>
          <w:szCs w:val="32"/>
          <w:lang w:val="en-US" w:eastAsia="zh-CN"/>
        </w:rPr>
        <w:t>50.59</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48.27</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2.33</w:t>
      </w:r>
      <w:r>
        <w:rPr>
          <w:rFonts w:hint="eastAsia" w:ascii="仿宋_GB2312" w:hAnsi="TimesNewRoman" w:eastAsia="仿宋_GB2312" w:cs="TimesNewRoman"/>
          <w:sz w:val="32"/>
          <w:szCs w:val="32"/>
        </w:rPr>
        <w:t>万元。</w:t>
      </w:r>
    </w:p>
    <w:p w14:paraId="187F820C">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48.27</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基本工资、津贴补贴、奖金、</w:t>
      </w:r>
      <w:r>
        <w:rPr>
          <w:rFonts w:hint="eastAsia" w:ascii="仿宋_GB2312" w:hAnsi="TimesNewRoman" w:eastAsia="仿宋_GB2312" w:cs="TimesNewRoman"/>
          <w:sz w:val="32"/>
          <w:szCs w:val="32"/>
          <w:u w:val="none"/>
          <w:lang w:val="en-US" w:eastAsia="zh-CN"/>
        </w:rPr>
        <w:t>绩效工资、</w:t>
      </w:r>
      <w:r>
        <w:rPr>
          <w:rFonts w:hint="eastAsia" w:ascii="仿宋_GB2312" w:hAnsi="TimesNewRoman" w:eastAsia="仿宋_GB2312" w:cs="TimesNewRoman"/>
          <w:sz w:val="32"/>
          <w:szCs w:val="32"/>
          <w:u w:val="none"/>
        </w:rPr>
        <w:t>机关事业单位基本养老保险</w:t>
      </w:r>
      <w:r>
        <w:rPr>
          <w:rFonts w:hint="eastAsia" w:ascii="仿宋_GB2312" w:hAnsi="TimesNewRoman" w:eastAsia="仿宋_GB2312" w:cs="TimesNewRoman"/>
          <w:sz w:val="32"/>
          <w:szCs w:val="32"/>
          <w:u w:val="none"/>
          <w:lang w:val="en-US" w:eastAsia="zh-CN"/>
        </w:rPr>
        <w:t>缴</w:t>
      </w:r>
      <w:r>
        <w:rPr>
          <w:rFonts w:hint="eastAsia" w:ascii="仿宋_GB2312" w:hAnsi="TimesNewRoman" w:eastAsia="仿宋_GB2312" w:cs="TimesNewRoman"/>
          <w:sz w:val="32"/>
          <w:szCs w:val="32"/>
          <w:u w:val="none"/>
        </w:rPr>
        <w:t>费、职业年金缴费、职工基本医疗保险缴费、其他社会保障缴费、住房公积金</w:t>
      </w:r>
      <w:r>
        <w:rPr>
          <w:rFonts w:hint="eastAsia" w:ascii="仿宋_GB2312" w:hAnsi="TimesNewRoman" w:eastAsia="仿宋_GB2312" w:cs="TimesNewRoman"/>
          <w:sz w:val="32"/>
          <w:szCs w:val="32"/>
          <w:u w:val="none"/>
          <w:lang w:val="en-US" w:eastAsia="zh-CN"/>
        </w:rPr>
        <w:t>等</w:t>
      </w:r>
      <w:r>
        <w:rPr>
          <w:rFonts w:hint="eastAsia" w:ascii="仿宋_GB2312" w:hAnsi="TimesNewRoman" w:eastAsia="仿宋_GB2312" w:cs="TimesNewRoman"/>
          <w:sz w:val="32"/>
          <w:szCs w:val="32"/>
          <w:u w:val="none"/>
        </w:rPr>
        <w:t>。</w:t>
      </w:r>
    </w:p>
    <w:p w14:paraId="5A7FD048">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2.33</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办公费、</w:t>
      </w:r>
      <w:r>
        <w:rPr>
          <w:rFonts w:hint="eastAsia" w:ascii="仿宋_GB2312" w:hAnsi="TimesNewRoman" w:eastAsia="仿宋_GB2312" w:cs="TimesNewRoman"/>
          <w:sz w:val="32"/>
          <w:szCs w:val="32"/>
          <w:u w:val="none"/>
          <w:lang w:val="en-US" w:eastAsia="zh-CN"/>
        </w:rPr>
        <w:t>维修（护）费、</w:t>
      </w:r>
      <w:r>
        <w:rPr>
          <w:rFonts w:hint="eastAsia" w:ascii="仿宋_GB2312" w:hAnsi="TimesNewRoman" w:eastAsia="仿宋_GB2312" w:cs="TimesNewRoman"/>
          <w:sz w:val="32"/>
          <w:szCs w:val="32"/>
          <w:u w:val="none"/>
        </w:rPr>
        <w:t>工会经费、</w:t>
      </w:r>
      <w:r>
        <w:rPr>
          <w:rFonts w:hint="eastAsia" w:ascii="仿宋_GB2312" w:hAnsi="TimesNewRoman" w:eastAsia="仿宋_GB2312" w:cs="TimesNewRoman"/>
          <w:sz w:val="32"/>
          <w:szCs w:val="32"/>
          <w:u w:val="none"/>
          <w:lang w:val="en-US" w:eastAsia="zh-CN"/>
        </w:rPr>
        <w:t>公务接待费、</w:t>
      </w:r>
      <w:r>
        <w:rPr>
          <w:rFonts w:hint="eastAsia" w:ascii="仿宋_GB2312" w:hAnsi="TimesNewRoman" w:eastAsia="仿宋_GB2312" w:cs="TimesNewRoman"/>
          <w:sz w:val="32"/>
          <w:szCs w:val="32"/>
          <w:u w:val="none"/>
        </w:rPr>
        <w:t>其他</w:t>
      </w:r>
      <w:r>
        <w:rPr>
          <w:rFonts w:hint="eastAsia" w:ascii="仿宋_GB2312" w:hAnsi="TimesNewRoman" w:eastAsia="仿宋_GB2312" w:cs="TimesNewRoman"/>
          <w:sz w:val="32"/>
          <w:szCs w:val="32"/>
          <w:u w:val="none"/>
          <w:lang w:val="en-US" w:eastAsia="zh-CN"/>
        </w:rPr>
        <w:t>商品和服务支出</w:t>
      </w:r>
      <w:r>
        <w:rPr>
          <w:rFonts w:hint="eastAsia" w:ascii="仿宋_GB2312" w:hAnsi="TimesNewRoman" w:eastAsia="仿宋_GB2312" w:cs="TimesNewRoman"/>
          <w:sz w:val="32"/>
          <w:szCs w:val="32"/>
          <w:u w:val="none"/>
        </w:rPr>
        <w:t>等。</w:t>
      </w:r>
    </w:p>
    <w:p w14:paraId="4514FC73">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年政府性基金预算支出表的说明</w:t>
      </w:r>
    </w:p>
    <w:p w14:paraId="4DBB3DBF">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年没有政府性基金预算拨款收入，也没有使用政府性基金预算拨款安排的支出。</w:t>
      </w:r>
    </w:p>
    <w:p w14:paraId="54BA3E46">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年国有资本经营预算支出表的说明</w:t>
      </w:r>
    </w:p>
    <w:p w14:paraId="7CC597A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年没有国有资本经营预算拨款收入，也没有使用国有资本经营预算拨款安排的支出。</w:t>
      </w:r>
    </w:p>
    <w:p w14:paraId="223B024E">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年项目支出表的说明</w:t>
      </w:r>
    </w:p>
    <w:p w14:paraId="6F45238D">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文学艺术院2</w:t>
      </w:r>
      <w:r>
        <w:rPr>
          <w:rFonts w:hint="eastAsia" w:ascii="仿宋_GB2312" w:hAnsi="TimesNewRoman" w:eastAsia="仿宋_GB2312" w:cs="TimesNewRoman"/>
          <w:sz w:val="32"/>
          <w:szCs w:val="32"/>
        </w:rPr>
        <w:t>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年预算共安排项目支出</w:t>
      </w:r>
      <w:r>
        <w:rPr>
          <w:rFonts w:hint="eastAsia" w:ascii="仿宋_GB2312" w:hAnsi="TimesNewRoman" w:eastAsia="仿宋_GB2312" w:cs="TimesNewRoman"/>
          <w:sz w:val="32"/>
          <w:szCs w:val="32"/>
          <w:lang w:val="en-US" w:eastAsia="zh-CN"/>
        </w:rPr>
        <w:t>16</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比2024年预算减少4万元，下降20%，</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根据单位实际使用情况核减</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16</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16</w:t>
      </w:r>
      <w:r>
        <w:rPr>
          <w:rFonts w:hint="eastAsia" w:ascii="仿宋_GB2312" w:hAnsi="TimesNewRoman" w:eastAsia="仿宋_GB2312" w:cs="TimesNewRoman"/>
          <w:sz w:val="32"/>
          <w:szCs w:val="32"/>
        </w:rPr>
        <w:t>万元），财政拨款上年结转安排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33539F9F">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年政府采购支出表的说明</w:t>
      </w:r>
    </w:p>
    <w:p w14:paraId="6E53645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文学艺术院2</w:t>
      </w:r>
      <w:r>
        <w:rPr>
          <w:rFonts w:hint="eastAsia" w:ascii="仿宋_GB2312" w:hAnsi="TimesNewRoman" w:eastAsia="仿宋_GB2312" w:cs="TimesNewRoman"/>
          <w:sz w:val="32"/>
          <w:szCs w:val="32"/>
        </w:rPr>
        <w:t>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年没有使用一般公共预算拨款、政府性基金预算拨款、国有资本经营预算拨款、财政专户管理资金和单位资金安排的政府采购支出。</w:t>
      </w:r>
    </w:p>
    <w:p w14:paraId="325DAF8E">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w:t>
      </w:r>
      <w:r>
        <w:rPr>
          <w:rFonts w:hint="eastAsia" w:ascii="楷体_GB2312" w:hAnsi="TimesNewRoman" w:eastAsia="楷体_GB2312" w:cs="TimesNewRoman"/>
          <w:b/>
          <w:sz w:val="32"/>
          <w:szCs w:val="32"/>
          <w:lang w:val="en-US" w:eastAsia="zh-CN"/>
        </w:rPr>
        <w:t>6</w:t>
      </w:r>
      <w:r>
        <w:rPr>
          <w:rFonts w:hint="eastAsia" w:ascii="楷体_GB2312" w:hAnsi="TimesNewRoman" w:eastAsia="楷体_GB2312" w:cs="TimesNewRoman"/>
          <w:b/>
          <w:sz w:val="32"/>
          <w:szCs w:val="32"/>
        </w:rPr>
        <w:t>年政府购买服务支出表的说明</w:t>
      </w:r>
    </w:p>
    <w:p w14:paraId="3C4C169F">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年没有安排政府购买服务支出。</w:t>
      </w:r>
    </w:p>
    <w:p w14:paraId="3CB64707">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w:t>
      </w:r>
      <w:r>
        <w:rPr>
          <w:rFonts w:hint="eastAsia" w:ascii="楷体_GB2312" w:hAnsi="TimesNewRoman" w:eastAsia="楷体_GB2312" w:cs="TimesNewRoman"/>
          <w:b/>
          <w:sz w:val="32"/>
          <w:szCs w:val="32"/>
        </w:rPr>
        <w:t>202</w:t>
      </w:r>
      <w:r>
        <w:rPr>
          <w:rFonts w:hint="eastAsia" w:ascii="楷体_GB2312" w:hAnsi="TimesNewRoman" w:eastAsia="楷体_GB2312" w:cs="TimesNewRoman"/>
          <w:b/>
          <w:sz w:val="32"/>
          <w:szCs w:val="32"/>
          <w:lang w:val="en-US" w:eastAsia="zh-CN"/>
        </w:rPr>
        <w:t>6</w:t>
      </w:r>
      <w:r>
        <w:rPr>
          <w:rFonts w:ascii="楷体_GB2312" w:hAnsi="TimesNewRoman" w:eastAsia="楷体_GB2312" w:cs="TimesNewRoman"/>
          <w:b/>
          <w:sz w:val="32"/>
          <w:szCs w:val="32"/>
        </w:rPr>
        <w:t>年一般公共预算</w:t>
      </w:r>
      <w:r>
        <w:rPr>
          <w:rFonts w:hint="eastAsia" w:ascii="楷体_GB2312" w:hAnsi="TimesNewRoman" w:eastAsia="楷体_GB2312" w:cs="TimesNewRoman"/>
          <w:b/>
          <w:sz w:val="32"/>
          <w:szCs w:val="32"/>
          <w:lang w:eastAsia="zh-CN"/>
        </w:rPr>
        <w:t>“</w:t>
      </w:r>
      <w:r>
        <w:rPr>
          <w:rFonts w:ascii="楷体_GB2312" w:hAnsi="TimesNewRoman" w:eastAsia="楷体_GB2312" w:cs="TimesNewRoman"/>
          <w:b/>
          <w:sz w:val="32"/>
          <w:szCs w:val="32"/>
        </w:rPr>
        <w:t>三公</w:t>
      </w:r>
      <w:r>
        <w:rPr>
          <w:rFonts w:hint="eastAsia" w:ascii="楷体_GB2312" w:hAnsi="TimesNewRoman" w:eastAsia="楷体_GB2312" w:cs="TimesNewRoman"/>
          <w:b/>
          <w:sz w:val="32"/>
          <w:szCs w:val="32"/>
          <w:lang w:eastAsia="zh-CN"/>
        </w:rPr>
        <w:t>”</w:t>
      </w:r>
      <w:r>
        <w:rPr>
          <w:rFonts w:ascii="楷体_GB2312" w:hAnsi="TimesNewRoman" w:eastAsia="楷体_GB2312" w:cs="TimesNewRoman"/>
          <w:b/>
          <w:sz w:val="32"/>
          <w:szCs w:val="32"/>
        </w:rPr>
        <w:t>经费支出情况说明</w:t>
      </w:r>
    </w:p>
    <w:p w14:paraId="2FF297AF">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kern w:val="0"/>
          <w:sz w:val="32"/>
          <w:szCs w:val="32"/>
        </w:rPr>
        <w:t>202</w:t>
      </w:r>
      <w:r>
        <w:rPr>
          <w:rFonts w:hint="eastAsia" w:ascii="仿宋_GB2312" w:hAnsi="TimesNewRoman" w:eastAsia="仿宋_GB2312" w:cs="TimesNewRoman"/>
          <w:kern w:val="0"/>
          <w:sz w:val="32"/>
          <w:szCs w:val="32"/>
          <w:lang w:val="en-US" w:eastAsia="zh-CN"/>
        </w:rPr>
        <w:t>6</w:t>
      </w:r>
      <w:r>
        <w:rPr>
          <w:rFonts w:ascii="仿宋_GB2312" w:hAnsi="TimesNewRoman" w:eastAsia="仿宋_GB2312" w:cs="TimesNewRoman"/>
          <w:kern w:val="0"/>
          <w:sz w:val="32"/>
          <w:szCs w:val="32"/>
        </w:rPr>
        <w:t>年一般公共预算</w:t>
      </w:r>
      <w:r>
        <w:rPr>
          <w:rFonts w:hint="eastAsia" w:ascii="仿宋_GB2312" w:hAnsi="TimesNewRoman" w:eastAsia="仿宋_GB2312" w:cs="TimesNewRoman"/>
          <w:kern w:val="0"/>
          <w:sz w:val="32"/>
          <w:szCs w:val="32"/>
          <w:lang w:eastAsia="zh-CN"/>
        </w:rPr>
        <w:t>“</w:t>
      </w:r>
      <w:r>
        <w:rPr>
          <w:rFonts w:ascii="仿宋_GB2312" w:hAnsi="TimesNewRoman" w:eastAsia="仿宋_GB2312" w:cs="TimesNewRoman"/>
          <w:kern w:val="0"/>
          <w:sz w:val="32"/>
          <w:szCs w:val="32"/>
        </w:rPr>
        <w:t>三公</w:t>
      </w:r>
      <w:r>
        <w:rPr>
          <w:rFonts w:hint="eastAsia" w:ascii="仿宋_GB2312" w:hAnsi="TimesNewRoman" w:eastAsia="仿宋_GB2312" w:cs="TimesNewRoman"/>
          <w:kern w:val="0"/>
          <w:sz w:val="32"/>
          <w:szCs w:val="32"/>
          <w:lang w:eastAsia="zh-CN"/>
        </w:rPr>
        <w:t>”</w:t>
      </w:r>
      <w:r>
        <w:rPr>
          <w:rFonts w:ascii="仿宋_GB2312" w:hAnsi="TimesNewRoman" w:eastAsia="仿宋_GB2312" w:cs="TimesNewRoman"/>
          <w:kern w:val="0"/>
          <w:sz w:val="32"/>
          <w:szCs w:val="32"/>
        </w:rPr>
        <w:t>经费支出预算为</w:t>
      </w:r>
      <w:r>
        <w:rPr>
          <w:rFonts w:hint="eastAsia" w:ascii="仿宋_GB2312" w:hAnsi="TimesNewRoman" w:eastAsia="仿宋_GB2312" w:cs="TimesNewRoman"/>
          <w:kern w:val="0"/>
          <w:sz w:val="32"/>
          <w:szCs w:val="32"/>
          <w:lang w:val="en-US" w:eastAsia="zh-CN"/>
        </w:rPr>
        <w:t>0.5</w:t>
      </w:r>
      <w:r>
        <w:rPr>
          <w:rFonts w:ascii="仿宋_GB2312" w:hAnsi="TimesNewRoman" w:eastAsia="仿宋_GB2312" w:cs="TimesNewRoman"/>
          <w:kern w:val="0"/>
          <w:sz w:val="32"/>
          <w:szCs w:val="32"/>
        </w:rPr>
        <w:t>万元，</w:t>
      </w:r>
      <w:r>
        <w:rPr>
          <w:rFonts w:hint="eastAsia" w:ascii="仿宋_GB2312" w:hAnsi="TimesNewRoman" w:eastAsia="仿宋_GB2312" w:cs="TimesNewRoman"/>
          <w:kern w:val="0"/>
          <w:sz w:val="32"/>
          <w:szCs w:val="32"/>
        </w:rPr>
        <w:t>比202</w:t>
      </w:r>
      <w:r>
        <w:rPr>
          <w:rFonts w:hint="eastAsia" w:ascii="仿宋_GB2312" w:hAnsi="TimesNewRoman" w:eastAsia="仿宋_GB2312" w:cs="TimesNewRoman"/>
          <w:kern w:val="0"/>
          <w:sz w:val="32"/>
          <w:szCs w:val="32"/>
          <w:lang w:val="en-US" w:eastAsia="zh-CN"/>
        </w:rPr>
        <w:t>5</w:t>
      </w:r>
      <w:r>
        <w:rPr>
          <w:rFonts w:hint="eastAsia" w:ascii="仿宋_GB2312" w:hAnsi="TimesNewRoman" w:eastAsia="仿宋_GB2312" w:cs="TimesNewRoman"/>
          <w:kern w:val="0"/>
          <w:sz w:val="32"/>
          <w:szCs w:val="32"/>
        </w:rPr>
        <w:t>年预算减少</w:t>
      </w:r>
      <w:r>
        <w:rPr>
          <w:rFonts w:hint="eastAsia" w:ascii="仿宋_GB2312" w:hAnsi="TimesNewRoman" w:eastAsia="仿宋_GB2312" w:cs="TimesNewRoman"/>
          <w:kern w:val="0"/>
          <w:sz w:val="32"/>
          <w:szCs w:val="32"/>
          <w:lang w:val="en-US" w:eastAsia="zh-CN"/>
        </w:rPr>
        <w:t>2.4万元，下降82.76%</w:t>
      </w:r>
      <w:r>
        <w:rPr>
          <w:rFonts w:hint="eastAsia" w:ascii="仿宋_GB2312" w:hAnsi="TimesNewRoman" w:eastAsia="仿宋_GB2312" w:cs="TimesNewRoman"/>
          <w:sz w:val="32"/>
          <w:szCs w:val="32"/>
          <w:lang w:val="en-US" w:eastAsia="zh-CN"/>
        </w:rPr>
        <w:t>。</w:t>
      </w:r>
      <w:r>
        <w:rPr>
          <w:rFonts w:ascii="仿宋_GB2312" w:hAnsi="TimesNewRoman" w:eastAsia="仿宋_GB2312" w:cs="TimesNewRoman"/>
          <w:kern w:val="0"/>
          <w:sz w:val="32"/>
          <w:szCs w:val="32"/>
        </w:rPr>
        <w:t>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0.5</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万元。具体情况如下：</w:t>
      </w:r>
    </w:p>
    <w:p w14:paraId="787905DE">
      <w:pPr>
        <w:pStyle w:val="3"/>
        <w:numPr>
          <w:ilvl w:val="0"/>
          <w:numId w:val="1"/>
        </w:numPr>
        <w:adjustRightInd w:val="0"/>
        <w:snapToGrid w:val="0"/>
        <w:spacing w:beforeAutospacing="0" w:afterAutospacing="0" w:line="560" w:lineRule="exact"/>
        <w:ind w:firstLine="643" w:firstLineChars="200"/>
        <w:rPr>
          <w:rFonts w:hint="eastAsia" w:ascii="TimesNewRoman" w:hAnsi="TimesNewRoman" w:eastAsia="仿宋_GB2312" w:cs="TimesNewRoman"/>
          <w:sz w:val="32"/>
          <w:szCs w:val="32"/>
          <w:lang w:eastAsia="zh-CN"/>
        </w:rPr>
      </w:pPr>
      <w:r>
        <w:rPr>
          <w:rFonts w:ascii="仿宋_GB2312" w:hAnsi="TimesNewRoman" w:eastAsia="仿宋_GB2312" w:cs="TimesNewRoman"/>
          <w:b/>
          <w:bCs/>
          <w:sz w:val="32"/>
          <w:szCs w:val="32"/>
        </w:rPr>
        <w:t>因公出国（境）费</w:t>
      </w:r>
      <w:r>
        <w:rPr>
          <w:rFonts w:ascii="仿宋_GB2312" w:hAnsi="TimesNewRoman" w:eastAsia="仿宋_GB2312" w:cs="TimesNewRoman"/>
          <w:sz w:val="32"/>
          <w:szCs w:val="32"/>
        </w:rPr>
        <w:t>支</w:t>
      </w:r>
      <w:r>
        <w:rPr>
          <w:rFonts w:ascii="TimesNewRoman" w:hAnsi="TimesNewRoman" w:eastAsia="仿宋_GB2312" w:cs="TimesNewRoman"/>
          <w:sz w:val="32"/>
          <w:szCs w:val="32"/>
        </w:rPr>
        <w:t>出</w:t>
      </w:r>
      <w:r>
        <w:rPr>
          <w:rFonts w:hint="eastAsia" w:ascii="TimesNewRoman" w:hAnsi="TimesNewRoman" w:eastAsia="仿宋_GB2312" w:cs="TimesNewRoman"/>
          <w:sz w:val="32"/>
          <w:szCs w:val="32"/>
          <w:lang w:val="en-US" w:eastAsia="zh-CN"/>
        </w:rPr>
        <w:t>预算</w:t>
      </w:r>
      <w:r>
        <w:rPr>
          <w:rFonts w:hint="eastAsia" w:ascii="仿宋_GB2312" w:hAnsi="仿宋_GB2312" w:eastAsia="仿宋_GB2312" w:cs="仿宋_GB2312"/>
          <w:sz w:val="32"/>
          <w:szCs w:val="32"/>
          <w:lang w:val="en-US" w:eastAsia="zh-CN"/>
        </w:rPr>
        <w:t>0</w:t>
      </w:r>
      <w:r>
        <w:rPr>
          <w:rFonts w:ascii="TimesNewRoman" w:hAnsi="TimesNewRoman" w:eastAsia="仿宋_GB2312" w:cs="TimesNewRoman"/>
          <w:sz w:val="32"/>
          <w:szCs w:val="32"/>
        </w:rPr>
        <w:t>万元</w:t>
      </w:r>
      <w:r>
        <w:rPr>
          <w:rFonts w:hint="eastAsia" w:ascii="TimesNewRoman" w:hAnsi="TimesNewRoman" w:eastAsia="仿宋_GB2312" w:cs="TimesNewRoman"/>
          <w:sz w:val="32"/>
          <w:szCs w:val="32"/>
          <w:lang w:eastAsia="zh-CN"/>
        </w:rPr>
        <w:t>。</w:t>
      </w:r>
    </w:p>
    <w:p w14:paraId="28114B33">
      <w:pPr>
        <w:pStyle w:val="3"/>
        <w:numPr>
          <w:ilvl w:val="0"/>
          <w:numId w:val="0"/>
        </w:numPr>
        <w:adjustRightInd w:val="0"/>
        <w:snapToGrid w:val="0"/>
        <w:spacing w:beforeAutospacing="0" w:afterAutospacing="0" w:line="560" w:lineRule="exact"/>
        <w:ind w:firstLine="643" w:firstLineChars="200"/>
        <w:rPr>
          <w:rFonts w:hint="eastAsia" w:ascii="仿宋_GB2312" w:hAnsi="TimesNewRoman" w:eastAsia="仿宋_GB2312" w:cs="TimesNewRoman"/>
          <w:sz w:val="32"/>
          <w:szCs w:val="32"/>
          <w:lang w:eastAsia="zh-CN"/>
        </w:rPr>
      </w:pPr>
      <w:r>
        <w:rPr>
          <w:rFonts w:ascii="仿宋_GB2312" w:hAnsi="TimesNewRoman" w:eastAsia="仿宋_GB2312" w:cs="TimesNewRoman"/>
          <w:b/>
          <w:bCs/>
          <w:sz w:val="32"/>
          <w:szCs w:val="32"/>
        </w:rPr>
        <w:t>（二）公务用车购置及运行费</w:t>
      </w:r>
      <w:r>
        <w:rPr>
          <w:rFonts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5685ADFD">
      <w:pPr>
        <w:pStyle w:val="3"/>
        <w:spacing w:beforeAutospacing="0" w:afterAutospacing="0" w:line="560" w:lineRule="exact"/>
        <w:ind w:firstLine="643"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0.5</w:t>
      </w:r>
      <w:r>
        <w:rPr>
          <w:rFonts w:hint="eastAsia" w:ascii="仿宋_GB2312" w:hAnsi="TimesNewRoman" w:eastAsia="仿宋_GB2312" w:cs="TimesNewRoman"/>
          <w:sz w:val="32"/>
          <w:szCs w:val="32"/>
        </w:rPr>
        <w:t>万元，比2025年预算减少2.4万元，下降82.76%。下降原因主要是</w:t>
      </w:r>
      <w:r>
        <w:rPr>
          <w:rFonts w:hint="eastAsia" w:ascii="仿宋_GB2312" w:hAnsi="TimesNewRoman" w:eastAsia="仿宋_GB2312" w:cs="TimesNewRoman"/>
          <w:sz w:val="32"/>
          <w:szCs w:val="32"/>
          <w:lang w:val="en-US" w:eastAsia="zh-CN"/>
        </w:rPr>
        <w:t>我单位进一步贯彻过紧日子要求，进一步压减招待支出</w:t>
      </w:r>
      <w:r>
        <w:rPr>
          <w:rFonts w:hint="eastAsia" w:ascii="仿宋_GB2312" w:hAnsi="TimesNewRoman" w:eastAsia="仿宋_GB2312" w:cs="TimesNewRoman"/>
          <w:sz w:val="32"/>
          <w:szCs w:val="32"/>
        </w:rPr>
        <w:t>。</w:t>
      </w:r>
      <w:r>
        <w:rPr>
          <w:rFonts w:hint="default" w:ascii="TimesNewRoman" w:hAnsi="TimesNewRoman" w:eastAsia="仿宋_GB2312" w:cs="TimesNewRoman"/>
          <w:sz w:val="32"/>
          <w:szCs w:val="32"/>
        </w:rPr>
        <w:t>该项经费主要用于</w:t>
      </w:r>
      <w:r>
        <w:rPr>
          <w:rFonts w:hint="eastAsia" w:ascii="仿宋" w:hAnsi="仿宋" w:eastAsia="仿宋"/>
          <w:color w:val="000000"/>
          <w:sz w:val="32"/>
          <w:szCs w:val="32"/>
        </w:rPr>
        <w:t>因</w:t>
      </w:r>
      <w:r>
        <w:rPr>
          <w:rFonts w:hint="eastAsia" w:ascii="仿宋" w:hAnsi="仿宋" w:eastAsia="仿宋"/>
          <w:color w:val="000000"/>
          <w:sz w:val="32"/>
          <w:szCs w:val="32"/>
          <w:lang w:val="en-US" w:eastAsia="zh-CN"/>
        </w:rPr>
        <w:t>工作</w:t>
      </w:r>
      <w:r>
        <w:rPr>
          <w:rFonts w:hint="eastAsia" w:ascii="仿宋" w:hAnsi="仿宋" w:eastAsia="仿宋"/>
          <w:color w:val="000000"/>
          <w:sz w:val="32"/>
          <w:szCs w:val="32"/>
        </w:rPr>
        <w:t>需要招待</w:t>
      </w:r>
      <w:r>
        <w:rPr>
          <w:rFonts w:hint="eastAsia" w:ascii="仿宋" w:hAnsi="仿宋" w:eastAsia="仿宋"/>
          <w:color w:val="000000"/>
          <w:sz w:val="32"/>
          <w:szCs w:val="32"/>
          <w:lang w:val="en-US" w:eastAsia="zh-CN"/>
        </w:rPr>
        <w:t>上级来人调研、文学创作交流活动</w:t>
      </w:r>
      <w:r>
        <w:rPr>
          <w:rFonts w:hint="eastAsia" w:ascii="仿宋_GB2312" w:hAnsi="仿宋" w:eastAsia="仿宋_GB2312"/>
          <w:color w:val="000000"/>
          <w:sz w:val="32"/>
          <w:szCs w:val="32"/>
        </w:rPr>
        <w:t>等公务</w:t>
      </w:r>
      <w:r>
        <w:rPr>
          <w:rFonts w:hint="eastAsia" w:ascii="仿宋_GB2312" w:hAnsi="仿宋" w:eastAsia="仿宋_GB2312"/>
          <w:color w:val="000000"/>
          <w:sz w:val="32"/>
          <w:szCs w:val="32"/>
          <w:lang w:val="en-US" w:eastAsia="zh-CN"/>
        </w:rPr>
        <w:t>接待</w:t>
      </w:r>
      <w:r>
        <w:rPr>
          <w:rFonts w:hint="eastAsia" w:ascii="仿宋_GB2312" w:hAnsi="仿宋" w:eastAsia="仿宋_GB2312"/>
          <w:color w:val="000000"/>
          <w:sz w:val="32"/>
          <w:szCs w:val="32"/>
        </w:rPr>
        <w:t>支出</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21C038D6">
      <w:pPr>
        <w:pStyle w:val="3"/>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1B02044A">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0462F247">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sz w:val="32"/>
          <w:szCs w:val="32"/>
          <w:lang w:val="en-US" w:eastAsia="zh-CN"/>
        </w:rPr>
        <w:t>文学艺术</w:t>
      </w:r>
      <w:r>
        <w:rPr>
          <w:rFonts w:hint="eastAsia" w:ascii="仿宋_GB2312" w:hAnsi="楷体" w:eastAsia="仿宋_GB2312"/>
          <w:b/>
          <w:sz w:val="32"/>
          <w:szCs w:val="32"/>
        </w:rPr>
        <w:t>工作经费</w:t>
      </w:r>
      <w:r>
        <w:rPr>
          <w:rFonts w:hint="eastAsia" w:ascii="仿宋_GB2312" w:hAnsi="TimesNewRoman" w:eastAsia="仿宋_GB2312" w:cs="TimesNewRoman"/>
          <w:b/>
          <w:sz w:val="32"/>
          <w:szCs w:val="32"/>
        </w:rPr>
        <w:t>”项目。</w:t>
      </w:r>
    </w:p>
    <w:p w14:paraId="0393CE74">
      <w:pPr>
        <w:topLinePunct/>
        <w:adjustRightInd w:val="0"/>
        <w:snapToGrid w:val="0"/>
        <w:spacing w:line="580" w:lineRule="exact"/>
        <w:ind w:firstLine="640" w:firstLineChars="200"/>
        <w:rPr>
          <w:rFonts w:hint="default" w:ascii="仿宋" w:hAnsi="仿宋" w:eastAsia="仿宋" w:cs="宋体"/>
          <w:color w:val="000000" w:themeColor="text1"/>
          <w:kern w:val="0"/>
          <w:sz w:val="32"/>
          <w:szCs w:val="32"/>
          <w:lang w:val="en-US" w:eastAsia="zh-CN"/>
          <w14:textFill>
            <w14:solidFill>
              <w14:schemeClr w14:val="tx1"/>
            </w14:solidFill>
          </w14:textFill>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 w:hAnsi="仿宋" w:eastAsia="仿宋" w:cs="宋体"/>
          <w:color w:val="000000" w:themeColor="text1"/>
          <w:kern w:val="0"/>
          <w:sz w:val="32"/>
          <w:szCs w:val="32"/>
          <w14:textFill>
            <w14:solidFill>
              <w14:schemeClr w14:val="tx1"/>
            </w14:solidFill>
          </w14:textFill>
        </w:rPr>
        <w:t>寿县</w:t>
      </w:r>
      <w:r>
        <w:rPr>
          <w:rFonts w:hint="eastAsia" w:ascii="仿宋" w:hAnsi="仿宋" w:eastAsia="仿宋" w:cs="宋体"/>
          <w:color w:val="000000" w:themeColor="text1"/>
          <w:kern w:val="0"/>
          <w:sz w:val="32"/>
          <w:szCs w:val="32"/>
          <w:lang w:val="en-US" w:eastAsia="zh-CN"/>
          <w14:textFill>
            <w14:solidFill>
              <w14:schemeClr w14:val="tx1"/>
            </w14:solidFill>
          </w14:textFill>
        </w:rPr>
        <w:t>文学艺术院</w:t>
      </w:r>
      <w:r>
        <w:rPr>
          <w:rFonts w:hint="eastAsia" w:ascii="仿宋" w:hAnsi="仿宋" w:eastAsia="仿宋" w:cs="宋体"/>
          <w:color w:val="000000" w:themeColor="text1"/>
          <w:kern w:val="0"/>
          <w:sz w:val="32"/>
          <w:szCs w:val="32"/>
          <w14:textFill>
            <w14:solidFill>
              <w14:schemeClr w14:val="tx1"/>
            </w14:solidFill>
          </w14:textFill>
        </w:rPr>
        <w:t>始终坚持以习近平新时代中国特色社会主义思想为指导，围绕县委、县政府的中心工作，认真贯彻</w:t>
      </w:r>
      <w:r>
        <w:rPr>
          <w:rFonts w:hint="eastAsia" w:ascii="仿宋" w:hAnsi="仿宋" w:eastAsia="仿宋" w:cs="宋体"/>
          <w:color w:val="000000" w:themeColor="text1"/>
          <w:kern w:val="0"/>
          <w:sz w:val="32"/>
          <w:szCs w:val="32"/>
          <w:lang w:val="en-US" w:eastAsia="zh-CN"/>
          <w14:textFill>
            <w14:solidFill>
              <w14:schemeClr w14:val="tx1"/>
            </w14:solidFill>
          </w14:textFill>
        </w:rPr>
        <w:t>执行党的文艺路线、方针、政策，团结和组织广大文艺家和文艺爱好者</w:t>
      </w:r>
      <w:r>
        <w:rPr>
          <w:rFonts w:hint="eastAsia"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lang w:val="en-US" w:eastAsia="zh-CN"/>
          <w14:textFill>
            <w14:solidFill>
              <w14:schemeClr w14:val="tx1"/>
            </w14:solidFill>
          </w14:textFill>
        </w:rPr>
        <w:t>繁荣和发展社会主义文艺事业，为建设现代化五大发展美好寿县做贡献。</w:t>
      </w:r>
    </w:p>
    <w:p w14:paraId="619E15A3">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：中共寿县县委办公室关于印发《</w:t>
      </w:r>
      <w:r>
        <w:rPr>
          <w:rFonts w:hint="eastAsia" w:ascii="仿宋_GB2312" w:hAnsi="TimesNewRoman" w:eastAsia="仿宋_GB2312" w:cs="TimesNewRoman"/>
          <w:sz w:val="32"/>
          <w:szCs w:val="32"/>
          <w:lang w:val="en-US" w:eastAsia="zh-CN"/>
        </w:rPr>
        <w:t>关于成立寿县文学艺术院（寿州循理书院）的批复</w:t>
      </w:r>
      <w:r>
        <w:rPr>
          <w:rFonts w:hint="eastAsia" w:ascii="仿宋_GB2312" w:hAnsi="TimesNewRoman" w:eastAsia="仿宋_GB2312" w:cs="TimesNewRoman"/>
          <w:sz w:val="32"/>
          <w:szCs w:val="32"/>
          <w:lang w:eastAsia="zh-CN"/>
        </w:rPr>
        <w:t>》（寿</w:t>
      </w:r>
      <w:r>
        <w:rPr>
          <w:rFonts w:hint="eastAsia" w:ascii="仿宋_GB2312" w:hAnsi="TimesNewRoman" w:eastAsia="仿宋_GB2312" w:cs="TimesNewRoman"/>
          <w:sz w:val="32"/>
          <w:szCs w:val="32"/>
          <w:lang w:val="en-US" w:eastAsia="zh-CN"/>
        </w:rPr>
        <w:t>编</w:t>
      </w:r>
      <w:r>
        <w:rPr>
          <w:rFonts w:hint="eastAsia" w:ascii="仿宋_GB2312" w:hAnsi="TimesNewRoman" w:eastAsia="仿宋_GB2312" w:cs="TimesNewRoman"/>
          <w:sz w:val="32"/>
          <w:szCs w:val="32"/>
          <w:lang w:eastAsia="zh-CN"/>
        </w:rPr>
        <w:t>﹝20</w:t>
      </w:r>
      <w:r>
        <w:rPr>
          <w:rFonts w:hint="eastAsia" w:ascii="仿宋_GB2312" w:hAnsi="TimesNewRoman" w:eastAsia="仿宋_GB2312" w:cs="TimesNewRoman"/>
          <w:sz w:val="32"/>
          <w:szCs w:val="32"/>
          <w:lang w:val="en-US" w:eastAsia="zh-CN"/>
        </w:rPr>
        <w:t>23</w:t>
      </w:r>
      <w:r>
        <w:rPr>
          <w:rFonts w:hint="eastAsia" w:ascii="仿宋_GB2312" w:hAnsi="TimesNewRoman" w:eastAsia="仿宋_GB2312" w:cs="TimesNewRoman"/>
          <w:sz w:val="32"/>
          <w:szCs w:val="32"/>
          <w:lang w:eastAsia="zh-CN"/>
        </w:rPr>
        <w:t>﹞3</w:t>
      </w:r>
      <w:r>
        <w:rPr>
          <w:rFonts w:hint="eastAsia" w:ascii="仿宋_GB2312" w:hAnsi="TimesNewRoman" w:eastAsia="仿宋_GB2312" w:cs="TimesNewRoman"/>
          <w:sz w:val="32"/>
          <w:szCs w:val="32"/>
          <w:lang w:val="en-US" w:eastAsia="zh-CN"/>
        </w:rPr>
        <w:t>9</w:t>
      </w:r>
      <w:r>
        <w:rPr>
          <w:rFonts w:hint="eastAsia" w:ascii="仿宋_GB2312" w:hAnsi="TimesNewRoman" w:eastAsia="仿宋_GB2312" w:cs="TimesNewRoman"/>
          <w:sz w:val="32"/>
          <w:szCs w:val="32"/>
          <w:lang w:eastAsia="zh-CN"/>
        </w:rPr>
        <w:t>号）</w:t>
      </w:r>
      <w:r>
        <w:rPr>
          <w:rFonts w:hint="eastAsia" w:ascii="仿宋_GB2312" w:hAnsi="TimesNewRoman" w:eastAsia="仿宋_GB2312" w:cs="TimesNewRoman"/>
          <w:sz w:val="32"/>
          <w:szCs w:val="32"/>
          <w:lang w:val="en-US" w:eastAsia="zh-CN"/>
        </w:rPr>
        <w:t>文件</w:t>
      </w:r>
      <w:r>
        <w:rPr>
          <w:rFonts w:hint="eastAsia" w:ascii="仿宋_GB2312" w:hAnsi="TimesNewRoman" w:eastAsia="仿宋_GB2312" w:cs="TimesNewRoman"/>
          <w:sz w:val="32"/>
          <w:szCs w:val="32"/>
          <w:lang w:eastAsia="zh-CN"/>
        </w:rPr>
        <w:t>。</w:t>
      </w:r>
    </w:p>
    <w:p w14:paraId="4897BA98">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寿县文学艺术院</w:t>
      </w:r>
    </w:p>
    <w:p w14:paraId="4E4E88A2">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2026年1月1日-12月31日</w:t>
      </w:r>
    </w:p>
    <w:p w14:paraId="23910D09">
      <w:pPr>
        <w:topLinePunct/>
        <w:adjustRightInd w:val="0"/>
        <w:snapToGrid w:val="0"/>
        <w:spacing w:line="560" w:lineRule="exact"/>
        <w:ind w:firstLine="640" w:firstLineChars="200"/>
        <w:rPr>
          <w:rFonts w:hint="default" w:ascii="仿宋_GB2312" w:hAnsi="TimesNewRoman" w:eastAsia="仿宋_GB2312" w:cs="TimesNewRoman"/>
          <w:color w:val="000000" w:themeColor="text1"/>
          <w:sz w:val="32"/>
          <w:szCs w:val="32"/>
          <w:lang w:val="en-US" w:eastAsia="zh-CN"/>
          <w14:textFill>
            <w14:solidFill>
              <w14:schemeClr w14:val="tx1"/>
            </w14:solidFill>
          </w14:textFill>
        </w:rPr>
      </w:pP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）项目内容</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color w:val="000000" w:themeColor="text1"/>
          <w:sz w:val="32"/>
          <w:szCs w:val="32"/>
          <w:lang w:val="en-US" w:eastAsia="zh-CN"/>
          <w14:textFill>
            <w14:solidFill>
              <w14:schemeClr w14:val="tx1"/>
            </w14:solidFill>
          </w14:textFill>
        </w:rPr>
        <w:t>单位文学艺术工作相关支出</w:t>
      </w:r>
    </w:p>
    <w:p w14:paraId="62C6819F">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16万元</w:t>
      </w:r>
    </w:p>
    <w:p w14:paraId="0D87BED5">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（7）绩效目标</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为贯彻执行党的文艺路线、方针、政策、团结和组织广大文艺家和文艺爱好者，繁荣和发展社会主义文艺事业，为建设现代化五大发展美好寿县做出贡献</w:t>
      </w:r>
      <w:r>
        <w:rPr>
          <w:rFonts w:hint="eastAsia" w:ascii="仿宋_GB2312" w:hAnsi="TimesNewRoman" w:eastAsia="仿宋_GB2312" w:cs="TimesNewRoman"/>
          <w:sz w:val="32"/>
          <w:szCs w:val="32"/>
          <w:lang w:eastAsia="zh-CN"/>
        </w:rPr>
        <w:t>。</w:t>
      </w:r>
    </w:p>
    <w:p w14:paraId="3D00A195">
      <w:pPr>
        <w:topLinePunct/>
        <w:adjustRightInd w:val="0"/>
        <w:snapToGrid w:val="0"/>
        <w:spacing w:line="560" w:lineRule="exact"/>
        <w:ind w:firstLine="640" w:firstLineChars="200"/>
        <w:rPr>
          <w:rFonts w:hint="eastAsia" w:ascii="仿宋_GB2312" w:hAnsi="楷体" w:eastAsia="仿宋_GB2312"/>
          <w:sz w:val="32"/>
          <w:szCs w:val="32"/>
        </w:rPr>
      </w:pPr>
    </w:p>
    <w:p w14:paraId="0930F688">
      <w:pPr>
        <w:topLinePunct/>
        <w:adjustRightInd w:val="0"/>
        <w:snapToGrid w:val="0"/>
        <w:spacing w:line="560" w:lineRule="exact"/>
        <w:ind w:firstLine="640" w:firstLineChars="200"/>
        <w:rPr>
          <w:rFonts w:hint="eastAsia" w:ascii="仿宋_GB2312" w:hAnsi="楷体" w:eastAsia="仿宋_GB2312"/>
          <w:sz w:val="32"/>
          <w:szCs w:val="32"/>
        </w:rPr>
      </w:pPr>
    </w:p>
    <w:p w14:paraId="5B8D60E9">
      <w:pPr>
        <w:topLinePunct/>
        <w:adjustRightInd w:val="0"/>
        <w:snapToGrid w:val="0"/>
        <w:spacing w:line="560" w:lineRule="exact"/>
        <w:ind w:firstLine="640" w:firstLineChars="200"/>
        <w:rPr>
          <w:rFonts w:hint="eastAsia" w:ascii="仿宋_GB2312" w:hAnsi="楷体" w:eastAsia="仿宋_GB2312"/>
          <w:sz w:val="32"/>
          <w:szCs w:val="32"/>
        </w:rPr>
      </w:pPr>
    </w:p>
    <w:p w14:paraId="75429879">
      <w:pPr>
        <w:topLinePunct/>
        <w:adjustRightInd w:val="0"/>
        <w:snapToGrid w:val="0"/>
        <w:spacing w:line="560" w:lineRule="exact"/>
        <w:ind w:firstLine="640" w:firstLineChars="200"/>
        <w:rPr>
          <w:rFonts w:hint="eastAsia" w:ascii="仿宋_GB2312" w:hAnsi="楷体" w:eastAsia="仿宋_GB2312"/>
          <w:sz w:val="32"/>
          <w:szCs w:val="32"/>
        </w:rPr>
      </w:pPr>
    </w:p>
    <w:p w14:paraId="745F7E70">
      <w:pPr>
        <w:topLinePunct/>
        <w:adjustRightInd w:val="0"/>
        <w:snapToGrid w:val="0"/>
        <w:spacing w:line="560" w:lineRule="exact"/>
        <w:ind w:firstLine="640" w:firstLineChars="200"/>
        <w:rPr>
          <w:rFonts w:hint="eastAsia" w:ascii="仿宋_GB2312" w:hAnsi="楷体" w:eastAsia="仿宋_GB2312"/>
          <w:sz w:val="32"/>
          <w:szCs w:val="32"/>
        </w:rPr>
      </w:pPr>
    </w:p>
    <w:p w14:paraId="34342106">
      <w:pPr>
        <w:topLinePunct/>
        <w:adjustRightInd w:val="0"/>
        <w:snapToGrid w:val="0"/>
        <w:spacing w:line="560" w:lineRule="exact"/>
        <w:ind w:firstLine="640" w:firstLineChars="200"/>
        <w:rPr>
          <w:rFonts w:hint="eastAsia" w:ascii="仿宋_GB2312" w:hAnsi="楷体" w:eastAsia="仿宋_GB2312"/>
          <w:sz w:val="32"/>
          <w:szCs w:val="32"/>
        </w:rPr>
      </w:pPr>
    </w:p>
    <w:p w14:paraId="4512501F">
      <w:pPr>
        <w:topLinePunct/>
        <w:adjustRightInd w:val="0"/>
        <w:snapToGrid w:val="0"/>
        <w:spacing w:line="560" w:lineRule="exact"/>
        <w:ind w:firstLine="640" w:firstLineChars="200"/>
        <w:rPr>
          <w:rFonts w:hint="eastAsia" w:ascii="仿宋_GB2312" w:hAnsi="楷体" w:eastAsia="仿宋_GB2312"/>
          <w:sz w:val="32"/>
          <w:szCs w:val="32"/>
        </w:rPr>
      </w:pPr>
    </w:p>
    <w:p w14:paraId="299033D0">
      <w:pPr>
        <w:topLinePunct/>
        <w:adjustRightInd w:val="0"/>
        <w:snapToGrid w:val="0"/>
        <w:spacing w:line="560" w:lineRule="exact"/>
        <w:ind w:firstLine="640" w:firstLineChars="200"/>
        <w:rPr>
          <w:rFonts w:hint="eastAsia" w:ascii="仿宋_GB2312" w:hAnsi="楷体" w:eastAsia="仿宋_GB2312"/>
          <w:sz w:val="32"/>
          <w:szCs w:val="32"/>
        </w:rPr>
      </w:pPr>
    </w:p>
    <w:p w14:paraId="092FD8F0">
      <w:pPr>
        <w:topLinePunct/>
        <w:adjustRightInd w:val="0"/>
        <w:snapToGrid w:val="0"/>
        <w:spacing w:line="560" w:lineRule="exact"/>
        <w:ind w:firstLine="640" w:firstLineChars="200"/>
        <w:rPr>
          <w:rFonts w:hint="eastAsia" w:ascii="仿宋_GB2312" w:hAnsi="楷体" w:eastAsia="仿宋_GB2312"/>
          <w:sz w:val="32"/>
          <w:szCs w:val="32"/>
        </w:rPr>
      </w:pPr>
    </w:p>
    <w:tbl>
      <w:tblPr>
        <w:tblStyle w:val="4"/>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4DE4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1D113B70">
            <w:pPr>
              <w:widowControl/>
              <w:jc w:val="center"/>
              <w:textAlignment w:val="center"/>
              <w:rPr>
                <w:rFonts w:hint="eastAsia" w:ascii="方正小标宋_GBK" w:eastAsia="方正小标宋_GBK" w:cs="宋体"/>
                <w:bCs/>
                <w:szCs w:val="32"/>
              </w:rPr>
            </w:pPr>
            <w:r>
              <w:rPr>
                <w:rFonts w:hint="eastAsia" w:ascii="方正小标宋_GBK" w:hAnsi="宋体" w:eastAsia="方正小标宋_GBK" w:cs="宋体"/>
                <w:color w:val="000000"/>
                <w:kern w:val="0"/>
                <w:sz w:val="28"/>
                <w:szCs w:val="28"/>
                <w:lang w:bidi="ar"/>
              </w:rPr>
              <w:t>项目支出绩效目标表</w:t>
            </w:r>
          </w:p>
        </w:tc>
      </w:tr>
      <w:tr w14:paraId="78BD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76CDBB52">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（2026年度）                                </w:t>
            </w:r>
          </w:p>
        </w:tc>
      </w:tr>
      <w:tr w14:paraId="36FD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248A099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154A7433">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文学艺术工作经费</w:t>
            </w:r>
          </w:p>
        </w:tc>
      </w:tr>
      <w:tr w14:paraId="70C4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71CF668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629452EC">
            <w:pPr>
              <w:spacing w:line="260" w:lineRule="exact"/>
              <w:jc w:val="center"/>
              <w:rPr>
                <w:rFonts w:hint="default" w:ascii="宋体" w:eastAsia="宋体" w:cs="宋体"/>
                <w:sz w:val="18"/>
                <w:szCs w:val="18"/>
                <w:lang w:val="en-US" w:eastAsia="zh-CN"/>
              </w:rPr>
            </w:pPr>
            <w:r>
              <w:rPr>
                <w:rFonts w:hint="eastAsia" w:ascii="宋体" w:cs="宋体"/>
                <w:sz w:val="18"/>
                <w:szCs w:val="18"/>
              </w:rPr>
              <w:t>寿县文学艺术界联合会</w:t>
            </w:r>
            <w:r>
              <w:rPr>
                <w:rFonts w:hint="eastAsia" w:ascii="宋体" w:cs="宋体"/>
                <w:sz w:val="18"/>
                <w:szCs w:val="18"/>
                <w:lang w:val="en-US" w:eastAsia="zh-CN"/>
              </w:rPr>
              <w:t>178</w:t>
            </w:r>
          </w:p>
        </w:tc>
        <w:tc>
          <w:tcPr>
            <w:tcW w:w="1848" w:type="dxa"/>
            <w:noWrap w:val="0"/>
            <w:vAlign w:val="center"/>
          </w:tcPr>
          <w:p w14:paraId="164B704A">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176B34EF">
            <w:pPr>
              <w:spacing w:line="260" w:lineRule="exact"/>
              <w:jc w:val="center"/>
              <w:rPr>
                <w:rFonts w:hint="eastAsia" w:eastAsia="宋体"/>
                <w:sz w:val="18"/>
                <w:szCs w:val="18"/>
                <w:lang w:eastAsia="zh-CN"/>
              </w:rPr>
            </w:pPr>
            <w:r>
              <w:rPr>
                <w:rFonts w:hint="eastAsia"/>
                <w:sz w:val="18"/>
                <w:szCs w:val="18"/>
                <w:lang w:eastAsia="zh-CN"/>
              </w:rPr>
              <w:t>寿县文学艺术院</w:t>
            </w:r>
          </w:p>
        </w:tc>
      </w:tr>
      <w:tr w14:paraId="3387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5460AE0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7035DADF">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财政拨款</w:t>
            </w:r>
          </w:p>
        </w:tc>
        <w:tc>
          <w:tcPr>
            <w:tcW w:w="1848" w:type="dxa"/>
            <w:noWrap w:val="0"/>
            <w:vAlign w:val="center"/>
          </w:tcPr>
          <w:p w14:paraId="261961F4">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457662FA">
            <w:pPr>
              <w:spacing w:line="260" w:lineRule="exact"/>
              <w:jc w:val="center"/>
              <w:rPr>
                <w:rFonts w:hint="default" w:eastAsia="宋体"/>
                <w:sz w:val="18"/>
                <w:szCs w:val="18"/>
                <w:lang w:val="en-US" w:eastAsia="zh-CN"/>
              </w:rPr>
            </w:pPr>
            <w:r>
              <w:rPr>
                <w:rFonts w:hint="eastAsia"/>
                <w:sz w:val="18"/>
                <w:szCs w:val="18"/>
                <w:lang w:val="en-US" w:eastAsia="zh-CN"/>
              </w:rPr>
              <w:t>2026年</w:t>
            </w:r>
          </w:p>
        </w:tc>
      </w:tr>
      <w:tr w14:paraId="72AD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6314CAF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4A4C486F">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75F79685">
            <w:pPr>
              <w:spacing w:line="260" w:lineRule="exact"/>
              <w:jc w:val="center"/>
              <w:rPr>
                <w:rFonts w:ascii="宋体" w:cs="宋体"/>
                <w:color w:val="auto"/>
                <w:sz w:val="18"/>
                <w:szCs w:val="18"/>
              </w:rPr>
            </w:pPr>
            <w:r>
              <w:rPr>
                <w:rFonts w:hint="eastAsia" w:ascii="宋体" w:hAnsi="宋体" w:cs="宋体"/>
                <w:color w:val="auto"/>
                <w:kern w:val="0"/>
                <w:sz w:val="18"/>
                <w:szCs w:val="18"/>
                <w:lang w:val="en-US" w:eastAsia="zh-CN" w:bidi="ar"/>
              </w:rPr>
              <w:t>16</w:t>
            </w:r>
          </w:p>
        </w:tc>
      </w:tr>
      <w:tr w14:paraId="2226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6DD4B992">
            <w:pPr>
              <w:spacing w:line="260" w:lineRule="exact"/>
              <w:jc w:val="center"/>
              <w:rPr>
                <w:rFonts w:ascii="宋体" w:cs="宋体"/>
                <w:sz w:val="18"/>
                <w:szCs w:val="18"/>
              </w:rPr>
            </w:pPr>
          </w:p>
        </w:tc>
        <w:tc>
          <w:tcPr>
            <w:tcW w:w="3349" w:type="dxa"/>
            <w:gridSpan w:val="2"/>
            <w:noWrap w:val="0"/>
            <w:vAlign w:val="center"/>
          </w:tcPr>
          <w:p w14:paraId="259D1CD4">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56BBD0F2">
            <w:pPr>
              <w:spacing w:line="260" w:lineRule="exact"/>
              <w:jc w:val="center"/>
              <w:rPr>
                <w:rFonts w:hint="default" w:ascii="宋体" w:eastAsia="宋体" w:cs="宋体"/>
                <w:color w:val="auto"/>
                <w:sz w:val="18"/>
                <w:szCs w:val="18"/>
                <w:lang w:val="en-US" w:eastAsia="zh-CN"/>
              </w:rPr>
            </w:pPr>
            <w:r>
              <w:rPr>
                <w:rFonts w:hint="eastAsia" w:ascii="宋体" w:cs="宋体"/>
                <w:color w:val="auto"/>
                <w:sz w:val="18"/>
                <w:szCs w:val="18"/>
                <w:lang w:val="en-US" w:eastAsia="zh-CN"/>
              </w:rPr>
              <w:t>16</w:t>
            </w:r>
          </w:p>
        </w:tc>
      </w:tr>
      <w:tr w14:paraId="37B8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1FD8123E">
            <w:pPr>
              <w:spacing w:line="260" w:lineRule="exact"/>
              <w:jc w:val="center"/>
              <w:rPr>
                <w:rFonts w:ascii="宋体" w:cs="宋体"/>
                <w:sz w:val="18"/>
                <w:szCs w:val="18"/>
              </w:rPr>
            </w:pPr>
          </w:p>
        </w:tc>
        <w:tc>
          <w:tcPr>
            <w:tcW w:w="3349" w:type="dxa"/>
            <w:gridSpan w:val="2"/>
            <w:noWrap w:val="0"/>
            <w:vAlign w:val="center"/>
          </w:tcPr>
          <w:p w14:paraId="258799CC">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1630B9BB">
            <w:pPr>
              <w:spacing w:line="260" w:lineRule="exact"/>
              <w:jc w:val="center"/>
              <w:rPr>
                <w:rFonts w:hint="eastAsia" w:ascii="宋体" w:eastAsia="宋体" w:cs="宋体"/>
                <w:color w:val="auto"/>
                <w:sz w:val="18"/>
                <w:szCs w:val="18"/>
                <w:lang w:val="en-US" w:eastAsia="zh-CN"/>
              </w:rPr>
            </w:pPr>
            <w:r>
              <w:rPr>
                <w:rFonts w:hint="eastAsia" w:ascii="宋体" w:cs="宋体"/>
                <w:color w:val="auto"/>
                <w:sz w:val="18"/>
                <w:szCs w:val="18"/>
                <w:lang w:val="en-US" w:eastAsia="zh-CN"/>
              </w:rPr>
              <w:t>0</w:t>
            </w:r>
          </w:p>
        </w:tc>
      </w:tr>
      <w:tr w14:paraId="6A14E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443" w:type="dxa"/>
            <w:gridSpan w:val="3"/>
            <w:vMerge w:val="continue"/>
            <w:noWrap w:val="0"/>
            <w:vAlign w:val="center"/>
          </w:tcPr>
          <w:p w14:paraId="6A012549">
            <w:pPr>
              <w:spacing w:line="260" w:lineRule="exact"/>
              <w:jc w:val="center"/>
              <w:rPr>
                <w:rFonts w:ascii="宋体" w:cs="宋体"/>
                <w:sz w:val="18"/>
                <w:szCs w:val="18"/>
              </w:rPr>
            </w:pPr>
          </w:p>
        </w:tc>
        <w:tc>
          <w:tcPr>
            <w:tcW w:w="3349" w:type="dxa"/>
            <w:gridSpan w:val="2"/>
            <w:noWrap w:val="0"/>
            <w:vAlign w:val="center"/>
          </w:tcPr>
          <w:p w14:paraId="19CB3DF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6537E522">
            <w:pPr>
              <w:spacing w:line="260" w:lineRule="exact"/>
              <w:jc w:val="center"/>
              <w:rPr>
                <w:rFonts w:hint="eastAsia" w:ascii="宋体" w:eastAsia="宋体" w:cs="宋体"/>
                <w:color w:val="auto"/>
                <w:sz w:val="18"/>
                <w:szCs w:val="18"/>
                <w:lang w:val="en-US" w:eastAsia="zh-CN"/>
              </w:rPr>
            </w:pPr>
            <w:r>
              <w:rPr>
                <w:rFonts w:hint="eastAsia" w:ascii="宋体" w:cs="宋体"/>
                <w:color w:val="auto"/>
                <w:sz w:val="18"/>
                <w:szCs w:val="18"/>
                <w:lang w:val="en-US" w:eastAsia="zh-CN"/>
              </w:rPr>
              <w:t>0</w:t>
            </w:r>
          </w:p>
        </w:tc>
      </w:tr>
      <w:tr w14:paraId="68AB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3EC685E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top"/>
          </w:tcPr>
          <w:p w14:paraId="6337CC69">
            <w:pPr>
              <w:keepNext w:val="0"/>
              <w:keepLines w:val="0"/>
              <w:widowControl/>
              <w:suppressLineNumbers w:val="0"/>
              <w:jc w:val="both"/>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保障寿县文学艺术院（寿州循理书院）2026年文学艺术工作正常开展</w:t>
            </w:r>
          </w:p>
        </w:tc>
      </w:tr>
      <w:tr w14:paraId="68F78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0B8AC71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43F4860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7329751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25DECCF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7AF0B7B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7FA0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15BCA5C">
            <w:pPr>
              <w:spacing w:line="260" w:lineRule="exact"/>
              <w:jc w:val="center"/>
              <w:rPr>
                <w:rFonts w:hint="eastAsia" w:ascii="宋体" w:eastAsia="宋体" w:cs="宋体"/>
                <w:sz w:val="18"/>
                <w:szCs w:val="18"/>
                <w:lang w:eastAsia="zh-CN"/>
              </w:rPr>
            </w:pPr>
            <w:r>
              <w:rPr>
                <w:rFonts w:hint="eastAsia" w:ascii="宋体" w:cs="宋体"/>
                <w:sz w:val="18"/>
                <w:szCs w:val="18"/>
                <w:lang w:eastAsia="zh-CN"/>
              </w:rPr>
              <w:t>。</w:t>
            </w:r>
          </w:p>
        </w:tc>
        <w:tc>
          <w:tcPr>
            <w:tcW w:w="723" w:type="dxa"/>
            <w:vMerge w:val="restart"/>
            <w:noWrap w:val="0"/>
            <w:vAlign w:val="center"/>
          </w:tcPr>
          <w:p w14:paraId="4FEED03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5D95CDC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25485352">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保障人员</w:t>
            </w:r>
          </w:p>
        </w:tc>
        <w:tc>
          <w:tcPr>
            <w:tcW w:w="4228" w:type="dxa"/>
            <w:gridSpan w:val="2"/>
            <w:noWrap w:val="0"/>
            <w:vAlign w:val="center"/>
          </w:tcPr>
          <w:p w14:paraId="2418E62D">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4人</w:t>
            </w:r>
          </w:p>
        </w:tc>
      </w:tr>
      <w:tr w14:paraId="49C4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6E4C44A0">
            <w:pPr>
              <w:spacing w:line="260" w:lineRule="exact"/>
              <w:jc w:val="center"/>
              <w:rPr>
                <w:rFonts w:ascii="宋体" w:cs="宋体"/>
                <w:sz w:val="18"/>
                <w:szCs w:val="18"/>
              </w:rPr>
            </w:pPr>
          </w:p>
        </w:tc>
        <w:tc>
          <w:tcPr>
            <w:tcW w:w="723" w:type="dxa"/>
            <w:vMerge w:val="continue"/>
            <w:noWrap w:val="0"/>
            <w:vAlign w:val="center"/>
          </w:tcPr>
          <w:p w14:paraId="05E728F8">
            <w:pPr>
              <w:spacing w:line="260" w:lineRule="exact"/>
              <w:jc w:val="center"/>
              <w:rPr>
                <w:rFonts w:ascii="宋体" w:cs="宋体"/>
                <w:sz w:val="18"/>
                <w:szCs w:val="18"/>
              </w:rPr>
            </w:pPr>
          </w:p>
        </w:tc>
        <w:tc>
          <w:tcPr>
            <w:tcW w:w="759" w:type="dxa"/>
            <w:gridSpan w:val="2"/>
            <w:vMerge w:val="continue"/>
            <w:noWrap w:val="0"/>
            <w:vAlign w:val="center"/>
          </w:tcPr>
          <w:p w14:paraId="1A1C7795">
            <w:pPr>
              <w:spacing w:line="260" w:lineRule="exact"/>
              <w:jc w:val="center"/>
              <w:rPr>
                <w:rFonts w:ascii="宋体" w:cs="宋体"/>
                <w:sz w:val="18"/>
                <w:szCs w:val="18"/>
              </w:rPr>
            </w:pPr>
          </w:p>
        </w:tc>
        <w:tc>
          <w:tcPr>
            <w:tcW w:w="2872" w:type="dxa"/>
            <w:noWrap w:val="0"/>
            <w:vAlign w:val="center"/>
          </w:tcPr>
          <w:p w14:paraId="5E6A717E">
            <w:pPr>
              <w:spacing w:line="260" w:lineRule="exact"/>
              <w:jc w:val="left"/>
              <w:textAlignment w:val="center"/>
              <w:rPr>
                <w:rFonts w:hint="default" w:ascii="宋体" w:eastAsia="汉仪中秀体简" w:cs="宋体"/>
                <w:sz w:val="18"/>
                <w:szCs w:val="18"/>
                <w:lang w:val="en-US" w:eastAsia="zh-CN"/>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2</w:t>
            </w:r>
            <w:r>
              <w:rPr>
                <w:rFonts w:hint="eastAsia" w:ascii="宋体" w:hAnsi="宋体" w:cs="宋体"/>
                <w:color w:val="000000"/>
                <w:kern w:val="0"/>
                <w:sz w:val="18"/>
                <w:szCs w:val="18"/>
                <w:lang w:bidi="ar"/>
              </w:rPr>
              <w:t>：</w:t>
            </w:r>
            <w:r>
              <w:rPr>
                <w:rFonts w:hint="eastAsia" w:ascii="宋体" w:hAnsi="宋体" w:eastAsia="宋体" w:cs="宋体"/>
                <w:color w:val="000000"/>
                <w:kern w:val="0"/>
                <w:sz w:val="18"/>
                <w:szCs w:val="18"/>
                <w:lang w:val="en-US" w:eastAsia="zh-CN" w:bidi="ar"/>
              </w:rPr>
              <w:t>保障年限</w:t>
            </w:r>
          </w:p>
        </w:tc>
        <w:tc>
          <w:tcPr>
            <w:tcW w:w="4228" w:type="dxa"/>
            <w:gridSpan w:val="2"/>
            <w:noWrap w:val="0"/>
            <w:vAlign w:val="center"/>
          </w:tcPr>
          <w:p w14:paraId="6A2EB650">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1年</w:t>
            </w:r>
          </w:p>
        </w:tc>
      </w:tr>
      <w:tr w14:paraId="47F8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F19B919">
            <w:pPr>
              <w:spacing w:line="260" w:lineRule="exact"/>
              <w:jc w:val="center"/>
              <w:rPr>
                <w:rFonts w:ascii="宋体" w:cs="宋体"/>
                <w:sz w:val="18"/>
                <w:szCs w:val="18"/>
              </w:rPr>
            </w:pPr>
          </w:p>
        </w:tc>
        <w:tc>
          <w:tcPr>
            <w:tcW w:w="723" w:type="dxa"/>
            <w:vMerge w:val="continue"/>
            <w:noWrap w:val="0"/>
            <w:vAlign w:val="center"/>
          </w:tcPr>
          <w:p w14:paraId="060460C8">
            <w:pPr>
              <w:spacing w:line="260" w:lineRule="exact"/>
              <w:jc w:val="center"/>
              <w:rPr>
                <w:rFonts w:ascii="宋体" w:cs="宋体"/>
                <w:sz w:val="18"/>
                <w:szCs w:val="18"/>
              </w:rPr>
            </w:pPr>
          </w:p>
        </w:tc>
        <w:tc>
          <w:tcPr>
            <w:tcW w:w="759" w:type="dxa"/>
            <w:gridSpan w:val="2"/>
            <w:vMerge w:val="restart"/>
            <w:noWrap w:val="0"/>
            <w:vAlign w:val="center"/>
          </w:tcPr>
          <w:p w14:paraId="011FF4C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67604514">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工作正常开展</w:t>
            </w:r>
          </w:p>
        </w:tc>
        <w:tc>
          <w:tcPr>
            <w:tcW w:w="4228" w:type="dxa"/>
            <w:gridSpan w:val="2"/>
            <w:noWrap w:val="0"/>
            <w:vAlign w:val="center"/>
          </w:tcPr>
          <w:p w14:paraId="74357BB8">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持续保障</w:t>
            </w:r>
          </w:p>
        </w:tc>
      </w:tr>
      <w:tr w14:paraId="12B8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53E1332">
            <w:pPr>
              <w:spacing w:line="260" w:lineRule="exact"/>
              <w:jc w:val="center"/>
              <w:rPr>
                <w:rFonts w:ascii="宋体" w:cs="宋体"/>
                <w:sz w:val="18"/>
                <w:szCs w:val="18"/>
              </w:rPr>
            </w:pPr>
          </w:p>
        </w:tc>
        <w:tc>
          <w:tcPr>
            <w:tcW w:w="723" w:type="dxa"/>
            <w:vMerge w:val="continue"/>
            <w:noWrap w:val="0"/>
            <w:vAlign w:val="center"/>
          </w:tcPr>
          <w:p w14:paraId="31A98365">
            <w:pPr>
              <w:spacing w:line="260" w:lineRule="exact"/>
              <w:jc w:val="center"/>
              <w:rPr>
                <w:rFonts w:ascii="宋体" w:cs="宋体"/>
                <w:sz w:val="18"/>
                <w:szCs w:val="18"/>
              </w:rPr>
            </w:pPr>
          </w:p>
        </w:tc>
        <w:tc>
          <w:tcPr>
            <w:tcW w:w="759" w:type="dxa"/>
            <w:gridSpan w:val="2"/>
            <w:vMerge w:val="continue"/>
            <w:noWrap w:val="0"/>
            <w:vAlign w:val="center"/>
          </w:tcPr>
          <w:p w14:paraId="7C63AF42">
            <w:pPr>
              <w:spacing w:line="260" w:lineRule="exact"/>
              <w:jc w:val="center"/>
              <w:textAlignment w:val="center"/>
              <w:rPr>
                <w:rFonts w:hint="eastAsia" w:ascii="宋体" w:hAnsi="宋体" w:cs="宋体"/>
                <w:color w:val="000000"/>
                <w:kern w:val="0"/>
                <w:sz w:val="18"/>
                <w:szCs w:val="18"/>
                <w:lang w:bidi="ar"/>
              </w:rPr>
            </w:pPr>
          </w:p>
        </w:tc>
        <w:tc>
          <w:tcPr>
            <w:tcW w:w="2872" w:type="dxa"/>
            <w:noWrap w:val="0"/>
            <w:vAlign w:val="center"/>
          </w:tcPr>
          <w:p w14:paraId="392EF323">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2</w:t>
            </w:r>
            <w:r>
              <w:rPr>
                <w:rFonts w:hint="eastAsia" w:ascii="宋体" w:hAnsi="宋体" w:cs="宋体"/>
                <w:color w:val="000000"/>
                <w:kern w:val="0"/>
                <w:sz w:val="18"/>
                <w:szCs w:val="18"/>
                <w:lang w:bidi="ar"/>
              </w:rPr>
              <w:t>：经费支出合规性</w:t>
            </w:r>
          </w:p>
        </w:tc>
        <w:tc>
          <w:tcPr>
            <w:tcW w:w="4228" w:type="dxa"/>
            <w:gridSpan w:val="2"/>
            <w:noWrap w:val="0"/>
            <w:vAlign w:val="center"/>
          </w:tcPr>
          <w:p w14:paraId="3CD91927">
            <w:pPr>
              <w:spacing w:line="260" w:lineRule="exact"/>
              <w:jc w:val="center"/>
              <w:rPr>
                <w:rFonts w:ascii="宋体" w:cs="宋体"/>
                <w:sz w:val="18"/>
                <w:szCs w:val="18"/>
              </w:rPr>
            </w:pPr>
            <w:r>
              <w:rPr>
                <w:rFonts w:hint="eastAsia" w:ascii="宋体" w:cs="宋体"/>
                <w:sz w:val="18"/>
                <w:szCs w:val="18"/>
              </w:rPr>
              <w:t>符合规定</w:t>
            </w:r>
          </w:p>
        </w:tc>
      </w:tr>
      <w:tr w14:paraId="4E00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643A972">
            <w:pPr>
              <w:spacing w:line="260" w:lineRule="exact"/>
              <w:jc w:val="center"/>
              <w:rPr>
                <w:rFonts w:ascii="宋体" w:cs="宋体"/>
                <w:sz w:val="18"/>
                <w:szCs w:val="18"/>
              </w:rPr>
            </w:pPr>
          </w:p>
        </w:tc>
        <w:tc>
          <w:tcPr>
            <w:tcW w:w="723" w:type="dxa"/>
            <w:vMerge w:val="continue"/>
            <w:noWrap w:val="0"/>
            <w:vAlign w:val="center"/>
          </w:tcPr>
          <w:p w14:paraId="66E837C5">
            <w:pPr>
              <w:spacing w:line="260" w:lineRule="exact"/>
              <w:jc w:val="center"/>
              <w:rPr>
                <w:rFonts w:ascii="宋体" w:cs="宋体"/>
                <w:sz w:val="18"/>
                <w:szCs w:val="18"/>
              </w:rPr>
            </w:pPr>
          </w:p>
        </w:tc>
        <w:tc>
          <w:tcPr>
            <w:tcW w:w="759" w:type="dxa"/>
            <w:gridSpan w:val="2"/>
            <w:noWrap w:val="0"/>
            <w:vAlign w:val="center"/>
          </w:tcPr>
          <w:p w14:paraId="2B245E0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7F35AC61">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2026年</w:t>
            </w:r>
          </w:p>
        </w:tc>
        <w:tc>
          <w:tcPr>
            <w:tcW w:w="4228" w:type="dxa"/>
            <w:gridSpan w:val="2"/>
            <w:noWrap w:val="0"/>
            <w:vAlign w:val="center"/>
          </w:tcPr>
          <w:p w14:paraId="4F86760A">
            <w:pPr>
              <w:spacing w:line="260" w:lineRule="exact"/>
              <w:jc w:val="center"/>
              <w:rPr>
                <w:rFonts w:ascii="宋体" w:cs="宋体"/>
                <w:sz w:val="18"/>
                <w:szCs w:val="18"/>
              </w:rPr>
            </w:pPr>
            <w:r>
              <w:rPr>
                <w:rFonts w:hint="eastAsia" w:ascii="宋体" w:cs="宋体"/>
                <w:sz w:val="18"/>
                <w:szCs w:val="18"/>
              </w:rPr>
              <w:t>≤1年</w:t>
            </w:r>
          </w:p>
        </w:tc>
      </w:tr>
      <w:tr w14:paraId="12F9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2654676">
            <w:pPr>
              <w:spacing w:line="260" w:lineRule="exact"/>
              <w:jc w:val="center"/>
              <w:rPr>
                <w:rFonts w:ascii="宋体" w:cs="宋体"/>
                <w:sz w:val="18"/>
                <w:szCs w:val="18"/>
              </w:rPr>
            </w:pPr>
          </w:p>
        </w:tc>
        <w:tc>
          <w:tcPr>
            <w:tcW w:w="723" w:type="dxa"/>
            <w:vMerge w:val="continue"/>
            <w:noWrap w:val="0"/>
            <w:vAlign w:val="center"/>
          </w:tcPr>
          <w:p w14:paraId="4CA776B9">
            <w:pPr>
              <w:spacing w:line="260" w:lineRule="exact"/>
              <w:jc w:val="center"/>
              <w:rPr>
                <w:rFonts w:ascii="宋体" w:cs="宋体"/>
                <w:sz w:val="18"/>
                <w:szCs w:val="18"/>
              </w:rPr>
            </w:pPr>
          </w:p>
        </w:tc>
        <w:tc>
          <w:tcPr>
            <w:tcW w:w="759" w:type="dxa"/>
            <w:gridSpan w:val="2"/>
            <w:vMerge w:val="restart"/>
            <w:noWrap w:val="0"/>
            <w:vAlign w:val="center"/>
          </w:tcPr>
          <w:p w14:paraId="5DC61B6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4AE66994">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项目总成本</w:t>
            </w:r>
          </w:p>
        </w:tc>
        <w:tc>
          <w:tcPr>
            <w:tcW w:w="4228" w:type="dxa"/>
            <w:gridSpan w:val="2"/>
            <w:noWrap w:val="0"/>
            <w:vAlign w:val="center"/>
          </w:tcPr>
          <w:p w14:paraId="485F40D4">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16万</w:t>
            </w:r>
          </w:p>
        </w:tc>
      </w:tr>
      <w:tr w14:paraId="01EA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23B6D42">
            <w:pPr>
              <w:spacing w:line="260" w:lineRule="exact"/>
              <w:jc w:val="center"/>
              <w:rPr>
                <w:rFonts w:ascii="宋体" w:cs="宋体"/>
                <w:sz w:val="18"/>
                <w:szCs w:val="18"/>
              </w:rPr>
            </w:pPr>
          </w:p>
        </w:tc>
        <w:tc>
          <w:tcPr>
            <w:tcW w:w="723" w:type="dxa"/>
            <w:vMerge w:val="continue"/>
            <w:noWrap w:val="0"/>
            <w:vAlign w:val="center"/>
          </w:tcPr>
          <w:p w14:paraId="593916D8">
            <w:pPr>
              <w:spacing w:line="260" w:lineRule="exact"/>
              <w:jc w:val="center"/>
              <w:rPr>
                <w:rFonts w:ascii="宋体" w:cs="宋体"/>
                <w:sz w:val="18"/>
                <w:szCs w:val="18"/>
              </w:rPr>
            </w:pPr>
          </w:p>
        </w:tc>
        <w:tc>
          <w:tcPr>
            <w:tcW w:w="759" w:type="dxa"/>
            <w:gridSpan w:val="2"/>
            <w:vMerge w:val="continue"/>
            <w:noWrap w:val="0"/>
            <w:vAlign w:val="center"/>
          </w:tcPr>
          <w:p w14:paraId="003AD991">
            <w:pPr>
              <w:spacing w:line="260" w:lineRule="exact"/>
              <w:jc w:val="center"/>
              <w:rPr>
                <w:rFonts w:ascii="宋体" w:cs="宋体"/>
                <w:sz w:val="18"/>
                <w:szCs w:val="18"/>
              </w:rPr>
            </w:pPr>
          </w:p>
        </w:tc>
        <w:tc>
          <w:tcPr>
            <w:tcW w:w="2872" w:type="dxa"/>
            <w:noWrap w:val="0"/>
            <w:vAlign w:val="center"/>
          </w:tcPr>
          <w:p w14:paraId="7D0C7879">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2</w:t>
            </w:r>
            <w:r>
              <w:rPr>
                <w:rFonts w:hint="eastAsia" w:ascii="宋体" w:hAnsi="宋体" w:cs="宋体"/>
                <w:color w:val="000000"/>
                <w:kern w:val="0"/>
                <w:sz w:val="18"/>
                <w:szCs w:val="18"/>
                <w:lang w:bidi="ar"/>
              </w:rPr>
              <w:t>：</w:t>
            </w:r>
            <w:r>
              <w:rPr>
                <w:rFonts w:hint="eastAsia" w:ascii="宋体" w:hAnsi="宋体" w:cs="宋体"/>
                <w:color w:val="000000"/>
                <w:kern w:val="0"/>
                <w:sz w:val="18"/>
                <w:szCs w:val="18"/>
                <w:lang w:val="en-US" w:eastAsia="zh-CN" w:bidi="ar"/>
              </w:rPr>
              <w:t>根据各项工作计划具体控制成本</w:t>
            </w:r>
          </w:p>
        </w:tc>
        <w:tc>
          <w:tcPr>
            <w:tcW w:w="4228" w:type="dxa"/>
            <w:gridSpan w:val="2"/>
            <w:noWrap w:val="0"/>
            <w:vAlign w:val="center"/>
          </w:tcPr>
          <w:p w14:paraId="559996CE">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控制在预算内</w:t>
            </w:r>
          </w:p>
        </w:tc>
      </w:tr>
      <w:tr w14:paraId="2F66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A2BFC1F">
            <w:pPr>
              <w:spacing w:line="260" w:lineRule="exact"/>
              <w:jc w:val="center"/>
              <w:rPr>
                <w:rFonts w:ascii="宋体" w:cs="宋体"/>
                <w:sz w:val="18"/>
                <w:szCs w:val="18"/>
              </w:rPr>
            </w:pPr>
          </w:p>
        </w:tc>
        <w:tc>
          <w:tcPr>
            <w:tcW w:w="723" w:type="dxa"/>
            <w:vMerge w:val="restart"/>
            <w:noWrap w:val="0"/>
            <w:vAlign w:val="center"/>
          </w:tcPr>
          <w:p w14:paraId="2C51B27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500A2F0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3D61A3CA">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经济效益</w:t>
            </w:r>
          </w:p>
        </w:tc>
        <w:tc>
          <w:tcPr>
            <w:tcW w:w="4228" w:type="dxa"/>
            <w:gridSpan w:val="2"/>
            <w:noWrap w:val="0"/>
            <w:vAlign w:val="center"/>
          </w:tcPr>
          <w:p w14:paraId="7B3B019E">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持续向好</w:t>
            </w:r>
          </w:p>
        </w:tc>
      </w:tr>
      <w:tr w14:paraId="60BA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2341B54">
            <w:pPr>
              <w:spacing w:line="260" w:lineRule="exact"/>
              <w:jc w:val="center"/>
              <w:rPr>
                <w:rFonts w:ascii="宋体" w:cs="宋体"/>
                <w:sz w:val="18"/>
                <w:szCs w:val="18"/>
              </w:rPr>
            </w:pPr>
          </w:p>
        </w:tc>
        <w:tc>
          <w:tcPr>
            <w:tcW w:w="723" w:type="dxa"/>
            <w:vMerge w:val="continue"/>
            <w:noWrap w:val="0"/>
            <w:vAlign w:val="center"/>
          </w:tcPr>
          <w:p w14:paraId="4DBED4C6">
            <w:pPr>
              <w:spacing w:line="260" w:lineRule="exact"/>
              <w:jc w:val="center"/>
              <w:rPr>
                <w:rFonts w:ascii="宋体" w:cs="宋体"/>
                <w:sz w:val="18"/>
                <w:szCs w:val="18"/>
              </w:rPr>
            </w:pPr>
          </w:p>
        </w:tc>
        <w:tc>
          <w:tcPr>
            <w:tcW w:w="759" w:type="dxa"/>
            <w:gridSpan w:val="2"/>
            <w:vMerge w:val="restart"/>
            <w:noWrap w:val="0"/>
            <w:vAlign w:val="center"/>
          </w:tcPr>
          <w:p w14:paraId="173FD5B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070BC774">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开展文学艺术活动，提升全民文学艺术水平</w:t>
            </w:r>
          </w:p>
        </w:tc>
        <w:tc>
          <w:tcPr>
            <w:tcW w:w="4228" w:type="dxa"/>
            <w:gridSpan w:val="2"/>
            <w:noWrap w:val="0"/>
            <w:vAlign w:val="center"/>
          </w:tcPr>
          <w:p w14:paraId="7A25124C">
            <w:pPr>
              <w:spacing w:line="260" w:lineRule="exact"/>
              <w:jc w:val="center"/>
              <w:rPr>
                <w:rFonts w:ascii="宋体" w:cs="宋体"/>
                <w:sz w:val="18"/>
                <w:szCs w:val="18"/>
              </w:rPr>
            </w:pPr>
            <w:r>
              <w:rPr>
                <w:rFonts w:hint="eastAsia"/>
              </w:rPr>
              <w:t>持续提高</w:t>
            </w:r>
          </w:p>
        </w:tc>
      </w:tr>
      <w:tr w14:paraId="6F97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281C1FA">
            <w:pPr>
              <w:spacing w:line="260" w:lineRule="exact"/>
              <w:jc w:val="center"/>
              <w:rPr>
                <w:rFonts w:ascii="宋体" w:cs="宋体"/>
                <w:sz w:val="18"/>
                <w:szCs w:val="18"/>
              </w:rPr>
            </w:pPr>
          </w:p>
        </w:tc>
        <w:tc>
          <w:tcPr>
            <w:tcW w:w="723" w:type="dxa"/>
            <w:vMerge w:val="continue"/>
            <w:noWrap w:val="0"/>
            <w:vAlign w:val="center"/>
          </w:tcPr>
          <w:p w14:paraId="13973B21">
            <w:pPr>
              <w:spacing w:line="260" w:lineRule="exact"/>
              <w:jc w:val="center"/>
              <w:rPr>
                <w:rFonts w:ascii="宋体" w:cs="宋体"/>
                <w:sz w:val="18"/>
                <w:szCs w:val="18"/>
              </w:rPr>
            </w:pPr>
          </w:p>
        </w:tc>
        <w:tc>
          <w:tcPr>
            <w:tcW w:w="759" w:type="dxa"/>
            <w:gridSpan w:val="2"/>
            <w:vMerge w:val="continue"/>
            <w:noWrap w:val="0"/>
            <w:vAlign w:val="center"/>
          </w:tcPr>
          <w:p w14:paraId="2004A190">
            <w:pPr>
              <w:spacing w:line="260" w:lineRule="exact"/>
              <w:jc w:val="center"/>
              <w:rPr>
                <w:rFonts w:ascii="宋体" w:cs="宋体"/>
                <w:sz w:val="18"/>
                <w:szCs w:val="18"/>
              </w:rPr>
            </w:pPr>
          </w:p>
        </w:tc>
        <w:tc>
          <w:tcPr>
            <w:tcW w:w="2872" w:type="dxa"/>
            <w:noWrap w:val="0"/>
            <w:vAlign w:val="center"/>
          </w:tcPr>
          <w:p w14:paraId="7E617F04">
            <w:pPr>
              <w:spacing w:line="260" w:lineRule="exact"/>
              <w:jc w:val="left"/>
              <w:textAlignment w:val="center"/>
              <w:rPr>
                <w:rFonts w:hint="default" w:ascii="宋体" w:eastAsia="宋体" w:cs="宋体"/>
                <w:sz w:val="18"/>
                <w:szCs w:val="18"/>
                <w:lang w:val="en-US" w:eastAsia="zh-CN"/>
              </w:rPr>
            </w:pPr>
            <w:r>
              <w:rPr>
                <w:rFonts w:hint="eastAsia" w:ascii="宋体" w:cs="宋体"/>
                <w:sz w:val="18"/>
                <w:szCs w:val="18"/>
                <w:lang w:val="en-US" w:eastAsia="zh-CN"/>
              </w:rPr>
              <w:t>指标2：全民文学艺术作品、活动知晓度。</w:t>
            </w:r>
          </w:p>
        </w:tc>
        <w:tc>
          <w:tcPr>
            <w:tcW w:w="4228" w:type="dxa"/>
            <w:gridSpan w:val="2"/>
            <w:noWrap w:val="0"/>
            <w:vAlign w:val="center"/>
          </w:tcPr>
          <w:p w14:paraId="6EB6F1E9">
            <w:pPr>
              <w:spacing w:line="260" w:lineRule="exact"/>
              <w:jc w:val="center"/>
              <w:rPr>
                <w:rFonts w:ascii="宋体" w:cs="宋体"/>
                <w:sz w:val="18"/>
                <w:szCs w:val="18"/>
              </w:rPr>
            </w:pPr>
            <w:r>
              <w:rPr>
                <w:rFonts w:hint="eastAsia" w:ascii="宋体" w:cs="宋体"/>
                <w:sz w:val="18"/>
                <w:szCs w:val="18"/>
                <w:lang w:val="en-US" w:eastAsia="zh-CN"/>
              </w:rPr>
              <w:t>持续提升</w:t>
            </w:r>
          </w:p>
        </w:tc>
      </w:tr>
      <w:tr w14:paraId="22BD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BCD3987">
            <w:pPr>
              <w:spacing w:line="260" w:lineRule="exact"/>
              <w:jc w:val="center"/>
              <w:rPr>
                <w:rFonts w:ascii="宋体" w:cs="宋体"/>
                <w:sz w:val="18"/>
                <w:szCs w:val="18"/>
              </w:rPr>
            </w:pPr>
          </w:p>
        </w:tc>
        <w:tc>
          <w:tcPr>
            <w:tcW w:w="723" w:type="dxa"/>
            <w:vMerge w:val="continue"/>
            <w:noWrap w:val="0"/>
            <w:vAlign w:val="center"/>
          </w:tcPr>
          <w:p w14:paraId="68C5198B">
            <w:pPr>
              <w:spacing w:line="260" w:lineRule="exact"/>
              <w:jc w:val="center"/>
              <w:rPr>
                <w:rFonts w:ascii="宋体" w:cs="宋体"/>
                <w:sz w:val="18"/>
                <w:szCs w:val="18"/>
              </w:rPr>
            </w:pPr>
          </w:p>
        </w:tc>
        <w:tc>
          <w:tcPr>
            <w:tcW w:w="759" w:type="dxa"/>
            <w:gridSpan w:val="2"/>
            <w:noWrap w:val="0"/>
            <w:vAlign w:val="center"/>
          </w:tcPr>
          <w:p w14:paraId="5C195A5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7F78B11D">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营造良好文学艺术氛围</w:t>
            </w:r>
          </w:p>
        </w:tc>
        <w:tc>
          <w:tcPr>
            <w:tcW w:w="4228" w:type="dxa"/>
            <w:gridSpan w:val="2"/>
            <w:noWrap w:val="0"/>
            <w:vAlign w:val="center"/>
          </w:tcPr>
          <w:p w14:paraId="020FDAFF">
            <w:pPr>
              <w:spacing w:line="260" w:lineRule="exact"/>
              <w:jc w:val="center"/>
              <w:rPr>
                <w:rFonts w:ascii="宋体" w:cs="宋体"/>
                <w:sz w:val="18"/>
                <w:szCs w:val="18"/>
              </w:rPr>
            </w:pPr>
            <w:r>
              <w:rPr>
                <w:rFonts w:hint="eastAsia" w:ascii="宋体" w:cs="宋体"/>
                <w:sz w:val="18"/>
                <w:szCs w:val="18"/>
                <w:lang w:val="en-US" w:eastAsia="zh-CN"/>
              </w:rPr>
              <w:t>≥80%</w:t>
            </w:r>
          </w:p>
        </w:tc>
      </w:tr>
      <w:tr w14:paraId="2F49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noWrap w:val="0"/>
            <w:vAlign w:val="center"/>
          </w:tcPr>
          <w:p w14:paraId="4665788A">
            <w:pPr>
              <w:spacing w:line="260" w:lineRule="exact"/>
              <w:jc w:val="center"/>
              <w:rPr>
                <w:rFonts w:ascii="宋体" w:cs="宋体"/>
                <w:sz w:val="18"/>
                <w:szCs w:val="18"/>
              </w:rPr>
            </w:pPr>
          </w:p>
        </w:tc>
        <w:tc>
          <w:tcPr>
            <w:tcW w:w="723" w:type="dxa"/>
            <w:vMerge w:val="continue"/>
            <w:noWrap w:val="0"/>
            <w:vAlign w:val="center"/>
          </w:tcPr>
          <w:p w14:paraId="57CC11C6">
            <w:pPr>
              <w:spacing w:line="260" w:lineRule="exact"/>
              <w:jc w:val="center"/>
              <w:rPr>
                <w:rFonts w:ascii="宋体" w:cs="宋体"/>
                <w:sz w:val="18"/>
                <w:szCs w:val="18"/>
              </w:rPr>
            </w:pPr>
          </w:p>
        </w:tc>
        <w:tc>
          <w:tcPr>
            <w:tcW w:w="759" w:type="dxa"/>
            <w:gridSpan w:val="2"/>
            <w:noWrap w:val="0"/>
            <w:vAlign w:val="center"/>
          </w:tcPr>
          <w:p w14:paraId="5CBA4E81">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08F560C1">
            <w:pPr>
              <w:spacing w:line="260" w:lineRule="exact"/>
              <w:jc w:val="left"/>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指标：建立健全文学艺术长效工作机制，巩固开展成果</w:t>
            </w:r>
          </w:p>
        </w:tc>
        <w:tc>
          <w:tcPr>
            <w:tcW w:w="4228" w:type="dxa"/>
            <w:gridSpan w:val="2"/>
            <w:noWrap w:val="0"/>
            <w:vAlign w:val="center"/>
          </w:tcPr>
          <w:p w14:paraId="0E700205">
            <w:pPr>
              <w:spacing w:line="260" w:lineRule="exact"/>
              <w:jc w:val="center"/>
              <w:rPr>
                <w:rFonts w:ascii="宋体" w:cs="宋体"/>
                <w:sz w:val="18"/>
                <w:szCs w:val="18"/>
              </w:rPr>
            </w:pPr>
            <w:r>
              <w:rPr>
                <w:rFonts w:hint="eastAsia" w:ascii="宋体" w:cs="宋体"/>
                <w:sz w:val="18"/>
                <w:szCs w:val="18"/>
                <w:lang w:val="en-US" w:eastAsia="zh-CN"/>
              </w:rPr>
              <w:t>有效巩固</w:t>
            </w:r>
          </w:p>
        </w:tc>
      </w:tr>
      <w:tr w14:paraId="3D19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AC00466">
            <w:pPr>
              <w:spacing w:line="260" w:lineRule="exact"/>
              <w:jc w:val="center"/>
              <w:rPr>
                <w:rFonts w:ascii="宋体" w:cs="宋体"/>
                <w:sz w:val="18"/>
                <w:szCs w:val="18"/>
              </w:rPr>
            </w:pPr>
          </w:p>
        </w:tc>
        <w:tc>
          <w:tcPr>
            <w:tcW w:w="723" w:type="dxa"/>
            <w:noWrap w:val="0"/>
            <w:vAlign w:val="center"/>
          </w:tcPr>
          <w:p w14:paraId="5EACC8B0">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001C3E80">
            <w:pPr>
              <w:spacing w:line="260" w:lineRule="exact"/>
              <w:jc w:val="center"/>
              <w:rPr>
                <w:rFonts w:hint="eastAsia" w:ascii="宋体" w:hAnsi="宋体" w:cs="宋体"/>
                <w:sz w:val="18"/>
                <w:szCs w:val="18"/>
              </w:rPr>
            </w:pPr>
            <w:r>
              <w:rPr>
                <w:rFonts w:hint="eastAsia" w:ascii="宋体" w:hAnsi="宋体" w:cs="宋体"/>
                <w:sz w:val="18"/>
                <w:szCs w:val="18"/>
              </w:rPr>
              <w:t>服务对象</w:t>
            </w:r>
          </w:p>
          <w:p w14:paraId="752F0872">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7438FA5E">
            <w:pPr>
              <w:spacing w:line="260" w:lineRule="exact"/>
              <w:jc w:val="left"/>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指标：</w:t>
            </w:r>
            <w:r>
              <w:rPr>
                <w:rFonts w:hint="eastAsia" w:ascii="宋体" w:hAnsi="宋体" w:cs="宋体"/>
                <w:color w:val="000000"/>
                <w:kern w:val="0"/>
                <w:sz w:val="18"/>
                <w:szCs w:val="18"/>
                <w:lang w:val="en-US" w:eastAsia="zh-CN" w:bidi="ar"/>
              </w:rPr>
              <w:t>全县广大干部群众满意度</w:t>
            </w:r>
          </w:p>
        </w:tc>
        <w:tc>
          <w:tcPr>
            <w:tcW w:w="4228" w:type="dxa"/>
            <w:gridSpan w:val="2"/>
            <w:noWrap w:val="0"/>
            <w:vAlign w:val="center"/>
          </w:tcPr>
          <w:p w14:paraId="2ED15695">
            <w:pPr>
              <w:spacing w:line="260" w:lineRule="exact"/>
              <w:jc w:val="center"/>
              <w:rPr>
                <w:rFonts w:ascii="宋体" w:cs="宋体"/>
                <w:sz w:val="18"/>
                <w:szCs w:val="18"/>
              </w:rPr>
            </w:pPr>
            <w:r>
              <w:rPr>
                <w:rFonts w:hint="eastAsia" w:ascii="宋体" w:cs="宋体"/>
                <w:sz w:val="18"/>
                <w:szCs w:val="18"/>
                <w:lang w:val="en-US" w:eastAsia="zh-CN"/>
              </w:rPr>
              <w:t>持续提升</w:t>
            </w:r>
          </w:p>
        </w:tc>
      </w:tr>
    </w:tbl>
    <w:p w14:paraId="15819457">
      <w:pPr>
        <w:topLinePunct/>
        <w:adjustRightInd w:val="0"/>
        <w:snapToGrid w:val="0"/>
        <w:spacing w:line="560" w:lineRule="exact"/>
        <w:ind w:firstLine="640" w:firstLineChars="200"/>
        <w:rPr>
          <w:rFonts w:hint="eastAsia" w:ascii="仿宋_GB2312" w:hAnsi="楷体" w:eastAsia="仿宋_GB2312"/>
          <w:sz w:val="32"/>
          <w:szCs w:val="32"/>
        </w:rPr>
      </w:pPr>
    </w:p>
    <w:p w14:paraId="783E643F">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2C71529D">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为非参照公务员法管理的事业单位，按照部门预算机关运行经费口径，202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年无机关运行经费财政拨款预算。</w:t>
      </w:r>
    </w:p>
    <w:p w14:paraId="6F2A5E9E">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3BA26395">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kern w:val="0"/>
          <w:sz w:val="32"/>
          <w:szCs w:val="32"/>
          <w:lang w:eastAsia="zh-CN"/>
        </w:rPr>
        <w:t>寿县</w:t>
      </w:r>
      <w:r>
        <w:rPr>
          <w:rFonts w:hint="eastAsia" w:ascii="仿宋_GB2312" w:hAnsi="TimesNewRoman" w:eastAsia="仿宋_GB2312" w:cs="TimesNewRoman"/>
          <w:kern w:val="0"/>
          <w:sz w:val="32"/>
          <w:szCs w:val="32"/>
          <w:lang w:val="en-US" w:eastAsia="zh-CN"/>
        </w:rPr>
        <w:t>文学艺术院</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年政府采购预算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41987402">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663011A3">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年12月31日，</w:t>
      </w:r>
      <w:r>
        <w:rPr>
          <w:rFonts w:hint="eastAsia" w:ascii="仿宋_GB2312" w:hAnsi="TimesNewRoman" w:eastAsia="仿宋_GB2312" w:cs="TimesNewRoman"/>
          <w:kern w:val="0"/>
          <w:sz w:val="32"/>
          <w:szCs w:val="32"/>
          <w:lang w:eastAsia="zh-CN"/>
        </w:rPr>
        <w:t>寿县</w:t>
      </w:r>
      <w:r>
        <w:rPr>
          <w:rFonts w:hint="eastAsia" w:ascii="仿宋_GB2312" w:hAnsi="TimesNewRoman" w:eastAsia="仿宋_GB2312" w:cs="TimesNewRoman"/>
          <w:kern w:val="0"/>
          <w:sz w:val="32"/>
          <w:szCs w:val="32"/>
          <w:lang w:val="en-US" w:eastAsia="zh-CN"/>
        </w:rPr>
        <w:t>文学艺术院</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23F2F66B">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2FF4B21E">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6FDFFA7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6</w:t>
      </w:r>
      <w:r>
        <w:rPr>
          <w:rFonts w:hint="eastAsia" w:ascii="仿宋_GB2312" w:hAnsi="TimesNewRoman" w:eastAsia="仿宋_GB2312" w:cs="TimesNewRoman"/>
          <w:sz w:val="32"/>
          <w:szCs w:val="32"/>
        </w:rPr>
        <w:t>年，</w:t>
      </w:r>
      <w:r>
        <w:rPr>
          <w:rFonts w:hint="eastAsia" w:ascii="仿宋_GB2312" w:hAnsi="TimesNewRoman" w:eastAsia="仿宋_GB2312" w:cs="TimesNewRoman"/>
          <w:kern w:val="0"/>
          <w:sz w:val="32"/>
          <w:szCs w:val="32"/>
          <w:lang w:eastAsia="zh-CN"/>
        </w:rPr>
        <w:t>寿县</w:t>
      </w:r>
      <w:r>
        <w:rPr>
          <w:rFonts w:hint="eastAsia" w:ascii="仿宋_GB2312" w:hAnsi="TimesNewRoman" w:eastAsia="仿宋_GB2312" w:cs="TimesNewRoman"/>
          <w:kern w:val="0"/>
          <w:sz w:val="32"/>
          <w:szCs w:val="32"/>
          <w:lang w:val="en-US" w:eastAsia="zh-CN"/>
        </w:rPr>
        <w:t>文学艺术院</w:t>
      </w:r>
      <w:r>
        <w:rPr>
          <w:rFonts w:hint="eastAsia" w:ascii="仿宋_GB2312" w:hAnsi="TimesNewRoman" w:eastAsia="仿宋_GB2312" w:cs="TimesNewRoman"/>
          <w:sz w:val="32"/>
          <w:szCs w:val="32"/>
          <w:lang w:val="en-US" w:eastAsia="zh-CN"/>
        </w:rPr>
        <w:t>1</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16</w:t>
      </w:r>
      <w:r>
        <w:rPr>
          <w:rFonts w:hint="eastAsia" w:ascii="仿宋_GB2312" w:hAnsi="TimesNewRoman" w:eastAsia="仿宋_GB2312" w:cs="TimesNewRoman"/>
          <w:sz w:val="32"/>
          <w:szCs w:val="32"/>
        </w:rPr>
        <w:t>万元、政府性基金预算当年财政拨款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6E69C629">
      <w:pPr>
        <w:topLinePunct/>
        <w:adjustRightInd w:val="0"/>
        <w:snapToGrid w:val="0"/>
        <w:spacing w:line="560" w:lineRule="exact"/>
        <w:rPr>
          <w:rFonts w:ascii="TimesNewRoman" w:hAnsi="TimesNewRoman" w:eastAsia="黑体" w:cs="TimesNewRoman"/>
          <w:sz w:val="36"/>
          <w:szCs w:val="36"/>
        </w:rPr>
      </w:pPr>
    </w:p>
    <w:p w14:paraId="74FC2332">
      <w:pPr>
        <w:topLinePunct/>
        <w:adjustRightInd w:val="0"/>
        <w:snapToGrid w:val="0"/>
        <w:spacing w:line="560" w:lineRule="exact"/>
        <w:jc w:val="center"/>
        <w:rPr>
          <w:rFonts w:ascii="TimesNewRoman" w:hAnsi="TimesNewRoman" w:eastAsia="黑体" w:cs="TimesNewRoman"/>
          <w:sz w:val="36"/>
          <w:szCs w:val="36"/>
        </w:rPr>
      </w:pPr>
    </w:p>
    <w:p w14:paraId="38B38201">
      <w:pPr>
        <w:topLinePunct/>
        <w:adjustRightInd w:val="0"/>
        <w:snapToGrid w:val="0"/>
        <w:spacing w:line="560" w:lineRule="exact"/>
        <w:jc w:val="center"/>
        <w:rPr>
          <w:rFonts w:ascii="TimesNewRoman" w:hAnsi="TimesNewRoman" w:eastAsia="黑体" w:cs="TimesNewRoman"/>
          <w:sz w:val="36"/>
          <w:szCs w:val="36"/>
        </w:rPr>
      </w:pPr>
    </w:p>
    <w:p w14:paraId="79743D6D">
      <w:pPr>
        <w:topLinePunct/>
        <w:adjustRightInd w:val="0"/>
        <w:snapToGrid w:val="0"/>
        <w:spacing w:line="560" w:lineRule="exact"/>
        <w:jc w:val="center"/>
        <w:rPr>
          <w:rFonts w:ascii="TimesNewRoman" w:hAnsi="TimesNewRoman" w:eastAsia="黑体" w:cs="TimesNewRoman"/>
          <w:sz w:val="36"/>
          <w:szCs w:val="36"/>
        </w:rPr>
      </w:pPr>
    </w:p>
    <w:p w14:paraId="15C01D10">
      <w:pPr>
        <w:topLinePunct/>
        <w:adjustRightInd w:val="0"/>
        <w:snapToGrid w:val="0"/>
        <w:spacing w:line="560" w:lineRule="exact"/>
        <w:ind w:firstLine="360" w:firstLineChars="100"/>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6FC14279">
      <w:pPr>
        <w:topLinePunct/>
        <w:adjustRightInd w:val="0"/>
        <w:snapToGrid w:val="0"/>
        <w:spacing w:line="560" w:lineRule="exact"/>
        <w:rPr>
          <w:rFonts w:ascii="TimesNewRoman" w:hAnsi="TimesNewRoman" w:eastAsia="黑体" w:cs="TimesNewRoman"/>
          <w:szCs w:val="32"/>
        </w:rPr>
      </w:pPr>
    </w:p>
    <w:p w14:paraId="4C0F4B86">
      <w:pPr>
        <w:topLinePunct/>
        <w:adjustRightInd w:val="0"/>
        <w:snapToGrid w:val="0"/>
        <w:spacing w:line="560" w:lineRule="exact"/>
        <w:ind w:firstLine="640" w:firstLineChars="200"/>
        <w:rPr>
          <w:rFonts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一、财政拨款收入：</w:t>
      </w:r>
      <w:r>
        <w:rPr>
          <w:rFonts w:ascii="TimesNewRoman" w:hAnsi="TimesNewRoman" w:eastAsia="仿宋_GB2312" w:cs="TimesNewRoman"/>
          <w:kern w:val="0"/>
          <w:sz w:val="32"/>
          <w:szCs w:val="32"/>
          <w:lang w:val="en-US" w:eastAsia="zh-CN" w:bidi="ar-SA"/>
        </w:rPr>
        <w:t>指部门或单位从同级财政部门取得的财政预算资金。</w:t>
      </w:r>
    </w:p>
    <w:p w14:paraId="5A333907">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二、事业收入：指事业单位开展专业业务活动及辅助活动所取得的收入。</w:t>
      </w:r>
    </w:p>
    <w:p w14:paraId="349D75A2">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三、财政专户管理资金：指按照非税收入管理相关规定，纳入财政专户管理的教育收费等。</w:t>
      </w:r>
    </w:p>
    <w:p w14:paraId="4A4437BB">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四、事业单位经营收入：指事业单位在专业业务活动及其辅助活动之外开展非独立核算经营活动取得的收入。</w:t>
      </w:r>
    </w:p>
    <w:p w14:paraId="6FDFF6B9">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五、附属单位上缴收入：本单位所属下级单位上缴给本单位的全部收入。</w:t>
      </w:r>
    </w:p>
    <w:p w14:paraId="73040905">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六、上年结转：指以前年度安排、结转到本年仍按原用途继续使用的资金。</w:t>
      </w:r>
    </w:p>
    <w:p w14:paraId="466A5B98">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七、结转下年：指以前年度预算安排、因客观条件发生变化无法按原计划实施，需以后年度按原用途继续使用的资金。</w:t>
      </w:r>
    </w:p>
    <w:p w14:paraId="14233BED">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八、基本支出：指为保障机构正常运转、完成日常工作任务而发生的人员支出和公用支出。</w:t>
      </w:r>
    </w:p>
    <w:p w14:paraId="28D212F5">
      <w:pPr>
        <w:pStyle w:val="3"/>
        <w:topLinePunct/>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九、项目支出：指在除基本支出之外的支出，主要用于完成特定的工作任务和事业发展目标。</w:t>
      </w:r>
      <w:r>
        <w:rPr>
          <w:rFonts w:ascii="TimesNewRoman" w:hAnsi="TimesNewRoman" w:eastAsia="仿宋_GB2312" w:cs="TimesNewRoman"/>
          <w:kern w:val="0"/>
          <w:sz w:val="32"/>
          <w:szCs w:val="32"/>
          <w:lang w:val="en-US" w:eastAsia="zh-CN" w:bidi="ar-SA"/>
        </w:rPr>
        <w:br w:type="textWrapping"/>
      </w:r>
      <w:r>
        <w:rPr>
          <w:rFonts w:ascii="TimesNewRoman" w:hAnsi="TimesNewRoman" w:eastAsia="仿宋_GB2312" w:cs="TimesNewRoman"/>
          <w:kern w:val="0"/>
          <w:sz w:val="32"/>
          <w:szCs w:val="32"/>
          <w:lang w:val="en-US" w:eastAsia="zh-CN" w:bidi="ar-SA"/>
        </w:rPr>
        <w:t xml:space="preserve">    十、机关运行经费: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05D61FF0">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kern w:val="0"/>
          <w:sz w:val="32"/>
          <w:szCs w:val="32"/>
          <w:lang w:val="en-US" w:eastAsia="zh-CN" w:bidi="ar-SA"/>
        </w:rPr>
      </w:pPr>
      <w:r>
        <w:rPr>
          <w:rFonts w:ascii="TimesNewRoman" w:hAnsi="TimesNewRoman" w:eastAsia="仿宋_GB2312" w:cs="TimesNewRoman"/>
          <w:color w:val="auto"/>
          <w:kern w:val="0"/>
          <w:sz w:val="32"/>
          <w:szCs w:val="32"/>
          <w:lang w:val="en-US" w:eastAsia="zh-CN" w:bidi="ar-SA"/>
        </w:rPr>
        <w:t>十一、</w:t>
      </w:r>
      <w:r>
        <w:rPr>
          <w:rFonts w:hint="eastAsia" w:ascii="TimesNewRoman" w:hAnsi="TimesNewRoman" w:eastAsia="仿宋_GB2312" w:cs="TimesNewRoman"/>
          <w:color w:val="auto"/>
          <w:kern w:val="0"/>
          <w:sz w:val="32"/>
          <w:szCs w:val="32"/>
          <w:lang w:val="en-US" w:eastAsia="zh-CN" w:bidi="ar-SA"/>
        </w:rPr>
        <w:t>文化旅游体育与传媒支出</w:t>
      </w:r>
      <w:r>
        <w:rPr>
          <w:rFonts w:ascii="TimesNewRoman" w:hAnsi="TimesNewRoman" w:eastAsia="仿宋_GB2312" w:cs="TimesNewRoman"/>
          <w:color w:val="auto"/>
          <w:kern w:val="0"/>
          <w:sz w:val="32"/>
          <w:szCs w:val="32"/>
          <w:lang w:val="en-US" w:eastAsia="zh-CN" w:bidi="ar-SA"/>
        </w:rPr>
        <w:t>（类）</w:t>
      </w:r>
      <w:r>
        <w:rPr>
          <w:rFonts w:hint="eastAsia" w:ascii="TimesNewRoman" w:hAnsi="TimesNewRoman" w:eastAsia="仿宋_GB2312" w:cs="TimesNewRoman"/>
          <w:color w:val="auto"/>
          <w:kern w:val="0"/>
          <w:sz w:val="32"/>
          <w:szCs w:val="32"/>
          <w:lang w:val="en-US" w:eastAsia="zh-CN" w:bidi="ar-SA"/>
        </w:rPr>
        <w:t>文化和旅游</w:t>
      </w:r>
      <w:r>
        <w:rPr>
          <w:rFonts w:ascii="TimesNewRoman" w:hAnsi="TimesNewRoman" w:eastAsia="仿宋_GB2312" w:cs="TimesNewRoman"/>
          <w:color w:val="auto"/>
          <w:kern w:val="0"/>
          <w:sz w:val="32"/>
          <w:szCs w:val="32"/>
          <w:lang w:val="en-US" w:eastAsia="zh-CN" w:bidi="ar-SA"/>
        </w:rPr>
        <w:t>（款）</w:t>
      </w:r>
      <w:r>
        <w:rPr>
          <w:rFonts w:hint="eastAsia" w:ascii="TimesNewRoman" w:hAnsi="TimesNewRoman" w:eastAsia="仿宋_GB2312" w:cs="TimesNewRoman"/>
          <w:color w:val="auto"/>
          <w:kern w:val="0"/>
          <w:sz w:val="32"/>
          <w:szCs w:val="32"/>
          <w:lang w:val="en-US" w:eastAsia="zh-CN" w:bidi="ar-SA"/>
        </w:rPr>
        <w:t>机构运行（项）</w:t>
      </w:r>
      <w:r>
        <w:rPr>
          <w:rFonts w:ascii="TimesNewRoman" w:hAnsi="TimesNewRoman" w:eastAsia="仿宋_GB2312" w:cs="TimesNewRoman"/>
          <w:color w:val="auto"/>
          <w:kern w:val="0"/>
          <w:sz w:val="32"/>
          <w:szCs w:val="32"/>
          <w:lang w:val="en-US" w:eastAsia="zh-CN" w:bidi="ar-SA"/>
        </w:rPr>
        <w:t>：反映</w:t>
      </w:r>
      <w:r>
        <w:rPr>
          <w:rFonts w:hint="eastAsia" w:ascii="TimesNewRoman" w:hAnsi="TimesNewRoman" w:eastAsia="仿宋_GB2312" w:cs="TimesNewRoman"/>
          <w:color w:val="auto"/>
          <w:kern w:val="0"/>
          <w:sz w:val="32"/>
          <w:szCs w:val="32"/>
          <w:lang w:val="en-US" w:eastAsia="zh-CN" w:bidi="ar-SA"/>
        </w:rPr>
        <w:t>县文学院</w:t>
      </w:r>
      <w:r>
        <w:rPr>
          <w:rFonts w:ascii="TimesNewRoman" w:hAnsi="TimesNewRoman" w:eastAsia="仿宋_GB2312" w:cs="TimesNewRoman"/>
          <w:color w:val="auto"/>
          <w:kern w:val="0"/>
          <w:sz w:val="32"/>
          <w:szCs w:val="32"/>
          <w:lang w:val="en-US" w:eastAsia="zh-CN" w:bidi="ar-SA"/>
        </w:rPr>
        <w:t>用于</w:t>
      </w:r>
      <w:r>
        <w:rPr>
          <w:rFonts w:hint="eastAsia" w:ascii="TimesNewRoman" w:hAnsi="TimesNewRoman" w:eastAsia="仿宋_GB2312" w:cs="TimesNewRoman"/>
          <w:color w:val="auto"/>
          <w:kern w:val="0"/>
          <w:sz w:val="32"/>
          <w:szCs w:val="32"/>
          <w:lang w:val="en-US" w:eastAsia="zh-CN" w:bidi="ar-SA"/>
        </w:rPr>
        <w:t>文学工作</w:t>
      </w:r>
      <w:r>
        <w:rPr>
          <w:rFonts w:ascii="TimesNewRoman" w:hAnsi="TimesNewRoman" w:eastAsia="仿宋_GB2312" w:cs="TimesNewRoman"/>
          <w:color w:val="auto"/>
          <w:kern w:val="0"/>
          <w:sz w:val="32"/>
          <w:szCs w:val="32"/>
          <w:lang w:val="en-US" w:eastAsia="zh-CN" w:bidi="ar-SA"/>
        </w:rPr>
        <w:t>业务方面的支出。</w:t>
      </w:r>
    </w:p>
    <w:sectPr>
      <w:footerReference r:id="rId3" w:type="default"/>
      <w:pgSz w:w="11906" w:h="16838"/>
      <w:pgMar w:top="1928" w:right="1531"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B900E9-E713-4A6C-8087-4EE1D78386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1BF7D51-A251-4046-B0B9-8F759641BCC2}"/>
  </w:font>
  <w:font w:name="方正小标宋_GBK">
    <w:panose1 w:val="02000000000000000000"/>
    <w:charset w:val="86"/>
    <w:family w:val="script"/>
    <w:pitch w:val="default"/>
    <w:sig w:usb0="A00002BF" w:usb1="38CF7CFA" w:usb2="00082016" w:usb3="00000000" w:csb0="00040001" w:csb1="00000000"/>
    <w:embedRegular r:id="rId3" w:fontKey="{41283381-BA13-4E3A-ADCF-9E7DF7C64774}"/>
  </w:font>
  <w:font w:name="TimesNewRoman">
    <w:altName w:val="Segoe Print"/>
    <w:panose1 w:val="02020603050405020304"/>
    <w:charset w:val="00"/>
    <w:family w:val="auto"/>
    <w:pitch w:val="default"/>
    <w:sig w:usb0="00000000" w:usb1="00000000" w:usb2="00000029" w:usb3="00000000" w:csb0="600001FF" w:csb1="FFFF0000"/>
    <w:embedRegular r:id="rId4" w:fontKey="{B34B1D10-7B70-4F6F-BD1E-49BB644B6FDA}"/>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2010601030101010101"/>
    <w:charset w:val="86"/>
    <w:family w:val="script"/>
    <w:pitch w:val="default"/>
    <w:sig w:usb0="00000000" w:usb1="00000000" w:usb2="00000000" w:usb3="00000000" w:csb0="00040000" w:csb1="00000000"/>
    <w:embedRegular r:id="rId5" w:fontKey="{32D1FEC7-8920-4ED8-9D70-C6C5C1DE2B95}"/>
  </w:font>
  <w:font w:name="仿宋_GB2312">
    <w:panose1 w:val="02010609030101010101"/>
    <w:charset w:val="86"/>
    <w:family w:val="auto"/>
    <w:pitch w:val="default"/>
    <w:sig w:usb0="00000001" w:usb1="080E0000" w:usb2="00000000" w:usb3="00000000" w:csb0="00040000" w:csb1="00000000"/>
    <w:embedRegular r:id="rId6" w:fontKey="{54759165-D6C7-46E1-A536-7723798363FD}"/>
  </w:font>
  <w:font w:name="楷体_GB2312">
    <w:panose1 w:val="02010609030101010101"/>
    <w:charset w:val="86"/>
    <w:family w:val="modern"/>
    <w:pitch w:val="default"/>
    <w:sig w:usb0="00000001" w:usb1="080E0000" w:usb2="00000000" w:usb3="00000000" w:csb0="00040000" w:csb1="00000000"/>
    <w:embedRegular r:id="rId7" w:fontKey="{9AC21A3E-4D3E-4143-9097-3711B140C570}"/>
  </w:font>
  <w:font w:name="仿宋">
    <w:panose1 w:val="02010609060101010101"/>
    <w:charset w:val="86"/>
    <w:family w:val="modern"/>
    <w:pitch w:val="default"/>
    <w:sig w:usb0="800002BF" w:usb1="38CF7CFA" w:usb2="00000016" w:usb3="00000000" w:csb0="00040001" w:csb1="00000000"/>
    <w:embedRegular r:id="rId8" w:fontKey="{A6B6C9AD-8987-438D-9D86-42E2E38BD482}"/>
  </w:font>
  <w:font w:name="楷体">
    <w:panose1 w:val="02010609060101010101"/>
    <w:charset w:val="86"/>
    <w:family w:val="modern"/>
    <w:pitch w:val="default"/>
    <w:sig w:usb0="800002BF" w:usb1="38CF7CFA" w:usb2="00000016" w:usb3="00000000" w:csb0="00040001" w:csb1="00000000"/>
    <w:embedRegular r:id="rId9" w:fontKey="{C5518647-2A8E-4F16-B5A8-FF9FF5FFAEC0}"/>
  </w:font>
  <w:font w:name="汉仪中秀体简">
    <w:altName w:val="微软雅黑"/>
    <w:panose1 w:val="02010600030101010101"/>
    <w:charset w:val="86"/>
    <w:family w:val="auto"/>
    <w:pitch w:val="default"/>
    <w:sig w:usb0="00000000" w:usb1="00000000" w:usb2="00000006" w:usb3="00000000" w:csb0="00040001" w:csb1="00000000"/>
    <w:embedRegular r:id="rId10" w:fontKey="{36E13172-253D-41FA-97EB-6C1C3A6242B8}"/>
  </w:font>
  <w:font w:name="微软雅黑">
    <w:panose1 w:val="020B0503020204020204"/>
    <w:charset w:val="86"/>
    <w:family w:val="auto"/>
    <w:pitch w:val="default"/>
    <w:sig w:usb0="80000287" w:usb1="2ACF3C50" w:usb2="00000016" w:usb3="00000000" w:csb0="0004001F" w:csb1="00000000"/>
  </w:font>
  <w:font w:name="WPSEMBED52">
    <w:panose1 w:val="02000000000000000000"/>
    <w:charset w:val="86"/>
    <w:family w:val="auto"/>
    <w:pitch w:val="default"/>
    <w:sig w:usb0="A00002BF" w:usb1="38CF7CFA" w:usb2="00082016" w:usb3="00000000" w:csb0="00040001" w:csb1="0000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WPSEMBED53">
    <w:panose1 w:val="02010609030101010101"/>
    <w:charset w:val="86"/>
    <w:family w:val="auto"/>
    <w:pitch w:val="default"/>
    <w:sig w:usb0="00000001" w:usb1="080E0000" w:usb2="00000000" w:usb3="00000000" w:csb0="00040000" w:csb1="00000000"/>
  </w:font>
  <w:font w:name="WPSEMBED5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4C707">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510541C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AAED7"/>
    <w:multiLevelType w:val="singleLevel"/>
    <w:tmpl w:val="B2BAAE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F4405"/>
    <w:rsid w:val="00824069"/>
    <w:rsid w:val="01A73007"/>
    <w:rsid w:val="02C13DA7"/>
    <w:rsid w:val="032A0FD8"/>
    <w:rsid w:val="03862AF8"/>
    <w:rsid w:val="064C314F"/>
    <w:rsid w:val="085F6832"/>
    <w:rsid w:val="08836BD0"/>
    <w:rsid w:val="0A7540FF"/>
    <w:rsid w:val="0DEB76F2"/>
    <w:rsid w:val="0E181455"/>
    <w:rsid w:val="0EE95402"/>
    <w:rsid w:val="12704485"/>
    <w:rsid w:val="151237B6"/>
    <w:rsid w:val="15FE0357"/>
    <w:rsid w:val="16CB00C0"/>
    <w:rsid w:val="16E573D4"/>
    <w:rsid w:val="1E594664"/>
    <w:rsid w:val="22CD02E3"/>
    <w:rsid w:val="242552B4"/>
    <w:rsid w:val="24F609FE"/>
    <w:rsid w:val="285E10C3"/>
    <w:rsid w:val="29C235A5"/>
    <w:rsid w:val="2C025150"/>
    <w:rsid w:val="2C5541DE"/>
    <w:rsid w:val="2E132621"/>
    <w:rsid w:val="333D3C9C"/>
    <w:rsid w:val="34CD6267"/>
    <w:rsid w:val="37EB70FE"/>
    <w:rsid w:val="3B0F4405"/>
    <w:rsid w:val="3CA45706"/>
    <w:rsid w:val="3F505EB7"/>
    <w:rsid w:val="41320BB8"/>
    <w:rsid w:val="421A3B26"/>
    <w:rsid w:val="444B7961"/>
    <w:rsid w:val="485E53E8"/>
    <w:rsid w:val="48D00712"/>
    <w:rsid w:val="48EE7ABB"/>
    <w:rsid w:val="4970287B"/>
    <w:rsid w:val="498521CD"/>
    <w:rsid w:val="49AD5280"/>
    <w:rsid w:val="49C67ECC"/>
    <w:rsid w:val="4BB76E8E"/>
    <w:rsid w:val="4C2630C7"/>
    <w:rsid w:val="4CC13A6C"/>
    <w:rsid w:val="4D265BB7"/>
    <w:rsid w:val="4EC41187"/>
    <w:rsid w:val="4FF82FCD"/>
    <w:rsid w:val="506C0D74"/>
    <w:rsid w:val="5371731E"/>
    <w:rsid w:val="55CB540B"/>
    <w:rsid w:val="55E96B57"/>
    <w:rsid w:val="5664316A"/>
    <w:rsid w:val="57567017"/>
    <w:rsid w:val="579A4371"/>
    <w:rsid w:val="5CD81707"/>
    <w:rsid w:val="5F0756A6"/>
    <w:rsid w:val="62A468BF"/>
    <w:rsid w:val="630E6937"/>
    <w:rsid w:val="63936E3D"/>
    <w:rsid w:val="64B82FFF"/>
    <w:rsid w:val="686239C2"/>
    <w:rsid w:val="6A283163"/>
    <w:rsid w:val="6D5C5D1A"/>
    <w:rsid w:val="6E6A2D8F"/>
    <w:rsid w:val="6EB0491C"/>
    <w:rsid w:val="6ED43C20"/>
    <w:rsid w:val="706B1809"/>
    <w:rsid w:val="70B52AE8"/>
    <w:rsid w:val="773109EF"/>
    <w:rsid w:val="779B69C9"/>
    <w:rsid w:val="789C44E1"/>
    <w:rsid w:val="797C5797"/>
    <w:rsid w:val="7A185A54"/>
    <w:rsid w:val="7CC74E93"/>
    <w:rsid w:val="7F2C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4788</Words>
  <Characters>5321</Characters>
  <Lines>0</Lines>
  <Paragraphs>0</Paragraphs>
  <TotalTime>22</TotalTime>
  <ScaleCrop>false</ScaleCrop>
  <LinksUpToDate>false</LinksUpToDate>
  <CharactersWithSpaces>5430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2025-01-11T13:48:00Z</dcterms:created>
  <dc:creator>Administrator</dc:creator>
  <cp:lastModifiedBy>A李艳</cp:lastModifiedBy>
  <dcterms:modified xsi:type="dcterms:W3CDTF">2026-02-12T07:07:54Z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06F85EE93ECF46AD8C1E995168AF0AF7_13</vt:lpwstr>
  </property>
  <property fmtid="{D5CDD505-2E9C-101B-9397-08002B2CF9AE}" pid="4" name="KSOTemplateDocerSaveRecord">
    <vt:lpwstr>eyJoZGlkIjoiN2U2M2MwNDhmMjU1ZGYyNmQ2MDM3OTM0OGE4NzZiZDUiLCJ1c2VySWQiOiI1NjE0NjA0MzEifQ==</vt:lpwstr>
  </property>
</Properties>
</file>