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B37E">
      <w:pPr>
        <w:jc w:val="center"/>
        <w:rPr>
          <w:rFonts w:hint="eastAsia"/>
          <w:color w:val="000000"/>
        </w:rPr>
      </w:pPr>
    </w:p>
    <w:p w14:paraId="3384DEDE">
      <w:pPr>
        <w:spacing w:line="20" w:lineRule="exact"/>
        <w:rPr>
          <w:rFonts w:hint="eastAsia"/>
          <w:color w:val="000000"/>
        </w:rPr>
      </w:pPr>
    </w:p>
    <w:p w14:paraId="46AEF2CC">
      <w:pPr>
        <w:spacing w:line="560" w:lineRule="exact"/>
        <w:jc w:val="both"/>
        <w:rPr>
          <w:rFonts w:hint="eastAsia" w:ascii="方正小标宋_GBK" w:hAnsi="TimesNewRoman" w:eastAsia="方正小标宋_GBK" w:cs="TimesNewRoman"/>
          <w:sz w:val="44"/>
          <w:szCs w:val="44"/>
        </w:rPr>
      </w:pPr>
    </w:p>
    <w:p w14:paraId="3890E1CC">
      <w:pPr>
        <w:spacing w:line="560" w:lineRule="exact"/>
        <w:jc w:val="center"/>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rPr>
        <w:t>寿县文学艺术界联合会</w:t>
      </w:r>
      <w:r>
        <w:rPr>
          <w:rFonts w:hint="eastAsia" w:ascii="方正小标宋简体" w:hAnsi="方正小标宋简体" w:eastAsia="方正小标宋简体" w:cs="TimesNewRoman"/>
          <w:sz w:val="44"/>
          <w:szCs w:val="44"/>
        </w:rPr>
        <w:tab/>
      </w:r>
      <w:r>
        <w:rPr>
          <w:rFonts w:hint="eastAsia" w:ascii="方正小标宋简体" w:hAnsi="方正小标宋简体" w:eastAsia="方正小标宋简体" w:cs="TimesNewRoman"/>
          <w:sz w:val="44"/>
          <w:szCs w:val="44"/>
        </w:rPr>
        <w:t>2026年</w:t>
      </w:r>
    </w:p>
    <w:p w14:paraId="13868B53">
      <w:pPr>
        <w:spacing w:line="560" w:lineRule="exact"/>
        <w:jc w:val="center"/>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lang w:val="en-US" w:eastAsia="zh-CN"/>
        </w:rPr>
        <w:t>单位</w:t>
      </w:r>
      <w:r>
        <w:rPr>
          <w:rFonts w:hint="eastAsia" w:ascii="方正小标宋简体" w:hAnsi="方正小标宋简体" w:eastAsia="方正小标宋简体" w:cs="TimesNewRoman"/>
          <w:sz w:val="44"/>
          <w:szCs w:val="44"/>
        </w:rPr>
        <w:t>预算</w:t>
      </w:r>
    </w:p>
    <w:p w14:paraId="1F86AEC1">
      <w:pPr>
        <w:pStyle w:val="15"/>
        <w:adjustRightInd w:val="0"/>
        <w:snapToGrid w:val="0"/>
        <w:spacing w:line="560" w:lineRule="exact"/>
        <w:jc w:val="center"/>
        <w:outlineLvl w:val="0"/>
        <w:rPr>
          <w:rFonts w:hint="eastAsia" w:ascii="方正小标宋简体" w:hAnsi="方正小标宋简体" w:eastAsia="方正小标宋简体" w:cs="TimesNewRoman"/>
          <w:sz w:val="32"/>
          <w:szCs w:val="32"/>
        </w:rPr>
      </w:pPr>
    </w:p>
    <w:p w14:paraId="0749EC23">
      <w:pPr>
        <w:pStyle w:val="15"/>
        <w:adjustRightInd w:val="0"/>
        <w:snapToGrid w:val="0"/>
        <w:spacing w:line="560" w:lineRule="exact"/>
        <w:jc w:val="center"/>
        <w:rPr>
          <w:rFonts w:hint="eastAsia"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 xml:space="preserve">   </w:t>
      </w:r>
    </w:p>
    <w:p w14:paraId="6A409EF0">
      <w:pPr>
        <w:pStyle w:val="15"/>
        <w:adjustRightInd w:val="0"/>
        <w:snapToGrid w:val="0"/>
        <w:spacing w:line="560" w:lineRule="exact"/>
        <w:jc w:val="center"/>
        <w:rPr>
          <w:rFonts w:hint="eastAsia" w:ascii="仿宋_GB2312" w:hAnsi="TimesNewRoman" w:eastAsia="仿宋_GB2312" w:cs="TimesNewRoman"/>
          <w:bCs/>
          <w:sz w:val="32"/>
          <w:szCs w:val="32"/>
          <w:lang w:val="en-US" w:eastAsia="zh-CN"/>
        </w:rPr>
      </w:pPr>
    </w:p>
    <w:p w14:paraId="04CA00C1">
      <w:pPr>
        <w:pStyle w:val="15"/>
        <w:adjustRightInd w:val="0"/>
        <w:snapToGrid w:val="0"/>
        <w:spacing w:line="560" w:lineRule="exact"/>
        <w:jc w:val="center"/>
        <w:rPr>
          <w:rFonts w:hint="eastAsia" w:ascii="仿宋_GB2312" w:hAnsi="TimesNewRoman" w:eastAsia="仿宋_GB2312" w:cs="TimesNewRoman"/>
          <w:bCs/>
          <w:sz w:val="32"/>
          <w:szCs w:val="32"/>
          <w:lang w:val="en-US" w:eastAsia="zh-CN"/>
        </w:rPr>
      </w:pPr>
    </w:p>
    <w:p w14:paraId="4A7E2982">
      <w:pPr>
        <w:pStyle w:val="15"/>
        <w:adjustRightInd w:val="0"/>
        <w:snapToGrid w:val="0"/>
        <w:spacing w:line="560" w:lineRule="exact"/>
        <w:jc w:val="center"/>
        <w:rPr>
          <w:rFonts w:hint="eastAsia" w:ascii="仿宋_GB2312" w:hAnsi="TimesNewRoman" w:eastAsia="仿宋_GB2312" w:cs="TimesNewRoman"/>
          <w:bCs/>
          <w:sz w:val="32"/>
          <w:szCs w:val="32"/>
          <w:lang w:val="en-US" w:eastAsia="zh-CN"/>
        </w:rPr>
      </w:pPr>
    </w:p>
    <w:p w14:paraId="23476C2F">
      <w:pPr>
        <w:pStyle w:val="15"/>
        <w:adjustRightInd w:val="0"/>
        <w:snapToGrid w:val="0"/>
        <w:spacing w:line="560" w:lineRule="exact"/>
        <w:jc w:val="center"/>
        <w:rPr>
          <w:rFonts w:hint="default" w:ascii="仿宋_GB2312" w:hAnsi="TimesNewRoman" w:eastAsia="仿宋_GB2312" w:cs="TimesNewRoman"/>
          <w:bCs/>
          <w:sz w:val="32"/>
          <w:szCs w:val="32"/>
          <w:lang w:val="en-US" w:eastAsia="zh-CN"/>
        </w:rPr>
      </w:pPr>
    </w:p>
    <w:p w14:paraId="40C9526C">
      <w:pPr>
        <w:pStyle w:val="15"/>
        <w:adjustRightInd w:val="0"/>
        <w:snapToGrid w:val="0"/>
        <w:spacing w:line="560" w:lineRule="exact"/>
        <w:jc w:val="center"/>
        <w:rPr>
          <w:rFonts w:hint="eastAsia" w:ascii="仿宋_GB2312" w:hAnsi="TimesNewRoman" w:eastAsia="仿宋_GB2312" w:cs="TimesNewRoman"/>
          <w:bCs/>
          <w:sz w:val="32"/>
          <w:szCs w:val="32"/>
        </w:rPr>
      </w:pPr>
    </w:p>
    <w:p w14:paraId="06CA7EE6">
      <w:pPr>
        <w:pStyle w:val="15"/>
        <w:adjustRightInd w:val="0"/>
        <w:snapToGrid w:val="0"/>
        <w:spacing w:line="560" w:lineRule="exact"/>
        <w:jc w:val="center"/>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                         2026年1月</w:t>
      </w:r>
    </w:p>
    <w:p w14:paraId="07835D76">
      <w:pPr>
        <w:pStyle w:val="15"/>
        <w:adjustRightInd w:val="0"/>
        <w:snapToGrid w:val="0"/>
        <w:spacing w:line="560" w:lineRule="exact"/>
        <w:jc w:val="center"/>
        <w:rPr>
          <w:rFonts w:hint="eastAsia" w:ascii="方正小标宋_GBK" w:hAnsi="TimesNewRoman" w:eastAsia="方正小标宋_GBK" w:cs="TimesNewRoman"/>
          <w:bCs/>
          <w:sz w:val="44"/>
          <w:szCs w:val="44"/>
        </w:rPr>
      </w:pPr>
    </w:p>
    <w:p w14:paraId="7A32CAE3">
      <w:pPr>
        <w:pStyle w:val="15"/>
        <w:adjustRightInd w:val="0"/>
        <w:snapToGrid w:val="0"/>
        <w:spacing w:line="560" w:lineRule="exact"/>
        <w:jc w:val="center"/>
        <w:rPr>
          <w:rFonts w:hint="eastAsia" w:ascii="方正小标宋_GBK" w:hAnsi="TimesNewRoman" w:eastAsia="方正小标宋_GBK" w:cs="TimesNewRoman"/>
          <w:bCs/>
          <w:sz w:val="44"/>
          <w:szCs w:val="44"/>
        </w:rPr>
      </w:pPr>
    </w:p>
    <w:p w14:paraId="3F9E44EE">
      <w:pPr>
        <w:pStyle w:val="15"/>
        <w:adjustRightInd w:val="0"/>
        <w:snapToGrid w:val="0"/>
        <w:spacing w:line="560" w:lineRule="exact"/>
        <w:jc w:val="center"/>
        <w:rPr>
          <w:rFonts w:hint="eastAsia" w:ascii="方正小标宋_GBK" w:hAnsi="TimesNewRoman" w:eastAsia="方正小标宋_GBK" w:cs="TimesNewRoman"/>
          <w:bCs/>
          <w:sz w:val="44"/>
          <w:szCs w:val="44"/>
        </w:rPr>
      </w:pPr>
    </w:p>
    <w:p w14:paraId="736D0B3D">
      <w:pPr>
        <w:pStyle w:val="15"/>
        <w:adjustRightInd w:val="0"/>
        <w:snapToGrid w:val="0"/>
        <w:spacing w:line="560" w:lineRule="exact"/>
        <w:jc w:val="center"/>
        <w:rPr>
          <w:rFonts w:hint="eastAsia" w:ascii="方正小标宋_GBK" w:hAnsi="TimesNewRoman" w:eastAsia="方正小标宋_GBK" w:cs="TimesNewRoman"/>
          <w:bCs/>
          <w:sz w:val="44"/>
          <w:szCs w:val="44"/>
        </w:rPr>
      </w:pPr>
    </w:p>
    <w:p w14:paraId="7252034C">
      <w:pPr>
        <w:pStyle w:val="15"/>
        <w:adjustRightInd w:val="0"/>
        <w:snapToGrid w:val="0"/>
        <w:spacing w:line="560" w:lineRule="exact"/>
        <w:jc w:val="center"/>
        <w:rPr>
          <w:rFonts w:hint="eastAsia" w:ascii="方正小标宋_GBK" w:hAnsi="TimesNewRoman" w:eastAsia="方正小标宋_GBK" w:cs="TimesNewRoman"/>
          <w:bCs/>
          <w:sz w:val="44"/>
          <w:szCs w:val="44"/>
        </w:rPr>
      </w:pPr>
    </w:p>
    <w:p w14:paraId="69CF7594">
      <w:pPr>
        <w:pStyle w:val="15"/>
        <w:adjustRightInd w:val="0"/>
        <w:snapToGrid w:val="0"/>
        <w:spacing w:line="560" w:lineRule="exact"/>
        <w:jc w:val="center"/>
        <w:rPr>
          <w:rFonts w:hint="eastAsia" w:ascii="方正小标宋_GBK" w:hAnsi="TimesNewRoman" w:eastAsia="方正小标宋_GBK" w:cs="TimesNewRoman"/>
          <w:bCs/>
          <w:sz w:val="40"/>
          <w:szCs w:val="44"/>
        </w:rPr>
      </w:pPr>
    </w:p>
    <w:p w14:paraId="18E1C1A8">
      <w:pPr>
        <w:pStyle w:val="15"/>
        <w:adjustRightInd w:val="0"/>
        <w:snapToGrid w:val="0"/>
        <w:spacing w:line="560" w:lineRule="exact"/>
        <w:jc w:val="center"/>
        <w:rPr>
          <w:rFonts w:hint="eastAsia" w:ascii="方正小标宋_GBK" w:hAnsi="TimesNewRoman" w:eastAsia="方正小标宋_GBK" w:cs="TimesNewRoman"/>
          <w:bCs/>
          <w:sz w:val="40"/>
          <w:szCs w:val="44"/>
        </w:rPr>
      </w:pPr>
    </w:p>
    <w:p w14:paraId="2B7FB388">
      <w:pPr>
        <w:pStyle w:val="15"/>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6EE29F91">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2C5B5E7B">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w:t>
      </w:r>
      <w:r>
        <w:rPr>
          <w:rFonts w:ascii="黑体" w:hAnsi="黑体" w:eastAsia="黑体" w:cs="TimesNewRoman"/>
          <w:sz w:val="32"/>
          <w:szCs w:val="32"/>
          <w:u w:val="single"/>
        </w:rPr>
        <w:t>（单位）</w:t>
      </w:r>
      <w:r>
        <w:rPr>
          <w:rFonts w:ascii="黑体" w:hAnsi="黑体" w:eastAsia="黑体" w:cs="TimesNewRoman"/>
          <w:sz w:val="32"/>
          <w:szCs w:val="32"/>
        </w:rPr>
        <w:t>概况</w:t>
      </w:r>
    </w:p>
    <w:p w14:paraId="59D40080">
      <w:pPr>
        <w:pStyle w:val="15"/>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731828AF">
      <w:pPr>
        <w:pStyle w:val="15"/>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2.部门</w:t>
      </w:r>
      <w:r>
        <w:rPr>
          <w:rFonts w:hint="eastAsia" w:ascii="仿宋_GB2312" w:hAnsi="TimesNewRoman" w:eastAsia="仿宋_GB2312" w:cs="TimesNewRoman"/>
          <w:bCs/>
          <w:sz w:val="32"/>
          <w:szCs w:val="32"/>
          <w:u w:val="single"/>
        </w:rPr>
        <w:t>（单位）</w:t>
      </w:r>
      <w:r>
        <w:rPr>
          <w:rFonts w:hint="eastAsia" w:ascii="仿宋_GB2312" w:hAnsi="TimesNewRoman" w:eastAsia="仿宋_GB2312" w:cs="TimesNewRoman"/>
          <w:bCs/>
          <w:sz w:val="32"/>
          <w:szCs w:val="32"/>
        </w:rPr>
        <w:t>预算构成</w:t>
      </w:r>
    </w:p>
    <w:p w14:paraId="0AC77F7D">
      <w:pPr>
        <w:pStyle w:val="15"/>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3.2026年度主要工作任务</w:t>
      </w:r>
    </w:p>
    <w:p w14:paraId="11AA361F">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2026</w:t>
      </w:r>
      <w:r>
        <w:rPr>
          <w:rFonts w:ascii="黑体" w:hAnsi="黑体" w:eastAsia="黑体" w:cs="TimesNewRoman"/>
          <w:sz w:val="32"/>
          <w:szCs w:val="32"/>
        </w:rPr>
        <w:t>年部门（单位）预算情况说明</w:t>
      </w:r>
    </w:p>
    <w:p w14:paraId="0C2ED137">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年收支总表的说明</w:t>
      </w:r>
    </w:p>
    <w:p w14:paraId="185E45F7">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年收入总表的说明</w:t>
      </w:r>
    </w:p>
    <w:p w14:paraId="7AC937C2">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年支出总表的说明</w:t>
      </w:r>
    </w:p>
    <w:p w14:paraId="58FC6E98">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年财政拨款收支总表的说明</w:t>
      </w:r>
    </w:p>
    <w:p w14:paraId="59F63694">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年一般公共预算支出表的说明</w:t>
      </w:r>
    </w:p>
    <w:p w14:paraId="2D6CF918">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年一般公共预算基本支出表的说明</w:t>
      </w:r>
    </w:p>
    <w:p w14:paraId="3615871E">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年政府性基金预算支出表的说明</w:t>
      </w:r>
    </w:p>
    <w:p w14:paraId="20ECBC4C">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年国有资本经营预算支出表的说明</w:t>
      </w:r>
    </w:p>
    <w:p w14:paraId="0CE84554">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年项目支出表的说明</w:t>
      </w:r>
    </w:p>
    <w:p w14:paraId="27055535">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年政府采购支出表的说明</w:t>
      </w:r>
    </w:p>
    <w:p w14:paraId="60FAF9F1">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年政府购买服务支出表的说明</w:t>
      </w:r>
    </w:p>
    <w:p w14:paraId="2DE83136">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12.关于2026年一般公共预算“三公”经费支出情况说明</w:t>
      </w:r>
    </w:p>
    <w:p w14:paraId="3DA08079">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3</w:t>
      </w:r>
      <w:r>
        <w:rPr>
          <w:rFonts w:ascii="仿宋_GB2312" w:hAnsi="TimesNewRoman" w:eastAsia="仿宋_GB2312" w:cs="TimesNewRoman"/>
          <w:bCs/>
          <w:sz w:val="32"/>
          <w:szCs w:val="32"/>
        </w:rPr>
        <w:t>.其他重要事项情况说明</w:t>
      </w:r>
    </w:p>
    <w:p w14:paraId="228C5A55">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72D37A9B">
      <w:pPr>
        <w:pStyle w:val="1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14:paraId="349C9D65">
      <w:pPr>
        <w:pStyle w:val="15"/>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029B7E89">
      <w:pPr>
        <w:pStyle w:val="15"/>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09D62766">
      <w:pPr>
        <w:pStyle w:val="15"/>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lang w:val="en-US" w:eastAsia="zh-CN"/>
        </w:rPr>
        <w:t>单位</w:t>
      </w:r>
      <w:r>
        <w:rPr>
          <w:rFonts w:ascii="TimesNewRoman" w:hAnsi="TimesNewRoman" w:eastAsia="黑体" w:cs="TimesNewRoman"/>
          <w:bCs/>
          <w:sz w:val="36"/>
          <w:szCs w:val="36"/>
        </w:rPr>
        <w:t>概况</w:t>
      </w:r>
    </w:p>
    <w:p w14:paraId="63AF5D19">
      <w:pPr>
        <w:pStyle w:val="15"/>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14:paraId="3B8A505D">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48E3EB0F">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bCs/>
          <w:sz w:val="32"/>
          <w:szCs w:val="32"/>
        </w:rPr>
        <w:t>（一）</w:t>
      </w:r>
      <w:r>
        <w:rPr>
          <w:rFonts w:hint="eastAsia" w:ascii="仿宋_GB2312" w:hAnsi="TimesNewRoman" w:eastAsia="仿宋_GB2312" w:cs="TimesNewRoman"/>
          <w:sz w:val="32"/>
          <w:szCs w:val="32"/>
        </w:rPr>
        <w:t>负责中国“文学之乡”的申创及日常管理工作，依托中国“文学之乡”平台，组织、承办各类文学赛事；组织、指导全县文学艺术创作活动；开展文艺作品创作、文艺理论研究，组织专题创作采风活动；承担寿县文艺丛书、公益性文学刊物的策划、组织、编辑、出版、研讨、展览、宣传推广工作；组织实施各类文艺选题的作品创作、举办文艺作品交流活动；组织开展文艺培训、调研等活动，为文艺家创作提供设立签约作家机制、组建文艺名家工作室等相关服务；负责寿州循理书院的日常管理运营等相关工作。</w:t>
      </w:r>
    </w:p>
    <w:p w14:paraId="24E90671">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部门（单位）预算构成</w:t>
      </w:r>
    </w:p>
    <w:p w14:paraId="29F952D9">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从预算单位构成看，</w:t>
      </w:r>
      <w:r>
        <w:rPr>
          <w:rFonts w:hint="eastAsia" w:ascii="仿宋_GB2312" w:hAnsi="TimesNewRoman" w:eastAsia="仿宋_GB2312" w:cs="TimesNewRoman"/>
          <w:bCs/>
          <w:sz w:val="32"/>
          <w:szCs w:val="32"/>
        </w:rPr>
        <w:t>寿县文学艺术界联合会</w:t>
      </w:r>
      <w:r>
        <w:rPr>
          <w:rFonts w:hint="eastAsia" w:ascii="仿宋_GB2312" w:hAnsi="TimesNewRoman" w:eastAsia="仿宋_GB2312" w:cs="TimesNewRoman"/>
          <w:sz w:val="32"/>
          <w:szCs w:val="32"/>
        </w:rPr>
        <w:t>2026年度部门预算包括本级预算和下属单位预算，纳入</w:t>
      </w:r>
      <w:bookmarkStart w:id="12" w:name="_GoBack"/>
      <w:bookmarkEnd w:id="12"/>
      <w:r>
        <w:rPr>
          <w:rFonts w:hint="eastAsia" w:ascii="仿宋_GB2312" w:hAnsi="TimesNewRoman" w:eastAsia="仿宋_GB2312" w:cs="TimesNewRoman"/>
          <w:sz w:val="32"/>
          <w:szCs w:val="32"/>
        </w:rPr>
        <w:t>部门预算编制范围的预算单位共</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个，具体情况见下表。</w:t>
      </w:r>
    </w:p>
    <w:p w14:paraId="750F3E1F">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p>
    <w:tbl>
      <w:tblPr>
        <w:tblStyle w:val="18"/>
        <w:tblW w:w="9108" w:type="dxa"/>
        <w:tblInd w:w="108" w:type="dxa"/>
        <w:tblLayout w:type="fixed"/>
        <w:tblCellMar>
          <w:top w:w="0" w:type="dxa"/>
          <w:left w:w="0" w:type="dxa"/>
          <w:bottom w:w="0" w:type="dxa"/>
          <w:right w:w="0" w:type="dxa"/>
        </w:tblCellMar>
      </w:tblPr>
      <w:tblGrid>
        <w:gridCol w:w="911"/>
        <w:gridCol w:w="3643"/>
        <w:gridCol w:w="4554"/>
      </w:tblGrid>
      <w:tr w14:paraId="613C675B">
        <w:tblPrEx>
          <w:tblCellMar>
            <w:top w:w="0" w:type="dxa"/>
            <w:left w:w="0" w:type="dxa"/>
            <w:bottom w:w="0" w:type="dxa"/>
            <w:right w:w="0" w:type="dxa"/>
          </w:tblCellMar>
        </w:tblPrEx>
        <w:trPr>
          <w:trHeight w:val="400" w:hRule="atLeast"/>
        </w:trPr>
        <w:tc>
          <w:tcPr>
            <w:tcW w:w="911"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26A8391">
            <w:pPr>
              <w:adjustRightInd w:val="0"/>
              <w:snapToGrid w:val="0"/>
              <w:spacing w:line="320" w:lineRule="exact"/>
              <w:jc w:val="center"/>
              <w:rPr>
                <w:rFonts w:ascii="黑体" w:hAnsi="黑体" w:eastAsia="黑体" w:cs="TimesNewRoman"/>
                <w:szCs w:val="21"/>
              </w:rPr>
            </w:pPr>
            <w:r>
              <w:rPr>
                <w:rFonts w:ascii="黑体" w:hAnsi="黑体" w:eastAsia="黑体" w:cs="TimesNewRoman"/>
                <w:szCs w:val="21"/>
              </w:rPr>
              <w:t>序号</w:t>
            </w:r>
          </w:p>
        </w:tc>
        <w:tc>
          <w:tcPr>
            <w:tcW w:w="3643"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04CB85CD">
            <w:pPr>
              <w:adjustRightInd w:val="0"/>
              <w:snapToGrid w:val="0"/>
              <w:spacing w:line="320" w:lineRule="exact"/>
              <w:jc w:val="center"/>
              <w:rPr>
                <w:rFonts w:ascii="黑体" w:hAnsi="黑体" w:eastAsia="黑体" w:cs="TimesNewRoman"/>
                <w:szCs w:val="21"/>
              </w:rPr>
            </w:pPr>
            <w:r>
              <w:rPr>
                <w:rFonts w:ascii="黑体" w:hAnsi="黑体" w:eastAsia="黑体" w:cs="TimesNewRoman"/>
                <w:szCs w:val="21"/>
              </w:rPr>
              <w:t>单位名称</w:t>
            </w:r>
          </w:p>
        </w:tc>
        <w:tc>
          <w:tcPr>
            <w:tcW w:w="4554" w:type="dxa"/>
            <w:tcBorders>
              <w:top w:val="single" w:color="auto" w:sz="8" w:space="0"/>
              <w:left w:val="nil"/>
              <w:bottom w:val="single" w:color="auto" w:sz="8" w:space="0"/>
              <w:right w:val="single" w:color="auto" w:sz="8" w:space="0"/>
            </w:tcBorders>
            <w:shd w:val="clear" w:color="auto" w:fill="FFFFFF"/>
            <w:noWrap w:val="0"/>
            <w:vAlign w:val="center"/>
          </w:tcPr>
          <w:p w14:paraId="43654D48">
            <w:pPr>
              <w:adjustRightInd w:val="0"/>
              <w:snapToGrid w:val="0"/>
              <w:spacing w:line="320" w:lineRule="exact"/>
              <w:jc w:val="center"/>
              <w:rPr>
                <w:rFonts w:ascii="黑体" w:hAnsi="黑体" w:eastAsia="黑体" w:cs="TimesNewRoman"/>
                <w:szCs w:val="21"/>
              </w:rPr>
            </w:pPr>
            <w:r>
              <w:rPr>
                <w:rFonts w:ascii="黑体" w:hAnsi="黑体" w:eastAsia="黑体" w:cs="TimesNewRoman"/>
                <w:szCs w:val="21"/>
              </w:rPr>
              <w:t>单位性质</w:t>
            </w:r>
          </w:p>
        </w:tc>
      </w:tr>
      <w:tr w14:paraId="16BF6E2C">
        <w:tblPrEx>
          <w:tblCellMar>
            <w:top w:w="0" w:type="dxa"/>
            <w:left w:w="0" w:type="dxa"/>
            <w:bottom w:w="0" w:type="dxa"/>
            <w:right w:w="0" w:type="dxa"/>
          </w:tblCellMar>
        </w:tblPrEx>
        <w:trPr>
          <w:trHeight w:val="400" w:hRule="atLeast"/>
        </w:trPr>
        <w:tc>
          <w:tcPr>
            <w:tcW w:w="911"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3570F057">
            <w:pPr>
              <w:adjustRightInd w:val="0"/>
              <w:snapToGrid w:val="0"/>
              <w:spacing w:line="320" w:lineRule="exact"/>
              <w:jc w:val="center"/>
              <w:rPr>
                <w:rFonts w:ascii="宋体" w:hAnsi="宋体" w:cs="TimesNewRoman"/>
                <w:szCs w:val="21"/>
              </w:rPr>
            </w:pPr>
            <w:r>
              <w:rPr>
                <w:rFonts w:ascii="宋体" w:hAnsi="宋体" w:cs="TimesNewRoman"/>
                <w:szCs w:val="21"/>
              </w:rPr>
              <w:t>1</w:t>
            </w:r>
          </w:p>
        </w:tc>
        <w:tc>
          <w:tcPr>
            <w:tcW w:w="3643"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59ED41A">
            <w:pPr>
              <w:adjustRightInd w:val="0"/>
              <w:snapToGrid w:val="0"/>
              <w:spacing w:line="320" w:lineRule="exact"/>
              <w:jc w:val="center"/>
              <w:rPr>
                <w:rFonts w:ascii="宋体" w:hAnsi="宋体" w:cs="TimesNewRoman"/>
                <w:szCs w:val="21"/>
                <w:u w:val="single"/>
              </w:rPr>
            </w:pPr>
            <w:r>
              <w:rPr>
                <w:rFonts w:hint="eastAsia" w:ascii="宋体" w:hAnsi="宋体" w:eastAsia="宋体" w:cs="TimesNewRoman"/>
                <w:bCs/>
                <w:szCs w:val="21"/>
              </w:rPr>
              <w:t>寿县文学艺术界联合会</w:t>
            </w:r>
            <w:r>
              <w:rPr>
                <w:rFonts w:ascii="宋体" w:hAnsi="宋体" w:cs="TimesNewRoman"/>
                <w:bCs/>
                <w:szCs w:val="21"/>
              </w:rPr>
              <w:t>本级</w:t>
            </w:r>
          </w:p>
        </w:tc>
        <w:tc>
          <w:tcPr>
            <w:tcW w:w="4554" w:type="dxa"/>
            <w:tcBorders>
              <w:top w:val="nil"/>
              <w:left w:val="nil"/>
              <w:bottom w:val="single" w:color="auto" w:sz="8" w:space="0"/>
              <w:right w:val="single" w:color="auto" w:sz="8" w:space="0"/>
            </w:tcBorders>
            <w:shd w:val="clear" w:color="auto" w:fill="FFFFFF"/>
            <w:noWrap w:val="0"/>
            <w:vAlign w:val="center"/>
          </w:tcPr>
          <w:p w14:paraId="76B8C971">
            <w:pPr>
              <w:adjustRightInd w:val="0"/>
              <w:snapToGrid w:val="0"/>
              <w:spacing w:line="320" w:lineRule="exact"/>
              <w:jc w:val="center"/>
              <w:rPr>
                <w:rFonts w:ascii="宋体" w:hAnsi="宋体" w:cs="TimesNewRoman"/>
                <w:szCs w:val="21"/>
                <w:u w:val="single"/>
              </w:rPr>
            </w:pPr>
            <w:r>
              <w:rPr>
                <w:rFonts w:ascii="宋体" w:hAnsi="宋体" w:cs="TimesNewRoman"/>
                <w:bCs/>
                <w:szCs w:val="21"/>
              </w:rPr>
              <w:t>行政单位</w:t>
            </w:r>
          </w:p>
        </w:tc>
      </w:tr>
      <w:tr w14:paraId="518CDB19">
        <w:tblPrEx>
          <w:tblCellMar>
            <w:top w:w="0" w:type="dxa"/>
            <w:left w:w="0" w:type="dxa"/>
            <w:bottom w:w="0" w:type="dxa"/>
            <w:right w:w="0" w:type="dxa"/>
          </w:tblCellMar>
        </w:tblPrEx>
        <w:trPr>
          <w:trHeight w:val="400" w:hRule="atLeast"/>
        </w:trPr>
        <w:tc>
          <w:tcPr>
            <w:tcW w:w="911"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CC94CD1">
            <w:pPr>
              <w:adjustRightInd w:val="0"/>
              <w:snapToGrid w:val="0"/>
              <w:spacing w:line="320" w:lineRule="exact"/>
              <w:jc w:val="center"/>
              <w:rPr>
                <w:rFonts w:hint="eastAsia" w:ascii="宋体" w:hAnsi="宋体" w:eastAsia="宋体" w:cs="TimesNewRoman"/>
                <w:szCs w:val="21"/>
                <w:lang w:val="en-US" w:eastAsia="zh-CN"/>
              </w:rPr>
            </w:pPr>
            <w:r>
              <w:rPr>
                <w:rFonts w:hint="eastAsia" w:ascii="宋体" w:hAnsi="宋体" w:cs="TimesNewRoman"/>
                <w:szCs w:val="21"/>
                <w:lang w:val="en-US" w:eastAsia="zh-CN"/>
              </w:rPr>
              <w:t>2</w:t>
            </w:r>
          </w:p>
        </w:tc>
        <w:tc>
          <w:tcPr>
            <w:tcW w:w="3643"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459431F0">
            <w:pPr>
              <w:adjustRightInd w:val="0"/>
              <w:snapToGrid w:val="0"/>
              <w:spacing w:line="320" w:lineRule="exact"/>
              <w:jc w:val="center"/>
              <w:rPr>
                <w:rFonts w:hint="eastAsia" w:ascii="宋体" w:hAnsi="宋体" w:cs="汉仪中秀体简"/>
                <w:szCs w:val="21"/>
                <w:lang w:val="en-US" w:eastAsia="zh-CN"/>
              </w:rPr>
            </w:pPr>
            <w:r>
              <w:rPr>
                <w:rFonts w:hint="eastAsia" w:ascii="宋体" w:hAnsi="宋体" w:eastAsia="宋体" w:cs="TimesNewRoman"/>
                <w:bCs/>
                <w:szCs w:val="21"/>
              </w:rPr>
              <w:t>寿县文学艺术界联合会</w:t>
            </w:r>
          </w:p>
        </w:tc>
        <w:tc>
          <w:tcPr>
            <w:tcW w:w="4554" w:type="dxa"/>
            <w:tcBorders>
              <w:top w:val="nil"/>
              <w:left w:val="nil"/>
              <w:bottom w:val="single" w:color="auto" w:sz="8" w:space="0"/>
              <w:right w:val="single" w:color="auto" w:sz="8" w:space="0"/>
            </w:tcBorders>
            <w:shd w:val="clear" w:color="auto" w:fill="FFFFFF"/>
            <w:noWrap w:val="0"/>
            <w:vAlign w:val="center"/>
          </w:tcPr>
          <w:p w14:paraId="016371A6">
            <w:pPr>
              <w:adjustRightInd w:val="0"/>
              <w:snapToGrid w:val="0"/>
              <w:spacing w:line="320" w:lineRule="exact"/>
              <w:jc w:val="center"/>
              <w:rPr>
                <w:rFonts w:ascii="宋体" w:hAnsi="宋体" w:cs="TimesNewRoman"/>
                <w:bCs/>
                <w:szCs w:val="21"/>
              </w:rPr>
            </w:pPr>
            <w:r>
              <w:rPr>
                <w:rFonts w:ascii="宋体" w:hAnsi="宋体" w:cs="TimesNewRoman"/>
                <w:bCs/>
                <w:szCs w:val="21"/>
              </w:rPr>
              <w:t>行政单位</w:t>
            </w:r>
          </w:p>
        </w:tc>
      </w:tr>
      <w:tr w14:paraId="3BC0597C">
        <w:tblPrEx>
          <w:tblCellMar>
            <w:top w:w="0" w:type="dxa"/>
            <w:left w:w="0" w:type="dxa"/>
            <w:bottom w:w="0" w:type="dxa"/>
            <w:right w:w="0" w:type="dxa"/>
          </w:tblCellMar>
        </w:tblPrEx>
        <w:trPr>
          <w:trHeight w:val="400" w:hRule="atLeast"/>
        </w:trPr>
        <w:tc>
          <w:tcPr>
            <w:tcW w:w="911"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64522A03">
            <w:pPr>
              <w:adjustRightInd w:val="0"/>
              <w:snapToGrid w:val="0"/>
              <w:spacing w:line="320" w:lineRule="exact"/>
              <w:jc w:val="center"/>
              <w:rPr>
                <w:rFonts w:hint="eastAsia" w:ascii="宋体" w:hAnsi="宋体" w:eastAsia="宋体" w:cs="TimesNewRoman"/>
                <w:szCs w:val="21"/>
                <w:lang w:eastAsia="zh-CN"/>
              </w:rPr>
            </w:pPr>
            <w:r>
              <w:rPr>
                <w:rFonts w:hint="eastAsia" w:ascii="宋体" w:hAnsi="宋体" w:cs="TimesNewRoman"/>
                <w:szCs w:val="21"/>
                <w:lang w:val="en-US" w:eastAsia="zh-CN"/>
              </w:rPr>
              <w:t>3</w:t>
            </w:r>
          </w:p>
        </w:tc>
        <w:tc>
          <w:tcPr>
            <w:tcW w:w="3643"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F8146A7">
            <w:pPr>
              <w:adjustRightInd w:val="0"/>
              <w:snapToGrid w:val="0"/>
              <w:spacing w:line="320" w:lineRule="exact"/>
              <w:jc w:val="center"/>
              <w:rPr>
                <w:rFonts w:ascii="宋体" w:hAnsi="宋体" w:cs="TimesNewRoman"/>
                <w:szCs w:val="21"/>
                <w:u w:val="single"/>
              </w:rPr>
            </w:pPr>
            <w:r>
              <w:rPr>
                <w:rFonts w:hint="eastAsia" w:ascii="宋体" w:hAnsi="宋体" w:cs="汉仪中秀体简"/>
                <w:szCs w:val="21"/>
                <w:lang w:val="en-US" w:eastAsia="zh-CN"/>
              </w:rPr>
              <w:t>寿县文学艺术院</w:t>
            </w:r>
          </w:p>
        </w:tc>
        <w:tc>
          <w:tcPr>
            <w:tcW w:w="4554" w:type="dxa"/>
            <w:tcBorders>
              <w:top w:val="nil"/>
              <w:left w:val="nil"/>
              <w:bottom w:val="single" w:color="auto" w:sz="8" w:space="0"/>
              <w:right w:val="single" w:color="auto" w:sz="8" w:space="0"/>
            </w:tcBorders>
            <w:shd w:val="clear" w:color="auto" w:fill="FFFFFF"/>
            <w:noWrap w:val="0"/>
            <w:vAlign w:val="center"/>
          </w:tcPr>
          <w:p w14:paraId="09597434">
            <w:pPr>
              <w:adjustRightInd w:val="0"/>
              <w:snapToGrid w:val="0"/>
              <w:spacing w:line="320" w:lineRule="exact"/>
              <w:jc w:val="center"/>
              <w:rPr>
                <w:rFonts w:ascii="宋体" w:hAnsi="宋体" w:cs="TimesNewRoman"/>
                <w:szCs w:val="21"/>
                <w:u w:val="single"/>
              </w:rPr>
            </w:pPr>
            <w:r>
              <w:rPr>
                <w:rFonts w:ascii="宋体" w:hAnsi="宋体" w:cs="TimesNewRoman"/>
                <w:bCs/>
                <w:szCs w:val="21"/>
              </w:rPr>
              <w:t>公益一类事业单位</w:t>
            </w:r>
          </w:p>
        </w:tc>
      </w:tr>
    </w:tbl>
    <w:p w14:paraId="1A6C1CB2">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p>
    <w:p w14:paraId="617308AD">
      <w:pPr>
        <w:pStyle w:val="15"/>
        <w:topLinePunct/>
        <w:adjustRightInd w:val="0"/>
        <w:snapToGrid w:val="0"/>
        <w:spacing w:beforeAutospacing="0" w:afterAutospacing="0" w:line="580" w:lineRule="exact"/>
        <w:ind w:firstLine="640"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三、2026年度主要工作任务</w:t>
      </w:r>
    </w:p>
    <w:p w14:paraId="0422B578">
      <w:pPr>
        <w:pStyle w:val="1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1.大力实施“书、演、塑、唱”四项文化项目赋能工程。</w:t>
      </w:r>
      <w:r>
        <w:rPr>
          <w:rFonts w:hint="eastAsia" w:ascii="仿宋_GB2312" w:hAnsi="仿宋_GB2312" w:eastAsia="仿宋_GB2312" w:cs="仿宋_GB2312"/>
          <w:sz w:val="32"/>
          <w:szCs w:val="32"/>
          <w:lang w:val="en-US" w:eastAsia="zh-CN"/>
        </w:rPr>
        <w:t>积极配合县委宣传部的相关工作安排，举办“寿春杯·《小说选刊》年度大奖”颁奖典礼、“青年写作与大文学观”“21 世纪文学之星”丛书30周年成果座谈会系列等相关活动；开展文艺志愿活动，推进戏剧家协会临时进驻报恩寺街区，在每一个重要节日，组织各文艺家协会积极参与各类文艺演出，持续开展各类文艺活动，发挥协会助力文旅融合发展作用；循理大讲堂今年已开展十二期，统筹推进“书、演、塑、唱”四类文学艺术在寿县繁荣发展。</w:t>
      </w:r>
    </w:p>
    <w:p w14:paraId="385759CA">
      <w:pPr>
        <w:pStyle w:val="1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2.用好中国书法之乡、中国文学之乡等金字招牌，提高寿县文化影响力。</w:t>
      </w:r>
      <w:r>
        <w:rPr>
          <w:rFonts w:hint="eastAsia" w:ascii="仿宋_GB2312" w:hAnsi="仿宋_GB2312" w:eastAsia="仿宋_GB2312" w:cs="仿宋_GB2312"/>
          <w:sz w:val="32"/>
          <w:szCs w:val="32"/>
          <w:lang w:val="en-US" w:eastAsia="zh-CN"/>
        </w:rPr>
        <w:t>加强与中华文学基金会、《小说选刊》杂志社等合作</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大力举办群众性文艺活动。</w:t>
      </w:r>
    </w:p>
    <w:p w14:paraId="536B75D1">
      <w:pPr>
        <w:pStyle w:val="1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sz w:val="32"/>
          <w:szCs w:val="32"/>
        </w:rPr>
      </w:pPr>
      <w:r>
        <w:rPr>
          <w:rFonts w:hint="default" w:ascii="仿宋_GB2312" w:hAnsi="仿宋_GB2312" w:eastAsia="仿宋_GB2312" w:cs="仿宋_GB2312"/>
          <w:b/>
          <w:bCs/>
          <w:sz w:val="32"/>
          <w:szCs w:val="32"/>
          <w:lang w:eastAsia="zh-CN"/>
        </w:rPr>
        <w:t>3.出版《寿春》系列丛书，</w:t>
      </w:r>
      <w:r>
        <w:rPr>
          <w:rFonts w:hint="eastAsia" w:ascii="仿宋_GB2312" w:hAnsi="仿宋_GB2312" w:eastAsia="仿宋_GB2312" w:cs="仿宋_GB2312"/>
          <w:b/>
          <w:bCs/>
          <w:sz w:val="32"/>
          <w:szCs w:val="32"/>
          <w:lang w:val="en-US" w:eastAsia="zh-CN"/>
        </w:rPr>
        <w:t>繁荣文艺精品创作</w:t>
      </w:r>
      <w:r>
        <w:rPr>
          <w:rFonts w:hint="default" w:ascii="仿宋_GB2312" w:hAnsi="仿宋_GB2312" w:eastAsia="仿宋_GB2312" w:cs="仿宋_GB2312"/>
          <w:b/>
          <w:bCs/>
          <w:sz w:val="32"/>
          <w:szCs w:val="32"/>
          <w:lang w:eastAsia="zh-CN"/>
        </w:rPr>
        <w:t>，做好相关配合工作</w:t>
      </w:r>
      <w:r>
        <w:rPr>
          <w:rFonts w:hint="eastAsia" w:ascii="仿宋_GB2312" w:hAnsi="仿宋_GB2312" w:eastAsia="仿宋_GB2312" w:cs="仿宋_GB2312"/>
          <w:b/>
          <w:bCs/>
          <w:sz w:val="32"/>
          <w:szCs w:val="32"/>
          <w:lang w:eastAsia="zh-CN"/>
        </w:rPr>
        <w:t>。</w:t>
      </w:r>
      <w:r>
        <w:rPr>
          <w:rFonts w:hint="default" w:ascii="仿宋_GB2312" w:hAnsi="仿宋_GB2312" w:eastAsia="仿宋_GB2312" w:cs="仿宋_GB2312"/>
          <w:sz w:val="32"/>
          <w:szCs w:val="32"/>
          <w:lang w:eastAsia="zh-CN"/>
        </w:rPr>
        <w:t>积极支持《寿春》纪录片拍摄和《寿县通史》编纂，持续推进出版《寿春》系列丛书，积极配合县文旅局做好非遗传承保护。</w:t>
      </w:r>
    </w:p>
    <w:p w14:paraId="23AF7A9E">
      <w:pPr>
        <w:pStyle w:val="1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2026</w:t>
      </w:r>
      <w:r>
        <w:rPr>
          <w:rFonts w:ascii="TimesNewRoman" w:hAnsi="TimesNewRoman" w:eastAsia="黑体" w:cs="TimesNewRoman"/>
          <w:bCs/>
          <w:sz w:val="36"/>
          <w:szCs w:val="36"/>
        </w:rPr>
        <w:t>年部门（单位）预算情况说明</w:t>
      </w:r>
    </w:p>
    <w:p w14:paraId="24362DD1">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p>
    <w:p w14:paraId="7F5CE575">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一、关于2026年收支总表的说明</w:t>
      </w:r>
    </w:p>
    <w:p w14:paraId="677DF4D0">
      <w:pPr>
        <w:pStyle w:val="15"/>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按照综合预算的原则，寿县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所有收入和支出均纳入</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预算管理。寿县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2026年收支总预算</w:t>
      </w:r>
      <w:r>
        <w:rPr>
          <w:rFonts w:hint="eastAsia" w:ascii="仿宋_GB2312" w:hAnsi="TimesNewRoman" w:eastAsia="仿宋_GB2312" w:cs="TimesNewRoman"/>
          <w:sz w:val="32"/>
          <w:szCs w:val="32"/>
          <w:lang w:val="en-US" w:eastAsia="zh-CN"/>
        </w:rPr>
        <w:t>163.8</w:t>
      </w:r>
      <w:r>
        <w:rPr>
          <w:rFonts w:hint="eastAsia" w:ascii="仿宋_GB2312" w:hAnsi="TimesNewRoman" w:eastAsia="仿宋_GB2312" w:cs="TimesNewRoman"/>
          <w:sz w:val="32"/>
          <w:szCs w:val="32"/>
        </w:rPr>
        <w:t>万元，收入包括一般公共预算拨款收入，支出包括：一般公共服务支出、文化旅游体育与传媒支出</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社会保障和就业支出、卫生健康支出、住房保障支出</w:t>
      </w:r>
      <w:r>
        <w:rPr>
          <w:rFonts w:hint="eastAsia" w:ascii="仿宋_GB2312" w:hAnsi="TimesNewRoman" w:eastAsia="仿宋_GB2312" w:cs="TimesNewRoman"/>
          <w:sz w:val="32"/>
          <w:szCs w:val="32"/>
          <w:lang w:eastAsia="zh-CN"/>
        </w:rPr>
        <w:t>。</w:t>
      </w:r>
    </w:p>
    <w:p w14:paraId="069D776B">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二、关于2026年收入总表的说明</w:t>
      </w:r>
    </w:p>
    <w:p w14:paraId="0A96403C">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2026年收入预算</w:t>
      </w:r>
      <w:r>
        <w:rPr>
          <w:rFonts w:hint="eastAsia" w:ascii="仿宋_GB2312" w:hAnsi="TimesNewRoman" w:eastAsia="仿宋_GB2312" w:cs="TimesNewRoman"/>
          <w:sz w:val="32"/>
          <w:szCs w:val="32"/>
          <w:lang w:val="en-US" w:eastAsia="zh-CN"/>
        </w:rPr>
        <w:t>163.8</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133.1</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w:t>
      </w:r>
    </w:p>
    <w:p w14:paraId="797C9D0D">
      <w:pPr>
        <w:numPr>
          <w:ilvl w:val="0"/>
          <w:numId w:val="1"/>
        </w:num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本年收入</w:t>
      </w:r>
      <w:r>
        <w:rPr>
          <w:rFonts w:hint="eastAsia" w:ascii="仿宋_GB2312" w:hAnsi="TimesNewRoman" w:eastAsia="仿宋_GB2312" w:cs="TimesNewRoman"/>
          <w:sz w:val="32"/>
          <w:szCs w:val="32"/>
          <w:lang w:val="en-US" w:eastAsia="zh-CN"/>
        </w:rPr>
        <w:t>133.1</w:t>
      </w:r>
      <w:r>
        <w:rPr>
          <w:rFonts w:hint="eastAsia" w:ascii="仿宋_GB2312" w:hAnsi="TimesNewRoman" w:eastAsia="仿宋_GB2312" w:cs="TimesNewRoman"/>
          <w:sz w:val="32"/>
          <w:szCs w:val="32"/>
        </w:rPr>
        <w:t>万元，主要包括：一般公共预算拨款收入</w:t>
      </w:r>
      <w:r>
        <w:rPr>
          <w:rFonts w:hint="eastAsia" w:ascii="仿宋_GB2312" w:hAnsi="TimesNewRoman" w:eastAsia="仿宋_GB2312" w:cs="TimesNewRoman"/>
          <w:sz w:val="32"/>
          <w:szCs w:val="32"/>
          <w:lang w:val="en-US" w:eastAsia="zh-CN"/>
        </w:rPr>
        <w:t>133.1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%，比2025年预算增加</w:t>
      </w:r>
      <w:r>
        <w:rPr>
          <w:rFonts w:hint="eastAsia" w:ascii="仿宋_GB2312" w:hAnsi="TimesNewRoman" w:eastAsia="仿宋_GB2312" w:cs="TimesNewRoman"/>
          <w:sz w:val="32"/>
          <w:szCs w:val="32"/>
          <w:lang w:val="en-US" w:eastAsia="zh-CN"/>
        </w:rPr>
        <w:t>14.81</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12.52</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人员工资变动。</w:t>
      </w:r>
    </w:p>
    <w:p w14:paraId="276F003D">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（二）上年结转收入</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万元，主要包括：一般公共预算拨款收入</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%，比2025年预算增加</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2025年无上年结转资金。</w:t>
      </w:r>
    </w:p>
    <w:p w14:paraId="0F09976D">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三、关于2026年支出总表的说明</w:t>
      </w:r>
    </w:p>
    <w:p w14:paraId="24EDFE82">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2026年支出预算</w:t>
      </w:r>
      <w:r>
        <w:rPr>
          <w:rFonts w:hint="eastAsia" w:ascii="仿宋_GB2312" w:hAnsi="TimesNewRoman" w:eastAsia="仿宋_GB2312" w:cs="TimesNewRoman"/>
          <w:sz w:val="32"/>
          <w:szCs w:val="32"/>
          <w:lang w:val="en-US" w:eastAsia="zh-CN"/>
        </w:rPr>
        <w:t>163.8</w:t>
      </w:r>
      <w:r>
        <w:rPr>
          <w:rFonts w:hint="eastAsia" w:ascii="仿宋_GB2312" w:hAnsi="TimesNewRoman" w:eastAsia="仿宋_GB2312" w:cs="TimesNewRoman"/>
          <w:sz w:val="32"/>
          <w:szCs w:val="32"/>
        </w:rPr>
        <w:t>万元，比2025年预算增加</w:t>
      </w:r>
      <w:r>
        <w:rPr>
          <w:rFonts w:hint="eastAsia" w:ascii="仿宋_GB2312" w:hAnsi="TimesNewRoman" w:eastAsia="仿宋_GB2312" w:cs="TimesNewRoman"/>
          <w:sz w:val="32"/>
          <w:szCs w:val="32"/>
          <w:lang w:val="en-US" w:eastAsia="zh-CN"/>
        </w:rPr>
        <w:t>45.51</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38.47</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2026年存在上年结转资金和存在人员变动</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97.1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59.28</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66.7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40.72</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日常开展文旅相关活动。</w:t>
      </w:r>
    </w:p>
    <w:p w14:paraId="006C200F">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四、关于2026年财政拨款收支总表的说明</w:t>
      </w:r>
    </w:p>
    <w:p w14:paraId="0BC66640">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2026年财政拨款收支预算</w:t>
      </w:r>
      <w:r>
        <w:rPr>
          <w:rFonts w:hint="eastAsia" w:ascii="仿宋_GB2312" w:hAnsi="TimesNewRoman" w:eastAsia="仿宋_GB2312" w:cs="TimesNewRoman"/>
          <w:sz w:val="32"/>
          <w:szCs w:val="32"/>
          <w:lang w:val="en-US" w:eastAsia="zh-CN"/>
        </w:rPr>
        <w:t>163.8</w:t>
      </w:r>
      <w:r>
        <w:rPr>
          <w:rFonts w:hint="eastAsia" w:ascii="仿宋_GB2312" w:hAnsi="TimesNewRoman" w:eastAsia="仿宋_GB2312" w:cs="TimesNewRoman"/>
          <w:sz w:val="32"/>
          <w:szCs w:val="32"/>
        </w:rPr>
        <w:t>万元。收入按资金来源分为：一般公共预算拨款</w:t>
      </w:r>
      <w:r>
        <w:rPr>
          <w:rFonts w:hint="eastAsia" w:ascii="仿宋_GB2312" w:hAnsi="TimesNewRoman" w:eastAsia="仿宋_GB2312" w:cs="TimesNewRoman"/>
          <w:sz w:val="32"/>
          <w:szCs w:val="32"/>
          <w:lang w:val="en-US" w:eastAsia="zh-CN"/>
        </w:rPr>
        <w:t>163.8</w:t>
      </w:r>
      <w:r>
        <w:rPr>
          <w:rFonts w:hint="eastAsia" w:ascii="仿宋_GB2312" w:hAnsi="TimesNewRoman" w:eastAsia="仿宋_GB2312" w:cs="TimesNewRoman"/>
          <w:sz w:val="32"/>
          <w:szCs w:val="32"/>
        </w:rPr>
        <w:t>万元；按资金年度分为：本年财政拨款收入</w:t>
      </w:r>
      <w:r>
        <w:rPr>
          <w:rFonts w:hint="eastAsia" w:ascii="仿宋_GB2312" w:hAnsi="TimesNewRoman" w:eastAsia="仿宋_GB2312" w:cs="TimesNewRoman"/>
          <w:sz w:val="32"/>
          <w:szCs w:val="32"/>
          <w:lang w:val="en-US" w:eastAsia="zh-CN"/>
        </w:rPr>
        <w:t>133.1</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万元。支出按功能分类分为：一般公共服务支出</w:t>
      </w:r>
      <w:r>
        <w:rPr>
          <w:rFonts w:hint="eastAsia" w:ascii="仿宋_GB2312" w:hAnsi="TimesNewRoman" w:eastAsia="仿宋_GB2312" w:cs="TimesNewRoman"/>
          <w:sz w:val="32"/>
          <w:szCs w:val="32"/>
          <w:lang w:val="en-US" w:eastAsia="zh-CN"/>
        </w:rPr>
        <w:t>28.57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17.44</w:t>
      </w:r>
      <w:r>
        <w:rPr>
          <w:rFonts w:hint="eastAsia" w:ascii="仿宋_GB2312" w:hAnsi="TimesNewRoman" w:eastAsia="仿宋_GB2312" w:cs="TimesNewRoman"/>
          <w:sz w:val="32"/>
          <w:szCs w:val="32"/>
        </w:rPr>
        <w:t>%；文化旅游体育与传媒支出</w:t>
      </w:r>
      <w:r>
        <w:rPr>
          <w:rFonts w:hint="eastAsia" w:ascii="仿宋_GB2312" w:hAnsi="TimesNewRoman" w:eastAsia="仿宋_GB2312" w:cs="TimesNewRoman"/>
          <w:sz w:val="32"/>
          <w:szCs w:val="32"/>
          <w:lang w:val="en-US" w:eastAsia="zh-CN"/>
        </w:rPr>
        <w:t>112.84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68.89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11.84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7.23</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3.08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1.88</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7.48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4.56</w:t>
      </w:r>
      <w:r>
        <w:rPr>
          <w:rFonts w:hint="eastAsia" w:ascii="仿宋_GB2312" w:hAnsi="TimesNewRoman" w:eastAsia="仿宋_GB2312" w:cs="TimesNewRoman"/>
          <w:sz w:val="32"/>
          <w:szCs w:val="32"/>
        </w:rPr>
        <w:t>%。</w:t>
      </w:r>
    </w:p>
    <w:p w14:paraId="5B41DC6B">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highlight w:val="none"/>
        </w:rPr>
      </w:pPr>
      <w:r>
        <w:rPr>
          <w:rFonts w:hint="eastAsia" w:ascii="楷体_GB2312" w:hAnsi="TimesNewRoman" w:eastAsia="楷体_GB2312" w:cs="TimesNewRoman"/>
          <w:b/>
          <w:sz w:val="32"/>
          <w:szCs w:val="32"/>
          <w:highlight w:val="none"/>
        </w:rPr>
        <w:t>五、关于2026年一般公共预算支出表的说明</w:t>
      </w:r>
    </w:p>
    <w:p w14:paraId="10D17A8D">
      <w:pPr>
        <w:pStyle w:val="15"/>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b/>
          <w:sz w:val="32"/>
          <w:szCs w:val="32"/>
          <w:highlight w:val="none"/>
        </w:rPr>
      </w:pPr>
      <w:r>
        <w:rPr>
          <w:rFonts w:hint="eastAsia" w:ascii="仿宋_GB2312" w:hAnsi="TimesNewRoman" w:eastAsia="仿宋_GB2312" w:cs="TimesNewRoman"/>
          <w:b/>
          <w:sz w:val="32"/>
          <w:szCs w:val="32"/>
          <w:highlight w:val="none"/>
        </w:rPr>
        <w:t>（一）一般公共预算支出规模变化情况。</w:t>
      </w:r>
    </w:p>
    <w:p w14:paraId="776F810A">
      <w:pPr>
        <w:pStyle w:val="15"/>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highlight w:val="none"/>
        </w:rPr>
      </w:pPr>
      <w:r>
        <w:rPr>
          <w:rFonts w:hint="eastAsia" w:ascii="仿宋_GB2312" w:hAnsi="TimesNewRoman" w:eastAsia="仿宋_GB2312" w:cs="TimesNewRoman"/>
          <w:sz w:val="32"/>
          <w:szCs w:val="32"/>
          <w:highlight w:val="none"/>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highlight w:val="none"/>
        </w:rPr>
        <w:t>2026年一般公共预算支出</w:t>
      </w:r>
      <w:r>
        <w:rPr>
          <w:rFonts w:hint="eastAsia" w:ascii="仿宋_GB2312" w:hAnsi="TimesNewRoman" w:eastAsia="仿宋_GB2312" w:cs="TimesNewRoman"/>
          <w:sz w:val="32"/>
          <w:szCs w:val="32"/>
          <w:highlight w:val="none"/>
          <w:lang w:val="en-US" w:eastAsia="zh-CN"/>
        </w:rPr>
        <w:t>163.8</w:t>
      </w:r>
      <w:r>
        <w:rPr>
          <w:rFonts w:hint="eastAsia" w:ascii="仿宋_GB2312" w:hAnsi="TimesNewRoman" w:eastAsia="仿宋_GB2312" w:cs="TimesNewRoman"/>
          <w:sz w:val="32"/>
          <w:szCs w:val="32"/>
          <w:highlight w:val="none"/>
        </w:rPr>
        <w:t>万元，比2025年预算增加</w:t>
      </w:r>
      <w:r>
        <w:rPr>
          <w:rFonts w:hint="eastAsia" w:ascii="仿宋_GB2312" w:hAnsi="TimesNewRoman" w:eastAsia="仿宋_GB2312" w:cs="TimesNewRoman"/>
          <w:sz w:val="32"/>
          <w:szCs w:val="32"/>
          <w:highlight w:val="none"/>
          <w:lang w:val="en-US" w:eastAsia="zh-CN"/>
        </w:rPr>
        <w:t>45.51</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38.47</w:t>
      </w:r>
      <w:r>
        <w:rPr>
          <w:rFonts w:hint="eastAsia" w:ascii="仿宋_GB2312" w:hAnsi="TimesNewRoman" w:eastAsia="仿宋_GB2312" w:cs="TimesNewRoman"/>
          <w:sz w:val="32"/>
          <w:szCs w:val="32"/>
          <w:highlight w:val="none"/>
        </w:rPr>
        <w:t>%，主要原因：一是</w:t>
      </w:r>
      <w:r>
        <w:rPr>
          <w:rFonts w:hint="eastAsia" w:ascii="仿宋_GB2312" w:hAnsi="TimesNewRoman" w:eastAsia="仿宋_GB2312" w:cs="TimesNewRoman"/>
          <w:sz w:val="32"/>
          <w:szCs w:val="32"/>
          <w:highlight w:val="none"/>
          <w:lang w:val="en-US" w:eastAsia="zh-CN"/>
        </w:rPr>
        <w:t>2026年存在上年结转资金</w:t>
      </w:r>
      <w:r>
        <w:rPr>
          <w:rFonts w:hint="eastAsia" w:ascii="仿宋_GB2312" w:hAnsi="TimesNewRoman" w:eastAsia="仿宋_GB2312" w:cs="TimesNewRoman"/>
          <w:sz w:val="32"/>
          <w:szCs w:val="32"/>
          <w:highlight w:val="none"/>
        </w:rPr>
        <w:t>；二是</w:t>
      </w:r>
      <w:r>
        <w:rPr>
          <w:rFonts w:hint="eastAsia" w:ascii="仿宋_GB2312" w:hAnsi="TimesNewRoman" w:eastAsia="仿宋_GB2312" w:cs="TimesNewRoman"/>
          <w:sz w:val="32"/>
          <w:szCs w:val="32"/>
          <w:highlight w:val="none"/>
          <w:lang w:val="en-US" w:eastAsia="zh-CN"/>
        </w:rPr>
        <w:t>2026年人员增加</w:t>
      </w:r>
      <w:r>
        <w:rPr>
          <w:rFonts w:hint="eastAsia" w:ascii="仿宋_GB2312" w:hAnsi="TimesNewRoman" w:eastAsia="仿宋_GB2312" w:cs="TimesNewRoman"/>
          <w:sz w:val="32"/>
          <w:szCs w:val="32"/>
          <w:highlight w:val="none"/>
        </w:rPr>
        <w:t>。</w:t>
      </w:r>
    </w:p>
    <w:p w14:paraId="2045A291">
      <w:pPr>
        <w:pStyle w:val="15"/>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b/>
          <w:sz w:val="32"/>
          <w:szCs w:val="32"/>
          <w:highlight w:val="none"/>
        </w:rPr>
      </w:pPr>
      <w:r>
        <w:rPr>
          <w:rFonts w:hint="eastAsia" w:ascii="仿宋_GB2312" w:hAnsi="TimesNewRoman" w:eastAsia="仿宋_GB2312" w:cs="TimesNewRoman"/>
          <w:b/>
          <w:sz w:val="32"/>
          <w:szCs w:val="32"/>
          <w:highlight w:val="none"/>
        </w:rPr>
        <w:t>（二）一般公共预算支出结构情况。</w:t>
      </w:r>
    </w:p>
    <w:p w14:paraId="1D6AB0A0">
      <w:pPr>
        <w:pStyle w:val="15"/>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highlight w:val="none"/>
        </w:rPr>
      </w:pPr>
      <w:r>
        <w:rPr>
          <w:rFonts w:hint="eastAsia" w:ascii="仿宋_GB2312" w:hAnsi="TimesNewRoman" w:eastAsia="仿宋_GB2312" w:cs="TimesNewRoman"/>
          <w:sz w:val="32"/>
          <w:szCs w:val="32"/>
          <w:highlight w:val="none"/>
        </w:rPr>
        <w:t>一般公共服务支出</w:t>
      </w:r>
      <w:r>
        <w:rPr>
          <w:rFonts w:hint="eastAsia" w:ascii="仿宋_GB2312" w:hAnsi="TimesNewRoman" w:eastAsia="仿宋_GB2312" w:cs="TimesNewRoman"/>
          <w:sz w:val="32"/>
          <w:szCs w:val="32"/>
          <w:highlight w:val="none"/>
          <w:lang w:val="en-US" w:eastAsia="zh-CN"/>
        </w:rPr>
        <w:t>28.57</w:t>
      </w:r>
      <w:r>
        <w:rPr>
          <w:rFonts w:hint="eastAsia" w:ascii="仿宋_GB2312" w:hAnsi="TimesNewRoman" w:eastAsia="仿宋_GB2312" w:cs="TimesNewRoman"/>
          <w:sz w:val="32"/>
          <w:szCs w:val="32"/>
          <w:highlight w:val="none"/>
        </w:rPr>
        <w:t>万元，占</w:t>
      </w:r>
      <w:r>
        <w:rPr>
          <w:rFonts w:hint="eastAsia" w:ascii="仿宋_GB2312" w:hAnsi="TimesNewRoman" w:eastAsia="仿宋_GB2312" w:cs="TimesNewRoman"/>
          <w:sz w:val="32"/>
          <w:szCs w:val="32"/>
          <w:highlight w:val="none"/>
          <w:lang w:val="en-US" w:eastAsia="zh-CN"/>
        </w:rPr>
        <w:t>17.44</w:t>
      </w:r>
      <w:r>
        <w:rPr>
          <w:rFonts w:hint="eastAsia" w:ascii="仿宋_GB2312" w:hAnsi="TimesNewRoman" w:eastAsia="仿宋_GB2312" w:cs="TimesNewRoman"/>
          <w:sz w:val="32"/>
          <w:szCs w:val="32"/>
          <w:highlight w:val="none"/>
        </w:rPr>
        <w:t>%；</w:t>
      </w:r>
      <w:r>
        <w:rPr>
          <w:rFonts w:hint="eastAsia" w:ascii="仿宋_GB2312" w:hAnsi="TimesNewRoman" w:eastAsia="仿宋_GB2312" w:cs="TimesNewRoman"/>
          <w:sz w:val="32"/>
          <w:szCs w:val="32"/>
        </w:rPr>
        <w:t>文化旅游体育与传媒支出</w:t>
      </w:r>
      <w:r>
        <w:rPr>
          <w:rFonts w:hint="eastAsia" w:ascii="仿宋_GB2312" w:hAnsi="TimesNewRoman" w:eastAsia="仿宋_GB2312" w:cs="TimesNewRoman"/>
          <w:sz w:val="32"/>
          <w:szCs w:val="32"/>
          <w:lang w:val="en-US" w:eastAsia="zh-CN"/>
        </w:rPr>
        <w:t>112.84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68.9</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highlight w:val="none"/>
        </w:rPr>
        <w:t>社会保障和就业支出</w:t>
      </w:r>
      <w:r>
        <w:rPr>
          <w:rFonts w:hint="eastAsia" w:ascii="仿宋_GB2312" w:hAnsi="TimesNewRoman" w:eastAsia="仿宋_GB2312" w:cs="TimesNewRoman"/>
          <w:sz w:val="32"/>
          <w:szCs w:val="32"/>
          <w:highlight w:val="none"/>
          <w:lang w:val="en-US" w:eastAsia="zh-CN"/>
        </w:rPr>
        <w:t>11.84</w:t>
      </w:r>
      <w:r>
        <w:rPr>
          <w:rFonts w:hint="eastAsia" w:ascii="仿宋_GB2312" w:hAnsi="TimesNewRoman" w:eastAsia="仿宋_GB2312" w:cs="TimesNewRoman"/>
          <w:sz w:val="32"/>
          <w:szCs w:val="32"/>
          <w:highlight w:val="none"/>
        </w:rPr>
        <w:t>万元，占</w:t>
      </w:r>
      <w:r>
        <w:rPr>
          <w:rFonts w:hint="eastAsia" w:ascii="仿宋_GB2312" w:hAnsi="TimesNewRoman" w:eastAsia="仿宋_GB2312" w:cs="TimesNewRoman"/>
          <w:sz w:val="32"/>
          <w:szCs w:val="32"/>
          <w:highlight w:val="none"/>
          <w:lang w:val="en-US" w:eastAsia="zh-CN"/>
        </w:rPr>
        <w:t>7.22</w:t>
      </w:r>
      <w:r>
        <w:rPr>
          <w:rFonts w:hint="eastAsia" w:ascii="仿宋_GB2312" w:hAnsi="TimesNewRoman" w:eastAsia="仿宋_GB2312" w:cs="TimesNewRoman"/>
          <w:sz w:val="32"/>
          <w:szCs w:val="32"/>
          <w:highlight w:val="none"/>
        </w:rPr>
        <w:t>%；卫生健康支出</w:t>
      </w:r>
      <w:r>
        <w:rPr>
          <w:rFonts w:hint="eastAsia" w:ascii="仿宋_GB2312" w:hAnsi="TimesNewRoman" w:eastAsia="仿宋_GB2312" w:cs="TimesNewRoman"/>
          <w:sz w:val="32"/>
          <w:szCs w:val="32"/>
          <w:highlight w:val="none"/>
          <w:lang w:val="en-US" w:eastAsia="zh-CN"/>
        </w:rPr>
        <w:t>3.08</w:t>
      </w:r>
      <w:r>
        <w:rPr>
          <w:rFonts w:hint="eastAsia" w:ascii="仿宋_GB2312" w:hAnsi="TimesNewRoman" w:eastAsia="仿宋_GB2312" w:cs="TimesNewRoman"/>
          <w:sz w:val="32"/>
          <w:szCs w:val="32"/>
          <w:highlight w:val="none"/>
        </w:rPr>
        <w:t>万元，占</w:t>
      </w:r>
      <w:r>
        <w:rPr>
          <w:rFonts w:hint="eastAsia" w:ascii="仿宋_GB2312" w:hAnsi="TimesNewRoman" w:eastAsia="仿宋_GB2312" w:cs="TimesNewRoman"/>
          <w:sz w:val="32"/>
          <w:szCs w:val="32"/>
          <w:highlight w:val="none"/>
          <w:lang w:val="en-US" w:eastAsia="zh-CN"/>
        </w:rPr>
        <w:t>1.88</w:t>
      </w:r>
      <w:r>
        <w:rPr>
          <w:rFonts w:hint="eastAsia" w:ascii="仿宋_GB2312" w:hAnsi="TimesNewRoman" w:eastAsia="仿宋_GB2312" w:cs="TimesNewRoman"/>
          <w:sz w:val="32"/>
          <w:szCs w:val="32"/>
          <w:highlight w:val="none"/>
        </w:rPr>
        <w:t>%；住房保障支出</w:t>
      </w:r>
      <w:r>
        <w:rPr>
          <w:rFonts w:hint="eastAsia" w:ascii="仿宋_GB2312" w:hAnsi="TimesNewRoman" w:eastAsia="仿宋_GB2312" w:cs="TimesNewRoman"/>
          <w:sz w:val="32"/>
          <w:szCs w:val="32"/>
          <w:highlight w:val="none"/>
          <w:lang w:val="en-US" w:eastAsia="zh-CN"/>
        </w:rPr>
        <w:t>7.48</w:t>
      </w:r>
      <w:r>
        <w:rPr>
          <w:rFonts w:hint="eastAsia" w:ascii="仿宋_GB2312" w:hAnsi="TimesNewRoman" w:eastAsia="仿宋_GB2312" w:cs="TimesNewRoman"/>
          <w:sz w:val="32"/>
          <w:szCs w:val="32"/>
          <w:highlight w:val="none"/>
        </w:rPr>
        <w:t>万元，占</w:t>
      </w:r>
      <w:r>
        <w:rPr>
          <w:rFonts w:hint="eastAsia" w:ascii="仿宋_GB2312" w:hAnsi="TimesNewRoman" w:eastAsia="仿宋_GB2312" w:cs="TimesNewRoman"/>
          <w:sz w:val="32"/>
          <w:szCs w:val="32"/>
          <w:highlight w:val="none"/>
          <w:lang w:val="en-US" w:eastAsia="zh-CN"/>
        </w:rPr>
        <w:t>4.56</w:t>
      </w:r>
      <w:r>
        <w:rPr>
          <w:rFonts w:hint="eastAsia" w:ascii="仿宋_GB2312" w:hAnsi="TimesNewRoman" w:eastAsia="仿宋_GB2312" w:cs="TimesNewRoman"/>
          <w:sz w:val="32"/>
          <w:szCs w:val="32"/>
          <w:highlight w:val="none"/>
        </w:rPr>
        <w:t>%。</w:t>
      </w:r>
    </w:p>
    <w:p w14:paraId="36AE9923">
      <w:pPr>
        <w:topLinePunct/>
        <w:adjustRightInd w:val="0"/>
        <w:snapToGrid w:val="0"/>
        <w:spacing w:line="580" w:lineRule="exact"/>
        <w:ind w:firstLine="640" w:firstLineChars="200"/>
        <w:rPr>
          <w:rFonts w:hint="eastAsia" w:ascii="仿宋_GB2312" w:hAnsi="TimesNewRoman" w:eastAsia="仿宋_GB2312" w:cs="TimesNewRoman"/>
          <w:b/>
          <w:sz w:val="32"/>
          <w:szCs w:val="32"/>
          <w:highlight w:val="none"/>
        </w:rPr>
      </w:pPr>
      <w:r>
        <w:rPr>
          <w:rFonts w:hint="eastAsia" w:ascii="仿宋_GB2312" w:hAnsi="TimesNewRoman" w:eastAsia="仿宋_GB2312" w:cs="TimesNewRoman"/>
          <w:b/>
          <w:sz w:val="32"/>
          <w:szCs w:val="32"/>
          <w:highlight w:val="none"/>
        </w:rPr>
        <w:t>（三）一般公共预算支出具体使用情况。</w:t>
      </w:r>
    </w:p>
    <w:p w14:paraId="1D8C8A08">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rPr>
        <w:t>1.一般公共服务支出（类）财政事务（款）行政运行（项）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28.57</w:t>
      </w:r>
      <w:r>
        <w:rPr>
          <w:rFonts w:hint="eastAsia" w:ascii="仿宋_GB2312" w:hAnsi="TimesNewRoman" w:eastAsia="仿宋_GB2312" w:cs="TimesNewRoman"/>
          <w:sz w:val="32"/>
          <w:szCs w:val="32"/>
          <w:highlight w:val="none"/>
        </w:rPr>
        <w:t>万元，比2025年预算减少</w:t>
      </w:r>
      <w:r>
        <w:rPr>
          <w:rFonts w:hint="eastAsia" w:ascii="仿宋_GB2312" w:hAnsi="TimesNewRoman" w:eastAsia="仿宋_GB2312" w:cs="TimesNewRoman"/>
          <w:sz w:val="32"/>
          <w:szCs w:val="32"/>
          <w:highlight w:val="none"/>
          <w:lang w:val="en-US" w:eastAsia="zh-CN"/>
        </w:rPr>
        <w:t>27.8</w:t>
      </w:r>
      <w:r>
        <w:rPr>
          <w:rFonts w:hint="eastAsia" w:ascii="仿宋_GB2312" w:hAnsi="TimesNewRoman" w:eastAsia="仿宋_GB2312" w:cs="TimesNewRoman"/>
          <w:sz w:val="32"/>
          <w:szCs w:val="32"/>
          <w:highlight w:val="none"/>
        </w:rPr>
        <w:t>万元，下降</w:t>
      </w:r>
      <w:r>
        <w:rPr>
          <w:rFonts w:hint="eastAsia" w:ascii="仿宋_GB2312" w:hAnsi="TimesNewRoman" w:eastAsia="仿宋_GB2312" w:cs="TimesNewRoman"/>
          <w:sz w:val="32"/>
          <w:szCs w:val="32"/>
          <w:highlight w:val="none"/>
          <w:lang w:val="en-US" w:eastAsia="zh-CN"/>
        </w:rPr>
        <w:t>49.31</w:t>
      </w:r>
      <w:r>
        <w:rPr>
          <w:rFonts w:hint="eastAsia" w:ascii="仿宋_GB2312" w:hAnsi="TimesNewRoman" w:eastAsia="仿宋_GB2312" w:cs="TimesNewRoman"/>
          <w:sz w:val="32"/>
          <w:szCs w:val="32"/>
          <w:highlight w:val="none"/>
        </w:rPr>
        <w:t>%，下降原因主要是</w:t>
      </w:r>
      <w:r>
        <w:rPr>
          <w:rFonts w:hint="eastAsia" w:ascii="仿宋_GB2312" w:hAnsi="TimesNewRoman" w:eastAsia="仿宋_GB2312" w:cs="TimesNewRoman"/>
          <w:sz w:val="32"/>
          <w:szCs w:val="32"/>
          <w:highlight w:val="none"/>
          <w:lang w:val="en-US" w:eastAsia="zh-CN"/>
        </w:rPr>
        <w:t>2025年预算科目不合理，2026年调整到正确科目</w:t>
      </w:r>
      <w:r>
        <w:rPr>
          <w:rFonts w:hint="eastAsia" w:ascii="仿宋_GB2312" w:hAnsi="TimesNewRoman" w:eastAsia="仿宋_GB2312" w:cs="TimesNewRoman"/>
          <w:sz w:val="32"/>
          <w:szCs w:val="32"/>
          <w:highlight w:val="none"/>
        </w:rPr>
        <w:t>。</w:t>
      </w:r>
    </w:p>
    <w:p w14:paraId="1FF2DD16">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2.</w:t>
      </w:r>
      <w:r>
        <w:rPr>
          <w:rFonts w:hint="eastAsia" w:ascii="仿宋_GB2312" w:hAnsi="TimesNewRoman" w:eastAsia="仿宋_GB2312" w:cs="TimesNewRoman"/>
          <w:b/>
          <w:sz w:val="32"/>
          <w:szCs w:val="32"/>
          <w:highlight w:val="none"/>
        </w:rPr>
        <w:t>文化旅游体育与传媒支出（类）文化和旅游（款）其他文化和旅游支出（项）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0.56</w:t>
      </w:r>
      <w:r>
        <w:rPr>
          <w:rFonts w:hint="eastAsia" w:ascii="仿宋_GB2312" w:hAnsi="TimesNewRoman" w:eastAsia="仿宋_GB2312" w:cs="TimesNewRoman"/>
          <w:sz w:val="32"/>
          <w:szCs w:val="32"/>
          <w:highlight w:val="none"/>
        </w:rPr>
        <w:t>万元，比2025年预算增加</w:t>
      </w:r>
      <w:r>
        <w:rPr>
          <w:rFonts w:hint="eastAsia" w:ascii="仿宋_GB2312" w:hAnsi="TimesNewRoman" w:eastAsia="仿宋_GB2312" w:cs="TimesNewRoman"/>
          <w:sz w:val="32"/>
          <w:szCs w:val="32"/>
          <w:highlight w:val="none"/>
          <w:lang w:val="en-US" w:eastAsia="zh-CN"/>
        </w:rPr>
        <w:t>0.56</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100</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上年无此项支出</w:t>
      </w:r>
      <w:r>
        <w:rPr>
          <w:rFonts w:hint="eastAsia" w:ascii="仿宋_GB2312" w:hAnsi="TimesNewRoman" w:eastAsia="仿宋_GB2312" w:cs="TimesNewRoman"/>
          <w:sz w:val="32"/>
          <w:szCs w:val="32"/>
          <w:highlight w:val="none"/>
        </w:rPr>
        <w:t>。</w:t>
      </w:r>
    </w:p>
    <w:p w14:paraId="322D3CBB">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3.</w:t>
      </w:r>
      <w:r>
        <w:rPr>
          <w:rFonts w:hint="eastAsia" w:ascii="仿宋_GB2312" w:hAnsi="TimesNewRoman" w:eastAsia="仿宋_GB2312" w:cs="TimesNewRoman"/>
          <w:b/>
          <w:sz w:val="32"/>
          <w:szCs w:val="32"/>
          <w:highlight w:val="none"/>
        </w:rPr>
        <w:t>文化旅游体育与传媒支出（类）文化和旅游（款）其他文化和旅游支出（项）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112.28</w:t>
      </w:r>
      <w:r>
        <w:rPr>
          <w:rFonts w:hint="eastAsia" w:ascii="仿宋_GB2312" w:hAnsi="TimesNewRoman" w:eastAsia="仿宋_GB2312" w:cs="TimesNewRoman"/>
          <w:sz w:val="32"/>
          <w:szCs w:val="32"/>
          <w:highlight w:val="none"/>
        </w:rPr>
        <w:t>万元，比2025年预算增加</w:t>
      </w:r>
      <w:r>
        <w:rPr>
          <w:rFonts w:hint="eastAsia" w:ascii="仿宋_GB2312" w:hAnsi="TimesNewRoman" w:eastAsia="仿宋_GB2312" w:cs="TimesNewRoman"/>
          <w:sz w:val="32"/>
          <w:szCs w:val="32"/>
          <w:highlight w:val="none"/>
          <w:lang w:val="en-US" w:eastAsia="zh-CN"/>
        </w:rPr>
        <w:t>67.64</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151.52</w:t>
      </w:r>
      <w:r>
        <w:rPr>
          <w:rFonts w:hint="eastAsia" w:ascii="仿宋_GB2312" w:hAnsi="TimesNewRoman" w:eastAsia="仿宋_GB2312" w:cs="TimesNewRoman"/>
          <w:sz w:val="32"/>
          <w:szCs w:val="32"/>
          <w:highlight w:val="none"/>
        </w:rPr>
        <w:t>%，增长原因主要</w:t>
      </w:r>
      <w:r>
        <w:rPr>
          <w:rFonts w:hint="eastAsia" w:ascii="仿宋_GB2312" w:hAnsi="TimesNewRoman" w:eastAsia="仿宋_GB2312" w:cs="TimesNewRoman"/>
          <w:sz w:val="32"/>
          <w:szCs w:val="32"/>
          <w:highlight w:val="none"/>
          <w:lang w:eastAsia="zh-CN"/>
        </w:rPr>
        <w:t>：</w:t>
      </w:r>
      <w:r>
        <w:rPr>
          <w:rFonts w:hint="eastAsia" w:ascii="仿宋_GB2312" w:hAnsi="TimesNewRoman" w:eastAsia="仿宋_GB2312" w:cs="TimesNewRoman"/>
          <w:sz w:val="32"/>
          <w:szCs w:val="32"/>
          <w:highlight w:val="none"/>
          <w:lang w:val="en-US" w:eastAsia="zh-CN"/>
        </w:rPr>
        <w:t>一</w:t>
      </w:r>
      <w:r>
        <w:rPr>
          <w:rFonts w:hint="eastAsia" w:ascii="仿宋_GB2312" w:hAnsi="TimesNewRoman" w:eastAsia="仿宋_GB2312" w:cs="TimesNewRoman"/>
          <w:sz w:val="32"/>
          <w:szCs w:val="32"/>
          <w:highlight w:val="none"/>
        </w:rPr>
        <w:t>是</w:t>
      </w:r>
      <w:r>
        <w:rPr>
          <w:rFonts w:hint="eastAsia" w:ascii="仿宋_GB2312" w:hAnsi="TimesNewRoman" w:eastAsia="仿宋_GB2312" w:cs="TimesNewRoman"/>
          <w:sz w:val="32"/>
          <w:szCs w:val="32"/>
          <w:highlight w:val="none"/>
          <w:lang w:val="en-US" w:eastAsia="zh-CN"/>
        </w:rPr>
        <w:t>单位人员变动；二是上年无此项支出</w:t>
      </w:r>
      <w:r>
        <w:rPr>
          <w:rFonts w:hint="eastAsia" w:ascii="仿宋_GB2312" w:hAnsi="TimesNewRoman" w:eastAsia="仿宋_GB2312" w:cs="TimesNewRoman"/>
          <w:sz w:val="32"/>
          <w:szCs w:val="32"/>
          <w:highlight w:val="none"/>
        </w:rPr>
        <w:t>。</w:t>
      </w:r>
    </w:p>
    <w:p w14:paraId="0C8BF484">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4.</w:t>
      </w:r>
      <w:r>
        <w:rPr>
          <w:rFonts w:hint="eastAsia" w:ascii="仿宋_GB2312" w:hAnsi="TimesNewRoman" w:eastAsia="仿宋_GB2312" w:cs="TimesNewRoman"/>
          <w:b/>
          <w:sz w:val="32"/>
          <w:szCs w:val="32"/>
          <w:highlight w:val="none"/>
        </w:rPr>
        <w:t>社会保障和就业支出（类）行政事业单位</w:t>
      </w:r>
      <w:r>
        <w:rPr>
          <w:rFonts w:hint="eastAsia" w:ascii="仿宋_GB2312" w:hAnsi="TimesNewRoman" w:eastAsia="仿宋_GB2312" w:cs="TimesNewRoman"/>
          <w:b/>
          <w:sz w:val="32"/>
          <w:szCs w:val="32"/>
          <w:highlight w:val="none"/>
          <w:lang w:val="en-US" w:eastAsia="zh-CN"/>
        </w:rPr>
        <w:t>养老支出</w:t>
      </w:r>
      <w:r>
        <w:rPr>
          <w:rFonts w:hint="eastAsia" w:ascii="仿宋_GB2312" w:hAnsi="TimesNewRoman" w:eastAsia="仿宋_GB2312" w:cs="TimesNewRoman"/>
          <w:b/>
          <w:sz w:val="32"/>
          <w:szCs w:val="32"/>
          <w:highlight w:val="none"/>
        </w:rPr>
        <w:t>（款）　　机关事业单位基本养老保险缴费支出（项）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9.5</w:t>
      </w:r>
      <w:r>
        <w:rPr>
          <w:rFonts w:hint="eastAsia" w:ascii="仿宋_GB2312" w:hAnsi="TimesNewRoman" w:eastAsia="仿宋_GB2312" w:cs="TimesNewRoman"/>
          <w:sz w:val="32"/>
          <w:szCs w:val="32"/>
          <w:highlight w:val="none"/>
        </w:rPr>
        <w:t>万元，比2025年预算</w:t>
      </w:r>
      <w:r>
        <w:rPr>
          <w:rFonts w:hint="eastAsia" w:ascii="仿宋_GB2312" w:hAnsi="TimesNewRoman" w:eastAsia="仿宋_GB2312" w:cs="TimesNewRoman"/>
          <w:sz w:val="32"/>
          <w:szCs w:val="32"/>
          <w:highlight w:val="none"/>
          <w:lang w:val="en-US" w:eastAsia="zh-CN"/>
        </w:rPr>
        <w:t>增加2.16</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29.43</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单位人员变动</w:t>
      </w:r>
      <w:r>
        <w:rPr>
          <w:rFonts w:hint="eastAsia" w:ascii="仿宋_GB2312" w:hAnsi="TimesNewRoman" w:eastAsia="仿宋_GB2312" w:cs="TimesNewRoman"/>
          <w:sz w:val="32"/>
          <w:szCs w:val="32"/>
          <w:highlight w:val="none"/>
        </w:rPr>
        <w:t>。</w:t>
      </w:r>
    </w:p>
    <w:p w14:paraId="7C1BBF1C">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sz w:val="32"/>
          <w:szCs w:val="32"/>
          <w:highlight w:val="none"/>
          <w:lang w:val="en-US" w:eastAsia="zh-CN"/>
        </w:rPr>
        <w:t>5.</w:t>
      </w:r>
      <w:r>
        <w:rPr>
          <w:rFonts w:hint="eastAsia" w:ascii="仿宋_GB2312" w:hAnsi="TimesNewRoman" w:eastAsia="仿宋_GB2312" w:cs="TimesNewRoman"/>
          <w:b/>
          <w:sz w:val="32"/>
          <w:szCs w:val="32"/>
          <w:highlight w:val="none"/>
        </w:rPr>
        <w:t>社会保障和就业支出（类）行政事业单位</w:t>
      </w:r>
      <w:r>
        <w:rPr>
          <w:rFonts w:hint="eastAsia" w:ascii="仿宋_GB2312" w:hAnsi="TimesNewRoman" w:eastAsia="仿宋_GB2312" w:cs="TimesNewRoman"/>
          <w:b/>
          <w:sz w:val="32"/>
          <w:szCs w:val="32"/>
          <w:highlight w:val="none"/>
          <w:lang w:val="en-US" w:eastAsia="zh-CN"/>
        </w:rPr>
        <w:t>养老支出</w:t>
      </w:r>
      <w:r>
        <w:rPr>
          <w:rFonts w:hint="eastAsia" w:ascii="仿宋_GB2312" w:hAnsi="TimesNewRoman" w:eastAsia="仿宋_GB2312" w:cs="TimesNewRoman"/>
          <w:b/>
          <w:sz w:val="32"/>
          <w:szCs w:val="32"/>
          <w:highlight w:val="none"/>
        </w:rPr>
        <w:t>（款）　　　　机关事业单位职业年金缴费支出（项）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2.12</w:t>
      </w:r>
      <w:r>
        <w:rPr>
          <w:rFonts w:hint="eastAsia" w:ascii="仿宋_GB2312" w:hAnsi="TimesNewRoman" w:eastAsia="仿宋_GB2312" w:cs="TimesNewRoman"/>
          <w:sz w:val="32"/>
          <w:szCs w:val="32"/>
          <w:highlight w:val="none"/>
        </w:rPr>
        <w:t>万元，比2025年预算</w:t>
      </w:r>
      <w:r>
        <w:rPr>
          <w:rFonts w:hint="eastAsia" w:ascii="仿宋_GB2312" w:hAnsi="TimesNewRoman" w:eastAsia="仿宋_GB2312" w:cs="TimesNewRoman"/>
          <w:sz w:val="32"/>
          <w:szCs w:val="32"/>
          <w:highlight w:val="none"/>
          <w:lang w:val="en-US" w:eastAsia="zh-CN"/>
        </w:rPr>
        <w:t>增加0.15</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7.61</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单位人员变动</w:t>
      </w:r>
      <w:r>
        <w:rPr>
          <w:rFonts w:hint="eastAsia" w:ascii="仿宋_GB2312" w:hAnsi="TimesNewRoman" w:eastAsia="仿宋_GB2312" w:cs="TimesNewRoman"/>
          <w:sz w:val="32"/>
          <w:szCs w:val="32"/>
          <w:highlight w:val="none"/>
        </w:rPr>
        <w:t>。</w:t>
      </w:r>
    </w:p>
    <w:p w14:paraId="4323CFBB">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6</w:t>
      </w:r>
      <w:r>
        <w:rPr>
          <w:rFonts w:hint="eastAsia" w:ascii="仿宋_GB2312" w:hAnsi="TimesNewRoman" w:eastAsia="仿宋_GB2312" w:cs="TimesNewRoman"/>
          <w:b/>
          <w:sz w:val="32"/>
          <w:szCs w:val="32"/>
          <w:highlight w:val="none"/>
        </w:rPr>
        <w:t>.社会保障和就业支出（类）其他社会保障和就业支出（款）其他社会保障和就业支出（项）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0.21</w:t>
      </w:r>
      <w:r>
        <w:rPr>
          <w:rFonts w:hint="eastAsia" w:ascii="仿宋_GB2312" w:hAnsi="TimesNewRoman" w:eastAsia="仿宋_GB2312" w:cs="TimesNewRoman"/>
          <w:sz w:val="32"/>
          <w:szCs w:val="32"/>
          <w:highlight w:val="none"/>
        </w:rPr>
        <w:t>万元，比2025年预算增加</w:t>
      </w:r>
      <w:r>
        <w:rPr>
          <w:rFonts w:hint="eastAsia" w:ascii="仿宋_GB2312" w:hAnsi="TimesNewRoman" w:eastAsia="仿宋_GB2312" w:cs="TimesNewRoman"/>
          <w:sz w:val="32"/>
          <w:szCs w:val="32"/>
          <w:highlight w:val="none"/>
          <w:lang w:val="en-US" w:eastAsia="zh-CN"/>
        </w:rPr>
        <w:t>0.06</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40</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单位人员变动</w:t>
      </w:r>
      <w:r>
        <w:rPr>
          <w:rFonts w:hint="eastAsia" w:ascii="仿宋_GB2312" w:hAnsi="TimesNewRoman" w:eastAsia="仿宋_GB2312" w:cs="TimesNewRoman"/>
          <w:sz w:val="32"/>
          <w:szCs w:val="32"/>
          <w:highlight w:val="none"/>
        </w:rPr>
        <w:t>。</w:t>
      </w:r>
    </w:p>
    <w:p w14:paraId="1FD73D52">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7</w:t>
      </w:r>
      <w:r>
        <w:rPr>
          <w:rFonts w:hint="eastAsia" w:ascii="仿宋_GB2312" w:hAnsi="TimesNewRoman" w:eastAsia="仿宋_GB2312" w:cs="TimesNewRoman"/>
          <w:b/>
          <w:sz w:val="32"/>
          <w:szCs w:val="32"/>
          <w:highlight w:val="none"/>
        </w:rPr>
        <w:t>.卫生健康支出（类）行政事业单位医疗（款）</w:t>
      </w:r>
      <w:r>
        <w:rPr>
          <w:rFonts w:hint="eastAsia" w:ascii="仿宋_GB2312" w:hAnsi="TimesNewRoman" w:eastAsia="仿宋_GB2312" w:cs="TimesNewRoman"/>
          <w:b/>
          <w:sz w:val="32"/>
          <w:szCs w:val="32"/>
          <w:highlight w:val="none"/>
          <w:lang w:val="en-US" w:eastAsia="zh-CN"/>
        </w:rPr>
        <w:t>行政</w:t>
      </w:r>
      <w:r>
        <w:rPr>
          <w:rFonts w:hint="eastAsia" w:ascii="仿宋_GB2312" w:hAnsi="TimesNewRoman" w:eastAsia="仿宋_GB2312" w:cs="TimesNewRoman"/>
          <w:b/>
          <w:sz w:val="32"/>
          <w:szCs w:val="32"/>
          <w:highlight w:val="none"/>
        </w:rPr>
        <w:t>单位医疗（项）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1.37</w:t>
      </w:r>
      <w:r>
        <w:rPr>
          <w:rFonts w:hint="eastAsia" w:ascii="仿宋_GB2312" w:hAnsi="TimesNewRoman" w:eastAsia="仿宋_GB2312" w:cs="TimesNewRoman"/>
          <w:sz w:val="32"/>
          <w:szCs w:val="32"/>
          <w:highlight w:val="none"/>
        </w:rPr>
        <w:t>万元，比2025年预算</w:t>
      </w:r>
      <w:r>
        <w:rPr>
          <w:rFonts w:hint="eastAsia" w:ascii="仿宋_GB2312" w:hAnsi="TimesNewRoman" w:eastAsia="仿宋_GB2312" w:cs="TimesNewRoman"/>
          <w:sz w:val="32"/>
          <w:szCs w:val="32"/>
          <w:highlight w:val="none"/>
          <w:lang w:val="en-US" w:eastAsia="zh-CN"/>
        </w:rPr>
        <w:t>增加0.13</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10.48</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单位人员变动</w:t>
      </w:r>
      <w:r>
        <w:rPr>
          <w:rFonts w:hint="eastAsia" w:ascii="仿宋_GB2312" w:hAnsi="TimesNewRoman" w:eastAsia="仿宋_GB2312" w:cs="TimesNewRoman"/>
          <w:sz w:val="32"/>
          <w:szCs w:val="32"/>
          <w:highlight w:val="none"/>
        </w:rPr>
        <w:t>。</w:t>
      </w:r>
    </w:p>
    <w:p w14:paraId="28ED0D8B">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8</w:t>
      </w:r>
      <w:r>
        <w:rPr>
          <w:rFonts w:hint="eastAsia" w:ascii="仿宋_GB2312" w:hAnsi="TimesNewRoman" w:eastAsia="仿宋_GB2312" w:cs="TimesNewRoman"/>
          <w:b/>
          <w:sz w:val="32"/>
          <w:szCs w:val="32"/>
          <w:highlight w:val="none"/>
        </w:rPr>
        <w:t>.卫生健康支出（类）行政事业单位医疗（款））</w:t>
      </w:r>
      <w:r>
        <w:rPr>
          <w:rFonts w:hint="eastAsia" w:ascii="仿宋_GB2312" w:hAnsi="TimesNewRoman" w:eastAsia="仿宋_GB2312" w:cs="TimesNewRoman"/>
          <w:b/>
          <w:sz w:val="32"/>
          <w:szCs w:val="32"/>
          <w:highlight w:val="none"/>
          <w:lang w:val="en-US" w:eastAsia="zh-CN"/>
        </w:rPr>
        <w:t>事业</w:t>
      </w:r>
      <w:r>
        <w:rPr>
          <w:rFonts w:hint="eastAsia" w:ascii="仿宋_GB2312" w:hAnsi="TimesNewRoman" w:eastAsia="仿宋_GB2312" w:cs="TimesNewRoman"/>
          <w:b/>
          <w:sz w:val="32"/>
          <w:szCs w:val="32"/>
          <w:highlight w:val="none"/>
        </w:rPr>
        <w:t>单位医疗（项）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1.71</w:t>
      </w:r>
      <w:r>
        <w:rPr>
          <w:rFonts w:hint="eastAsia" w:ascii="仿宋_GB2312" w:hAnsi="TimesNewRoman" w:eastAsia="仿宋_GB2312" w:cs="TimesNewRoman"/>
          <w:sz w:val="32"/>
          <w:szCs w:val="32"/>
          <w:highlight w:val="none"/>
        </w:rPr>
        <w:t>万元，比2025年预算</w:t>
      </w:r>
      <w:r>
        <w:rPr>
          <w:rFonts w:hint="eastAsia" w:ascii="仿宋_GB2312" w:hAnsi="TimesNewRoman" w:eastAsia="仿宋_GB2312" w:cs="TimesNewRoman"/>
          <w:sz w:val="32"/>
          <w:szCs w:val="32"/>
          <w:highlight w:val="none"/>
          <w:lang w:val="en-US" w:eastAsia="zh-CN"/>
        </w:rPr>
        <w:t>增加0.62</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56.88</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单位人员变动</w:t>
      </w:r>
      <w:r>
        <w:rPr>
          <w:rFonts w:hint="eastAsia" w:ascii="仿宋_GB2312" w:hAnsi="TimesNewRoman" w:eastAsia="仿宋_GB2312" w:cs="TimesNewRoman"/>
          <w:sz w:val="32"/>
          <w:szCs w:val="32"/>
          <w:highlight w:val="none"/>
        </w:rPr>
        <w:t>。</w:t>
      </w:r>
    </w:p>
    <w:p w14:paraId="01F8C1FC">
      <w:pPr>
        <w:topLinePunct/>
        <w:adjustRightInd w:val="0"/>
        <w:snapToGrid w:val="0"/>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b/>
          <w:sz w:val="32"/>
          <w:szCs w:val="32"/>
          <w:highlight w:val="none"/>
          <w:lang w:val="en-US" w:eastAsia="zh-CN"/>
        </w:rPr>
        <w:t>9</w:t>
      </w:r>
      <w:r>
        <w:rPr>
          <w:rFonts w:hint="eastAsia" w:ascii="仿宋_GB2312" w:hAnsi="TimesNewRoman" w:eastAsia="仿宋_GB2312" w:cs="TimesNewRoman"/>
          <w:b/>
          <w:sz w:val="32"/>
          <w:szCs w:val="32"/>
          <w:highlight w:val="none"/>
        </w:rPr>
        <w:t>.住房保障支出（类）住房改革支出（款）住房公积金（项）</w:t>
      </w:r>
      <w:r>
        <w:rPr>
          <w:rFonts w:hint="eastAsia" w:ascii="仿宋_GB2312" w:hAnsi="TimesNewRoman" w:eastAsia="仿宋_GB2312" w:cs="TimesNewRoman"/>
          <w:sz w:val="32"/>
          <w:szCs w:val="32"/>
          <w:highlight w:val="none"/>
        </w:rPr>
        <w:t>2026年预算</w:t>
      </w:r>
      <w:r>
        <w:rPr>
          <w:rFonts w:hint="eastAsia" w:ascii="仿宋_GB2312" w:hAnsi="TimesNewRoman" w:eastAsia="仿宋_GB2312" w:cs="TimesNewRoman"/>
          <w:sz w:val="32"/>
          <w:szCs w:val="32"/>
          <w:highlight w:val="none"/>
          <w:lang w:val="en-US" w:eastAsia="zh-CN"/>
        </w:rPr>
        <w:t>7.48</w:t>
      </w:r>
      <w:r>
        <w:rPr>
          <w:rFonts w:hint="eastAsia" w:ascii="仿宋_GB2312" w:hAnsi="TimesNewRoman" w:eastAsia="仿宋_GB2312" w:cs="TimesNewRoman"/>
          <w:sz w:val="32"/>
          <w:szCs w:val="32"/>
          <w:highlight w:val="none"/>
        </w:rPr>
        <w:t>万元，比2025年预算增加</w:t>
      </w:r>
      <w:r>
        <w:rPr>
          <w:rFonts w:hint="eastAsia" w:ascii="仿宋_GB2312" w:hAnsi="TimesNewRoman" w:eastAsia="仿宋_GB2312" w:cs="TimesNewRoman"/>
          <w:sz w:val="32"/>
          <w:szCs w:val="32"/>
          <w:highlight w:val="none"/>
          <w:lang w:val="en-US" w:eastAsia="zh-CN"/>
        </w:rPr>
        <w:t>1.98</w:t>
      </w:r>
      <w:r>
        <w:rPr>
          <w:rFonts w:hint="eastAsia" w:ascii="仿宋_GB2312" w:hAnsi="TimesNewRoman" w:eastAsia="仿宋_GB2312" w:cs="TimesNewRoman"/>
          <w:sz w:val="32"/>
          <w:szCs w:val="32"/>
          <w:highlight w:val="none"/>
        </w:rPr>
        <w:t>万元，增长</w:t>
      </w:r>
      <w:r>
        <w:rPr>
          <w:rFonts w:hint="eastAsia" w:ascii="仿宋_GB2312" w:hAnsi="TimesNewRoman" w:eastAsia="仿宋_GB2312" w:cs="TimesNewRoman"/>
          <w:sz w:val="32"/>
          <w:szCs w:val="32"/>
          <w:highlight w:val="none"/>
          <w:lang w:val="en-US" w:eastAsia="zh-CN"/>
        </w:rPr>
        <w:t>36</w:t>
      </w:r>
      <w:r>
        <w:rPr>
          <w:rFonts w:hint="eastAsia" w:ascii="仿宋_GB2312" w:hAnsi="TimesNewRoman" w:eastAsia="仿宋_GB2312" w:cs="TimesNewRoman"/>
          <w:sz w:val="32"/>
          <w:szCs w:val="32"/>
          <w:highlight w:val="none"/>
        </w:rPr>
        <w:t>%，增长原因主要是</w:t>
      </w:r>
      <w:r>
        <w:rPr>
          <w:rFonts w:hint="eastAsia" w:ascii="仿宋_GB2312" w:hAnsi="TimesNewRoman" w:eastAsia="仿宋_GB2312" w:cs="TimesNewRoman"/>
          <w:sz w:val="32"/>
          <w:szCs w:val="32"/>
          <w:highlight w:val="none"/>
          <w:lang w:val="en-US" w:eastAsia="zh-CN"/>
        </w:rPr>
        <w:t>单位人员变动</w:t>
      </w:r>
      <w:r>
        <w:rPr>
          <w:rFonts w:hint="eastAsia" w:ascii="仿宋_GB2312" w:hAnsi="TimesNewRoman" w:eastAsia="仿宋_GB2312" w:cs="TimesNewRoman"/>
          <w:sz w:val="32"/>
          <w:szCs w:val="32"/>
          <w:highlight w:val="none"/>
        </w:rPr>
        <w:t>。</w:t>
      </w:r>
    </w:p>
    <w:p w14:paraId="78059468">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highlight w:val="none"/>
        </w:rPr>
      </w:pPr>
      <w:r>
        <w:rPr>
          <w:rFonts w:hint="eastAsia" w:ascii="楷体_GB2312" w:hAnsi="TimesNewRoman" w:eastAsia="楷体_GB2312" w:cs="TimesNewRoman"/>
          <w:b/>
          <w:sz w:val="32"/>
          <w:szCs w:val="32"/>
          <w:highlight w:val="none"/>
        </w:rPr>
        <w:t>六、关于2026年一般公共预算基本支出表的说明</w:t>
      </w:r>
    </w:p>
    <w:p w14:paraId="0B39B2FC">
      <w:pPr>
        <w:topLinePunct/>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sz w:val="32"/>
          <w:szCs w:val="32"/>
          <w:highlight w:val="none"/>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highlight w:val="none"/>
        </w:rPr>
        <w:t>2026年一般公共预算基本支出</w:t>
      </w:r>
      <w:r>
        <w:rPr>
          <w:rFonts w:hint="eastAsia" w:ascii="仿宋_GB2312" w:hAnsi="TimesNewRoman" w:eastAsia="仿宋_GB2312" w:cs="TimesNewRoman"/>
          <w:sz w:val="32"/>
          <w:szCs w:val="32"/>
          <w:highlight w:val="none"/>
          <w:lang w:val="en-US" w:eastAsia="zh-CN"/>
        </w:rPr>
        <w:t>97.1</w:t>
      </w:r>
      <w:r>
        <w:rPr>
          <w:rFonts w:hint="eastAsia" w:ascii="仿宋_GB2312" w:hAnsi="TimesNewRoman" w:eastAsia="仿宋_GB2312" w:cs="TimesNewRoman"/>
          <w:sz w:val="32"/>
          <w:szCs w:val="32"/>
          <w:highlight w:val="none"/>
        </w:rPr>
        <w:t>万元，其中，人员经费</w:t>
      </w:r>
      <w:r>
        <w:rPr>
          <w:rFonts w:hint="eastAsia" w:ascii="仿宋_GB2312" w:hAnsi="TimesNewRoman" w:eastAsia="仿宋_GB2312" w:cs="TimesNewRoman"/>
          <w:sz w:val="32"/>
          <w:szCs w:val="32"/>
          <w:highlight w:val="none"/>
          <w:lang w:val="en-US" w:eastAsia="zh-CN"/>
        </w:rPr>
        <w:t>87.95</w:t>
      </w:r>
      <w:r>
        <w:rPr>
          <w:rFonts w:hint="eastAsia" w:ascii="仿宋_GB2312" w:hAnsi="TimesNewRoman" w:eastAsia="仿宋_GB2312" w:cs="TimesNewRoman"/>
          <w:sz w:val="32"/>
          <w:szCs w:val="32"/>
          <w:highlight w:val="none"/>
        </w:rPr>
        <w:t>万元，公用经费</w:t>
      </w:r>
      <w:r>
        <w:rPr>
          <w:rFonts w:hint="eastAsia" w:ascii="仿宋_GB2312" w:hAnsi="TimesNewRoman" w:eastAsia="仿宋_GB2312" w:cs="TimesNewRoman"/>
          <w:sz w:val="32"/>
          <w:szCs w:val="32"/>
          <w:highlight w:val="none"/>
          <w:lang w:val="en-US" w:eastAsia="zh-CN"/>
        </w:rPr>
        <w:t>9.16</w:t>
      </w:r>
      <w:r>
        <w:rPr>
          <w:rFonts w:hint="eastAsia" w:ascii="仿宋_GB2312" w:hAnsi="TimesNewRoman" w:eastAsia="仿宋_GB2312" w:cs="TimesNewRoman"/>
          <w:sz w:val="32"/>
          <w:szCs w:val="32"/>
          <w:highlight w:val="none"/>
        </w:rPr>
        <w:t>万元。</w:t>
      </w:r>
    </w:p>
    <w:p w14:paraId="262F7482">
      <w:pPr>
        <w:numPr>
          <w:ilvl w:val="0"/>
          <w:numId w:val="2"/>
        </w:numPr>
        <w:topLinePunct/>
        <w:spacing w:line="580" w:lineRule="exact"/>
        <w:ind w:firstLine="640" w:firstLineChars="200"/>
        <w:rPr>
          <w:rFonts w:hint="eastAsia" w:ascii="仿宋_GB2312" w:hAnsi="TimesNewRoman" w:eastAsia="仿宋_GB2312" w:cs="TimesNewRoman"/>
          <w:sz w:val="32"/>
          <w:szCs w:val="32"/>
          <w:highlight w:val="none"/>
          <w:u w:val="none"/>
          <w:lang w:eastAsia="zh-CN"/>
        </w:rPr>
      </w:pPr>
      <w:r>
        <w:rPr>
          <w:rFonts w:hint="eastAsia" w:ascii="仿宋_GB2312" w:hAnsi="TimesNewRoman" w:eastAsia="仿宋_GB2312" w:cs="TimesNewRoman"/>
          <w:sz w:val="32"/>
          <w:szCs w:val="32"/>
          <w:highlight w:val="none"/>
        </w:rPr>
        <w:t>人</w:t>
      </w:r>
      <w:r>
        <w:rPr>
          <w:rFonts w:hint="eastAsia" w:ascii="仿宋_GB2312" w:hAnsi="TimesNewRoman" w:eastAsia="仿宋_GB2312" w:cs="TimesNewRoman"/>
          <w:sz w:val="32"/>
          <w:szCs w:val="32"/>
          <w:highlight w:val="none"/>
          <w:u w:val="none"/>
        </w:rPr>
        <w:t>员经费</w:t>
      </w:r>
      <w:r>
        <w:rPr>
          <w:rFonts w:hint="eastAsia" w:ascii="仿宋_GB2312" w:hAnsi="TimesNewRoman" w:eastAsia="仿宋_GB2312" w:cs="TimesNewRoman"/>
          <w:sz w:val="32"/>
          <w:szCs w:val="32"/>
          <w:highlight w:val="none"/>
          <w:u w:val="none"/>
          <w:lang w:val="en-US" w:eastAsia="zh-CN"/>
        </w:rPr>
        <w:t>87.95</w:t>
      </w:r>
      <w:r>
        <w:rPr>
          <w:rFonts w:hint="eastAsia" w:ascii="仿宋_GB2312" w:hAnsi="TimesNewRoman" w:eastAsia="仿宋_GB2312" w:cs="TimesNewRoman"/>
          <w:sz w:val="32"/>
          <w:szCs w:val="32"/>
          <w:highlight w:val="none"/>
          <w:u w:val="none"/>
        </w:rPr>
        <w:t>万元，主要包括:基本工资、津贴补贴、奖金、机关事业单位基本养老保险</w:t>
      </w:r>
      <w:r>
        <w:rPr>
          <w:rFonts w:hint="eastAsia" w:ascii="仿宋_GB2312" w:hAnsi="TimesNewRoman" w:eastAsia="仿宋_GB2312" w:cs="TimesNewRoman"/>
          <w:sz w:val="32"/>
          <w:szCs w:val="32"/>
          <w:highlight w:val="none"/>
          <w:u w:val="none"/>
          <w:lang w:eastAsia="zh-CN"/>
        </w:rPr>
        <w:t>缴</w:t>
      </w:r>
      <w:r>
        <w:rPr>
          <w:rFonts w:hint="eastAsia" w:ascii="仿宋_GB2312" w:hAnsi="TimesNewRoman" w:eastAsia="仿宋_GB2312" w:cs="TimesNewRoman"/>
          <w:sz w:val="32"/>
          <w:szCs w:val="32"/>
          <w:highlight w:val="none"/>
          <w:u w:val="none"/>
        </w:rPr>
        <w:t>费、职业年金缴费、职工基本医疗保险缴费、公务员医疗补助缴费、其他社会保障缴费、住房公积金</w:t>
      </w:r>
      <w:r>
        <w:rPr>
          <w:rFonts w:hint="eastAsia" w:ascii="仿宋_GB2312" w:hAnsi="TimesNewRoman" w:eastAsia="仿宋_GB2312" w:cs="TimesNewRoman"/>
          <w:sz w:val="32"/>
          <w:szCs w:val="32"/>
          <w:highlight w:val="none"/>
          <w:u w:val="none"/>
          <w:lang w:eastAsia="zh-CN"/>
        </w:rPr>
        <w:t>。</w:t>
      </w:r>
    </w:p>
    <w:p w14:paraId="6E82C7DF">
      <w:pPr>
        <w:numPr>
          <w:ilvl w:val="0"/>
          <w:numId w:val="0"/>
        </w:numPr>
        <w:topLinePunct/>
        <w:spacing w:line="580" w:lineRule="exact"/>
        <w:ind w:firstLine="640" w:firstLineChars="200"/>
        <w:rPr>
          <w:rFonts w:hint="eastAsia" w:ascii="仿宋_GB2312" w:hAnsi="TimesNewRoman" w:eastAsia="仿宋_GB2312" w:cs="TimesNewRoman"/>
          <w:sz w:val="32"/>
          <w:szCs w:val="32"/>
          <w:highlight w:val="none"/>
        </w:rPr>
      </w:pPr>
      <w:r>
        <w:rPr>
          <w:rFonts w:hint="eastAsia" w:ascii="仿宋_GB2312" w:hAnsi="TimesNewRoman" w:eastAsia="仿宋_GB2312" w:cs="TimesNewRoman"/>
          <w:sz w:val="32"/>
          <w:szCs w:val="32"/>
          <w:highlight w:val="none"/>
        </w:rPr>
        <w:t>（二）公用经费</w:t>
      </w:r>
      <w:r>
        <w:rPr>
          <w:rFonts w:hint="eastAsia" w:ascii="仿宋_GB2312" w:hAnsi="TimesNewRoman" w:eastAsia="仿宋_GB2312" w:cs="TimesNewRoman"/>
          <w:sz w:val="32"/>
          <w:szCs w:val="32"/>
          <w:highlight w:val="none"/>
          <w:lang w:val="en-US" w:eastAsia="zh-CN"/>
        </w:rPr>
        <w:t>9.16</w:t>
      </w:r>
      <w:r>
        <w:rPr>
          <w:rFonts w:hint="eastAsia" w:ascii="仿宋_GB2312" w:hAnsi="TimesNewRoman" w:eastAsia="仿宋_GB2312" w:cs="TimesNewRoman"/>
          <w:sz w:val="32"/>
          <w:szCs w:val="32"/>
          <w:highlight w:val="none"/>
        </w:rPr>
        <w:t>万元，主要包括：办公费、差旅费、会议费、工会经费、其他交通费用、其他商品服务支出。</w:t>
      </w:r>
    </w:p>
    <w:p w14:paraId="1C6B91CB">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七、关于2026年政府性基金预算支出表的说明</w:t>
      </w:r>
    </w:p>
    <w:p w14:paraId="2B7EBC6C">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【如本部门（单位）无政府性基金支出说明如下】</w:t>
      </w:r>
    </w:p>
    <w:p w14:paraId="551E34DC">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寿县XX（部门、单位名称）2026年没有政府性基金预算拨款收入，也没有使用政府性基金预算拨款安排的支出。</w:t>
      </w:r>
    </w:p>
    <w:p w14:paraId="5703E818">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【如本部门（单位）有政府性基金支出说明如下】</w:t>
      </w:r>
    </w:p>
    <w:p w14:paraId="3A8875B2">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寿县XX（部门、单位名称）2026年政府性基金支出*.*万元，比2025年预算增加（减少）*.*万元，增长（下降）*.*%，主要原因：一是……；二是……。具体情况如下：</w:t>
      </w:r>
    </w:p>
    <w:p w14:paraId="69ADCEB4">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（一）文化旅游体育与传媒支出（类）国家电影事业发展专项资金安排的支出（款）资助国产影片放映（项）</w:t>
      </w:r>
      <w:r>
        <w:rPr>
          <w:rFonts w:hint="eastAsia" w:ascii="仿宋_GB2312" w:hAnsi="TimesNewRoman" w:eastAsia="仿宋_GB2312" w:cs="TimesNewRoman"/>
          <w:sz w:val="32"/>
          <w:szCs w:val="32"/>
        </w:rPr>
        <w:t>2026年预算*.*万元，比2025年预算增加（减少）*.*万元，增长（下降）*.*%，增长（下降）原因主要是……。</w:t>
      </w:r>
    </w:p>
    <w:p w14:paraId="4C4E587B">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（二）文化旅游体育与传媒支出（类）国家电影事业发展专项资金安排的支出（款）资助影院建设（项）</w:t>
      </w:r>
      <w:r>
        <w:rPr>
          <w:rFonts w:hint="eastAsia" w:ascii="仿宋_GB2312" w:hAnsi="TimesNewRoman" w:eastAsia="仿宋_GB2312" w:cs="TimesNewRoman"/>
          <w:sz w:val="32"/>
          <w:szCs w:val="32"/>
        </w:rPr>
        <w:t>2026年预算*.*万元，比2025年预算增加（减少）*.*万元，增长（下降）*.*%，增长（下降）原因主要是……。</w:t>
      </w:r>
    </w:p>
    <w:p w14:paraId="56502540">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w:t>
      </w:r>
    </w:p>
    <w:p w14:paraId="3C2028F2">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八、关于2026年国有资本经营预算支出表的说明</w:t>
      </w:r>
    </w:p>
    <w:p w14:paraId="0161F3A8">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bCs/>
          <w:sz w:val="32"/>
          <w:szCs w:val="32"/>
          <w:lang w:val="en-US" w:eastAsia="zh-CN"/>
        </w:rPr>
        <w:t>没有国有资本</w:t>
      </w:r>
      <w:r>
        <w:rPr>
          <w:rFonts w:hint="eastAsia" w:ascii="仿宋_GB2312" w:hAnsi="TimesNewRoman" w:eastAsia="仿宋_GB2312" w:cs="TimesNewRoman"/>
          <w:sz w:val="32"/>
          <w:szCs w:val="32"/>
        </w:rPr>
        <w:t>。</w:t>
      </w:r>
    </w:p>
    <w:p w14:paraId="658F30BD">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九、关于2026年项目支出表的说明</w:t>
      </w:r>
    </w:p>
    <w:p w14:paraId="13B7D17E">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highlight w:val="none"/>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2026年预算共安排项目支出</w:t>
      </w:r>
      <w:r>
        <w:rPr>
          <w:rFonts w:hint="eastAsia" w:ascii="仿宋_GB2312" w:hAnsi="TimesNewRoman" w:eastAsia="仿宋_GB2312" w:cs="TimesNewRoman"/>
          <w:sz w:val="32"/>
          <w:szCs w:val="32"/>
          <w:lang w:val="en-US" w:eastAsia="zh-CN"/>
        </w:rPr>
        <w:t>66.7</w:t>
      </w:r>
      <w:r>
        <w:rPr>
          <w:rFonts w:hint="eastAsia" w:ascii="仿宋_GB2312" w:hAnsi="TimesNewRoman" w:eastAsia="仿宋_GB2312" w:cs="TimesNewRoman"/>
          <w:sz w:val="32"/>
          <w:szCs w:val="32"/>
        </w:rPr>
        <w:t>万元，比2025年预算增加</w:t>
      </w:r>
      <w:r>
        <w:rPr>
          <w:rFonts w:hint="eastAsia" w:ascii="仿宋_GB2312" w:hAnsi="TimesNewRoman" w:eastAsia="仿宋_GB2312" w:cs="TimesNewRoman"/>
          <w:sz w:val="32"/>
          <w:szCs w:val="32"/>
          <w:lang w:val="en-US" w:eastAsia="zh-CN"/>
        </w:rPr>
        <w:t>21.7</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48.22</w:t>
      </w:r>
      <w:r>
        <w:rPr>
          <w:rFonts w:hint="eastAsia" w:ascii="仿宋_GB2312" w:hAnsi="TimesNewRoman" w:eastAsia="仿宋_GB2312" w:cs="TimesNewRoman"/>
          <w:sz w:val="32"/>
          <w:szCs w:val="32"/>
        </w:rPr>
        <w:t>%，增长原因</w:t>
      </w:r>
      <w:r>
        <w:rPr>
          <w:rFonts w:hint="eastAsia" w:ascii="仿宋_GB2312" w:hAnsi="TimesNewRoman" w:eastAsia="仿宋_GB2312" w:cs="TimesNewRoman"/>
          <w:sz w:val="32"/>
          <w:szCs w:val="32"/>
          <w:lang w:val="en-US" w:eastAsia="zh-CN"/>
        </w:rPr>
        <w:t>主</w:t>
      </w:r>
      <w:r>
        <w:rPr>
          <w:rFonts w:hint="eastAsia" w:ascii="仿宋_GB2312" w:hAnsi="TimesNewRoman" w:eastAsia="仿宋_GB2312" w:cs="TimesNewRoman"/>
          <w:sz w:val="32"/>
          <w:szCs w:val="32"/>
        </w:rPr>
        <w:t>要是</w:t>
      </w:r>
      <w:r>
        <w:rPr>
          <w:rFonts w:hint="eastAsia" w:ascii="仿宋_GB2312" w:hAnsi="TimesNewRoman" w:eastAsia="仿宋_GB2312" w:cs="TimesNewRoman"/>
          <w:sz w:val="32"/>
          <w:szCs w:val="32"/>
          <w:lang w:val="en-US" w:eastAsia="zh-CN"/>
        </w:rPr>
        <w:t>增加文化强县系列活动项目</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36</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36</w:t>
      </w:r>
      <w:r>
        <w:rPr>
          <w:rFonts w:hint="eastAsia" w:ascii="仿宋_GB2312" w:hAnsi="TimesNewRoman" w:eastAsia="仿宋_GB2312" w:cs="TimesNewRoman"/>
          <w:sz w:val="32"/>
          <w:szCs w:val="32"/>
        </w:rPr>
        <w:t>万元），财政拨款上年结转安排</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30.7</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w:t>
      </w:r>
    </w:p>
    <w:p w14:paraId="35D75B34">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十、关于2026年政府采购支出表的说明</w:t>
      </w:r>
    </w:p>
    <w:p w14:paraId="33F6EC89">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2026年预算安排政府采购支出</w:t>
      </w:r>
      <w:r>
        <w:rPr>
          <w:rFonts w:hint="eastAsia" w:ascii="仿宋_GB2312" w:hAnsi="TimesNewRoman" w:eastAsia="仿宋_GB2312" w:cs="TimesNewRoman"/>
          <w:sz w:val="32"/>
          <w:szCs w:val="32"/>
          <w:lang w:val="en-US" w:eastAsia="zh-CN"/>
        </w:rPr>
        <w:t>1.5</w:t>
      </w:r>
      <w:r>
        <w:rPr>
          <w:rFonts w:hint="eastAsia" w:ascii="仿宋_GB2312" w:hAnsi="TimesNewRoman" w:eastAsia="仿宋_GB2312" w:cs="TimesNewRoman"/>
          <w:sz w:val="32"/>
          <w:szCs w:val="32"/>
        </w:rPr>
        <w:t>万元，比2025年预算减少</w:t>
      </w:r>
      <w:r>
        <w:rPr>
          <w:rFonts w:hint="eastAsia" w:ascii="仿宋_GB2312" w:hAnsi="TimesNewRoman" w:eastAsia="仿宋_GB2312" w:cs="TimesNewRoman"/>
          <w:sz w:val="32"/>
          <w:szCs w:val="32"/>
          <w:lang w:val="en-US" w:eastAsia="zh-CN"/>
        </w:rPr>
        <w:t>0.5</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25</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较上年需采购物资减少</w:t>
      </w:r>
      <w:r>
        <w:rPr>
          <w:rFonts w:hint="eastAsia" w:ascii="仿宋_GB2312" w:hAnsi="TimesNewRoman" w:eastAsia="仿宋_GB2312" w:cs="TimesNewRoman"/>
          <w:sz w:val="32"/>
          <w:szCs w:val="32"/>
        </w:rPr>
        <w:t>。其中，一般公共预算安排</w:t>
      </w:r>
      <w:r>
        <w:rPr>
          <w:rFonts w:hint="eastAsia" w:ascii="仿宋_GB2312" w:hAnsi="TimesNewRoman" w:eastAsia="仿宋_GB2312" w:cs="TimesNewRoman"/>
          <w:sz w:val="32"/>
          <w:szCs w:val="32"/>
          <w:lang w:val="en-US" w:eastAsia="zh-CN"/>
        </w:rPr>
        <w:t>1.5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w:t>
      </w:r>
    </w:p>
    <w:p w14:paraId="5D970147">
      <w:pPr>
        <w:pStyle w:val="15"/>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十一、关于2026年政府购买服务支出表的说明</w:t>
      </w:r>
    </w:p>
    <w:p w14:paraId="079340B3">
      <w:pPr>
        <w:pStyle w:val="15"/>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2026年没有安排政府购买服务支出。</w:t>
      </w:r>
    </w:p>
    <w:p w14:paraId="23662E8B">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十二、关于2026</w:t>
      </w:r>
      <w:r>
        <w:rPr>
          <w:rFonts w:ascii="楷体_GB2312" w:hAnsi="TimesNewRoman" w:eastAsia="楷体_GB2312" w:cs="TimesNewRoman"/>
          <w:b/>
          <w:sz w:val="32"/>
          <w:szCs w:val="32"/>
        </w:rPr>
        <w:t>年一般公共预算“三公”经费支出情况说明</w:t>
      </w:r>
    </w:p>
    <w:p w14:paraId="6647DDC2">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kern w:val="0"/>
          <w:sz w:val="32"/>
          <w:szCs w:val="32"/>
        </w:rPr>
        <w:t>2026</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1.5</w:t>
      </w:r>
      <w:r>
        <w:rPr>
          <w:rFonts w:ascii="仿宋_GB2312" w:hAnsi="TimesNewRoman" w:eastAsia="仿宋_GB2312" w:cs="TimesNewRoman"/>
          <w:kern w:val="0"/>
          <w:sz w:val="32"/>
          <w:szCs w:val="32"/>
        </w:rPr>
        <w:t>万元，比</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年预算减少</w:t>
      </w:r>
      <w:r>
        <w:rPr>
          <w:rFonts w:hint="eastAsia" w:ascii="仿宋_GB2312" w:hAnsi="TimesNewRoman" w:eastAsia="仿宋_GB2312" w:cs="TimesNewRoman"/>
          <w:kern w:val="0"/>
          <w:sz w:val="32"/>
          <w:szCs w:val="32"/>
          <w:lang w:val="en-US" w:eastAsia="zh-CN"/>
        </w:rPr>
        <w:t>4.4</w:t>
      </w:r>
      <w:r>
        <w:rPr>
          <w:rFonts w:ascii="仿宋_GB2312" w:hAnsi="TimesNewRoman" w:eastAsia="仿宋_GB2312" w:cs="TimesNewRoman"/>
          <w:kern w:val="0"/>
          <w:sz w:val="32"/>
          <w:szCs w:val="32"/>
        </w:rPr>
        <w:t>万元，下降</w:t>
      </w:r>
      <w:r>
        <w:rPr>
          <w:rFonts w:hint="eastAsia" w:ascii="仿宋_GB2312" w:hAnsi="TimesNewRoman" w:eastAsia="仿宋_GB2312" w:cs="TimesNewRoman"/>
          <w:kern w:val="0"/>
          <w:sz w:val="32"/>
          <w:szCs w:val="32"/>
          <w:lang w:val="en-US" w:eastAsia="zh-CN"/>
        </w:rPr>
        <w:t>74.57</w:t>
      </w:r>
      <w:r>
        <w:rPr>
          <w:rFonts w:ascii="仿宋_GB2312" w:hAnsi="TimesNewRoman" w:eastAsia="仿宋_GB2312" w:cs="TimesNewRoman"/>
          <w:kern w:val="0"/>
          <w:sz w:val="32"/>
          <w:szCs w:val="32"/>
        </w:rPr>
        <w:t>%。其中：因公出国（境）费支出预算为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1</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万元。具体情况如下：</w:t>
      </w:r>
    </w:p>
    <w:p w14:paraId="7A830414">
      <w:pPr>
        <w:pStyle w:val="15"/>
        <w:numPr>
          <w:ilvl w:val="0"/>
          <w:numId w:val="3"/>
        </w:numPr>
        <w:adjustRightInd w:val="0"/>
        <w:snapToGrid w:val="0"/>
        <w:spacing w:beforeAutospacing="0" w:afterAutospacing="0" w:line="560" w:lineRule="exact"/>
        <w:ind w:firstLine="640" w:firstLineChars="200"/>
        <w:rPr>
          <w:rFonts w:ascii="仿宋_GB2312" w:hAnsi="TimesNewRoman" w:eastAsia="仿宋_GB2312" w:cs="TimesNewRoman"/>
          <w:sz w:val="32"/>
          <w:szCs w:val="32"/>
        </w:rPr>
      </w:pPr>
      <w:r>
        <w:rPr>
          <w:rFonts w:ascii="仿宋_GB2312" w:hAnsi="TimesNewRoman" w:eastAsia="仿宋_GB2312" w:cs="TimesNewRoman"/>
          <w:sz w:val="32"/>
          <w:szCs w:val="32"/>
        </w:rPr>
        <w:t>因公出国（境）费支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lang w:val="en-US" w:eastAsia="zh-CN"/>
        </w:rPr>
        <w:t>0</w:t>
      </w:r>
      <w:r>
        <w:rPr>
          <w:rFonts w:ascii="TimesNewRoman" w:hAnsi="TimesNewRoman" w:eastAsia="仿宋_GB2312" w:cs="TimesNewRoman"/>
          <w:sz w:val="32"/>
          <w:szCs w:val="32"/>
        </w:rPr>
        <w:t>万元</w:t>
      </w:r>
      <w:r>
        <w:rPr>
          <w:rFonts w:ascii="仿宋_GB2312" w:hAnsi="TimesNewRoman" w:eastAsia="仿宋_GB2312" w:cs="TimesNewRoman"/>
          <w:sz w:val="32"/>
          <w:szCs w:val="32"/>
        </w:rPr>
        <w:t>。</w:t>
      </w:r>
    </w:p>
    <w:p w14:paraId="3A5A3F52">
      <w:pPr>
        <w:pStyle w:val="15"/>
        <w:numPr>
          <w:ilvl w:val="0"/>
          <w:numId w:val="0"/>
        </w:numPr>
        <w:adjustRightInd w:val="0"/>
        <w:snapToGrid w:val="0"/>
        <w:spacing w:beforeAutospacing="0" w:afterAutospacing="0" w:line="560" w:lineRule="exact"/>
        <w:ind w:firstLine="640" w:firstLineChars="200"/>
        <w:rPr>
          <w:rFonts w:hint="eastAsia" w:ascii="仿宋_GB2312" w:hAnsi="TimesNewRoman" w:eastAsia="仿宋_GB2312" w:cs="TimesNewRoman"/>
          <w:sz w:val="32"/>
          <w:szCs w:val="32"/>
        </w:rPr>
      </w:pPr>
      <w:r>
        <w:rPr>
          <w:rFonts w:ascii="仿宋_GB2312" w:hAnsi="TimesNewRoman" w:eastAsia="仿宋_GB2312" w:cs="TimesNewRoman"/>
          <w:sz w:val="32"/>
          <w:szCs w:val="32"/>
        </w:rPr>
        <w:t>（二）公务用车购置及运行费支出预算</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w:t>
      </w:r>
      <w:r>
        <w:rPr>
          <w:rFonts w:hint="eastAsia" w:ascii="仿宋_GB2312" w:hAnsi="TimesNewRoman" w:eastAsia="仿宋_GB2312" w:cs="TimesNewRoman"/>
          <w:sz w:val="32"/>
          <w:szCs w:val="32"/>
        </w:rPr>
        <w:t>。</w:t>
      </w:r>
    </w:p>
    <w:p w14:paraId="0D26238C">
      <w:pPr>
        <w:pStyle w:val="15"/>
        <w:spacing w:beforeAutospacing="0" w:afterAutospacing="0" w:line="56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（三）公务接待费支出预算</w:t>
      </w:r>
      <w:r>
        <w:rPr>
          <w:rFonts w:hint="eastAsia" w:ascii="仿宋_GB2312" w:hAnsi="TimesNewRoman" w:eastAsia="仿宋_GB2312" w:cs="TimesNewRoman"/>
          <w:sz w:val="32"/>
          <w:szCs w:val="32"/>
          <w:lang w:val="en-US" w:eastAsia="zh-CN"/>
        </w:rPr>
        <w:t>1.5</w:t>
      </w:r>
      <w:r>
        <w:rPr>
          <w:rFonts w:hint="eastAsia" w:ascii="仿宋_GB2312" w:hAnsi="TimesNewRoman" w:eastAsia="仿宋_GB2312" w:cs="TimesNewRoman"/>
          <w:sz w:val="32"/>
          <w:szCs w:val="32"/>
        </w:rPr>
        <w:t>万元，比2025年预算减少</w:t>
      </w:r>
      <w:r>
        <w:rPr>
          <w:rFonts w:hint="eastAsia" w:ascii="仿宋_GB2312" w:hAnsi="TimesNewRoman" w:eastAsia="仿宋_GB2312" w:cs="TimesNewRoman"/>
          <w:sz w:val="32"/>
          <w:szCs w:val="32"/>
          <w:lang w:val="en-US" w:eastAsia="zh-CN"/>
        </w:rPr>
        <w:t>4.4</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74.58</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根据单位实际使用情况核减</w:t>
      </w:r>
      <w:r>
        <w:rPr>
          <w:rFonts w:hint="eastAsia" w:ascii="仿宋_GB2312" w:hAnsi="TimesNewRoman" w:eastAsia="仿宋_GB2312" w:cs="TimesNewRoman"/>
          <w:sz w:val="32"/>
          <w:szCs w:val="32"/>
        </w:rPr>
        <w:t>。该项经费主要用于</w:t>
      </w:r>
      <w:r>
        <w:rPr>
          <w:rFonts w:hint="eastAsia" w:ascii="仿宋_GB2312" w:hAnsi="TimesNewRoman" w:eastAsia="仿宋_GB2312" w:cs="TimesNewRoman"/>
          <w:sz w:val="32"/>
          <w:szCs w:val="32"/>
          <w:lang w:val="en-US" w:eastAsia="zh-CN"/>
        </w:rPr>
        <w:t>公务接待</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38736181">
      <w:pPr>
        <w:pStyle w:val="15"/>
        <w:topLinePunct/>
        <w:adjustRightInd w:val="0"/>
        <w:snapToGrid w:val="0"/>
        <w:spacing w:beforeAutospacing="0" w:afterAutospacing="0" w:line="560" w:lineRule="exact"/>
        <w:ind w:firstLine="640"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0FB02667">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3950EFD3">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1.“文学艺术工作经费”项目。</w:t>
      </w:r>
    </w:p>
    <w:p w14:paraId="58FB6A0F">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（1）项目概述。为贯彻执行党的文艺路线、方针、政策、团结和组织广大文艺家和文艺爱好者，繁荣和发展社会主义文艺事业，为建设现代化五大发展美好寿县做出贡献。</w:t>
      </w:r>
    </w:p>
    <w:p w14:paraId="33F332F4">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val="en-US" w:eastAsia="zh-CN"/>
        </w:rPr>
        <w:t>保障单位正常运转</w:t>
      </w:r>
    </w:p>
    <w:p w14:paraId="02D670FB">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（3）实施主体。寿县</w:t>
      </w:r>
      <w:r>
        <w:rPr>
          <w:rFonts w:hint="eastAsia" w:ascii="仿宋_GB2312" w:hAnsi="TimesNewRoman" w:eastAsia="仿宋_GB2312" w:cs="TimesNewRoman"/>
          <w:bCs/>
          <w:sz w:val="32"/>
          <w:szCs w:val="32"/>
        </w:rPr>
        <w:t>文学艺术界联合会</w:t>
      </w:r>
    </w:p>
    <w:p w14:paraId="36F2C820">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2026年1月1日-12月31日</w:t>
      </w:r>
    </w:p>
    <w:p w14:paraId="175DCF7B">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val="en-US" w:eastAsia="zh-CN"/>
        </w:rPr>
        <w:t>保障单位工作正常运转</w:t>
      </w:r>
    </w:p>
    <w:p w14:paraId="604FFE77">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2026年全年36万元</w:t>
      </w:r>
    </w:p>
    <w:p w14:paraId="21B89012">
      <w:pPr>
        <w:topLinePunct/>
        <w:adjustRightInd w:val="0"/>
        <w:snapToGrid w:val="0"/>
        <w:spacing w:line="560" w:lineRule="exact"/>
        <w:ind w:firstLine="640" w:firstLineChars="200"/>
        <w:rPr>
          <w:rFonts w:hint="eastAsia" w:ascii="仿宋_GB2312" w:hAnsi="楷体" w:eastAsia="仿宋_GB2312"/>
          <w:sz w:val="32"/>
          <w:szCs w:val="32"/>
        </w:rPr>
      </w:pPr>
      <w:r>
        <w:rPr>
          <w:rFonts w:hint="eastAsia" w:ascii="仿宋_GB2312" w:hAnsi="TimesNewRoman" w:eastAsia="仿宋_GB2312" w:cs="TimesNewRoman"/>
          <w:sz w:val="32"/>
          <w:szCs w:val="32"/>
        </w:rPr>
        <w:t>（7）绩效目标。为贯彻执行党的文艺路线、方针、政策、团结和组织广大文艺家和文艺爱好者，繁荣和发展社会主义文艺事业，为建设现代化五大发展美好寿县做出贡献。</w:t>
      </w:r>
    </w:p>
    <w:p w14:paraId="3F98A2BF">
      <w:pPr>
        <w:topLinePunct/>
        <w:adjustRightInd w:val="0"/>
        <w:snapToGrid w:val="0"/>
        <w:spacing w:line="560" w:lineRule="exact"/>
        <w:rPr>
          <w:rFonts w:hint="eastAsia" w:ascii="仿宋_GB2312" w:hAnsi="楷体" w:eastAsia="仿宋_GB2312"/>
          <w:sz w:val="32"/>
          <w:szCs w:val="32"/>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4CCE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0579945E">
            <w:pPr>
              <w:widowControl/>
              <w:jc w:val="center"/>
              <w:textAlignment w:val="center"/>
              <w:rPr>
                <w:rFonts w:hint="eastAsia" w:ascii="方正小标宋_GBK" w:eastAsia="方正小标宋_GBK" w:cs="宋体"/>
                <w:bCs/>
                <w:szCs w:val="32"/>
              </w:rPr>
            </w:pPr>
            <w:r>
              <w:rPr>
                <w:rFonts w:hint="eastAsia" w:ascii="方正小标宋_GBK" w:hAnsi="宋体" w:eastAsia="方正小标宋_GBK" w:cs="宋体"/>
                <w:color w:val="000000"/>
                <w:kern w:val="0"/>
                <w:sz w:val="28"/>
                <w:szCs w:val="28"/>
                <w:lang w:bidi="ar"/>
              </w:rPr>
              <w:t>项目支出绩效目标表</w:t>
            </w:r>
          </w:p>
        </w:tc>
      </w:tr>
      <w:tr w14:paraId="2B4A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16290905">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（2026年度）                                </w:t>
            </w:r>
          </w:p>
        </w:tc>
      </w:tr>
      <w:tr w14:paraId="022D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497088C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577E80D8">
            <w:pPr>
              <w:spacing w:line="260" w:lineRule="exact"/>
              <w:jc w:val="center"/>
              <w:rPr>
                <w:rFonts w:ascii="宋体" w:cs="宋体"/>
                <w:sz w:val="18"/>
                <w:szCs w:val="18"/>
              </w:rPr>
            </w:pPr>
            <w:r>
              <w:rPr>
                <w:rFonts w:hint="eastAsia" w:ascii="宋体" w:cs="宋体"/>
                <w:sz w:val="18"/>
                <w:szCs w:val="18"/>
                <w:lang w:val="en-US" w:eastAsia="zh-CN"/>
              </w:rPr>
              <w:t>文学艺术工作经费</w:t>
            </w:r>
          </w:p>
        </w:tc>
      </w:tr>
      <w:tr w14:paraId="7EF2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74E505C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589CA800">
            <w:pPr>
              <w:spacing w:line="260" w:lineRule="exact"/>
              <w:jc w:val="center"/>
              <w:rPr>
                <w:rFonts w:ascii="宋体" w:cs="宋体"/>
                <w:sz w:val="18"/>
                <w:szCs w:val="18"/>
              </w:rPr>
            </w:pPr>
            <w:r>
              <w:rPr>
                <w:rFonts w:hint="eastAsia" w:ascii="宋体" w:cs="宋体"/>
                <w:sz w:val="18"/>
                <w:szCs w:val="18"/>
              </w:rPr>
              <w:t>寿县文学艺术界联合会</w:t>
            </w:r>
          </w:p>
        </w:tc>
        <w:tc>
          <w:tcPr>
            <w:tcW w:w="1848" w:type="dxa"/>
            <w:noWrap w:val="0"/>
            <w:vAlign w:val="center"/>
          </w:tcPr>
          <w:p w14:paraId="784DD787">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34AC6210">
            <w:pPr>
              <w:spacing w:line="260" w:lineRule="exact"/>
              <w:jc w:val="center"/>
              <w:rPr>
                <w:sz w:val="18"/>
                <w:szCs w:val="18"/>
              </w:rPr>
            </w:pPr>
            <w:r>
              <w:rPr>
                <w:rFonts w:hint="eastAsia"/>
                <w:sz w:val="18"/>
                <w:szCs w:val="18"/>
              </w:rPr>
              <w:t>寿县文学艺术界联合会</w:t>
            </w:r>
          </w:p>
        </w:tc>
      </w:tr>
      <w:tr w14:paraId="2768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0B8E3AF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3B50AB04">
            <w:pPr>
              <w:spacing w:line="260" w:lineRule="exact"/>
              <w:jc w:val="center"/>
              <w:rPr>
                <w:rFonts w:ascii="宋体" w:cs="宋体"/>
                <w:sz w:val="18"/>
                <w:szCs w:val="18"/>
              </w:rPr>
            </w:pPr>
            <w:r>
              <w:rPr>
                <w:rFonts w:hint="eastAsia" w:ascii="宋体" w:cs="宋体"/>
                <w:sz w:val="18"/>
                <w:szCs w:val="18"/>
                <w:lang w:val="en-US" w:eastAsia="zh-CN"/>
              </w:rPr>
              <w:t>财政拨款</w:t>
            </w:r>
          </w:p>
        </w:tc>
        <w:tc>
          <w:tcPr>
            <w:tcW w:w="1848" w:type="dxa"/>
            <w:noWrap w:val="0"/>
            <w:vAlign w:val="center"/>
          </w:tcPr>
          <w:p w14:paraId="759A7C5D">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16BB7DFD">
            <w:pPr>
              <w:spacing w:line="260" w:lineRule="exact"/>
              <w:jc w:val="center"/>
              <w:rPr>
                <w:sz w:val="18"/>
                <w:szCs w:val="18"/>
              </w:rPr>
            </w:pPr>
            <w:r>
              <w:rPr>
                <w:rFonts w:hint="eastAsia"/>
                <w:sz w:val="18"/>
                <w:szCs w:val="18"/>
                <w:lang w:val="en-US" w:eastAsia="zh-CN"/>
              </w:rPr>
              <w:t>2026年</w:t>
            </w:r>
          </w:p>
        </w:tc>
      </w:tr>
      <w:tr w14:paraId="15B3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5CE5C63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289AA096">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 xml:space="preserve"> 年度资金总额：</w:t>
            </w:r>
            <w:r>
              <w:rPr>
                <w:rFonts w:hint="eastAsia" w:ascii="宋体" w:hAnsi="宋体" w:cs="宋体"/>
                <w:color w:val="000000"/>
                <w:kern w:val="0"/>
                <w:sz w:val="18"/>
                <w:szCs w:val="18"/>
                <w:lang w:val="en-US" w:eastAsia="zh-CN" w:bidi="ar"/>
              </w:rPr>
              <w:t>36万</w:t>
            </w:r>
          </w:p>
        </w:tc>
        <w:tc>
          <w:tcPr>
            <w:tcW w:w="4228" w:type="dxa"/>
            <w:gridSpan w:val="2"/>
            <w:noWrap w:val="0"/>
            <w:vAlign w:val="center"/>
          </w:tcPr>
          <w:p w14:paraId="259EC6CA">
            <w:pPr>
              <w:spacing w:line="260" w:lineRule="exact"/>
              <w:jc w:val="right"/>
              <w:rPr>
                <w:rFonts w:ascii="宋体" w:cs="宋体"/>
                <w:sz w:val="18"/>
                <w:szCs w:val="18"/>
              </w:rPr>
            </w:pPr>
          </w:p>
        </w:tc>
      </w:tr>
      <w:tr w14:paraId="2DD3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0C171BE4">
            <w:pPr>
              <w:spacing w:line="260" w:lineRule="exact"/>
              <w:jc w:val="center"/>
              <w:rPr>
                <w:rFonts w:ascii="宋体" w:cs="宋体"/>
                <w:sz w:val="18"/>
                <w:szCs w:val="18"/>
              </w:rPr>
            </w:pPr>
          </w:p>
        </w:tc>
        <w:tc>
          <w:tcPr>
            <w:tcW w:w="3349" w:type="dxa"/>
            <w:gridSpan w:val="2"/>
            <w:noWrap w:val="0"/>
            <w:vAlign w:val="center"/>
          </w:tcPr>
          <w:p w14:paraId="46356326">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29C3B1C5">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36万元</w:t>
            </w:r>
          </w:p>
        </w:tc>
      </w:tr>
      <w:tr w14:paraId="0920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29956FC6">
            <w:pPr>
              <w:spacing w:line="260" w:lineRule="exact"/>
              <w:jc w:val="center"/>
              <w:rPr>
                <w:rFonts w:ascii="宋体" w:cs="宋体"/>
                <w:sz w:val="18"/>
                <w:szCs w:val="18"/>
              </w:rPr>
            </w:pPr>
          </w:p>
        </w:tc>
        <w:tc>
          <w:tcPr>
            <w:tcW w:w="3349" w:type="dxa"/>
            <w:gridSpan w:val="2"/>
            <w:noWrap w:val="0"/>
            <w:vAlign w:val="center"/>
          </w:tcPr>
          <w:p w14:paraId="6193CF5D">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5ED3B29D">
            <w:pPr>
              <w:spacing w:line="260" w:lineRule="exact"/>
              <w:jc w:val="center"/>
              <w:rPr>
                <w:rFonts w:ascii="宋体" w:cs="宋体"/>
                <w:sz w:val="18"/>
                <w:szCs w:val="18"/>
              </w:rPr>
            </w:pPr>
          </w:p>
        </w:tc>
      </w:tr>
      <w:tr w14:paraId="2960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4B9A924E">
            <w:pPr>
              <w:spacing w:line="260" w:lineRule="exact"/>
              <w:jc w:val="center"/>
              <w:rPr>
                <w:rFonts w:ascii="宋体" w:cs="宋体"/>
                <w:sz w:val="18"/>
                <w:szCs w:val="18"/>
              </w:rPr>
            </w:pPr>
          </w:p>
        </w:tc>
        <w:tc>
          <w:tcPr>
            <w:tcW w:w="3349" w:type="dxa"/>
            <w:gridSpan w:val="2"/>
            <w:noWrap w:val="0"/>
            <w:vAlign w:val="center"/>
          </w:tcPr>
          <w:p w14:paraId="7B005CBC">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32BC0AE0">
            <w:pPr>
              <w:spacing w:line="260" w:lineRule="exact"/>
              <w:jc w:val="right"/>
              <w:rPr>
                <w:rFonts w:ascii="宋体" w:cs="宋体"/>
                <w:sz w:val="18"/>
                <w:szCs w:val="18"/>
              </w:rPr>
            </w:pPr>
          </w:p>
        </w:tc>
      </w:tr>
      <w:tr w14:paraId="3066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2AB0F3B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54613A75">
            <w:pPr>
              <w:numPr>
                <w:ilvl w:val="0"/>
                <w:numId w:val="4"/>
              </w:numPr>
              <w:spacing w:line="260" w:lineRule="exact"/>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为贯彻执行党的文艺路线、方针、政策、团结和组织广大文艺家和文艺爱好者，繁荣和发展社会主义文艺事业，为建设现代化五大发展美好寿县做出贡献。</w:t>
            </w:r>
          </w:p>
          <w:p w14:paraId="4104EEB7">
            <w:pPr>
              <w:numPr>
                <w:ilvl w:val="0"/>
                <w:numId w:val="4"/>
              </w:numPr>
              <w:spacing w:line="260" w:lineRule="exact"/>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保障寿县文学艺术院（寿州循理书院）2026年文学艺术工作正常开展</w:t>
            </w:r>
            <w:r>
              <w:rPr>
                <w:rFonts w:hint="eastAsia" w:ascii="宋体" w:hAnsi="宋体" w:cs="宋体"/>
                <w:i w:val="0"/>
                <w:iCs w:val="0"/>
                <w:color w:val="000000"/>
                <w:kern w:val="0"/>
                <w:sz w:val="20"/>
                <w:szCs w:val="20"/>
                <w:u w:val="none"/>
                <w:lang w:val="en-US" w:eastAsia="zh-CN" w:bidi="ar"/>
              </w:rPr>
              <w:t>。</w:t>
            </w:r>
          </w:p>
        </w:tc>
      </w:tr>
      <w:tr w14:paraId="77CB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202A3A9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7C06AA5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3AE99AD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2C945E1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07E4C62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258C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23B643B">
            <w:pPr>
              <w:spacing w:line="260" w:lineRule="exact"/>
              <w:jc w:val="center"/>
              <w:rPr>
                <w:rFonts w:ascii="宋体" w:cs="宋体"/>
                <w:sz w:val="18"/>
                <w:szCs w:val="18"/>
              </w:rPr>
            </w:pPr>
          </w:p>
        </w:tc>
        <w:tc>
          <w:tcPr>
            <w:tcW w:w="723" w:type="dxa"/>
            <w:vMerge w:val="restart"/>
            <w:noWrap w:val="0"/>
            <w:vAlign w:val="center"/>
          </w:tcPr>
          <w:p w14:paraId="08286D9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7EDABB1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2008141D">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保障人员</w:t>
            </w:r>
          </w:p>
        </w:tc>
        <w:tc>
          <w:tcPr>
            <w:tcW w:w="4228" w:type="dxa"/>
            <w:gridSpan w:val="2"/>
            <w:noWrap w:val="0"/>
            <w:vAlign w:val="center"/>
          </w:tcPr>
          <w:p w14:paraId="46BAC563">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8人</w:t>
            </w:r>
          </w:p>
        </w:tc>
      </w:tr>
      <w:tr w14:paraId="524F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8F93328">
            <w:pPr>
              <w:spacing w:line="260" w:lineRule="exact"/>
              <w:jc w:val="center"/>
              <w:rPr>
                <w:rFonts w:ascii="宋体" w:cs="宋体"/>
                <w:sz w:val="18"/>
                <w:szCs w:val="18"/>
              </w:rPr>
            </w:pPr>
          </w:p>
        </w:tc>
        <w:tc>
          <w:tcPr>
            <w:tcW w:w="723" w:type="dxa"/>
            <w:vMerge w:val="continue"/>
            <w:noWrap w:val="0"/>
            <w:vAlign w:val="center"/>
          </w:tcPr>
          <w:p w14:paraId="7E15BC74">
            <w:pPr>
              <w:spacing w:line="260" w:lineRule="exact"/>
              <w:jc w:val="center"/>
              <w:rPr>
                <w:rFonts w:ascii="宋体" w:cs="宋体"/>
                <w:sz w:val="18"/>
                <w:szCs w:val="18"/>
              </w:rPr>
            </w:pPr>
          </w:p>
        </w:tc>
        <w:tc>
          <w:tcPr>
            <w:tcW w:w="759" w:type="dxa"/>
            <w:gridSpan w:val="2"/>
            <w:vMerge w:val="continue"/>
            <w:noWrap w:val="0"/>
            <w:vAlign w:val="center"/>
          </w:tcPr>
          <w:p w14:paraId="0CE337EE">
            <w:pPr>
              <w:spacing w:line="260" w:lineRule="exact"/>
              <w:jc w:val="center"/>
              <w:rPr>
                <w:rFonts w:ascii="宋体" w:cs="宋体"/>
                <w:sz w:val="18"/>
                <w:szCs w:val="18"/>
              </w:rPr>
            </w:pPr>
          </w:p>
        </w:tc>
        <w:tc>
          <w:tcPr>
            <w:tcW w:w="2872" w:type="dxa"/>
            <w:noWrap w:val="0"/>
            <w:vAlign w:val="center"/>
          </w:tcPr>
          <w:p w14:paraId="6E75B66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eastAsia="宋体" w:cs="宋体"/>
                <w:color w:val="000000"/>
                <w:kern w:val="0"/>
                <w:sz w:val="18"/>
                <w:szCs w:val="18"/>
                <w:lang w:val="en-US" w:eastAsia="zh-CN" w:bidi="ar"/>
              </w:rPr>
              <w:t>保障年限</w:t>
            </w:r>
          </w:p>
        </w:tc>
        <w:tc>
          <w:tcPr>
            <w:tcW w:w="4228" w:type="dxa"/>
            <w:gridSpan w:val="2"/>
            <w:noWrap w:val="0"/>
            <w:vAlign w:val="center"/>
          </w:tcPr>
          <w:p w14:paraId="3A704DA2">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1人</w:t>
            </w:r>
          </w:p>
        </w:tc>
      </w:tr>
      <w:tr w14:paraId="0E4D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5CB25886">
            <w:pPr>
              <w:spacing w:line="260" w:lineRule="exact"/>
              <w:jc w:val="center"/>
              <w:rPr>
                <w:rFonts w:ascii="宋体" w:cs="宋体"/>
                <w:sz w:val="18"/>
                <w:szCs w:val="18"/>
              </w:rPr>
            </w:pPr>
          </w:p>
        </w:tc>
        <w:tc>
          <w:tcPr>
            <w:tcW w:w="723" w:type="dxa"/>
            <w:vMerge w:val="continue"/>
            <w:noWrap w:val="0"/>
            <w:vAlign w:val="center"/>
          </w:tcPr>
          <w:p w14:paraId="4EDB5B9B">
            <w:pPr>
              <w:spacing w:line="260" w:lineRule="exact"/>
              <w:jc w:val="center"/>
              <w:rPr>
                <w:rFonts w:ascii="宋体" w:cs="宋体"/>
                <w:sz w:val="18"/>
                <w:szCs w:val="18"/>
              </w:rPr>
            </w:pPr>
          </w:p>
        </w:tc>
        <w:tc>
          <w:tcPr>
            <w:tcW w:w="759" w:type="dxa"/>
            <w:gridSpan w:val="2"/>
            <w:vMerge w:val="restart"/>
            <w:noWrap w:val="0"/>
            <w:vAlign w:val="center"/>
          </w:tcPr>
          <w:p w14:paraId="01852C2F">
            <w:pPr>
              <w:spacing w:line="26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质量指标</w:t>
            </w:r>
          </w:p>
          <w:p w14:paraId="21DE2922">
            <w:pPr>
              <w:spacing w:line="260" w:lineRule="exact"/>
              <w:jc w:val="center"/>
              <w:textAlignment w:val="center"/>
              <w:rPr>
                <w:rFonts w:ascii="宋体" w:cs="宋体"/>
                <w:sz w:val="18"/>
                <w:szCs w:val="18"/>
              </w:rPr>
            </w:pPr>
          </w:p>
        </w:tc>
        <w:tc>
          <w:tcPr>
            <w:tcW w:w="2872" w:type="dxa"/>
            <w:noWrap w:val="0"/>
            <w:vAlign w:val="center"/>
          </w:tcPr>
          <w:p w14:paraId="6C8F8ABD">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工作正常开展</w:t>
            </w:r>
          </w:p>
        </w:tc>
        <w:tc>
          <w:tcPr>
            <w:tcW w:w="4228" w:type="dxa"/>
            <w:gridSpan w:val="2"/>
            <w:noWrap w:val="0"/>
            <w:vAlign w:val="center"/>
          </w:tcPr>
          <w:p w14:paraId="277CA773">
            <w:pPr>
              <w:spacing w:line="260" w:lineRule="exact"/>
              <w:jc w:val="center"/>
              <w:rPr>
                <w:rFonts w:ascii="宋体" w:cs="宋体"/>
                <w:sz w:val="18"/>
                <w:szCs w:val="18"/>
              </w:rPr>
            </w:pPr>
            <w:r>
              <w:rPr>
                <w:rFonts w:hint="eastAsia" w:ascii="宋体" w:cs="宋体"/>
                <w:sz w:val="18"/>
                <w:szCs w:val="18"/>
                <w:lang w:val="en-US" w:eastAsia="zh-CN"/>
              </w:rPr>
              <w:t>持续保障</w:t>
            </w:r>
          </w:p>
        </w:tc>
      </w:tr>
      <w:tr w14:paraId="78C4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D5A6AE3">
            <w:pPr>
              <w:spacing w:line="260" w:lineRule="exact"/>
              <w:jc w:val="center"/>
              <w:rPr>
                <w:rFonts w:ascii="宋体" w:cs="宋体"/>
                <w:sz w:val="18"/>
                <w:szCs w:val="18"/>
              </w:rPr>
            </w:pPr>
          </w:p>
        </w:tc>
        <w:tc>
          <w:tcPr>
            <w:tcW w:w="723" w:type="dxa"/>
            <w:vMerge w:val="continue"/>
            <w:noWrap w:val="0"/>
            <w:vAlign w:val="center"/>
          </w:tcPr>
          <w:p w14:paraId="4C57009F">
            <w:pPr>
              <w:spacing w:line="260" w:lineRule="exact"/>
              <w:jc w:val="center"/>
              <w:rPr>
                <w:rFonts w:ascii="宋体" w:cs="宋体"/>
                <w:sz w:val="18"/>
                <w:szCs w:val="18"/>
              </w:rPr>
            </w:pPr>
          </w:p>
        </w:tc>
        <w:tc>
          <w:tcPr>
            <w:tcW w:w="759" w:type="dxa"/>
            <w:gridSpan w:val="2"/>
            <w:vMerge w:val="continue"/>
            <w:noWrap w:val="0"/>
            <w:vAlign w:val="center"/>
          </w:tcPr>
          <w:p w14:paraId="036C9681">
            <w:pPr>
              <w:spacing w:line="260" w:lineRule="exact"/>
              <w:jc w:val="center"/>
              <w:textAlignment w:val="center"/>
              <w:rPr>
                <w:rFonts w:ascii="宋体" w:cs="宋体"/>
                <w:sz w:val="18"/>
                <w:szCs w:val="18"/>
              </w:rPr>
            </w:pPr>
          </w:p>
        </w:tc>
        <w:tc>
          <w:tcPr>
            <w:tcW w:w="2872" w:type="dxa"/>
            <w:noWrap w:val="0"/>
            <w:vAlign w:val="center"/>
          </w:tcPr>
          <w:p w14:paraId="4D780A6C">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指标1：经费支出合规性</w:t>
            </w:r>
          </w:p>
        </w:tc>
        <w:tc>
          <w:tcPr>
            <w:tcW w:w="4228" w:type="dxa"/>
            <w:gridSpan w:val="2"/>
            <w:noWrap w:val="0"/>
            <w:vAlign w:val="center"/>
          </w:tcPr>
          <w:p w14:paraId="7BBFFCA4">
            <w:pPr>
              <w:spacing w:line="260" w:lineRule="exact"/>
              <w:jc w:val="center"/>
              <w:rPr>
                <w:rFonts w:ascii="宋体" w:cs="宋体"/>
                <w:sz w:val="18"/>
                <w:szCs w:val="18"/>
              </w:rPr>
            </w:pPr>
            <w:r>
              <w:rPr>
                <w:rFonts w:hint="eastAsia" w:ascii="宋体" w:cs="宋体"/>
                <w:sz w:val="18"/>
                <w:szCs w:val="18"/>
              </w:rPr>
              <w:t>符合规定</w:t>
            </w:r>
          </w:p>
        </w:tc>
      </w:tr>
      <w:tr w14:paraId="69B2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EB27BA8">
            <w:pPr>
              <w:spacing w:line="260" w:lineRule="exact"/>
              <w:jc w:val="center"/>
              <w:rPr>
                <w:rFonts w:ascii="宋体" w:cs="宋体"/>
                <w:sz w:val="18"/>
                <w:szCs w:val="18"/>
              </w:rPr>
            </w:pPr>
          </w:p>
        </w:tc>
        <w:tc>
          <w:tcPr>
            <w:tcW w:w="723" w:type="dxa"/>
            <w:vMerge w:val="continue"/>
            <w:noWrap w:val="0"/>
            <w:vAlign w:val="center"/>
          </w:tcPr>
          <w:p w14:paraId="47BA8333">
            <w:pPr>
              <w:spacing w:line="260" w:lineRule="exact"/>
              <w:jc w:val="center"/>
              <w:rPr>
                <w:rFonts w:ascii="宋体" w:cs="宋体"/>
                <w:sz w:val="18"/>
                <w:szCs w:val="18"/>
              </w:rPr>
            </w:pPr>
          </w:p>
        </w:tc>
        <w:tc>
          <w:tcPr>
            <w:tcW w:w="759" w:type="dxa"/>
            <w:gridSpan w:val="2"/>
            <w:noWrap w:val="0"/>
            <w:vAlign w:val="center"/>
          </w:tcPr>
          <w:p w14:paraId="2CFED64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189F3AA3">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2026年</w:t>
            </w:r>
          </w:p>
        </w:tc>
        <w:tc>
          <w:tcPr>
            <w:tcW w:w="4228" w:type="dxa"/>
            <w:gridSpan w:val="2"/>
            <w:noWrap w:val="0"/>
            <w:vAlign w:val="center"/>
          </w:tcPr>
          <w:p w14:paraId="0DF51C5C">
            <w:pPr>
              <w:spacing w:line="260" w:lineRule="exact"/>
              <w:jc w:val="center"/>
              <w:rPr>
                <w:rFonts w:ascii="宋体" w:cs="宋体"/>
                <w:sz w:val="18"/>
                <w:szCs w:val="18"/>
              </w:rPr>
            </w:pPr>
            <w:r>
              <w:rPr>
                <w:rFonts w:hint="eastAsia" w:ascii="宋体" w:cs="宋体"/>
                <w:sz w:val="18"/>
                <w:szCs w:val="18"/>
              </w:rPr>
              <w:t>≤1年</w:t>
            </w:r>
          </w:p>
        </w:tc>
      </w:tr>
      <w:tr w14:paraId="79E5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5A66DAF">
            <w:pPr>
              <w:spacing w:line="260" w:lineRule="exact"/>
              <w:jc w:val="center"/>
              <w:rPr>
                <w:rFonts w:ascii="宋体" w:cs="宋体"/>
                <w:sz w:val="18"/>
                <w:szCs w:val="18"/>
              </w:rPr>
            </w:pPr>
          </w:p>
        </w:tc>
        <w:tc>
          <w:tcPr>
            <w:tcW w:w="723" w:type="dxa"/>
            <w:vMerge w:val="continue"/>
            <w:noWrap w:val="0"/>
            <w:vAlign w:val="center"/>
          </w:tcPr>
          <w:p w14:paraId="5C6B5EBD">
            <w:pPr>
              <w:spacing w:line="260" w:lineRule="exact"/>
              <w:jc w:val="center"/>
              <w:rPr>
                <w:rFonts w:ascii="宋体" w:cs="宋体"/>
                <w:sz w:val="18"/>
                <w:szCs w:val="18"/>
              </w:rPr>
            </w:pPr>
          </w:p>
        </w:tc>
        <w:tc>
          <w:tcPr>
            <w:tcW w:w="759" w:type="dxa"/>
            <w:gridSpan w:val="2"/>
            <w:vMerge w:val="restart"/>
            <w:noWrap w:val="0"/>
            <w:vAlign w:val="center"/>
          </w:tcPr>
          <w:p w14:paraId="2504468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2E8ED224">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项目总成本</w:t>
            </w:r>
          </w:p>
        </w:tc>
        <w:tc>
          <w:tcPr>
            <w:tcW w:w="4228" w:type="dxa"/>
            <w:gridSpan w:val="2"/>
            <w:noWrap w:val="0"/>
            <w:vAlign w:val="center"/>
          </w:tcPr>
          <w:p w14:paraId="4ED5D2A7">
            <w:pPr>
              <w:spacing w:line="260" w:lineRule="exact"/>
              <w:jc w:val="center"/>
              <w:rPr>
                <w:rFonts w:ascii="宋体" w:cs="宋体"/>
                <w:sz w:val="18"/>
                <w:szCs w:val="18"/>
              </w:rPr>
            </w:pPr>
            <w:r>
              <w:rPr>
                <w:rFonts w:hint="eastAsia" w:ascii="宋体" w:cs="宋体"/>
                <w:sz w:val="18"/>
                <w:szCs w:val="18"/>
                <w:lang w:val="en-US" w:eastAsia="zh-CN"/>
              </w:rPr>
              <w:t>36万</w:t>
            </w:r>
          </w:p>
        </w:tc>
      </w:tr>
      <w:tr w14:paraId="101F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F90D929">
            <w:pPr>
              <w:spacing w:line="260" w:lineRule="exact"/>
              <w:jc w:val="center"/>
              <w:rPr>
                <w:rFonts w:ascii="宋体" w:cs="宋体"/>
                <w:sz w:val="18"/>
                <w:szCs w:val="18"/>
              </w:rPr>
            </w:pPr>
          </w:p>
        </w:tc>
        <w:tc>
          <w:tcPr>
            <w:tcW w:w="723" w:type="dxa"/>
            <w:vMerge w:val="continue"/>
            <w:noWrap w:val="0"/>
            <w:vAlign w:val="center"/>
          </w:tcPr>
          <w:p w14:paraId="1C294D9D">
            <w:pPr>
              <w:spacing w:line="260" w:lineRule="exact"/>
              <w:jc w:val="center"/>
              <w:rPr>
                <w:rFonts w:ascii="宋体" w:cs="宋体"/>
                <w:sz w:val="18"/>
                <w:szCs w:val="18"/>
              </w:rPr>
            </w:pPr>
          </w:p>
        </w:tc>
        <w:tc>
          <w:tcPr>
            <w:tcW w:w="759" w:type="dxa"/>
            <w:gridSpan w:val="2"/>
            <w:vMerge w:val="continue"/>
            <w:noWrap w:val="0"/>
            <w:vAlign w:val="center"/>
          </w:tcPr>
          <w:p w14:paraId="1655268D">
            <w:pPr>
              <w:spacing w:line="260" w:lineRule="exact"/>
              <w:jc w:val="center"/>
              <w:rPr>
                <w:rFonts w:ascii="宋体" w:cs="宋体"/>
                <w:sz w:val="18"/>
                <w:szCs w:val="18"/>
              </w:rPr>
            </w:pPr>
          </w:p>
        </w:tc>
        <w:tc>
          <w:tcPr>
            <w:tcW w:w="2872" w:type="dxa"/>
            <w:noWrap w:val="0"/>
            <w:vAlign w:val="center"/>
          </w:tcPr>
          <w:p w14:paraId="162F983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根据各项工作计划具体控制成本</w:t>
            </w:r>
          </w:p>
        </w:tc>
        <w:tc>
          <w:tcPr>
            <w:tcW w:w="4228" w:type="dxa"/>
            <w:gridSpan w:val="2"/>
            <w:noWrap w:val="0"/>
            <w:vAlign w:val="center"/>
          </w:tcPr>
          <w:p w14:paraId="6851712A">
            <w:pPr>
              <w:spacing w:line="260" w:lineRule="exact"/>
              <w:jc w:val="center"/>
              <w:rPr>
                <w:rFonts w:ascii="宋体" w:cs="宋体"/>
                <w:sz w:val="18"/>
                <w:szCs w:val="18"/>
              </w:rPr>
            </w:pPr>
            <w:r>
              <w:rPr>
                <w:rFonts w:hint="eastAsia" w:ascii="宋体" w:cs="宋体"/>
                <w:sz w:val="18"/>
                <w:szCs w:val="18"/>
                <w:lang w:val="en-US" w:eastAsia="zh-CN"/>
              </w:rPr>
              <w:t>控制在预算内</w:t>
            </w:r>
          </w:p>
        </w:tc>
      </w:tr>
      <w:tr w14:paraId="4B7F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6AA97778">
            <w:pPr>
              <w:spacing w:line="260" w:lineRule="exact"/>
              <w:jc w:val="center"/>
              <w:rPr>
                <w:rFonts w:ascii="宋体" w:cs="宋体"/>
                <w:sz w:val="18"/>
                <w:szCs w:val="18"/>
              </w:rPr>
            </w:pPr>
          </w:p>
        </w:tc>
        <w:tc>
          <w:tcPr>
            <w:tcW w:w="723" w:type="dxa"/>
            <w:vMerge w:val="restart"/>
            <w:noWrap w:val="0"/>
            <w:vAlign w:val="center"/>
          </w:tcPr>
          <w:p w14:paraId="2F3EC92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55C249E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42025DD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经济效益</w:t>
            </w:r>
          </w:p>
        </w:tc>
        <w:tc>
          <w:tcPr>
            <w:tcW w:w="4228" w:type="dxa"/>
            <w:gridSpan w:val="2"/>
            <w:noWrap w:val="0"/>
            <w:vAlign w:val="center"/>
          </w:tcPr>
          <w:p w14:paraId="262E254A">
            <w:pPr>
              <w:spacing w:line="260" w:lineRule="exact"/>
              <w:jc w:val="center"/>
              <w:rPr>
                <w:rFonts w:ascii="宋体" w:cs="宋体"/>
                <w:sz w:val="18"/>
                <w:szCs w:val="18"/>
              </w:rPr>
            </w:pPr>
            <w:r>
              <w:rPr>
                <w:rFonts w:hint="eastAsia" w:ascii="宋体" w:cs="宋体"/>
                <w:sz w:val="18"/>
                <w:szCs w:val="18"/>
                <w:lang w:val="en-US" w:eastAsia="zh-CN"/>
              </w:rPr>
              <w:t>持续向好</w:t>
            </w:r>
          </w:p>
        </w:tc>
      </w:tr>
      <w:tr w14:paraId="3F87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3A74C2E">
            <w:pPr>
              <w:spacing w:line="260" w:lineRule="exact"/>
              <w:jc w:val="center"/>
              <w:rPr>
                <w:rFonts w:ascii="宋体" w:cs="宋体"/>
                <w:sz w:val="18"/>
                <w:szCs w:val="18"/>
              </w:rPr>
            </w:pPr>
          </w:p>
        </w:tc>
        <w:tc>
          <w:tcPr>
            <w:tcW w:w="723" w:type="dxa"/>
            <w:vMerge w:val="continue"/>
            <w:noWrap w:val="0"/>
            <w:vAlign w:val="center"/>
          </w:tcPr>
          <w:p w14:paraId="4E0379F4">
            <w:pPr>
              <w:spacing w:line="260" w:lineRule="exact"/>
              <w:jc w:val="center"/>
              <w:rPr>
                <w:rFonts w:ascii="宋体" w:cs="宋体"/>
                <w:sz w:val="18"/>
                <w:szCs w:val="18"/>
              </w:rPr>
            </w:pPr>
          </w:p>
        </w:tc>
        <w:tc>
          <w:tcPr>
            <w:tcW w:w="759" w:type="dxa"/>
            <w:gridSpan w:val="2"/>
            <w:vMerge w:val="restart"/>
            <w:noWrap w:val="0"/>
            <w:vAlign w:val="center"/>
          </w:tcPr>
          <w:p w14:paraId="28099A9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543D241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开展文学艺术活动，提升全民文学艺术水平</w:t>
            </w:r>
          </w:p>
        </w:tc>
        <w:tc>
          <w:tcPr>
            <w:tcW w:w="4228" w:type="dxa"/>
            <w:gridSpan w:val="2"/>
            <w:noWrap w:val="0"/>
            <w:vAlign w:val="center"/>
          </w:tcPr>
          <w:p w14:paraId="6E2DD634">
            <w:pPr>
              <w:spacing w:line="260" w:lineRule="exact"/>
              <w:jc w:val="center"/>
              <w:rPr>
                <w:rFonts w:ascii="宋体" w:cs="宋体"/>
                <w:sz w:val="18"/>
                <w:szCs w:val="18"/>
              </w:rPr>
            </w:pPr>
            <w:r>
              <w:rPr>
                <w:rFonts w:hint="eastAsia" w:ascii="宋体" w:cs="宋体"/>
                <w:sz w:val="18"/>
                <w:szCs w:val="18"/>
                <w:lang w:val="en-US" w:eastAsia="zh-CN"/>
              </w:rPr>
              <w:t>持续向好</w:t>
            </w:r>
          </w:p>
        </w:tc>
      </w:tr>
      <w:tr w14:paraId="2C21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C0C57B4">
            <w:pPr>
              <w:spacing w:line="260" w:lineRule="exact"/>
              <w:jc w:val="center"/>
              <w:rPr>
                <w:rFonts w:ascii="宋体" w:cs="宋体"/>
                <w:sz w:val="18"/>
                <w:szCs w:val="18"/>
              </w:rPr>
            </w:pPr>
          </w:p>
        </w:tc>
        <w:tc>
          <w:tcPr>
            <w:tcW w:w="723" w:type="dxa"/>
            <w:vMerge w:val="continue"/>
            <w:noWrap w:val="0"/>
            <w:vAlign w:val="center"/>
          </w:tcPr>
          <w:p w14:paraId="4552C6F9">
            <w:pPr>
              <w:spacing w:line="260" w:lineRule="exact"/>
              <w:jc w:val="center"/>
              <w:rPr>
                <w:rFonts w:ascii="宋体" w:cs="宋体"/>
                <w:sz w:val="18"/>
                <w:szCs w:val="18"/>
              </w:rPr>
            </w:pPr>
          </w:p>
        </w:tc>
        <w:tc>
          <w:tcPr>
            <w:tcW w:w="759" w:type="dxa"/>
            <w:gridSpan w:val="2"/>
            <w:vMerge w:val="continue"/>
            <w:noWrap w:val="0"/>
            <w:vAlign w:val="center"/>
          </w:tcPr>
          <w:p w14:paraId="521CAD29">
            <w:pPr>
              <w:spacing w:line="260" w:lineRule="exact"/>
              <w:jc w:val="center"/>
              <w:rPr>
                <w:rFonts w:ascii="宋体" w:cs="宋体"/>
                <w:sz w:val="18"/>
                <w:szCs w:val="18"/>
              </w:rPr>
            </w:pPr>
          </w:p>
        </w:tc>
        <w:tc>
          <w:tcPr>
            <w:tcW w:w="2872" w:type="dxa"/>
            <w:noWrap w:val="0"/>
            <w:vAlign w:val="center"/>
          </w:tcPr>
          <w:p w14:paraId="7B1D12E6">
            <w:pPr>
              <w:spacing w:line="260" w:lineRule="exact"/>
              <w:jc w:val="left"/>
              <w:textAlignment w:val="center"/>
              <w:rPr>
                <w:rFonts w:ascii="宋体" w:cs="宋体"/>
                <w:sz w:val="18"/>
                <w:szCs w:val="18"/>
              </w:rPr>
            </w:pPr>
            <w:r>
              <w:rPr>
                <w:rFonts w:hint="eastAsia" w:ascii="宋体" w:cs="宋体"/>
                <w:sz w:val="18"/>
                <w:szCs w:val="18"/>
                <w:lang w:val="en-US" w:eastAsia="zh-CN"/>
              </w:rPr>
              <w:t>指标1：全民文学艺术作品，活动知晓度。</w:t>
            </w:r>
          </w:p>
        </w:tc>
        <w:tc>
          <w:tcPr>
            <w:tcW w:w="4228" w:type="dxa"/>
            <w:gridSpan w:val="2"/>
            <w:noWrap w:val="0"/>
            <w:vAlign w:val="center"/>
          </w:tcPr>
          <w:p w14:paraId="754D8082">
            <w:pPr>
              <w:spacing w:line="260" w:lineRule="exact"/>
              <w:jc w:val="center"/>
              <w:rPr>
                <w:rFonts w:ascii="宋体" w:cs="宋体"/>
                <w:sz w:val="18"/>
                <w:szCs w:val="18"/>
              </w:rPr>
            </w:pPr>
            <w:r>
              <w:rPr>
                <w:rFonts w:hint="eastAsia" w:ascii="宋体" w:cs="宋体"/>
                <w:sz w:val="18"/>
                <w:szCs w:val="18"/>
                <w:lang w:val="en-US" w:eastAsia="zh-CN"/>
              </w:rPr>
              <w:t>持续向好</w:t>
            </w:r>
          </w:p>
        </w:tc>
      </w:tr>
      <w:tr w14:paraId="128E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59D011F">
            <w:pPr>
              <w:spacing w:line="260" w:lineRule="exact"/>
              <w:jc w:val="center"/>
              <w:rPr>
                <w:rFonts w:ascii="宋体" w:cs="宋体"/>
                <w:sz w:val="18"/>
                <w:szCs w:val="18"/>
              </w:rPr>
            </w:pPr>
          </w:p>
        </w:tc>
        <w:tc>
          <w:tcPr>
            <w:tcW w:w="723" w:type="dxa"/>
            <w:vMerge w:val="continue"/>
            <w:noWrap w:val="0"/>
            <w:vAlign w:val="center"/>
          </w:tcPr>
          <w:p w14:paraId="4A6FEC72">
            <w:pPr>
              <w:spacing w:line="260" w:lineRule="exact"/>
              <w:jc w:val="center"/>
              <w:rPr>
                <w:rFonts w:ascii="宋体" w:cs="宋体"/>
                <w:sz w:val="18"/>
                <w:szCs w:val="18"/>
              </w:rPr>
            </w:pPr>
          </w:p>
        </w:tc>
        <w:tc>
          <w:tcPr>
            <w:tcW w:w="759" w:type="dxa"/>
            <w:gridSpan w:val="2"/>
            <w:vMerge w:val="restart"/>
            <w:noWrap w:val="0"/>
            <w:vAlign w:val="center"/>
          </w:tcPr>
          <w:p w14:paraId="332AB1D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0A9CFBE3">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营造良好文学艺术氛围</w:t>
            </w:r>
          </w:p>
        </w:tc>
        <w:tc>
          <w:tcPr>
            <w:tcW w:w="4228" w:type="dxa"/>
            <w:gridSpan w:val="2"/>
            <w:noWrap w:val="0"/>
            <w:vAlign w:val="center"/>
          </w:tcPr>
          <w:p w14:paraId="433BFB4D">
            <w:pPr>
              <w:spacing w:line="260" w:lineRule="exact"/>
              <w:jc w:val="center"/>
              <w:rPr>
                <w:rFonts w:ascii="宋体" w:cs="宋体"/>
                <w:sz w:val="18"/>
                <w:szCs w:val="18"/>
              </w:rPr>
            </w:pPr>
            <w:r>
              <w:rPr>
                <w:rFonts w:hint="eastAsia" w:ascii="宋体" w:cs="宋体"/>
                <w:sz w:val="18"/>
                <w:szCs w:val="18"/>
                <w:lang w:val="en-US" w:eastAsia="zh-CN"/>
              </w:rPr>
              <w:t>≥80%</w:t>
            </w:r>
          </w:p>
        </w:tc>
      </w:tr>
      <w:tr w14:paraId="2E9C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F5DA679">
            <w:pPr>
              <w:spacing w:line="260" w:lineRule="exact"/>
              <w:jc w:val="center"/>
              <w:rPr>
                <w:rFonts w:ascii="宋体" w:cs="宋体"/>
                <w:sz w:val="18"/>
                <w:szCs w:val="18"/>
              </w:rPr>
            </w:pPr>
          </w:p>
        </w:tc>
        <w:tc>
          <w:tcPr>
            <w:tcW w:w="723" w:type="dxa"/>
            <w:vMerge w:val="continue"/>
            <w:noWrap w:val="0"/>
            <w:vAlign w:val="center"/>
          </w:tcPr>
          <w:p w14:paraId="5BD15843">
            <w:pPr>
              <w:spacing w:line="260" w:lineRule="exact"/>
              <w:jc w:val="center"/>
              <w:rPr>
                <w:rFonts w:ascii="宋体" w:cs="宋体"/>
                <w:sz w:val="18"/>
                <w:szCs w:val="18"/>
              </w:rPr>
            </w:pPr>
          </w:p>
        </w:tc>
        <w:tc>
          <w:tcPr>
            <w:tcW w:w="759" w:type="dxa"/>
            <w:gridSpan w:val="2"/>
            <w:vMerge w:val="continue"/>
            <w:noWrap w:val="0"/>
            <w:vAlign w:val="center"/>
          </w:tcPr>
          <w:p w14:paraId="66ABDA2A">
            <w:pPr>
              <w:spacing w:line="260" w:lineRule="exact"/>
              <w:jc w:val="center"/>
              <w:rPr>
                <w:rFonts w:ascii="宋体" w:cs="宋体"/>
                <w:sz w:val="18"/>
                <w:szCs w:val="18"/>
              </w:rPr>
            </w:pPr>
          </w:p>
        </w:tc>
        <w:tc>
          <w:tcPr>
            <w:tcW w:w="2872" w:type="dxa"/>
            <w:noWrap w:val="0"/>
            <w:vAlign w:val="center"/>
          </w:tcPr>
          <w:p w14:paraId="5CFD1B69">
            <w:pPr>
              <w:spacing w:line="260" w:lineRule="exact"/>
              <w:jc w:val="left"/>
              <w:textAlignment w:val="center"/>
              <w:rPr>
                <w:rFonts w:hint="eastAsia" w:ascii="汉仪中秀体简" w:hAnsi="汉仪中秀体简" w:eastAsia="汉仪中秀体简" w:cs="汉仪中秀体简"/>
                <w:color w:val="000000"/>
                <w:kern w:val="0"/>
                <w:sz w:val="18"/>
                <w:szCs w:val="18"/>
                <w:lang w:bidi="ar"/>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生态效益</w:t>
            </w:r>
          </w:p>
        </w:tc>
        <w:tc>
          <w:tcPr>
            <w:tcW w:w="4228" w:type="dxa"/>
            <w:gridSpan w:val="2"/>
            <w:noWrap w:val="0"/>
            <w:vAlign w:val="center"/>
          </w:tcPr>
          <w:p w14:paraId="7FE39DA2">
            <w:pPr>
              <w:spacing w:line="260" w:lineRule="exact"/>
              <w:jc w:val="center"/>
              <w:rPr>
                <w:rFonts w:ascii="汉仪中秀体简" w:hAnsi="汉仪中秀体简" w:eastAsia="汉仪中秀体简" w:cs="汉仪中秀体简"/>
                <w:color w:val="000000"/>
                <w:kern w:val="0"/>
                <w:sz w:val="18"/>
                <w:szCs w:val="18"/>
                <w:lang w:bidi="ar"/>
              </w:rPr>
            </w:pPr>
            <w:r>
              <w:rPr>
                <w:rFonts w:hint="eastAsia" w:ascii="宋体" w:cs="宋体"/>
                <w:sz w:val="18"/>
                <w:szCs w:val="18"/>
                <w:lang w:val="en-US" w:eastAsia="zh-CN"/>
              </w:rPr>
              <w:t>持续向好</w:t>
            </w:r>
          </w:p>
        </w:tc>
      </w:tr>
      <w:tr w14:paraId="3E73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14:paraId="66B8E077">
            <w:pPr>
              <w:spacing w:line="260" w:lineRule="exact"/>
              <w:jc w:val="center"/>
              <w:rPr>
                <w:rFonts w:ascii="宋体" w:cs="宋体"/>
                <w:sz w:val="18"/>
                <w:szCs w:val="18"/>
              </w:rPr>
            </w:pPr>
          </w:p>
        </w:tc>
        <w:tc>
          <w:tcPr>
            <w:tcW w:w="723" w:type="dxa"/>
            <w:vMerge w:val="continue"/>
            <w:noWrap w:val="0"/>
            <w:vAlign w:val="center"/>
          </w:tcPr>
          <w:p w14:paraId="5CD9C655">
            <w:pPr>
              <w:spacing w:line="260" w:lineRule="exact"/>
              <w:jc w:val="center"/>
              <w:rPr>
                <w:rFonts w:ascii="宋体" w:cs="宋体"/>
                <w:sz w:val="18"/>
                <w:szCs w:val="18"/>
              </w:rPr>
            </w:pPr>
          </w:p>
        </w:tc>
        <w:tc>
          <w:tcPr>
            <w:tcW w:w="759" w:type="dxa"/>
            <w:gridSpan w:val="2"/>
            <w:vMerge w:val="restart"/>
            <w:noWrap w:val="0"/>
            <w:vAlign w:val="center"/>
          </w:tcPr>
          <w:p w14:paraId="0D263D3B">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4DF7A377">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提升全民文学艺术水平</w:t>
            </w:r>
          </w:p>
        </w:tc>
        <w:tc>
          <w:tcPr>
            <w:tcW w:w="4228" w:type="dxa"/>
            <w:gridSpan w:val="2"/>
            <w:noWrap w:val="0"/>
            <w:vAlign w:val="center"/>
          </w:tcPr>
          <w:p w14:paraId="43779238">
            <w:pPr>
              <w:spacing w:line="260" w:lineRule="exact"/>
              <w:jc w:val="center"/>
              <w:rPr>
                <w:rFonts w:ascii="宋体" w:cs="宋体"/>
                <w:sz w:val="18"/>
                <w:szCs w:val="18"/>
              </w:rPr>
            </w:pPr>
            <w:r>
              <w:rPr>
                <w:rFonts w:hint="eastAsia" w:ascii="宋体" w:cs="宋体"/>
                <w:sz w:val="18"/>
                <w:szCs w:val="18"/>
                <w:lang w:val="en-US" w:eastAsia="zh-CN"/>
              </w:rPr>
              <w:t>持续向好</w:t>
            </w:r>
          </w:p>
        </w:tc>
      </w:tr>
      <w:tr w14:paraId="45BB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noWrap w:val="0"/>
            <w:vAlign w:val="center"/>
          </w:tcPr>
          <w:p w14:paraId="705D75D1">
            <w:pPr>
              <w:spacing w:line="260" w:lineRule="exact"/>
              <w:jc w:val="center"/>
              <w:rPr>
                <w:rFonts w:ascii="宋体" w:cs="宋体"/>
                <w:sz w:val="18"/>
                <w:szCs w:val="18"/>
              </w:rPr>
            </w:pPr>
          </w:p>
        </w:tc>
        <w:tc>
          <w:tcPr>
            <w:tcW w:w="723" w:type="dxa"/>
            <w:vMerge w:val="continue"/>
            <w:noWrap w:val="0"/>
            <w:vAlign w:val="center"/>
          </w:tcPr>
          <w:p w14:paraId="0FE4163E">
            <w:pPr>
              <w:spacing w:line="260" w:lineRule="exact"/>
              <w:jc w:val="center"/>
              <w:rPr>
                <w:rFonts w:ascii="宋体" w:cs="宋体"/>
                <w:sz w:val="18"/>
                <w:szCs w:val="18"/>
              </w:rPr>
            </w:pPr>
          </w:p>
        </w:tc>
        <w:tc>
          <w:tcPr>
            <w:tcW w:w="759" w:type="dxa"/>
            <w:gridSpan w:val="2"/>
            <w:vMerge w:val="continue"/>
            <w:noWrap w:val="0"/>
            <w:vAlign w:val="center"/>
          </w:tcPr>
          <w:p w14:paraId="06E1B402">
            <w:pPr>
              <w:spacing w:line="260" w:lineRule="exact"/>
              <w:jc w:val="center"/>
              <w:rPr>
                <w:rFonts w:hint="eastAsia" w:ascii="宋体" w:hAnsi="宋体" w:cs="宋体"/>
                <w:sz w:val="18"/>
                <w:szCs w:val="18"/>
              </w:rPr>
            </w:pPr>
          </w:p>
        </w:tc>
        <w:tc>
          <w:tcPr>
            <w:tcW w:w="2872" w:type="dxa"/>
            <w:noWrap w:val="0"/>
            <w:vAlign w:val="center"/>
          </w:tcPr>
          <w:p w14:paraId="3E6BF69C">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指标1：建立健全文学艺术长效工作机制，巩固开展成效</w:t>
            </w:r>
          </w:p>
        </w:tc>
        <w:tc>
          <w:tcPr>
            <w:tcW w:w="4228" w:type="dxa"/>
            <w:gridSpan w:val="2"/>
            <w:noWrap w:val="0"/>
            <w:vAlign w:val="center"/>
          </w:tcPr>
          <w:p w14:paraId="64822E64">
            <w:pPr>
              <w:spacing w:line="260" w:lineRule="exact"/>
              <w:jc w:val="center"/>
              <w:rPr>
                <w:rFonts w:ascii="宋体" w:cs="宋体"/>
                <w:sz w:val="18"/>
                <w:szCs w:val="18"/>
              </w:rPr>
            </w:pPr>
            <w:r>
              <w:rPr>
                <w:rFonts w:hint="eastAsia" w:ascii="宋体" w:cs="宋体"/>
                <w:sz w:val="18"/>
                <w:szCs w:val="18"/>
                <w:lang w:val="en-US" w:eastAsia="zh-CN"/>
              </w:rPr>
              <w:t>持续向好</w:t>
            </w:r>
          </w:p>
        </w:tc>
      </w:tr>
      <w:tr w14:paraId="40C8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3EE5CB5">
            <w:pPr>
              <w:spacing w:line="260" w:lineRule="exact"/>
              <w:jc w:val="center"/>
              <w:rPr>
                <w:rFonts w:ascii="宋体" w:cs="宋体"/>
                <w:sz w:val="18"/>
                <w:szCs w:val="18"/>
              </w:rPr>
            </w:pPr>
          </w:p>
        </w:tc>
        <w:tc>
          <w:tcPr>
            <w:tcW w:w="723" w:type="dxa"/>
            <w:noWrap w:val="0"/>
            <w:vAlign w:val="center"/>
          </w:tcPr>
          <w:p w14:paraId="4A05C2A1">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30F97DF4">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70C9E93D">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提高全县广大群众满意度</w:t>
            </w:r>
          </w:p>
        </w:tc>
        <w:tc>
          <w:tcPr>
            <w:tcW w:w="4228" w:type="dxa"/>
            <w:gridSpan w:val="2"/>
            <w:noWrap w:val="0"/>
            <w:vAlign w:val="center"/>
          </w:tcPr>
          <w:p w14:paraId="7D56548C">
            <w:pPr>
              <w:spacing w:line="260" w:lineRule="exact"/>
              <w:jc w:val="center"/>
              <w:rPr>
                <w:rFonts w:ascii="宋体" w:cs="宋体"/>
                <w:sz w:val="18"/>
                <w:szCs w:val="18"/>
              </w:rPr>
            </w:pPr>
            <w:r>
              <w:rPr>
                <w:rFonts w:hint="eastAsia" w:ascii="宋体" w:cs="宋体"/>
                <w:sz w:val="18"/>
                <w:szCs w:val="18"/>
                <w:lang w:val="en-US" w:eastAsia="zh-CN"/>
              </w:rPr>
              <w:t>持续向好</w:t>
            </w:r>
          </w:p>
        </w:tc>
      </w:tr>
    </w:tbl>
    <w:p w14:paraId="2DECF769">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2.“</w:t>
      </w:r>
      <w:r>
        <w:rPr>
          <w:rFonts w:hint="eastAsia" w:ascii="仿宋_GB2312" w:hAnsi="TimesNewRoman" w:eastAsia="仿宋_GB2312" w:cs="TimesNewRoman"/>
          <w:b/>
          <w:sz w:val="32"/>
          <w:szCs w:val="32"/>
          <w:lang w:val="en-US" w:eastAsia="zh-CN"/>
        </w:rPr>
        <w:t>文化强县系列活动</w:t>
      </w:r>
      <w:r>
        <w:rPr>
          <w:rFonts w:hint="eastAsia" w:ascii="仿宋_GB2312" w:hAnsi="TimesNewRoman" w:eastAsia="仿宋_GB2312" w:cs="TimesNewRoman"/>
          <w:b/>
          <w:sz w:val="32"/>
          <w:szCs w:val="32"/>
        </w:rPr>
        <w:t>”项目。</w:t>
      </w:r>
    </w:p>
    <w:p w14:paraId="7F0FAC19">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w:t>
      </w:r>
      <w:r>
        <w:rPr>
          <w:rFonts w:hint="eastAsia" w:ascii="仿宋" w:hAnsi="仿宋" w:eastAsia="仿宋"/>
          <w:sz w:val="32"/>
          <w:szCs w:val="32"/>
          <w:lang w:val="en-US" w:eastAsia="zh-CN"/>
        </w:rPr>
        <w:t>为高质量推进文化强县建设，促进文旅深度融合发展，进一步提升寿县知名度和影响力。</w:t>
      </w:r>
    </w:p>
    <w:p w14:paraId="7EE09799">
      <w:pPr>
        <w:topLinePunct/>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（2）立项依据。事业发展常年安排项目</w:t>
      </w:r>
      <w:r>
        <w:rPr>
          <w:rFonts w:hint="eastAsia" w:ascii="仿宋_GB2312" w:hAnsi="TimesNewRoman" w:eastAsia="仿宋_GB2312" w:cs="TimesNewRoman"/>
          <w:sz w:val="32"/>
          <w:szCs w:val="32"/>
          <w:lang w:eastAsia="zh-CN"/>
        </w:rPr>
        <w:t>。</w:t>
      </w:r>
    </w:p>
    <w:p w14:paraId="5EB10469">
      <w:pPr>
        <w:topLinePunct/>
        <w:spacing w:line="560" w:lineRule="exact"/>
        <w:ind w:firstLine="640" w:firstLineChars="200"/>
        <w:rPr>
          <w:rFonts w:hint="eastAsia" w:ascii="仿宋_GB2312" w:hAnsi="TimesNewRoman" w:eastAsia="仿宋_GB2312" w:cs="TimesNewRoman"/>
          <w:sz w:val="32"/>
          <w:szCs w:val="32"/>
          <w:u w:val="single"/>
        </w:rPr>
      </w:pPr>
      <w:r>
        <w:rPr>
          <w:rFonts w:hint="eastAsia" w:ascii="仿宋_GB2312" w:hAnsi="TimesNewRoman" w:eastAsia="仿宋_GB2312" w:cs="TimesNewRoman"/>
          <w:sz w:val="32"/>
          <w:szCs w:val="32"/>
        </w:rPr>
        <w:t>（3）实施主体。寿县文学艺术界联合会</w:t>
      </w:r>
    </w:p>
    <w:p w14:paraId="39FD2C80">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2026年12月31日</w:t>
      </w:r>
    </w:p>
    <w:p w14:paraId="10BAA288">
      <w:pPr>
        <w:topLinePunct/>
        <w:spacing w:line="560" w:lineRule="exact"/>
        <w:ind w:firstLine="640" w:firstLineChars="200"/>
        <w:rPr>
          <w:rFonts w:hint="eastAsia" w:ascii="仿宋_GB2312" w:hAnsi="TimesNewRoman" w:eastAsia="仿宋_GB2312" w:cs="TimesNewRoman"/>
          <w:bCs/>
          <w:sz w:val="32"/>
          <w:szCs w:val="32"/>
        </w:rPr>
      </w:pPr>
      <w:r>
        <w:rPr>
          <w:rFonts w:hint="eastAsia" w:ascii="仿宋_GB2312" w:hAnsi="TimesNewRoman" w:eastAsia="仿宋_GB2312" w:cs="TimesNewRoman"/>
          <w:sz w:val="32"/>
          <w:szCs w:val="32"/>
        </w:rPr>
        <w:t>（5）项目内容。长三角三地展等活动</w:t>
      </w:r>
    </w:p>
    <w:p w14:paraId="30641333">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30.3万元。</w:t>
      </w:r>
    </w:p>
    <w:p w14:paraId="5C3335F6">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（7）绩效目标。保障活动正常进行</w:t>
      </w:r>
      <w:r>
        <w:rPr>
          <w:rFonts w:hint="eastAsia" w:ascii="仿宋_GB2312" w:hAnsi="TimesNewRoman" w:eastAsia="仿宋_GB2312" w:cs="TimesNewRoman"/>
          <w:sz w:val="32"/>
          <w:szCs w:val="32"/>
          <w:lang w:eastAsia="zh-CN"/>
        </w:rPr>
        <w:t>。</w:t>
      </w:r>
    </w:p>
    <w:p w14:paraId="3433B0F9">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val="en-US" w:eastAsia="zh-CN"/>
        </w:rPr>
        <w:t>3</w:t>
      </w:r>
      <w:r>
        <w:rPr>
          <w:rFonts w:hint="eastAsia" w:ascii="仿宋_GB2312" w:hAnsi="TimesNewRoman" w:eastAsia="仿宋_GB2312" w:cs="TimesNewRoman"/>
          <w:b/>
          <w:sz w:val="32"/>
          <w:szCs w:val="32"/>
        </w:rPr>
        <w:t>.“</w:t>
      </w:r>
      <w:r>
        <w:rPr>
          <w:rFonts w:hint="eastAsia" w:ascii="仿宋_GB2312" w:hAnsi="TimesNewRoman" w:eastAsia="仿宋_GB2312" w:cs="TimesNewRoman"/>
          <w:b/>
          <w:sz w:val="32"/>
          <w:szCs w:val="32"/>
          <w:lang w:val="en-US" w:eastAsia="zh-CN"/>
        </w:rPr>
        <w:t>装修综合性文艺展演展陈馆</w:t>
      </w:r>
      <w:r>
        <w:rPr>
          <w:rFonts w:hint="eastAsia" w:ascii="仿宋_GB2312" w:hAnsi="TimesNewRoman" w:eastAsia="仿宋_GB2312" w:cs="TimesNewRoman"/>
          <w:b/>
          <w:sz w:val="32"/>
          <w:szCs w:val="32"/>
        </w:rPr>
        <w:t>”项目。</w:t>
      </w:r>
    </w:p>
    <w:p w14:paraId="07E76A5B">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w:t>
      </w:r>
      <w:r>
        <w:rPr>
          <w:rFonts w:hint="eastAsia" w:ascii="仿宋" w:hAnsi="仿宋" w:eastAsia="仿宋"/>
          <w:sz w:val="32"/>
          <w:szCs w:val="32"/>
          <w:lang w:val="en-US" w:eastAsia="zh-CN"/>
        </w:rPr>
        <w:t>为高质量推进文化强县建设，促进文旅深度融合发展，进一步提升寿县知名度和影响力。</w:t>
      </w:r>
    </w:p>
    <w:p w14:paraId="548EF7AC">
      <w:pPr>
        <w:topLinePunct/>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（2）立项依据。事业发展常年安排项目</w:t>
      </w:r>
      <w:r>
        <w:rPr>
          <w:rFonts w:hint="eastAsia" w:ascii="仿宋_GB2312" w:hAnsi="TimesNewRoman" w:eastAsia="仿宋_GB2312" w:cs="TimesNewRoman"/>
          <w:sz w:val="32"/>
          <w:szCs w:val="32"/>
          <w:lang w:eastAsia="zh-CN"/>
        </w:rPr>
        <w:t>。</w:t>
      </w:r>
    </w:p>
    <w:p w14:paraId="5F55B169">
      <w:pPr>
        <w:topLinePunct/>
        <w:spacing w:line="560" w:lineRule="exact"/>
        <w:ind w:firstLine="640" w:firstLineChars="200"/>
        <w:rPr>
          <w:rFonts w:hint="eastAsia" w:ascii="仿宋_GB2312" w:hAnsi="TimesNewRoman" w:eastAsia="仿宋_GB2312" w:cs="TimesNewRoman"/>
          <w:sz w:val="32"/>
          <w:szCs w:val="32"/>
          <w:u w:val="single"/>
        </w:rPr>
      </w:pPr>
      <w:r>
        <w:rPr>
          <w:rFonts w:hint="eastAsia" w:ascii="仿宋_GB2312" w:hAnsi="TimesNewRoman" w:eastAsia="仿宋_GB2312" w:cs="TimesNewRoman"/>
          <w:sz w:val="32"/>
          <w:szCs w:val="32"/>
        </w:rPr>
        <w:t>（3）实施主体。寿县文学艺术界联合会</w:t>
      </w:r>
    </w:p>
    <w:p w14:paraId="22603ED5">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2026年12月31日</w:t>
      </w:r>
    </w:p>
    <w:p w14:paraId="5A19753C">
      <w:pPr>
        <w:topLinePunct/>
        <w:spacing w:line="560" w:lineRule="exact"/>
        <w:ind w:firstLine="640" w:firstLineChars="200"/>
        <w:rPr>
          <w:rFonts w:hint="eastAsia" w:ascii="仿宋_GB2312" w:hAnsi="TimesNewRoman" w:eastAsia="仿宋_GB2312" w:cs="TimesNewRoman"/>
          <w:bCs/>
          <w:sz w:val="32"/>
          <w:szCs w:val="32"/>
        </w:rPr>
      </w:pPr>
      <w:r>
        <w:rPr>
          <w:rFonts w:hint="eastAsia" w:ascii="仿宋_GB2312" w:hAnsi="TimesNewRoman" w:eastAsia="仿宋_GB2312" w:cs="TimesNewRoman"/>
          <w:sz w:val="32"/>
          <w:szCs w:val="32"/>
        </w:rPr>
        <w:t>（5）项目内容。长三角三地展等活动</w:t>
      </w:r>
    </w:p>
    <w:p w14:paraId="73847A0C">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0.4万元。</w:t>
      </w:r>
    </w:p>
    <w:p w14:paraId="09D72C19">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（7）绩效目标。保障活动正常进行</w:t>
      </w:r>
      <w:r>
        <w:rPr>
          <w:rFonts w:hint="eastAsia" w:ascii="仿宋_GB2312" w:hAnsi="TimesNewRoman" w:eastAsia="仿宋_GB2312" w:cs="TimesNewRoman"/>
          <w:sz w:val="32"/>
          <w:szCs w:val="32"/>
          <w:lang w:eastAsia="zh-CN"/>
        </w:rPr>
        <w:t>。</w:t>
      </w:r>
    </w:p>
    <w:p w14:paraId="30FC597A">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731130AD">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2026年机关运行经费财政拨款预算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2C35B92E">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0E5B5E28">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2026年政府采购预算</w:t>
      </w:r>
      <w:r>
        <w:rPr>
          <w:rFonts w:hint="eastAsia" w:ascii="仿宋_GB2312" w:hAnsi="TimesNewRoman" w:eastAsia="仿宋_GB2312" w:cs="TimesNewRoman"/>
          <w:sz w:val="32"/>
          <w:szCs w:val="32"/>
          <w:lang w:val="en-US" w:eastAsia="zh-CN"/>
        </w:rPr>
        <w:t>1.5</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1.5</w:t>
      </w:r>
      <w:r>
        <w:rPr>
          <w:rFonts w:hint="eastAsia" w:ascii="仿宋_GB2312" w:hAnsi="TimesNewRoman" w:eastAsia="仿宋_GB2312" w:cs="TimesNewRoman"/>
          <w:sz w:val="32"/>
          <w:szCs w:val="32"/>
        </w:rPr>
        <w:t>万元。</w:t>
      </w:r>
    </w:p>
    <w:p w14:paraId="384B3577">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2D536627">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截至2025年12月31日，</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rPr>
        <w:t>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17D46A23">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2026年部门预算安排购置公务用车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5B34C1CA">
      <w:pPr>
        <w:topLinePunct/>
        <w:adjustRightInd w:val="0"/>
        <w:snapToGrid w:val="0"/>
        <w:spacing w:line="560" w:lineRule="exact"/>
        <w:ind w:firstLine="640"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629FCB0B">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2026年，寿县</w:t>
      </w:r>
      <w:r>
        <w:rPr>
          <w:rFonts w:hint="eastAsia" w:ascii="仿宋_GB2312" w:hAnsi="TimesNewRoman" w:eastAsia="仿宋_GB2312" w:cs="TimesNewRoman"/>
          <w:bCs/>
          <w:sz w:val="32"/>
          <w:szCs w:val="32"/>
        </w:rPr>
        <w:t>文学艺术界联合会</w:t>
      </w:r>
      <w:r>
        <w:rPr>
          <w:rFonts w:hint="eastAsia" w:ascii="仿宋_GB2312" w:hAnsi="TimesNewRoman" w:eastAsia="仿宋_GB2312" w:cs="TimesNewRoman"/>
          <w:sz w:val="32"/>
          <w:szCs w:val="32"/>
          <w:lang w:val="en-US" w:eastAsia="zh-CN"/>
        </w:rPr>
        <w:t>3</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36</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05DEF9C5">
      <w:pPr>
        <w:topLinePunct/>
        <w:adjustRightInd w:val="0"/>
        <w:snapToGrid w:val="0"/>
        <w:spacing w:line="560" w:lineRule="exact"/>
        <w:rPr>
          <w:rFonts w:ascii="TimesNewRoman" w:hAnsi="TimesNewRoman" w:eastAsia="黑体" w:cs="TimesNewRoman"/>
          <w:sz w:val="36"/>
          <w:szCs w:val="36"/>
        </w:rPr>
      </w:pPr>
    </w:p>
    <w:p w14:paraId="65196B1E">
      <w:pPr>
        <w:topLinePunct/>
        <w:adjustRightInd w:val="0"/>
        <w:snapToGrid w:val="0"/>
        <w:spacing w:line="560" w:lineRule="exact"/>
        <w:jc w:val="center"/>
        <w:rPr>
          <w:rFonts w:ascii="TimesNewRoman" w:hAnsi="TimesNewRoman" w:eastAsia="黑体" w:cs="TimesNewRoman"/>
          <w:sz w:val="36"/>
          <w:szCs w:val="36"/>
        </w:rPr>
      </w:pPr>
    </w:p>
    <w:p w14:paraId="704F1221">
      <w:pPr>
        <w:topLinePunct/>
        <w:adjustRightInd w:val="0"/>
        <w:snapToGrid w:val="0"/>
        <w:spacing w:line="560" w:lineRule="exact"/>
        <w:jc w:val="center"/>
        <w:rPr>
          <w:rFonts w:ascii="TimesNewRoman" w:hAnsi="TimesNewRoman" w:eastAsia="黑体" w:cs="TimesNewRoman"/>
          <w:sz w:val="36"/>
          <w:szCs w:val="36"/>
        </w:rPr>
      </w:pPr>
    </w:p>
    <w:p w14:paraId="22568BF1">
      <w:pPr>
        <w:topLinePunct/>
        <w:adjustRightInd w:val="0"/>
        <w:snapToGrid w:val="0"/>
        <w:spacing w:line="560" w:lineRule="exact"/>
        <w:jc w:val="center"/>
        <w:rPr>
          <w:rFonts w:ascii="TimesNewRoman" w:hAnsi="TimesNewRoman" w:eastAsia="黑体" w:cs="TimesNewRoman"/>
          <w:sz w:val="36"/>
          <w:szCs w:val="36"/>
        </w:rPr>
      </w:pPr>
    </w:p>
    <w:p w14:paraId="2A1D9233">
      <w:pPr>
        <w:topLinePunct/>
        <w:adjustRightInd w:val="0"/>
        <w:snapToGrid w:val="0"/>
        <w:spacing w:line="560" w:lineRule="exact"/>
        <w:jc w:val="center"/>
        <w:rPr>
          <w:rFonts w:ascii="TimesNewRoman" w:hAnsi="TimesNewRoman" w:eastAsia="黑体" w:cs="TimesNewRoman"/>
          <w:sz w:val="36"/>
          <w:szCs w:val="36"/>
        </w:rPr>
      </w:pPr>
    </w:p>
    <w:p w14:paraId="3CDB1F50">
      <w:pPr>
        <w:topLinePunct/>
        <w:adjustRightInd w:val="0"/>
        <w:snapToGrid w:val="0"/>
        <w:spacing w:line="560" w:lineRule="exact"/>
        <w:jc w:val="center"/>
        <w:rPr>
          <w:rFonts w:ascii="TimesNewRoman" w:hAnsi="TimesNewRoman" w:eastAsia="黑体" w:cs="TimesNewRoman"/>
          <w:sz w:val="36"/>
          <w:szCs w:val="36"/>
        </w:rPr>
      </w:pPr>
    </w:p>
    <w:p w14:paraId="048BE761">
      <w:pPr>
        <w:topLinePunct/>
        <w:adjustRightInd w:val="0"/>
        <w:snapToGrid w:val="0"/>
        <w:spacing w:line="560" w:lineRule="exact"/>
        <w:jc w:val="center"/>
        <w:rPr>
          <w:rFonts w:ascii="TimesNewRoman" w:hAnsi="TimesNewRoman" w:eastAsia="黑体" w:cs="TimesNewRoman"/>
          <w:sz w:val="36"/>
          <w:szCs w:val="36"/>
        </w:rPr>
      </w:pPr>
    </w:p>
    <w:p w14:paraId="78621191">
      <w:pPr>
        <w:topLinePunct/>
        <w:adjustRightInd w:val="0"/>
        <w:snapToGrid w:val="0"/>
        <w:spacing w:line="560" w:lineRule="exact"/>
        <w:jc w:val="center"/>
        <w:rPr>
          <w:rFonts w:ascii="TimesNewRoman" w:hAnsi="TimesNewRoman" w:eastAsia="黑体" w:cs="TimesNewRoman"/>
          <w:sz w:val="36"/>
          <w:szCs w:val="36"/>
        </w:rPr>
      </w:pPr>
    </w:p>
    <w:p w14:paraId="6D9F8B7F">
      <w:pPr>
        <w:topLinePunct/>
        <w:adjustRightInd w:val="0"/>
        <w:snapToGrid w:val="0"/>
        <w:spacing w:line="560" w:lineRule="exact"/>
        <w:jc w:val="center"/>
        <w:rPr>
          <w:rFonts w:ascii="TimesNewRoman" w:hAnsi="TimesNewRoman" w:eastAsia="黑体" w:cs="TimesNewRoman"/>
          <w:sz w:val="36"/>
          <w:szCs w:val="36"/>
        </w:rPr>
      </w:pPr>
    </w:p>
    <w:p w14:paraId="4D938DB9">
      <w:pPr>
        <w:topLinePunct/>
        <w:adjustRightInd w:val="0"/>
        <w:snapToGrid w:val="0"/>
        <w:spacing w:line="560" w:lineRule="exact"/>
        <w:jc w:val="center"/>
        <w:rPr>
          <w:rFonts w:hint="eastAsia" w:ascii="TimesNewRoman" w:hAnsi="TimesNewRoman" w:eastAsia="黑体" w:cs="TimesNewRoman"/>
          <w:sz w:val="36"/>
          <w:szCs w:val="36"/>
        </w:rPr>
      </w:pPr>
    </w:p>
    <w:p w14:paraId="30B571BE">
      <w:pPr>
        <w:topLinePunct/>
        <w:adjustRightInd w:val="0"/>
        <w:snapToGrid w:val="0"/>
        <w:spacing w:line="560" w:lineRule="exact"/>
        <w:jc w:val="center"/>
        <w:rPr>
          <w:rFonts w:ascii="TimesNewRoman" w:hAnsi="TimesNewRoman" w:eastAsia="黑体" w:cs="TimesNewRoman"/>
          <w:sz w:val="36"/>
          <w:szCs w:val="36"/>
        </w:rPr>
      </w:pPr>
    </w:p>
    <w:p w14:paraId="33A5362C">
      <w:pPr>
        <w:topLinePunct/>
        <w:adjustRightInd w:val="0"/>
        <w:snapToGrid w:val="0"/>
        <w:spacing w:line="560" w:lineRule="exact"/>
        <w:jc w:val="center"/>
        <w:rPr>
          <w:rFonts w:ascii="TimesNewRoman" w:hAnsi="TimesNewRoman" w:eastAsia="黑体" w:cs="TimesNewRoman"/>
          <w:sz w:val="36"/>
          <w:szCs w:val="36"/>
        </w:rPr>
      </w:pPr>
    </w:p>
    <w:p w14:paraId="6B72B6A2">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1A2DB5C7">
      <w:pPr>
        <w:topLinePunct/>
        <w:adjustRightInd w:val="0"/>
        <w:snapToGrid w:val="0"/>
        <w:spacing w:line="560" w:lineRule="exact"/>
        <w:rPr>
          <w:rFonts w:ascii="TimesNewRoman" w:hAnsi="TimesNewRoman" w:eastAsia="黑体" w:cs="TimesNewRoman"/>
          <w:szCs w:val="32"/>
        </w:rPr>
      </w:pPr>
    </w:p>
    <w:p w14:paraId="7E7ADDB6">
      <w:pPr>
        <w:topLinePunct/>
        <w:adjustRightInd w:val="0"/>
        <w:snapToGrid w:val="0"/>
        <w:spacing w:line="560" w:lineRule="exact"/>
        <w:ind w:firstLine="640" w:firstLineChars="200"/>
        <w:rPr>
          <w:rFonts w:ascii="TimesNewRoman" w:hAnsi="TimesNewRoman" w:eastAsia="仿宋_GB2312" w:cs="TimesNewRoman"/>
          <w:kern w:val="0"/>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eastAsia="仿宋_GB2312" w:cs="TimesNewRoman"/>
          <w:kern w:val="0"/>
          <w:sz w:val="32"/>
          <w:szCs w:val="32"/>
        </w:rPr>
        <w:t>指部门或单位从同级财政部门取得的财政预算资金。</w:t>
      </w:r>
    </w:p>
    <w:p w14:paraId="52D3DB2F">
      <w:pPr>
        <w:pStyle w:val="15"/>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14:paraId="40D0AD72">
      <w:pPr>
        <w:pStyle w:val="15"/>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w:t>
      </w:r>
      <w:bookmarkStart w:id="0" w:name="OLE_LINK3"/>
      <w:bookmarkStart w:id="1" w:name="OLE_LINK4"/>
      <w:r>
        <w:rPr>
          <w:rFonts w:ascii="楷体_GB2312" w:hAnsi="TimesNewRoman" w:eastAsia="楷体_GB2312" w:cs="TimesNewRoman"/>
          <w:kern w:val="2"/>
          <w:sz w:val="32"/>
          <w:szCs w:val="32"/>
        </w:rPr>
        <w:t>财政专户管理资金</w:t>
      </w:r>
      <w:bookmarkEnd w:id="0"/>
      <w:bookmarkEnd w:id="1"/>
      <w:r>
        <w:rPr>
          <w:rFonts w:ascii="楷体_GB2312" w:hAnsi="TimesNewRoman" w:eastAsia="楷体_GB2312" w:cs="TimesNewRoman"/>
          <w:kern w:val="2"/>
          <w:sz w:val="32"/>
          <w:szCs w:val="32"/>
        </w:rPr>
        <w:t>：</w:t>
      </w:r>
      <w:r>
        <w:rPr>
          <w:rFonts w:ascii="TimesNewRoman" w:hAnsi="TimesNewRoman" w:eastAsia="仿宋_GB2312" w:cs="TimesNewRoman"/>
          <w:sz w:val="32"/>
          <w:szCs w:val="32"/>
        </w:rPr>
        <w:t>指按照非税收入管理相关规定，纳入财政专户管理的教育收费等。</w:t>
      </w:r>
    </w:p>
    <w:p w14:paraId="7A103E17">
      <w:pPr>
        <w:pStyle w:val="15"/>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w:t>
      </w:r>
      <w:bookmarkStart w:id="2" w:name="OLE_LINK14"/>
      <w:bookmarkStart w:id="3" w:name="OLE_LINK13"/>
      <w:r>
        <w:rPr>
          <w:rFonts w:ascii="楷体_GB2312" w:hAnsi="TimesNewRoman" w:eastAsia="楷体_GB2312" w:cs="TimesNewRoman"/>
          <w:kern w:val="2"/>
          <w:sz w:val="32"/>
          <w:szCs w:val="32"/>
        </w:rPr>
        <w:t>事业单位经营收入</w:t>
      </w:r>
      <w:bookmarkEnd w:id="2"/>
      <w:bookmarkEnd w:id="3"/>
      <w:r>
        <w:rPr>
          <w:rFonts w:ascii="楷体_GB2312" w:hAnsi="TimesNewRoman" w:eastAsia="楷体_GB2312" w:cs="TimesNewRoman"/>
          <w:kern w:val="2"/>
          <w:sz w:val="32"/>
          <w:szCs w:val="32"/>
        </w:rPr>
        <w:t>：</w:t>
      </w:r>
      <w:r>
        <w:rPr>
          <w:rFonts w:ascii="TimesNewRoman" w:hAnsi="TimesNewRoman" w:eastAsia="仿宋_GB2312" w:cs="TimesNewRoman"/>
          <w:sz w:val="32"/>
          <w:szCs w:val="32"/>
        </w:rPr>
        <w:t>指事业单位在专业业务活动及其辅助活动之外开展非独立核算经营活动取得的收入。</w:t>
      </w:r>
    </w:p>
    <w:p w14:paraId="3FAC4D83">
      <w:pPr>
        <w:pStyle w:val="15"/>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w:t>
      </w:r>
      <w:bookmarkStart w:id="4" w:name="OLE_LINK6"/>
      <w:bookmarkStart w:id="5" w:name="OLE_LINK5"/>
      <w:r>
        <w:rPr>
          <w:rFonts w:ascii="楷体_GB2312" w:hAnsi="TimesNewRoman" w:eastAsia="楷体_GB2312" w:cs="TimesNewRoman"/>
          <w:kern w:val="2"/>
          <w:sz w:val="32"/>
          <w:szCs w:val="32"/>
        </w:rPr>
        <w:t>附属单位上缴收入</w:t>
      </w:r>
      <w:bookmarkEnd w:id="4"/>
      <w:bookmarkEnd w:id="5"/>
      <w:r>
        <w:rPr>
          <w:rFonts w:ascii="楷体_GB2312" w:hAnsi="TimesNewRoman" w:eastAsia="楷体_GB2312" w:cs="TimesNewRoman"/>
          <w:kern w:val="2"/>
          <w:sz w:val="32"/>
          <w:szCs w:val="32"/>
        </w:rPr>
        <w:t>：</w:t>
      </w:r>
      <w:r>
        <w:rPr>
          <w:rFonts w:ascii="TimesNewRoman" w:hAnsi="TimesNewRoman" w:eastAsia="仿宋_GB2312" w:cs="TimesNewRoman"/>
          <w:sz w:val="32"/>
          <w:szCs w:val="32"/>
        </w:rPr>
        <w:t>本单位所属下级单位上缴给本单位的全部收入。</w:t>
      </w:r>
    </w:p>
    <w:p w14:paraId="042657E6">
      <w:pPr>
        <w:pStyle w:val="15"/>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w:t>
      </w:r>
      <w:bookmarkStart w:id="6" w:name="OLE_LINK8"/>
      <w:bookmarkStart w:id="7" w:name="OLE_LINK7"/>
      <w:r>
        <w:rPr>
          <w:rFonts w:ascii="楷体_GB2312" w:hAnsi="TimesNewRoman" w:eastAsia="楷体_GB2312" w:cs="TimesNewRoman"/>
          <w:kern w:val="2"/>
          <w:sz w:val="32"/>
          <w:szCs w:val="32"/>
        </w:rPr>
        <w:t>上年结转</w:t>
      </w:r>
      <w:bookmarkEnd w:id="6"/>
      <w:bookmarkEnd w:id="7"/>
      <w:r>
        <w:rPr>
          <w:rFonts w:ascii="楷体_GB2312" w:hAnsi="TimesNewRoman" w:eastAsia="楷体_GB2312" w:cs="TimesNewRoman"/>
          <w:kern w:val="2"/>
          <w:sz w:val="32"/>
          <w:szCs w:val="32"/>
        </w:rPr>
        <w:t>：</w:t>
      </w:r>
      <w:r>
        <w:rPr>
          <w:rFonts w:ascii="TimesNewRoman" w:hAnsi="TimesNewRoman" w:eastAsia="仿宋_GB2312" w:cs="TimesNewRoman"/>
          <w:sz w:val="32"/>
          <w:szCs w:val="32"/>
        </w:rPr>
        <w:t>指以前年度安排、结转到本年仍按原用途继续使用的资金。</w:t>
      </w:r>
    </w:p>
    <w:p w14:paraId="6A73463A">
      <w:pPr>
        <w:pStyle w:val="15"/>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w:t>
      </w:r>
      <w:bookmarkStart w:id="8" w:name="OLE_LINK9"/>
      <w:bookmarkStart w:id="9" w:name="OLE_LINK10"/>
      <w:r>
        <w:rPr>
          <w:rFonts w:ascii="楷体_GB2312" w:hAnsi="TimesNewRoman" w:eastAsia="楷体_GB2312" w:cs="TimesNewRoman"/>
          <w:kern w:val="2"/>
          <w:sz w:val="32"/>
          <w:szCs w:val="32"/>
        </w:rPr>
        <w:t>结转下年</w:t>
      </w:r>
      <w:bookmarkEnd w:id="8"/>
      <w:bookmarkEnd w:id="9"/>
      <w:r>
        <w:rPr>
          <w:rFonts w:ascii="楷体_GB2312" w:hAnsi="TimesNewRoman" w:eastAsia="楷体_GB2312" w:cs="TimesNewRoman"/>
          <w:kern w:val="2"/>
          <w:sz w:val="32"/>
          <w:szCs w:val="32"/>
        </w:rPr>
        <w:t>：</w:t>
      </w:r>
      <w:r>
        <w:rPr>
          <w:rFonts w:ascii="TimesNewRoman" w:hAnsi="TimesNewRoman" w:eastAsia="仿宋_GB2312" w:cs="TimesNewRoman"/>
          <w:sz w:val="32"/>
          <w:szCs w:val="32"/>
        </w:rPr>
        <w:t>指以前年度预算安排、因客观条件发生变化无法按原计划实施，需以后年度按原用途继续使用的资金。</w:t>
      </w:r>
    </w:p>
    <w:p w14:paraId="7B91CEF0">
      <w:pPr>
        <w:pStyle w:val="15"/>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w:t>
      </w:r>
      <w:bookmarkStart w:id="10" w:name="OLE_LINK11"/>
      <w:bookmarkStart w:id="11" w:name="OLE_LINK12"/>
      <w:r>
        <w:rPr>
          <w:rFonts w:ascii="楷体_GB2312" w:hAnsi="TimesNewRoman" w:eastAsia="楷体_GB2312" w:cs="TimesNewRoman"/>
          <w:kern w:val="2"/>
          <w:sz w:val="32"/>
          <w:szCs w:val="32"/>
        </w:rPr>
        <w:t>基本支出</w:t>
      </w:r>
      <w:bookmarkEnd w:id="10"/>
      <w:bookmarkEnd w:id="11"/>
      <w:r>
        <w:rPr>
          <w:rFonts w:ascii="楷体_GB2312" w:hAnsi="TimesNewRoman" w:eastAsia="楷体_GB2312" w:cs="TimesNewRoman"/>
          <w:kern w:val="2"/>
          <w:sz w:val="32"/>
          <w:szCs w:val="32"/>
        </w:rPr>
        <w:t>：</w:t>
      </w:r>
      <w:r>
        <w:rPr>
          <w:rFonts w:ascii="TimesNewRoman" w:hAnsi="TimesNewRoman" w:eastAsia="仿宋_GB2312" w:cs="TimesNewRoman"/>
          <w:sz w:val="32"/>
          <w:szCs w:val="32"/>
        </w:rPr>
        <w:t>指为保障机构正常运转、完成日常工作任务而发生的人员支出和公用支出。</w:t>
      </w:r>
    </w:p>
    <w:p w14:paraId="41CEF660">
      <w:pPr>
        <w:pStyle w:val="15"/>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日常维修费、一般设备购置费、办公用房水电费、办公用房取暖费、办公用房物业管理费、公务用车运行维护费以及其他费用。</w:t>
      </w:r>
    </w:p>
    <w:p w14:paraId="1FA2D8D6">
      <w:pPr>
        <w:spacing w:line="560" w:lineRule="exact"/>
        <w:rPr>
          <w:rFonts w:hint="eastAsia" w:ascii="仿宋_GB2312" w:hAnsi="仿宋_GB2312" w:eastAsia="仿宋_GB2312" w:cs="仿宋_GB2312"/>
          <w:sz w:val="32"/>
          <w:szCs w:val="32"/>
        </w:rPr>
      </w:pPr>
    </w:p>
    <w:p w14:paraId="39CF7ED7">
      <w:pPr>
        <w:spacing w:line="560" w:lineRule="exact"/>
        <w:rPr>
          <w:rFonts w:hint="eastAsia" w:ascii="仿宋_GB2312" w:eastAsia="仿宋_GB2312" w:cs="宋体"/>
          <w:sz w:val="28"/>
          <w:szCs w:val="28"/>
          <w:u w:val="thick"/>
        </w:rPr>
      </w:pPr>
      <w:r>
        <w:rPr>
          <w:rFonts w:hint="eastAsia" w:ascii="仿宋_GB2312" w:hAnsi="仿宋_GB2312" w:eastAsia="仿宋_GB2312" w:cs="仿宋_GB2312"/>
          <w:sz w:val="32"/>
          <w:szCs w:val="32"/>
        </w:rPr>
        <w:t xml:space="preserve">         </w:t>
      </w:r>
    </w:p>
    <w:p w14:paraId="721AB9EB">
      <w:pPr>
        <w:pStyle w:val="14"/>
        <w:rPr>
          <w:rFonts w:hint="eastAsia" w:ascii="仿宋_GB2312" w:eastAsia="仿宋_GB2312" w:cs="宋体"/>
          <w:sz w:val="28"/>
          <w:szCs w:val="28"/>
          <w:u w:val="thick"/>
        </w:rPr>
      </w:pPr>
    </w:p>
    <w:p w14:paraId="0937EE48">
      <w:pPr>
        <w:pStyle w:val="14"/>
        <w:rPr>
          <w:rFonts w:hint="eastAsia" w:ascii="仿宋_GB2312" w:eastAsia="仿宋_GB2312" w:cs="宋体"/>
          <w:sz w:val="28"/>
          <w:szCs w:val="28"/>
          <w:u w:val="thick"/>
        </w:rPr>
      </w:pPr>
    </w:p>
    <w:p w14:paraId="67EB67CE">
      <w:pPr>
        <w:pStyle w:val="14"/>
        <w:rPr>
          <w:rFonts w:hint="eastAsia" w:ascii="仿宋_GB2312" w:eastAsia="仿宋_GB2312" w:cs="宋体"/>
          <w:sz w:val="28"/>
          <w:szCs w:val="28"/>
          <w:u w:val="thick"/>
        </w:rPr>
      </w:pPr>
    </w:p>
    <w:p w14:paraId="44CE97CD">
      <w:pPr>
        <w:pStyle w:val="14"/>
        <w:rPr>
          <w:rFonts w:hint="eastAsia" w:ascii="仿宋_GB2312" w:eastAsia="仿宋_GB2312" w:cs="宋体"/>
          <w:sz w:val="28"/>
          <w:szCs w:val="28"/>
          <w:u w:val="thick"/>
        </w:rPr>
      </w:pPr>
    </w:p>
    <w:p w14:paraId="2E99F94F">
      <w:pPr>
        <w:pStyle w:val="14"/>
        <w:rPr>
          <w:rFonts w:hint="eastAsia" w:ascii="仿宋_GB2312" w:eastAsia="仿宋_GB2312" w:cs="宋体"/>
          <w:sz w:val="28"/>
          <w:szCs w:val="28"/>
          <w:u w:val="thick"/>
        </w:rPr>
      </w:pPr>
    </w:p>
    <w:p w14:paraId="485D4F4A">
      <w:pPr>
        <w:pStyle w:val="14"/>
        <w:rPr>
          <w:rFonts w:hint="eastAsia" w:ascii="仿宋_GB2312" w:eastAsia="仿宋_GB2312" w:cs="宋体"/>
          <w:sz w:val="28"/>
          <w:szCs w:val="28"/>
          <w:u w:val="thick"/>
        </w:rPr>
      </w:pPr>
    </w:p>
    <w:p w14:paraId="2ADC8A63">
      <w:pPr>
        <w:pStyle w:val="14"/>
        <w:rPr>
          <w:rFonts w:hint="eastAsia" w:ascii="仿宋_GB2312" w:eastAsia="仿宋_GB2312" w:cs="宋体"/>
          <w:sz w:val="28"/>
          <w:szCs w:val="28"/>
          <w:u w:val="thick"/>
        </w:rPr>
      </w:pPr>
    </w:p>
    <w:p w14:paraId="43E44F2A">
      <w:pPr>
        <w:pStyle w:val="14"/>
        <w:rPr>
          <w:rFonts w:hint="eastAsia" w:ascii="仿宋_GB2312" w:eastAsia="仿宋_GB2312" w:cs="宋体"/>
          <w:sz w:val="28"/>
          <w:szCs w:val="28"/>
          <w:u w:val="thick"/>
        </w:rPr>
      </w:pPr>
    </w:p>
    <w:p w14:paraId="2526A388">
      <w:pPr>
        <w:pStyle w:val="14"/>
        <w:rPr>
          <w:rFonts w:hint="eastAsia" w:ascii="仿宋_GB2312" w:eastAsia="仿宋_GB2312" w:cs="宋体"/>
          <w:sz w:val="28"/>
          <w:szCs w:val="28"/>
          <w:u w:val="thick"/>
        </w:rPr>
      </w:pPr>
    </w:p>
    <w:p w14:paraId="758FAAAB">
      <w:pPr>
        <w:pStyle w:val="14"/>
        <w:rPr>
          <w:rFonts w:hint="eastAsia" w:ascii="仿宋_GB2312" w:eastAsia="仿宋_GB2312" w:cs="宋体"/>
          <w:sz w:val="28"/>
          <w:szCs w:val="28"/>
          <w:u w:val="thick"/>
        </w:rPr>
      </w:pPr>
    </w:p>
    <w:p w14:paraId="6B8D2A67">
      <w:pPr>
        <w:pStyle w:val="14"/>
        <w:rPr>
          <w:rFonts w:hint="eastAsia" w:ascii="仿宋_GB2312" w:eastAsia="仿宋_GB2312" w:cs="宋体"/>
          <w:sz w:val="28"/>
          <w:szCs w:val="28"/>
          <w:u w:val="thick"/>
        </w:rPr>
      </w:pPr>
    </w:p>
    <w:p w14:paraId="6819CFBB">
      <w:pPr>
        <w:pStyle w:val="14"/>
        <w:rPr>
          <w:rFonts w:hint="eastAsia" w:ascii="仿宋_GB2312" w:eastAsia="仿宋_GB2312" w:cs="宋体"/>
          <w:sz w:val="28"/>
          <w:szCs w:val="28"/>
          <w:u w:val="thick"/>
        </w:rPr>
      </w:pPr>
    </w:p>
    <w:p w14:paraId="5FC282E6">
      <w:pPr>
        <w:pStyle w:val="14"/>
        <w:rPr>
          <w:rFonts w:hint="eastAsia" w:ascii="仿宋_GB2312" w:eastAsia="仿宋_GB2312" w:cs="宋体"/>
          <w:sz w:val="28"/>
          <w:szCs w:val="28"/>
          <w:u w:val="thick"/>
        </w:rPr>
      </w:pPr>
    </w:p>
    <w:p w14:paraId="0055A03F">
      <w:pPr>
        <w:pStyle w:val="14"/>
        <w:rPr>
          <w:rFonts w:hint="eastAsia" w:ascii="仿宋_GB2312" w:eastAsia="仿宋_GB2312" w:cs="宋体"/>
          <w:sz w:val="28"/>
          <w:szCs w:val="28"/>
          <w:u w:val="thick"/>
        </w:rPr>
      </w:pPr>
    </w:p>
    <w:p w14:paraId="0B7DD4BC">
      <w:pPr>
        <w:pStyle w:val="14"/>
        <w:rPr>
          <w:rFonts w:hint="eastAsia" w:ascii="仿宋_GB2312" w:eastAsia="仿宋_GB2312" w:cs="宋体"/>
          <w:sz w:val="28"/>
          <w:szCs w:val="28"/>
          <w:u w:val="thick"/>
        </w:rPr>
      </w:pPr>
    </w:p>
    <w:p w14:paraId="53D9C8A1">
      <w:pPr>
        <w:pStyle w:val="14"/>
        <w:rPr>
          <w:rFonts w:hint="eastAsia" w:ascii="仿宋_GB2312" w:eastAsia="仿宋_GB2312" w:cs="宋体"/>
          <w:sz w:val="28"/>
          <w:szCs w:val="28"/>
          <w:u w:val="thick"/>
        </w:rPr>
      </w:pPr>
    </w:p>
    <w:p w14:paraId="46EA9074">
      <w:pPr>
        <w:pStyle w:val="14"/>
        <w:rPr>
          <w:rFonts w:hint="eastAsia" w:ascii="仿宋_GB2312" w:eastAsia="仿宋_GB2312" w:cs="宋体"/>
          <w:sz w:val="28"/>
          <w:szCs w:val="28"/>
          <w:u w:val="thick"/>
        </w:rPr>
      </w:pPr>
    </w:p>
    <w:p w14:paraId="1EC3C8F0">
      <w:pPr>
        <w:pStyle w:val="14"/>
        <w:rPr>
          <w:rFonts w:hint="eastAsia" w:ascii="仿宋_GB2312" w:eastAsia="仿宋_GB2312" w:cs="宋体"/>
          <w:sz w:val="28"/>
          <w:szCs w:val="28"/>
          <w:u w:val="thick"/>
        </w:rPr>
      </w:pPr>
    </w:p>
    <w:p w14:paraId="20F22678">
      <w:pPr>
        <w:pStyle w:val="14"/>
        <w:rPr>
          <w:rFonts w:hint="eastAsia" w:ascii="仿宋_GB2312" w:eastAsia="仿宋_GB2312" w:cs="宋体"/>
          <w:sz w:val="28"/>
          <w:szCs w:val="28"/>
          <w:u w:val="thick"/>
        </w:rPr>
      </w:pPr>
    </w:p>
    <w:p w14:paraId="41A399A6">
      <w:pPr>
        <w:pStyle w:val="14"/>
        <w:rPr>
          <w:rFonts w:hint="eastAsia" w:ascii="仿宋_GB2312" w:eastAsia="仿宋_GB2312" w:cs="宋体"/>
          <w:sz w:val="28"/>
          <w:szCs w:val="28"/>
          <w:u w:val="thick"/>
        </w:rPr>
      </w:pPr>
    </w:p>
    <w:p w14:paraId="3CF09CCD">
      <w:pPr>
        <w:pStyle w:val="14"/>
        <w:rPr>
          <w:rFonts w:hint="eastAsia" w:ascii="仿宋_GB2312" w:eastAsia="仿宋_GB2312" w:cs="宋体"/>
          <w:sz w:val="28"/>
          <w:szCs w:val="28"/>
          <w:u w:val="thick"/>
        </w:rPr>
      </w:pPr>
    </w:p>
    <w:p w14:paraId="01ADCEAD">
      <w:pPr>
        <w:pStyle w:val="14"/>
        <w:rPr>
          <w:rFonts w:hint="eastAsia" w:ascii="仿宋_GB2312" w:eastAsia="仿宋_GB2312" w:cs="宋体"/>
          <w:sz w:val="28"/>
          <w:szCs w:val="28"/>
          <w:u w:val="thick"/>
        </w:rPr>
      </w:pPr>
    </w:p>
    <w:p w14:paraId="5C503586">
      <w:pPr>
        <w:pStyle w:val="14"/>
        <w:rPr>
          <w:rFonts w:hint="eastAsia" w:ascii="仿宋_GB2312" w:eastAsia="仿宋_GB2312" w:cs="宋体"/>
          <w:sz w:val="28"/>
          <w:szCs w:val="28"/>
          <w:u w:val="thick"/>
        </w:rPr>
      </w:pPr>
    </w:p>
    <w:p w14:paraId="77F7CCB0">
      <w:pPr>
        <w:pStyle w:val="14"/>
        <w:rPr>
          <w:rFonts w:hint="eastAsia" w:ascii="仿宋_GB2312" w:eastAsia="仿宋_GB2312" w:cs="宋体"/>
          <w:sz w:val="28"/>
          <w:szCs w:val="28"/>
          <w:u w:val="thick"/>
        </w:rPr>
      </w:pPr>
    </w:p>
    <w:p w14:paraId="2F57C134">
      <w:pPr>
        <w:pStyle w:val="14"/>
        <w:rPr>
          <w:rFonts w:hint="eastAsia" w:ascii="仿宋_GB2312" w:eastAsia="仿宋_GB2312" w:cs="宋体"/>
          <w:sz w:val="28"/>
          <w:szCs w:val="28"/>
          <w:u w:val="thick"/>
        </w:rPr>
      </w:pPr>
    </w:p>
    <w:p w14:paraId="200E9C73">
      <w:pPr>
        <w:pStyle w:val="14"/>
        <w:rPr>
          <w:rFonts w:hint="eastAsia" w:ascii="仿宋_GB2312" w:eastAsia="仿宋_GB2312" w:cs="宋体"/>
          <w:sz w:val="28"/>
          <w:szCs w:val="28"/>
          <w:u w:val="thick"/>
        </w:rPr>
      </w:pPr>
    </w:p>
    <w:p w14:paraId="2C515A25">
      <w:pPr>
        <w:pStyle w:val="14"/>
        <w:rPr>
          <w:rFonts w:hint="eastAsia" w:ascii="仿宋_GB2312" w:eastAsia="仿宋_GB2312" w:cs="宋体"/>
          <w:sz w:val="28"/>
          <w:szCs w:val="28"/>
          <w:u w:val="thick"/>
        </w:rPr>
      </w:pPr>
    </w:p>
    <w:p w14:paraId="23CC1A5F">
      <w:pPr>
        <w:pStyle w:val="14"/>
        <w:rPr>
          <w:rFonts w:hint="eastAsia" w:ascii="仿宋_GB2312" w:eastAsia="仿宋_GB2312" w:cs="宋体"/>
          <w:sz w:val="28"/>
          <w:szCs w:val="28"/>
          <w:u w:val="thick"/>
        </w:rPr>
      </w:pPr>
    </w:p>
    <w:p w14:paraId="4EBF0B0E">
      <w:pPr>
        <w:pStyle w:val="14"/>
        <w:rPr>
          <w:rFonts w:hint="eastAsia" w:ascii="仿宋_GB2312" w:eastAsia="仿宋_GB2312" w:cs="宋体"/>
          <w:sz w:val="28"/>
          <w:szCs w:val="28"/>
          <w:u w:val="thick"/>
        </w:rPr>
      </w:pPr>
    </w:p>
    <w:p w14:paraId="31E2873A">
      <w:pPr>
        <w:pStyle w:val="14"/>
        <w:rPr>
          <w:rFonts w:hint="eastAsia" w:ascii="仿宋_GB2312" w:eastAsia="仿宋_GB2312" w:cs="宋体"/>
          <w:sz w:val="28"/>
          <w:szCs w:val="28"/>
          <w:u w:val="thick"/>
        </w:rPr>
      </w:pPr>
    </w:p>
    <w:p w14:paraId="0BB6B671">
      <w:pPr>
        <w:pStyle w:val="14"/>
        <w:rPr>
          <w:rFonts w:hint="eastAsia" w:ascii="仿宋_GB2312" w:eastAsia="仿宋_GB2312" w:cs="宋体"/>
          <w:sz w:val="28"/>
          <w:szCs w:val="28"/>
          <w:u w:val="thick"/>
        </w:rPr>
      </w:pPr>
    </w:p>
    <w:p w14:paraId="6DC55D27">
      <w:pPr>
        <w:pStyle w:val="14"/>
        <w:rPr>
          <w:rFonts w:hint="eastAsia" w:ascii="仿宋_GB2312" w:eastAsia="仿宋_GB2312" w:cs="宋体"/>
          <w:sz w:val="28"/>
          <w:szCs w:val="28"/>
          <w:u w:val="thick"/>
        </w:rPr>
      </w:pPr>
    </w:p>
    <w:p w14:paraId="53B5CD57">
      <w:pPr>
        <w:pStyle w:val="14"/>
        <w:rPr>
          <w:rFonts w:hint="eastAsia" w:ascii="仿宋_GB2312" w:eastAsia="仿宋_GB2312" w:cs="宋体"/>
          <w:sz w:val="28"/>
          <w:szCs w:val="28"/>
          <w:u w:val="thick"/>
        </w:rPr>
      </w:pPr>
    </w:p>
    <w:p w14:paraId="4683EB10">
      <w:pPr>
        <w:pStyle w:val="14"/>
        <w:rPr>
          <w:rFonts w:hint="eastAsia" w:ascii="仿宋_GB2312" w:eastAsia="仿宋_GB2312" w:cs="宋体"/>
          <w:sz w:val="28"/>
          <w:szCs w:val="28"/>
          <w:u w:val="thick"/>
        </w:rPr>
      </w:pPr>
    </w:p>
    <w:p w14:paraId="4AEC9645">
      <w:pPr>
        <w:pStyle w:val="14"/>
        <w:rPr>
          <w:rFonts w:hint="eastAsia" w:ascii="仿宋_GB2312" w:eastAsia="仿宋_GB2312" w:cs="宋体"/>
          <w:sz w:val="28"/>
          <w:szCs w:val="28"/>
          <w:u w:val="thick"/>
        </w:rPr>
      </w:pPr>
    </w:p>
    <w:p w14:paraId="6E8C4E20">
      <w:pPr>
        <w:pStyle w:val="14"/>
        <w:rPr>
          <w:rFonts w:hint="eastAsia" w:ascii="仿宋_GB2312" w:eastAsia="仿宋_GB2312" w:cs="宋体"/>
          <w:sz w:val="28"/>
          <w:szCs w:val="28"/>
          <w:u w:val="thick"/>
        </w:rPr>
      </w:pPr>
    </w:p>
    <w:p w14:paraId="56ABF337">
      <w:pPr>
        <w:pStyle w:val="14"/>
        <w:rPr>
          <w:rFonts w:hint="eastAsia" w:ascii="仿宋_GB2312" w:eastAsia="仿宋_GB2312" w:cs="宋体"/>
          <w:sz w:val="28"/>
          <w:szCs w:val="28"/>
          <w:u w:val="thick"/>
        </w:rPr>
      </w:pPr>
    </w:p>
    <w:p w14:paraId="0164B1F0">
      <w:pPr>
        <w:pStyle w:val="14"/>
        <w:rPr>
          <w:rFonts w:hint="eastAsia" w:ascii="仿宋_GB2312" w:eastAsia="仿宋_GB2312" w:cs="宋体"/>
          <w:sz w:val="28"/>
          <w:szCs w:val="28"/>
          <w:u w:val="thick"/>
        </w:rPr>
      </w:pPr>
    </w:p>
    <w:p w14:paraId="62F2D0D0">
      <w:pPr>
        <w:pStyle w:val="14"/>
        <w:rPr>
          <w:rFonts w:hint="eastAsia" w:ascii="仿宋_GB2312" w:eastAsia="仿宋_GB2312" w:cs="宋体"/>
          <w:sz w:val="28"/>
          <w:szCs w:val="28"/>
          <w:u w:val="thick"/>
        </w:rPr>
      </w:pPr>
    </w:p>
    <w:p w14:paraId="12E55356">
      <w:pPr>
        <w:pStyle w:val="14"/>
        <w:rPr>
          <w:rFonts w:hint="eastAsia" w:ascii="仿宋_GB2312" w:eastAsia="仿宋_GB2312" w:cs="宋体"/>
          <w:sz w:val="28"/>
          <w:szCs w:val="28"/>
          <w:u w:val="thick"/>
        </w:rPr>
      </w:pPr>
    </w:p>
    <w:p w14:paraId="6463F45C">
      <w:pPr>
        <w:pStyle w:val="14"/>
        <w:rPr>
          <w:rFonts w:hint="eastAsia" w:ascii="仿宋_GB2312" w:eastAsia="仿宋_GB2312" w:cs="宋体"/>
          <w:sz w:val="28"/>
          <w:szCs w:val="28"/>
          <w:u w:val="thick"/>
        </w:rPr>
      </w:pPr>
    </w:p>
    <w:p w14:paraId="44579906">
      <w:pPr>
        <w:pStyle w:val="14"/>
        <w:rPr>
          <w:rFonts w:hint="eastAsia" w:ascii="仿宋_GB2312" w:eastAsia="仿宋_GB2312" w:cs="宋体"/>
          <w:sz w:val="28"/>
          <w:szCs w:val="28"/>
          <w:u w:val="thick"/>
        </w:rPr>
      </w:pPr>
    </w:p>
    <w:p w14:paraId="326F3E86">
      <w:pPr>
        <w:pStyle w:val="14"/>
        <w:rPr>
          <w:rFonts w:hint="eastAsia" w:ascii="仿宋_GB2312" w:eastAsia="仿宋_GB2312" w:cs="宋体"/>
          <w:sz w:val="28"/>
          <w:szCs w:val="28"/>
          <w:u w:val="thick"/>
        </w:rPr>
      </w:pPr>
    </w:p>
    <w:p w14:paraId="1BCBF2B7">
      <w:pPr>
        <w:pStyle w:val="14"/>
        <w:rPr>
          <w:rFonts w:hint="eastAsia" w:ascii="仿宋_GB2312" w:eastAsia="仿宋_GB2312" w:cs="宋体"/>
          <w:sz w:val="28"/>
          <w:szCs w:val="28"/>
          <w:u w:val="thick"/>
        </w:rPr>
      </w:pPr>
    </w:p>
    <w:p w14:paraId="5FE99012">
      <w:pPr>
        <w:pStyle w:val="14"/>
        <w:rPr>
          <w:rFonts w:hint="eastAsia" w:ascii="仿宋_GB2312" w:eastAsia="仿宋_GB2312" w:cs="宋体"/>
          <w:sz w:val="28"/>
          <w:szCs w:val="28"/>
          <w:u w:val="thick"/>
        </w:rPr>
      </w:pPr>
    </w:p>
    <w:p w14:paraId="1DE1F906">
      <w:pPr>
        <w:pStyle w:val="14"/>
        <w:rPr>
          <w:rFonts w:hint="eastAsia" w:ascii="仿宋_GB2312" w:eastAsia="仿宋_GB2312" w:cs="宋体"/>
          <w:sz w:val="28"/>
          <w:szCs w:val="28"/>
          <w:u w:val="thick"/>
        </w:rPr>
      </w:pPr>
    </w:p>
    <w:p w14:paraId="4870DF93">
      <w:pPr>
        <w:pStyle w:val="14"/>
        <w:rPr>
          <w:rFonts w:hint="eastAsia" w:ascii="仿宋_GB2312" w:eastAsia="仿宋_GB2312" w:cs="宋体"/>
          <w:sz w:val="28"/>
          <w:szCs w:val="28"/>
          <w:u w:val="thick"/>
        </w:rPr>
      </w:pPr>
    </w:p>
    <w:p w14:paraId="2721A058">
      <w:pPr>
        <w:pStyle w:val="14"/>
        <w:rPr>
          <w:rFonts w:hint="eastAsia" w:ascii="仿宋_GB2312" w:eastAsia="仿宋_GB2312" w:cs="宋体"/>
          <w:sz w:val="28"/>
          <w:szCs w:val="28"/>
          <w:u w:val="thick"/>
        </w:rPr>
      </w:pPr>
    </w:p>
    <w:p w14:paraId="09F33685">
      <w:pPr>
        <w:pStyle w:val="14"/>
        <w:spacing w:line="20" w:lineRule="exact"/>
        <w:rPr>
          <w:rFonts w:hint="eastAsia" w:ascii="仿宋_GB2312" w:eastAsia="仿宋_GB2312" w:cs="宋体"/>
          <w:sz w:val="28"/>
          <w:szCs w:val="28"/>
          <w:u w:val="thick"/>
        </w:rPr>
      </w:pPr>
    </w:p>
    <w:p w14:paraId="78D92631">
      <w:pPr>
        <w:pStyle w:val="14"/>
        <w:spacing w:line="20" w:lineRule="exact"/>
        <w:rPr>
          <w:rFonts w:hint="eastAsia" w:ascii="仿宋_GB2312" w:eastAsia="仿宋_GB2312" w:cs="宋体"/>
          <w:sz w:val="28"/>
          <w:szCs w:val="28"/>
          <w:u w:val="thick"/>
        </w:rPr>
      </w:pPr>
    </w:p>
    <w:p w14:paraId="1A15B367">
      <w:pPr>
        <w:pStyle w:val="14"/>
        <w:spacing w:line="20" w:lineRule="exact"/>
        <w:rPr>
          <w:rFonts w:hint="eastAsia" w:ascii="仿宋_GB2312" w:eastAsia="仿宋_GB2312" w:cs="宋体"/>
          <w:sz w:val="28"/>
          <w:szCs w:val="28"/>
          <w:u w:val="thick"/>
        </w:rPr>
      </w:pPr>
    </w:p>
    <w:p w14:paraId="29B66AF8">
      <w:pPr>
        <w:pStyle w:val="14"/>
        <w:spacing w:line="20" w:lineRule="exact"/>
        <w:rPr>
          <w:rFonts w:hint="eastAsia" w:ascii="仿宋_GB2312" w:eastAsia="仿宋_GB2312" w:cs="宋体"/>
          <w:sz w:val="28"/>
          <w:szCs w:val="28"/>
          <w:u w:val="thick"/>
        </w:rPr>
      </w:pPr>
    </w:p>
    <w:p w14:paraId="38C5C9C9">
      <w:pPr>
        <w:pStyle w:val="14"/>
        <w:spacing w:line="20" w:lineRule="exact"/>
        <w:rPr>
          <w:rFonts w:hint="eastAsia" w:ascii="仿宋_GB2312" w:eastAsia="仿宋_GB2312" w:cs="宋体"/>
          <w:sz w:val="28"/>
          <w:szCs w:val="28"/>
          <w:u w:val="thick"/>
        </w:rPr>
      </w:pPr>
    </w:p>
    <w:p w14:paraId="75A56229">
      <w:pPr>
        <w:pStyle w:val="14"/>
        <w:spacing w:line="20" w:lineRule="exact"/>
        <w:rPr>
          <w:rFonts w:hint="eastAsia" w:ascii="仿宋_GB2312" w:eastAsia="仿宋_GB2312" w:cs="宋体"/>
          <w:sz w:val="28"/>
          <w:szCs w:val="28"/>
          <w:u w:val="thick"/>
        </w:rPr>
      </w:pPr>
    </w:p>
    <w:p w14:paraId="59F89BCF">
      <w:pPr>
        <w:pStyle w:val="14"/>
        <w:spacing w:line="20" w:lineRule="exact"/>
        <w:rPr>
          <w:rFonts w:hint="eastAsia" w:ascii="仿宋_GB2312" w:eastAsia="仿宋_GB2312" w:cs="宋体"/>
          <w:sz w:val="28"/>
          <w:szCs w:val="28"/>
          <w:u w:val="thick"/>
        </w:rPr>
      </w:pPr>
    </w:p>
    <w:p w14:paraId="3849C4E2">
      <w:pPr>
        <w:pStyle w:val="14"/>
        <w:spacing w:line="20" w:lineRule="exact"/>
        <w:rPr>
          <w:rFonts w:hint="eastAsia" w:ascii="仿宋_GB2312" w:eastAsia="仿宋_GB2312" w:cs="宋体"/>
          <w:sz w:val="28"/>
          <w:szCs w:val="28"/>
          <w:u w:val="thick"/>
        </w:rPr>
      </w:pPr>
    </w:p>
    <w:p w14:paraId="1C0973F7">
      <w:pPr>
        <w:pStyle w:val="14"/>
        <w:spacing w:line="20" w:lineRule="exact"/>
        <w:rPr>
          <w:rFonts w:hint="eastAsia" w:ascii="仿宋_GB2312" w:eastAsia="仿宋_GB2312" w:cs="宋体"/>
          <w:sz w:val="28"/>
          <w:szCs w:val="28"/>
          <w:u w:val="thick"/>
        </w:rPr>
      </w:pPr>
    </w:p>
    <w:p w14:paraId="3442CDEC">
      <w:pPr>
        <w:pStyle w:val="14"/>
        <w:spacing w:line="20" w:lineRule="exact"/>
        <w:rPr>
          <w:rFonts w:hint="eastAsia" w:ascii="仿宋_GB2312" w:eastAsia="仿宋_GB2312" w:cs="宋体"/>
          <w:sz w:val="28"/>
          <w:szCs w:val="28"/>
          <w:u w:val="thick"/>
        </w:rPr>
      </w:pPr>
    </w:p>
    <w:p w14:paraId="7526AAB8">
      <w:pPr>
        <w:pStyle w:val="14"/>
        <w:spacing w:line="20" w:lineRule="exact"/>
        <w:rPr>
          <w:rFonts w:hint="eastAsia" w:ascii="仿宋_GB2312" w:eastAsia="仿宋_GB2312" w:cs="宋体"/>
          <w:sz w:val="28"/>
          <w:szCs w:val="28"/>
          <w:u w:val="thick"/>
        </w:rPr>
      </w:pPr>
    </w:p>
    <w:p w14:paraId="0E1B1AD0">
      <w:pPr>
        <w:pStyle w:val="14"/>
        <w:spacing w:line="20" w:lineRule="exact"/>
        <w:rPr>
          <w:rFonts w:hint="eastAsia" w:ascii="仿宋_GB2312" w:eastAsia="仿宋_GB2312" w:cs="宋体"/>
          <w:sz w:val="28"/>
          <w:szCs w:val="28"/>
          <w:u w:val="thick"/>
        </w:rPr>
      </w:pPr>
    </w:p>
    <w:p w14:paraId="33FC924F">
      <w:pPr>
        <w:pStyle w:val="14"/>
        <w:spacing w:line="20" w:lineRule="exact"/>
        <w:rPr>
          <w:rFonts w:hint="eastAsia" w:ascii="仿宋_GB2312" w:eastAsia="仿宋_GB2312" w:cs="宋体"/>
          <w:sz w:val="28"/>
          <w:szCs w:val="28"/>
          <w:u w:val="thick"/>
        </w:rPr>
      </w:pPr>
    </w:p>
    <w:p w14:paraId="59488E61">
      <w:pPr>
        <w:pStyle w:val="14"/>
        <w:spacing w:line="20" w:lineRule="exact"/>
        <w:rPr>
          <w:rFonts w:hint="eastAsia" w:ascii="仿宋_GB2312" w:eastAsia="仿宋_GB2312" w:cs="宋体"/>
          <w:sz w:val="28"/>
          <w:szCs w:val="28"/>
          <w:u w:val="thick"/>
        </w:rPr>
      </w:pPr>
    </w:p>
    <w:p w14:paraId="520A3935">
      <w:pPr>
        <w:pStyle w:val="14"/>
        <w:spacing w:line="20" w:lineRule="exact"/>
        <w:rPr>
          <w:rFonts w:hint="eastAsia" w:ascii="仿宋_GB2312" w:eastAsia="仿宋_GB2312" w:cs="宋体"/>
          <w:sz w:val="28"/>
          <w:szCs w:val="28"/>
          <w:u w:val="thick"/>
        </w:rPr>
      </w:pPr>
    </w:p>
    <w:p w14:paraId="23E79DB3">
      <w:pPr>
        <w:pStyle w:val="14"/>
        <w:spacing w:line="20" w:lineRule="exact"/>
        <w:rPr>
          <w:rFonts w:hint="eastAsia" w:ascii="仿宋_GB2312" w:eastAsia="仿宋_GB2312" w:cs="宋体"/>
          <w:sz w:val="28"/>
          <w:szCs w:val="28"/>
          <w:u w:val="thick"/>
        </w:rPr>
      </w:pPr>
    </w:p>
    <w:p w14:paraId="4E0DAF17">
      <w:pPr>
        <w:pStyle w:val="14"/>
        <w:spacing w:line="20" w:lineRule="exact"/>
        <w:rPr>
          <w:rFonts w:hint="eastAsia" w:ascii="仿宋_GB2312" w:eastAsia="仿宋_GB2312" w:cs="宋体"/>
          <w:sz w:val="28"/>
          <w:szCs w:val="28"/>
          <w:u w:val="thick"/>
        </w:rPr>
      </w:pPr>
    </w:p>
    <w:p w14:paraId="2492D7A3">
      <w:pPr>
        <w:pStyle w:val="14"/>
        <w:spacing w:line="20" w:lineRule="exact"/>
        <w:rPr>
          <w:rFonts w:hint="eastAsia" w:ascii="仿宋_GB2312" w:eastAsia="仿宋_GB2312" w:cs="宋体"/>
          <w:sz w:val="28"/>
          <w:szCs w:val="28"/>
          <w:u w:val="thick"/>
        </w:rPr>
      </w:pPr>
    </w:p>
    <w:p w14:paraId="3982A638">
      <w:pPr>
        <w:rPr>
          <w:szCs w:val="28"/>
        </w:rPr>
      </w:pPr>
    </w:p>
    <w:sectPr>
      <w:footerReference r:id="rId3" w:type="default"/>
      <w:footerReference r:id="rId4" w:type="even"/>
      <w:pgSz w:w="11907" w:h="16840"/>
      <w:pgMar w:top="2098" w:right="1474" w:bottom="1985" w:left="1588"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07B4A5-B16D-443E-ACB5-BEA56746C8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embedRegular r:id="rId2" w:fontKey="{3D9CC7BA-65F9-4702-8241-76E4C3CF9938}"/>
  </w:font>
  <w:font w:name="仿宋">
    <w:panose1 w:val="02010609060101010101"/>
    <w:charset w:val="86"/>
    <w:family w:val="modern"/>
    <w:pitch w:val="default"/>
    <w:sig w:usb0="800002BF" w:usb1="38CF7CFA" w:usb2="00000016" w:usb3="00000000" w:csb0="00040001" w:csb1="00000000"/>
    <w:embedRegular r:id="rId3" w:fontKey="{9AFB0B61-A383-4927-A16D-67F316FCE028}"/>
  </w:font>
  <w:font w:name="楷体_GB2312">
    <w:altName w:val="楷体"/>
    <w:panose1 w:val="02010609030101010101"/>
    <w:charset w:val="86"/>
    <w:family w:val="modern"/>
    <w:pitch w:val="default"/>
    <w:sig w:usb0="00000000" w:usb1="00000000" w:usb2="00000000" w:usb3="00000000" w:csb0="00040000" w:csb1="00000000"/>
    <w:embedRegular r:id="rId4" w:fontKey="{951DDD6A-41FC-4028-B3B7-AE30A9A4E7A6}"/>
  </w:font>
  <w:font w:name="楷体">
    <w:panose1 w:val="02010609060101010101"/>
    <w:charset w:val="86"/>
    <w:family w:val="modern"/>
    <w:pitch w:val="default"/>
    <w:sig w:usb0="800002BF" w:usb1="38CF7CFA" w:usb2="00000016" w:usb3="00000000" w:csb0="00040001" w:csb1="00000000"/>
    <w:embedRegular r:id="rId5" w:fontKey="{570483E9-4C46-41FE-A2D8-BA7C7AE1A049}"/>
  </w:font>
  <w:font w:name="方正小标宋_GBK">
    <w:altName w:val="方正小标宋_GBK"/>
    <w:panose1 w:val="02000000000000000000"/>
    <w:charset w:val="86"/>
    <w:family w:val="script"/>
    <w:pitch w:val="default"/>
    <w:sig w:usb0="A00002BF" w:usb1="38CF7CFA" w:usb2="00082016" w:usb3="00000000" w:csb0="00040001" w:csb1="00000000"/>
    <w:embedRegular r:id="rId6" w:fontKey="{E7B24C69-E7F8-427D-938E-19E27B1BF94E}"/>
  </w:font>
  <w:font w:name="TimesNewRoman">
    <w:altName w:val="宋体"/>
    <w:panose1 w:val="02010600030101010101"/>
    <w:charset w:val="86"/>
    <w:family w:val="auto"/>
    <w:pitch w:val="default"/>
    <w:sig w:usb0="00000000" w:usb1="00000000" w:usb2="00000006" w:usb3="00000000" w:csb0="00040001" w:csb1="00000000"/>
    <w:embedRegular r:id="rId7" w:fontKey="{6674BC6A-0A81-4D95-8F3F-DA5A909D9CF9}"/>
  </w:font>
  <w:font w:name="方正小标宋简体">
    <w:altName w:val="方正小标宋简体"/>
    <w:panose1 w:val="00000600000000000000"/>
    <w:charset w:val="86"/>
    <w:family w:val="auto"/>
    <w:pitch w:val="default"/>
    <w:sig w:usb0="800002BF" w:usb1="184F6CF8" w:usb2="00000012" w:usb3="00000000" w:csb0="00160001" w:csb1="12030000"/>
    <w:embedRegular r:id="rId8" w:fontKey="{F1D4FD37-ECC4-4B41-BE33-BF383489A4A6}"/>
  </w:font>
  <w:font w:name="汉仪中秀体简">
    <w:altName w:val="微软雅黑"/>
    <w:panose1 w:val="02010600030101010101"/>
    <w:charset w:val="86"/>
    <w:family w:val="auto"/>
    <w:pitch w:val="default"/>
    <w:sig w:usb0="00000000" w:usb1="00000000" w:usb2="00000006" w:usb3="00000000" w:csb0="00040001" w:csb1="00000000"/>
    <w:embedRegular r:id="rId9" w:fontKey="{E31F5DC3-A982-455C-B1F8-8972EB6B6C7C}"/>
  </w:font>
  <w:font w:name="微软雅黑">
    <w:panose1 w:val="020B0503020204020204"/>
    <w:charset w:val="86"/>
    <w:family w:val="auto"/>
    <w:pitch w:val="default"/>
    <w:sig w:usb0="80000287" w:usb1="2ACF3C50" w:usb2="00000016" w:usb3="00000000" w:csb0="0004001F" w:csb1="00000000"/>
  </w:font>
  <w:font w:name="WPSEMBED14">
    <w:panose1 w:val="02000000000000000000"/>
    <w:charset w:val="86"/>
    <w:family w:val="auto"/>
    <w:pitch w:val="default"/>
    <w:sig w:usb0="A00002BF" w:usb1="38CF7CFA" w:usb2="00082016" w:usb3="00000000" w:csb0="00040001" w:csb1="00000000"/>
  </w:font>
  <w:font w:name="WPSEMBED15">
    <w:panose1 w:val="00000600000000000000"/>
    <w:charset w:val="86"/>
    <w:family w:val="auto"/>
    <w:pitch w:val="default"/>
    <w:sig w:usb0="800002BF" w:usb1="184F6CF8" w:usb2="00000012" w:usb3="00000000" w:csb0="00160001" w:csb1="1203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63945">
    <w:pPr>
      <w:pStyle w:val="1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27</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14F38F4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A1BD4">
    <w:pPr>
      <w:pStyle w:val="1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28</w:t>
    </w:r>
    <w:r>
      <w:rPr>
        <w:rFonts w:hint="eastAsia" w:ascii="宋体" w:hAnsi="宋体"/>
        <w:sz w:val="28"/>
        <w:szCs w:val="28"/>
      </w:rPr>
      <w:fldChar w:fldCharType="end"/>
    </w:r>
    <w:r>
      <w:rPr>
        <w:rFonts w:hint="eastAsia" w:ascii="宋体" w:hAnsi="宋体"/>
        <w:sz w:val="28"/>
        <w:szCs w:val="28"/>
      </w:rPr>
      <w:t xml:space="preserve"> —</w:t>
    </w:r>
  </w:p>
  <w:p w14:paraId="7535884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BFCC"/>
    <w:multiLevelType w:val="singleLevel"/>
    <w:tmpl w:val="D3A4BFCC"/>
    <w:lvl w:ilvl="0" w:tentative="0">
      <w:start w:val="1"/>
      <w:numFmt w:val="chineseCounting"/>
      <w:suff w:val="nothing"/>
      <w:lvlText w:val="（%1）"/>
      <w:lvlJc w:val="left"/>
      <w:rPr>
        <w:rFonts w:hint="eastAsia"/>
      </w:rPr>
    </w:lvl>
  </w:abstractNum>
  <w:abstractNum w:abstractNumId="1">
    <w:nsid w:val="D884CAF5"/>
    <w:multiLevelType w:val="singleLevel"/>
    <w:tmpl w:val="D884CAF5"/>
    <w:lvl w:ilvl="0" w:tentative="0">
      <w:start w:val="1"/>
      <w:numFmt w:val="chineseCounting"/>
      <w:suff w:val="nothing"/>
      <w:lvlText w:val="（%1）"/>
      <w:lvlJc w:val="left"/>
      <w:rPr>
        <w:rFonts w:hint="eastAsia"/>
      </w:rPr>
    </w:lvl>
  </w:abstractNum>
  <w:abstractNum w:abstractNumId="2">
    <w:nsid w:val="34ECF7BC"/>
    <w:multiLevelType w:val="singleLevel"/>
    <w:tmpl w:val="34ECF7BC"/>
    <w:lvl w:ilvl="0" w:tentative="0">
      <w:start w:val="1"/>
      <w:numFmt w:val="chineseCounting"/>
      <w:suff w:val="nothing"/>
      <w:lvlText w:val="（%1）"/>
      <w:lvlJc w:val="left"/>
      <w:rPr>
        <w:rFonts w:hint="eastAsia"/>
      </w:rPr>
    </w:lvl>
  </w:abstractNum>
  <w:abstractNum w:abstractNumId="3">
    <w:nsid w:val="63519C86"/>
    <w:multiLevelType w:val="singleLevel"/>
    <w:tmpl w:val="63519C86"/>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E3F"/>
    <w:rsid w:val="0000232A"/>
    <w:rsid w:val="00010698"/>
    <w:rsid w:val="00015EBA"/>
    <w:rsid w:val="00016C9C"/>
    <w:rsid w:val="00017D67"/>
    <w:rsid w:val="00024256"/>
    <w:rsid w:val="00027E92"/>
    <w:rsid w:val="0004045B"/>
    <w:rsid w:val="00047204"/>
    <w:rsid w:val="00054053"/>
    <w:rsid w:val="000641D7"/>
    <w:rsid w:val="00067428"/>
    <w:rsid w:val="000816DB"/>
    <w:rsid w:val="000826B6"/>
    <w:rsid w:val="000856A0"/>
    <w:rsid w:val="00090C2B"/>
    <w:rsid w:val="000929BA"/>
    <w:rsid w:val="000A2CBC"/>
    <w:rsid w:val="000A7B8C"/>
    <w:rsid w:val="000B27D8"/>
    <w:rsid w:val="000C2198"/>
    <w:rsid w:val="000C2532"/>
    <w:rsid w:val="000E6A6B"/>
    <w:rsid w:val="000F1F41"/>
    <w:rsid w:val="000F4C68"/>
    <w:rsid w:val="001025DC"/>
    <w:rsid w:val="001041A9"/>
    <w:rsid w:val="00106094"/>
    <w:rsid w:val="001076D0"/>
    <w:rsid w:val="00114B22"/>
    <w:rsid w:val="00115FA0"/>
    <w:rsid w:val="001172E4"/>
    <w:rsid w:val="0013208E"/>
    <w:rsid w:val="0013671C"/>
    <w:rsid w:val="00147333"/>
    <w:rsid w:val="001521AF"/>
    <w:rsid w:val="001542E6"/>
    <w:rsid w:val="001645F9"/>
    <w:rsid w:val="00166D42"/>
    <w:rsid w:val="00173919"/>
    <w:rsid w:val="0018379A"/>
    <w:rsid w:val="00183A3A"/>
    <w:rsid w:val="00184793"/>
    <w:rsid w:val="00184BAF"/>
    <w:rsid w:val="00185520"/>
    <w:rsid w:val="00195B5B"/>
    <w:rsid w:val="001978B4"/>
    <w:rsid w:val="001A3D2A"/>
    <w:rsid w:val="001A52C2"/>
    <w:rsid w:val="001B03C4"/>
    <w:rsid w:val="001B223C"/>
    <w:rsid w:val="001B694E"/>
    <w:rsid w:val="001C6A11"/>
    <w:rsid w:val="001D4D10"/>
    <w:rsid w:val="001D4E96"/>
    <w:rsid w:val="001D727A"/>
    <w:rsid w:val="001E0044"/>
    <w:rsid w:val="001E35D2"/>
    <w:rsid w:val="002049B3"/>
    <w:rsid w:val="00207369"/>
    <w:rsid w:val="00215700"/>
    <w:rsid w:val="0022408D"/>
    <w:rsid w:val="00233F27"/>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EB7"/>
    <w:rsid w:val="002946DB"/>
    <w:rsid w:val="002960DD"/>
    <w:rsid w:val="002A19D9"/>
    <w:rsid w:val="002A4A87"/>
    <w:rsid w:val="002A51B7"/>
    <w:rsid w:val="002A65E2"/>
    <w:rsid w:val="002A6E75"/>
    <w:rsid w:val="002A6EDB"/>
    <w:rsid w:val="002A7EA6"/>
    <w:rsid w:val="002B2A8E"/>
    <w:rsid w:val="002B6771"/>
    <w:rsid w:val="002C23C3"/>
    <w:rsid w:val="002D3200"/>
    <w:rsid w:val="002E18B1"/>
    <w:rsid w:val="002E1C6C"/>
    <w:rsid w:val="002E5B2B"/>
    <w:rsid w:val="002E64D6"/>
    <w:rsid w:val="00304917"/>
    <w:rsid w:val="00306E22"/>
    <w:rsid w:val="00307133"/>
    <w:rsid w:val="00310D47"/>
    <w:rsid w:val="003232F6"/>
    <w:rsid w:val="00327655"/>
    <w:rsid w:val="003278E6"/>
    <w:rsid w:val="00331A28"/>
    <w:rsid w:val="00331E02"/>
    <w:rsid w:val="0034225D"/>
    <w:rsid w:val="003455BC"/>
    <w:rsid w:val="0034617D"/>
    <w:rsid w:val="00350088"/>
    <w:rsid w:val="003503B4"/>
    <w:rsid w:val="00352D7E"/>
    <w:rsid w:val="00353046"/>
    <w:rsid w:val="00354FB8"/>
    <w:rsid w:val="00360A44"/>
    <w:rsid w:val="00361598"/>
    <w:rsid w:val="00362A04"/>
    <w:rsid w:val="003713E8"/>
    <w:rsid w:val="00373B39"/>
    <w:rsid w:val="00386720"/>
    <w:rsid w:val="0039221C"/>
    <w:rsid w:val="00392C9C"/>
    <w:rsid w:val="003932D0"/>
    <w:rsid w:val="003A14CA"/>
    <w:rsid w:val="003A7581"/>
    <w:rsid w:val="003B58A1"/>
    <w:rsid w:val="003B68D1"/>
    <w:rsid w:val="003B6CDE"/>
    <w:rsid w:val="003B6E7A"/>
    <w:rsid w:val="003C37B6"/>
    <w:rsid w:val="003C63E5"/>
    <w:rsid w:val="003D75D1"/>
    <w:rsid w:val="003D7D24"/>
    <w:rsid w:val="003E47AD"/>
    <w:rsid w:val="003F135D"/>
    <w:rsid w:val="003F7095"/>
    <w:rsid w:val="003F72F2"/>
    <w:rsid w:val="0040512A"/>
    <w:rsid w:val="00405642"/>
    <w:rsid w:val="00405DFC"/>
    <w:rsid w:val="004068BA"/>
    <w:rsid w:val="00415D0F"/>
    <w:rsid w:val="0041651B"/>
    <w:rsid w:val="00431628"/>
    <w:rsid w:val="004330AB"/>
    <w:rsid w:val="00434B9B"/>
    <w:rsid w:val="00437DD1"/>
    <w:rsid w:val="0044132D"/>
    <w:rsid w:val="00452C1A"/>
    <w:rsid w:val="00456DE2"/>
    <w:rsid w:val="00460261"/>
    <w:rsid w:val="00471E18"/>
    <w:rsid w:val="00474D75"/>
    <w:rsid w:val="00477779"/>
    <w:rsid w:val="004900A3"/>
    <w:rsid w:val="00490D5D"/>
    <w:rsid w:val="00492453"/>
    <w:rsid w:val="00496864"/>
    <w:rsid w:val="004A4500"/>
    <w:rsid w:val="004A4AE8"/>
    <w:rsid w:val="004C09F0"/>
    <w:rsid w:val="004C2239"/>
    <w:rsid w:val="004C5C63"/>
    <w:rsid w:val="004D0512"/>
    <w:rsid w:val="004D3F38"/>
    <w:rsid w:val="004E05B6"/>
    <w:rsid w:val="004E27FD"/>
    <w:rsid w:val="004E2E7B"/>
    <w:rsid w:val="004E3E03"/>
    <w:rsid w:val="004E40B8"/>
    <w:rsid w:val="004E678E"/>
    <w:rsid w:val="004E738E"/>
    <w:rsid w:val="004E7C81"/>
    <w:rsid w:val="004F0D61"/>
    <w:rsid w:val="004F172C"/>
    <w:rsid w:val="004F3FC0"/>
    <w:rsid w:val="004F5F37"/>
    <w:rsid w:val="00500381"/>
    <w:rsid w:val="005007CB"/>
    <w:rsid w:val="00501118"/>
    <w:rsid w:val="00506D43"/>
    <w:rsid w:val="00507DC4"/>
    <w:rsid w:val="0052516D"/>
    <w:rsid w:val="00526D8B"/>
    <w:rsid w:val="00527A10"/>
    <w:rsid w:val="00530C6C"/>
    <w:rsid w:val="0053317E"/>
    <w:rsid w:val="00533F3F"/>
    <w:rsid w:val="005360CA"/>
    <w:rsid w:val="005378ED"/>
    <w:rsid w:val="00543CF0"/>
    <w:rsid w:val="00544A04"/>
    <w:rsid w:val="005458A5"/>
    <w:rsid w:val="00551CF0"/>
    <w:rsid w:val="00552B1D"/>
    <w:rsid w:val="00555658"/>
    <w:rsid w:val="005608ED"/>
    <w:rsid w:val="005616E9"/>
    <w:rsid w:val="005643DB"/>
    <w:rsid w:val="00564A24"/>
    <w:rsid w:val="00565E35"/>
    <w:rsid w:val="00571EB4"/>
    <w:rsid w:val="00574E9F"/>
    <w:rsid w:val="00580F5C"/>
    <w:rsid w:val="005913A3"/>
    <w:rsid w:val="00597E64"/>
    <w:rsid w:val="005A58BE"/>
    <w:rsid w:val="005B288C"/>
    <w:rsid w:val="005B32C2"/>
    <w:rsid w:val="005B4A39"/>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286C"/>
    <w:rsid w:val="00623B7D"/>
    <w:rsid w:val="00632793"/>
    <w:rsid w:val="0063671C"/>
    <w:rsid w:val="00636F19"/>
    <w:rsid w:val="0064175E"/>
    <w:rsid w:val="0064211F"/>
    <w:rsid w:val="00644C2E"/>
    <w:rsid w:val="00652A7F"/>
    <w:rsid w:val="006539FD"/>
    <w:rsid w:val="00661556"/>
    <w:rsid w:val="00662384"/>
    <w:rsid w:val="00666478"/>
    <w:rsid w:val="00667DDC"/>
    <w:rsid w:val="00670EA3"/>
    <w:rsid w:val="0067147D"/>
    <w:rsid w:val="00674D75"/>
    <w:rsid w:val="006808D8"/>
    <w:rsid w:val="006865D6"/>
    <w:rsid w:val="0069149A"/>
    <w:rsid w:val="00691FB3"/>
    <w:rsid w:val="00696C1F"/>
    <w:rsid w:val="006A4913"/>
    <w:rsid w:val="006B2DFD"/>
    <w:rsid w:val="006B62CE"/>
    <w:rsid w:val="006B7323"/>
    <w:rsid w:val="006C2608"/>
    <w:rsid w:val="006C4FBF"/>
    <w:rsid w:val="006C5F43"/>
    <w:rsid w:val="006C6981"/>
    <w:rsid w:val="006D6310"/>
    <w:rsid w:val="006D710E"/>
    <w:rsid w:val="006E1868"/>
    <w:rsid w:val="006E2099"/>
    <w:rsid w:val="006F39F8"/>
    <w:rsid w:val="006F7761"/>
    <w:rsid w:val="00701217"/>
    <w:rsid w:val="00705D45"/>
    <w:rsid w:val="00706BA7"/>
    <w:rsid w:val="00712917"/>
    <w:rsid w:val="00713712"/>
    <w:rsid w:val="0072528F"/>
    <w:rsid w:val="00725F6A"/>
    <w:rsid w:val="007270A9"/>
    <w:rsid w:val="00730690"/>
    <w:rsid w:val="007312A1"/>
    <w:rsid w:val="007322F0"/>
    <w:rsid w:val="0073320F"/>
    <w:rsid w:val="00735D3A"/>
    <w:rsid w:val="00736E25"/>
    <w:rsid w:val="007420C1"/>
    <w:rsid w:val="00744B44"/>
    <w:rsid w:val="0074527F"/>
    <w:rsid w:val="00760F8D"/>
    <w:rsid w:val="00763AE0"/>
    <w:rsid w:val="00765CCF"/>
    <w:rsid w:val="00767EC7"/>
    <w:rsid w:val="00771F64"/>
    <w:rsid w:val="0077216F"/>
    <w:rsid w:val="00773599"/>
    <w:rsid w:val="00775C90"/>
    <w:rsid w:val="00775E5A"/>
    <w:rsid w:val="00781F28"/>
    <w:rsid w:val="00783B2D"/>
    <w:rsid w:val="00787CA8"/>
    <w:rsid w:val="00795685"/>
    <w:rsid w:val="00795F52"/>
    <w:rsid w:val="007A1AB1"/>
    <w:rsid w:val="007A5B40"/>
    <w:rsid w:val="007B3D43"/>
    <w:rsid w:val="007B4FE4"/>
    <w:rsid w:val="007C1C69"/>
    <w:rsid w:val="007C3052"/>
    <w:rsid w:val="007C667B"/>
    <w:rsid w:val="007C7F71"/>
    <w:rsid w:val="007D5300"/>
    <w:rsid w:val="007E1FD8"/>
    <w:rsid w:val="007E3448"/>
    <w:rsid w:val="007E3E29"/>
    <w:rsid w:val="007E7BB1"/>
    <w:rsid w:val="007F4B6A"/>
    <w:rsid w:val="007F70F2"/>
    <w:rsid w:val="007F7831"/>
    <w:rsid w:val="00801518"/>
    <w:rsid w:val="00803279"/>
    <w:rsid w:val="00804E3F"/>
    <w:rsid w:val="00807C87"/>
    <w:rsid w:val="00810FC9"/>
    <w:rsid w:val="00815327"/>
    <w:rsid w:val="00815BCC"/>
    <w:rsid w:val="00815E0F"/>
    <w:rsid w:val="00820A39"/>
    <w:rsid w:val="00826B4D"/>
    <w:rsid w:val="0084035D"/>
    <w:rsid w:val="00842BED"/>
    <w:rsid w:val="00844C50"/>
    <w:rsid w:val="008477B8"/>
    <w:rsid w:val="008609B4"/>
    <w:rsid w:val="00860D5D"/>
    <w:rsid w:val="00862924"/>
    <w:rsid w:val="0086779B"/>
    <w:rsid w:val="00876B5D"/>
    <w:rsid w:val="008812EC"/>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901239"/>
    <w:rsid w:val="009040A7"/>
    <w:rsid w:val="00907320"/>
    <w:rsid w:val="00907A80"/>
    <w:rsid w:val="00907E2D"/>
    <w:rsid w:val="00914521"/>
    <w:rsid w:val="00921E57"/>
    <w:rsid w:val="00923EB2"/>
    <w:rsid w:val="00924A9C"/>
    <w:rsid w:val="00926DBC"/>
    <w:rsid w:val="00932009"/>
    <w:rsid w:val="00934481"/>
    <w:rsid w:val="0093613D"/>
    <w:rsid w:val="00941B09"/>
    <w:rsid w:val="0094235F"/>
    <w:rsid w:val="00952B0B"/>
    <w:rsid w:val="00955EC9"/>
    <w:rsid w:val="00961DC4"/>
    <w:rsid w:val="00961E01"/>
    <w:rsid w:val="009675AD"/>
    <w:rsid w:val="00967FB2"/>
    <w:rsid w:val="009736DA"/>
    <w:rsid w:val="009753FE"/>
    <w:rsid w:val="009768EE"/>
    <w:rsid w:val="0097694A"/>
    <w:rsid w:val="00984E06"/>
    <w:rsid w:val="00985A51"/>
    <w:rsid w:val="009876FB"/>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6863"/>
    <w:rsid w:val="009F6B49"/>
    <w:rsid w:val="00A0050D"/>
    <w:rsid w:val="00A10BF4"/>
    <w:rsid w:val="00A11F4A"/>
    <w:rsid w:val="00A12074"/>
    <w:rsid w:val="00A126B0"/>
    <w:rsid w:val="00A142B3"/>
    <w:rsid w:val="00A21044"/>
    <w:rsid w:val="00A2325B"/>
    <w:rsid w:val="00A2431A"/>
    <w:rsid w:val="00A26D82"/>
    <w:rsid w:val="00A2782E"/>
    <w:rsid w:val="00A3573F"/>
    <w:rsid w:val="00A37D1F"/>
    <w:rsid w:val="00A41F93"/>
    <w:rsid w:val="00A448FA"/>
    <w:rsid w:val="00A46BA4"/>
    <w:rsid w:val="00A46D60"/>
    <w:rsid w:val="00A66634"/>
    <w:rsid w:val="00A76E4C"/>
    <w:rsid w:val="00A77491"/>
    <w:rsid w:val="00A83F75"/>
    <w:rsid w:val="00A84406"/>
    <w:rsid w:val="00A84E58"/>
    <w:rsid w:val="00A90719"/>
    <w:rsid w:val="00A93DE5"/>
    <w:rsid w:val="00AA57F6"/>
    <w:rsid w:val="00AB0625"/>
    <w:rsid w:val="00AB1310"/>
    <w:rsid w:val="00AB2A85"/>
    <w:rsid w:val="00AB3C90"/>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2142B"/>
    <w:rsid w:val="00B2273C"/>
    <w:rsid w:val="00B23A99"/>
    <w:rsid w:val="00B30E40"/>
    <w:rsid w:val="00B323B5"/>
    <w:rsid w:val="00B41B79"/>
    <w:rsid w:val="00B43C4B"/>
    <w:rsid w:val="00B50700"/>
    <w:rsid w:val="00B50DB7"/>
    <w:rsid w:val="00B526C5"/>
    <w:rsid w:val="00B53B9A"/>
    <w:rsid w:val="00B612F0"/>
    <w:rsid w:val="00B61833"/>
    <w:rsid w:val="00B634BE"/>
    <w:rsid w:val="00B670CA"/>
    <w:rsid w:val="00B72578"/>
    <w:rsid w:val="00B7330A"/>
    <w:rsid w:val="00B76C32"/>
    <w:rsid w:val="00B84855"/>
    <w:rsid w:val="00B94554"/>
    <w:rsid w:val="00B945A9"/>
    <w:rsid w:val="00BA120C"/>
    <w:rsid w:val="00BA25FD"/>
    <w:rsid w:val="00BC4BC9"/>
    <w:rsid w:val="00BC76D2"/>
    <w:rsid w:val="00BC7C40"/>
    <w:rsid w:val="00BD2C60"/>
    <w:rsid w:val="00BE0161"/>
    <w:rsid w:val="00BE20E9"/>
    <w:rsid w:val="00BE6343"/>
    <w:rsid w:val="00BE7764"/>
    <w:rsid w:val="00BF1E9B"/>
    <w:rsid w:val="00BF744A"/>
    <w:rsid w:val="00C02B47"/>
    <w:rsid w:val="00C13D24"/>
    <w:rsid w:val="00C17CCE"/>
    <w:rsid w:val="00C2319C"/>
    <w:rsid w:val="00C23C2F"/>
    <w:rsid w:val="00C24169"/>
    <w:rsid w:val="00C24F93"/>
    <w:rsid w:val="00C27BE1"/>
    <w:rsid w:val="00C30FC5"/>
    <w:rsid w:val="00C4309A"/>
    <w:rsid w:val="00C44F2A"/>
    <w:rsid w:val="00C47394"/>
    <w:rsid w:val="00C5040A"/>
    <w:rsid w:val="00C55735"/>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C650B"/>
    <w:rsid w:val="00CD2A13"/>
    <w:rsid w:val="00CD7A85"/>
    <w:rsid w:val="00CE0214"/>
    <w:rsid w:val="00CE6C7E"/>
    <w:rsid w:val="00CE6E4F"/>
    <w:rsid w:val="00CF17E0"/>
    <w:rsid w:val="00CF2FF7"/>
    <w:rsid w:val="00CF3582"/>
    <w:rsid w:val="00CF4E72"/>
    <w:rsid w:val="00CF51ED"/>
    <w:rsid w:val="00D02B1E"/>
    <w:rsid w:val="00D12260"/>
    <w:rsid w:val="00D2422B"/>
    <w:rsid w:val="00D330E8"/>
    <w:rsid w:val="00D35ABC"/>
    <w:rsid w:val="00D442E3"/>
    <w:rsid w:val="00D44E68"/>
    <w:rsid w:val="00D47DD0"/>
    <w:rsid w:val="00D52856"/>
    <w:rsid w:val="00D54164"/>
    <w:rsid w:val="00D61080"/>
    <w:rsid w:val="00D62E29"/>
    <w:rsid w:val="00D67F8D"/>
    <w:rsid w:val="00D70FE4"/>
    <w:rsid w:val="00D718D2"/>
    <w:rsid w:val="00D71E88"/>
    <w:rsid w:val="00D72E25"/>
    <w:rsid w:val="00D767F3"/>
    <w:rsid w:val="00D81AB3"/>
    <w:rsid w:val="00D8250E"/>
    <w:rsid w:val="00D82C41"/>
    <w:rsid w:val="00D91B0E"/>
    <w:rsid w:val="00D9215E"/>
    <w:rsid w:val="00D92A4C"/>
    <w:rsid w:val="00D93242"/>
    <w:rsid w:val="00D96B59"/>
    <w:rsid w:val="00DB21EA"/>
    <w:rsid w:val="00DB4B2F"/>
    <w:rsid w:val="00DB5D52"/>
    <w:rsid w:val="00DB5E06"/>
    <w:rsid w:val="00DC0935"/>
    <w:rsid w:val="00DC0AC4"/>
    <w:rsid w:val="00DC1908"/>
    <w:rsid w:val="00DD0B73"/>
    <w:rsid w:val="00DD103A"/>
    <w:rsid w:val="00DD145F"/>
    <w:rsid w:val="00DD1F7E"/>
    <w:rsid w:val="00DD4A6C"/>
    <w:rsid w:val="00DD7134"/>
    <w:rsid w:val="00DD71EA"/>
    <w:rsid w:val="00DD782C"/>
    <w:rsid w:val="00DE0D0C"/>
    <w:rsid w:val="00DE3FE8"/>
    <w:rsid w:val="00DE7F40"/>
    <w:rsid w:val="00E006E2"/>
    <w:rsid w:val="00E00C36"/>
    <w:rsid w:val="00E00CD7"/>
    <w:rsid w:val="00E026E6"/>
    <w:rsid w:val="00E03ADB"/>
    <w:rsid w:val="00E0749F"/>
    <w:rsid w:val="00E13891"/>
    <w:rsid w:val="00E13A67"/>
    <w:rsid w:val="00E14A7A"/>
    <w:rsid w:val="00E250DD"/>
    <w:rsid w:val="00E256D4"/>
    <w:rsid w:val="00E37D65"/>
    <w:rsid w:val="00E43D5E"/>
    <w:rsid w:val="00E46255"/>
    <w:rsid w:val="00E51281"/>
    <w:rsid w:val="00E51A8A"/>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B6931"/>
    <w:rsid w:val="00EC3ABB"/>
    <w:rsid w:val="00EC6ABC"/>
    <w:rsid w:val="00EC6CA7"/>
    <w:rsid w:val="00ED6336"/>
    <w:rsid w:val="00EE4330"/>
    <w:rsid w:val="00EE58CE"/>
    <w:rsid w:val="00EF0FB6"/>
    <w:rsid w:val="00EF361A"/>
    <w:rsid w:val="00EF6645"/>
    <w:rsid w:val="00EF7F92"/>
    <w:rsid w:val="00F0001B"/>
    <w:rsid w:val="00F01B3E"/>
    <w:rsid w:val="00F02567"/>
    <w:rsid w:val="00F028DD"/>
    <w:rsid w:val="00F02B6C"/>
    <w:rsid w:val="00F0667C"/>
    <w:rsid w:val="00F10CFE"/>
    <w:rsid w:val="00F14E50"/>
    <w:rsid w:val="00F16850"/>
    <w:rsid w:val="00F172EC"/>
    <w:rsid w:val="00F2579A"/>
    <w:rsid w:val="00F264E5"/>
    <w:rsid w:val="00F2680D"/>
    <w:rsid w:val="00F30A52"/>
    <w:rsid w:val="00F33284"/>
    <w:rsid w:val="00F348D3"/>
    <w:rsid w:val="00F42506"/>
    <w:rsid w:val="00F458A1"/>
    <w:rsid w:val="00F4792A"/>
    <w:rsid w:val="00F51C68"/>
    <w:rsid w:val="00F748D9"/>
    <w:rsid w:val="00F754F3"/>
    <w:rsid w:val="00F775C5"/>
    <w:rsid w:val="00F815C2"/>
    <w:rsid w:val="00F87F0F"/>
    <w:rsid w:val="00FA74E1"/>
    <w:rsid w:val="00FB2A91"/>
    <w:rsid w:val="00FB65E4"/>
    <w:rsid w:val="00FB6873"/>
    <w:rsid w:val="00FB775C"/>
    <w:rsid w:val="00FD03E4"/>
    <w:rsid w:val="00FD0E19"/>
    <w:rsid w:val="00FD130E"/>
    <w:rsid w:val="00FD2C8D"/>
    <w:rsid w:val="00FE4249"/>
    <w:rsid w:val="00FE456A"/>
    <w:rsid w:val="00FE7FAA"/>
    <w:rsid w:val="00FF1061"/>
    <w:rsid w:val="00FF15CF"/>
    <w:rsid w:val="00FF272F"/>
    <w:rsid w:val="03DB00CF"/>
    <w:rsid w:val="0C433405"/>
    <w:rsid w:val="0E687CC3"/>
    <w:rsid w:val="122449C2"/>
    <w:rsid w:val="16502966"/>
    <w:rsid w:val="22C14D31"/>
    <w:rsid w:val="26772EBD"/>
    <w:rsid w:val="2F9F7C0D"/>
    <w:rsid w:val="40F63569"/>
    <w:rsid w:val="459A4484"/>
    <w:rsid w:val="4AEE10E6"/>
    <w:rsid w:val="4D1B576E"/>
    <w:rsid w:val="51DC6BCC"/>
    <w:rsid w:val="5B3052AD"/>
    <w:rsid w:val="5D9D272E"/>
    <w:rsid w:val="5ECD0CB3"/>
    <w:rsid w:val="64B72DDB"/>
    <w:rsid w:val="67DD2D7C"/>
    <w:rsid w:val="68AC7B62"/>
    <w:rsid w:val="7C5B52AF"/>
    <w:rsid w:val="7D3C673B"/>
    <w:rsid w:val="7F963C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line="576" w:lineRule="auto"/>
      <w:outlineLvl w:val="0"/>
    </w:pPr>
    <w:rPr>
      <w:rFonts w:ascii="Calibri" w:hAnsi="Calibri"/>
      <w:b/>
      <w:kern w:val="44"/>
      <w:sz w:val="44"/>
    </w:rPr>
  </w:style>
  <w:style w:type="paragraph" w:styleId="3">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Cs w:val="21"/>
    </w:rPr>
  </w:style>
  <w:style w:type="paragraph" w:styleId="6">
    <w:name w:val="Body Text"/>
    <w:basedOn w:val="1"/>
    <w:link w:val="25"/>
    <w:qFormat/>
    <w:uiPriority w:val="0"/>
    <w:pPr>
      <w:jc w:val="center"/>
    </w:pPr>
    <w:rPr>
      <w:rFonts w:eastAsia="黑体"/>
      <w:sz w:val="36"/>
      <w:szCs w:val="20"/>
    </w:rPr>
  </w:style>
  <w:style w:type="paragraph" w:styleId="7">
    <w:name w:val="Body Text Indent"/>
    <w:basedOn w:val="1"/>
    <w:next w:val="5"/>
    <w:link w:val="36"/>
    <w:qFormat/>
    <w:uiPriority w:val="0"/>
    <w:pPr>
      <w:spacing w:after="120"/>
      <w:ind w:left="420" w:leftChars="200"/>
    </w:pPr>
  </w:style>
  <w:style w:type="paragraph" w:styleId="8">
    <w:name w:val="Plain Text"/>
    <w:basedOn w:val="1"/>
    <w:link w:val="27"/>
    <w:qFormat/>
    <w:uiPriority w:val="0"/>
    <w:rPr>
      <w:rFonts w:ascii="宋体" w:hAnsi="Courier New"/>
    </w:rPr>
  </w:style>
  <w:style w:type="paragraph" w:styleId="9">
    <w:name w:val="Date"/>
    <w:basedOn w:val="1"/>
    <w:next w:val="1"/>
    <w:link w:val="28"/>
    <w:qFormat/>
    <w:uiPriority w:val="0"/>
    <w:pPr>
      <w:ind w:left="100" w:leftChars="2500"/>
    </w:pPr>
  </w:style>
  <w:style w:type="paragraph" w:styleId="10">
    <w:name w:val="Body Text Indent 2"/>
    <w:basedOn w:val="1"/>
    <w:link w:val="29"/>
    <w:qFormat/>
    <w:uiPriority w:val="0"/>
    <w:pPr>
      <w:spacing w:after="120" w:line="480" w:lineRule="auto"/>
      <w:ind w:left="420" w:leftChars="200"/>
    </w:pPr>
  </w:style>
  <w:style w:type="paragraph" w:styleId="11">
    <w:name w:val="Balloon Text"/>
    <w:basedOn w:val="1"/>
    <w:link w:val="30"/>
    <w:qFormat/>
    <w:uiPriority w:val="0"/>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4">
    <w:name w:val="footnote text"/>
    <w:basedOn w:val="1"/>
    <w:link w:val="33"/>
    <w:qFormat/>
    <w:uiPriority w:val="99"/>
    <w:pPr>
      <w:snapToGrid w:val="0"/>
      <w:jc w:val="left"/>
    </w:pPr>
    <w:rPr>
      <w:sz w:val="18"/>
      <w:szCs w:val="18"/>
    </w:rPr>
  </w:style>
  <w:style w:type="paragraph" w:styleId="15">
    <w:name w:val="Normal (Web)"/>
    <w:basedOn w:val="1"/>
    <w:qFormat/>
    <w:uiPriority w:val="0"/>
    <w:pPr>
      <w:spacing w:beforeAutospacing="1" w:afterAutospacing="1"/>
      <w:jc w:val="left"/>
    </w:pPr>
    <w:rPr>
      <w:rFonts w:ascii="Calibri" w:hAnsi="Calibri"/>
      <w:kern w:val="0"/>
      <w:sz w:val="24"/>
    </w:rPr>
  </w:style>
  <w:style w:type="paragraph" w:styleId="16">
    <w:name w:val="Body Text First Indent"/>
    <w:basedOn w:val="6"/>
    <w:link w:val="34"/>
    <w:qFormat/>
    <w:uiPriority w:val="0"/>
    <w:pPr>
      <w:spacing w:after="120"/>
      <w:ind w:firstLine="420" w:firstLineChars="100"/>
      <w:jc w:val="both"/>
    </w:pPr>
    <w:rPr>
      <w:rFonts w:eastAsia="宋体"/>
      <w:sz w:val="21"/>
      <w:szCs w:val="24"/>
    </w:rPr>
  </w:style>
  <w:style w:type="paragraph" w:styleId="17">
    <w:name w:val="Body Text First Indent 2"/>
    <w:basedOn w:val="7"/>
    <w:link w:val="35"/>
    <w:unhideWhenUsed/>
    <w:qFormat/>
    <w:uiPriority w:val="0"/>
    <w:pPr>
      <w:ind w:firstLine="420" w:firstLineChars="200"/>
    </w:pPr>
    <w:rPr>
      <w:rFonts w:ascii="Calibri" w:hAnsi="Calibri"/>
      <w:szCs w:val="22"/>
    </w:rPr>
  </w:style>
  <w:style w:type="character" w:styleId="20">
    <w:name w:val="Strong"/>
    <w:basedOn w:val="19"/>
    <w:qFormat/>
    <w:uiPriority w:val="0"/>
    <w:rPr>
      <w:b/>
      <w:bCs/>
    </w:rPr>
  </w:style>
  <w:style w:type="character" w:styleId="21">
    <w:name w:val="Hyperlink"/>
    <w:basedOn w:val="19"/>
    <w:qFormat/>
    <w:uiPriority w:val="0"/>
    <w:rPr>
      <w:color w:val="0000FF"/>
      <w:u w:val="single"/>
    </w:rPr>
  </w:style>
  <w:style w:type="character" w:customStyle="1" w:styleId="22">
    <w:name w:val="标题 1 Char"/>
    <w:basedOn w:val="19"/>
    <w:link w:val="2"/>
    <w:qFormat/>
    <w:uiPriority w:val="0"/>
    <w:rPr>
      <w:rFonts w:ascii="Calibri" w:hAnsi="Calibri" w:eastAsia="宋体" w:cs="Times New Roman"/>
      <w:b/>
      <w:kern w:val="44"/>
      <w:sz w:val="44"/>
      <w:szCs w:val="24"/>
    </w:rPr>
  </w:style>
  <w:style w:type="character" w:customStyle="1" w:styleId="23">
    <w:name w:val="标题 2 Char"/>
    <w:basedOn w:val="19"/>
    <w:link w:val="3"/>
    <w:semiHidden/>
    <w:qFormat/>
    <w:uiPriority w:val="0"/>
    <w:rPr>
      <w:rFonts w:ascii="Cambria" w:hAnsi="Cambria" w:eastAsia="宋体" w:cs="Times New Roman"/>
      <w:b/>
      <w:bCs/>
      <w:kern w:val="2"/>
      <w:sz w:val="32"/>
      <w:szCs w:val="32"/>
    </w:rPr>
  </w:style>
  <w:style w:type="character" w:customStyle="1" w:styleId="24">
    <w:name w:val="标题 3 Char"/>
    <w:basedOn w:val="19"/>
    <w:link w:val="4"/>
    <w:semiHidden/>
    <w:qFormat/>
    <w:uiPriority w:val="0"/>
    <w:rPr>
      <w:b/>
      <w:bCs/>
      <w:kern w:val="2"/>
      <w:sz w:val="32"/>
      <w:szCs w:val="32"/>
    </w:rPr>
  </w:style>
  <w:style w:type="character" w:customStyle="1" w:styleId="25">
    <w:name w:val="正文文本 Char"/>
    <w:basedOn w:val="19"/>
    <w:link w:val="6"/>
    <w:qFormat/>
    <w:uiPriority w:val="0"/>
    <w:rPr>
      <w:rFonts w:eastAsia="黑体"/>
      <w:kern w:val="2"/>
      <w:sz w:val="36"/>
    </w:rPr>
  </w:style>
  <w:style w:type="character" w:customStyle="1" w:styleId="26">
    <w:name w:val="正文文本缩进 Char"/>
    <w:basedOn w:val="19"/>
    <w:link w:val="7"/>
    <w:qFormat/>
    <w:uiPriority w:val="0"/>
    <w:rPr>
      <w:kern w:val="2"/>
      <w:sz w:val="21"/>
      <w:szCs w:val="24"/>
    </w:rPr>
  </w:style>
  <w:style w:type="character" w:customStyle="1" w:styleId="27">
    <w:name w:val="纯文本 Char"/>
    <w:basedOn w:val="19"/>
    <w:link w:val="8"/>
    <w:qFormat/>
    <w:uiPriority w:val="0"/>
    <w:rPr>
      <w:rFonts w:ascii="宋体" w:hAnsi="Courier New"/>
      <w:kern w:val="2"/>
      <w:sz w:val="21"/>
      <w:szCs w:val="24"/>
    </w:rPr>
  </w:style>
  <w:style w:type="character" w:customStyle="1" w:styleId="28">
    <w:name w:val="日期 Char"/>
    <w:basedOn w:val="19"/>
    <w:link w:val="9"/>
    <w:qFormat/>
    <w:uiPriority w:val="0"/>
    <w:rPr>
      <w:kern w:val="2"/>
      <w:sz w:val="21"/>
      <w:szCs w:val="24"/>
    </w:rPr>
  </w:style>
  <w:style w:type="character" w:customStyle="1" w:styleId="29">
    <w:name w:val="正文文本缩进 2 Char"/>
    <w:basedOn w:val="19"/>
    <w:link w:val="10"/>
    <w:qFormat/>
    <w:uiPriority w:val="0"/>
    <w:rPr>
      <w:kern w:val="2"/>
      <w:sz w:val="21"/>
      <w:szCs w:val="24"/>
    </w:rPr>
  </w:style>
  <w:style w:type="character" w:customStyle="1" w:styleId="30">
    <w:name w:val="批注框文本 Char"/>
    <w:basedOn w:val="19"/>
    <w:link w:val="11"/>
    <w:qFormat/>
    <w:uiPriority w:val="0"/>
    <w:rPr>
      <w:kern w:val="2"/>
      <w:sz w:val="18"/>
      <w:szCs w:val="18"/>
    </w:rPr>
  </w:style>
  <w:style w:type="character" w:customStyle="1" w:styleId="31">
    <w:name w:val="页脚 Char"/>
    <w:basedOn w:val="19"/>
    <w:link w:val="12"/>
    <w:qFormat/>
    <w:uiPriority w:val="99"/>
    <w:rPr>
      <w:kern w:val="2"/>
      <w:sz w:val="18"/>
      <w:szCs w:val="18"/>
    </w:rPr>
  </w:style>
  <w:style w:type="character" w:customStyle="1" w:styleId="32">
    <w:name w:val="页眉 Char"/>
    <w:basedOn w:val="19"/>
    <w:link w:val="13"/>
    <w:qFormat/>
    <w:uiPriority w:val="99"/>
    <w:rPr>
      <w:kern w:val="2"/>
      <w:sz w:val="18"/>
      <w:szCs w:val="18"/>
    </w:rPr>
  </w:style>
  <w:style w:type="character" w:customStyle="1" w:styleId="33">
    <w:name w:val="脚注文本 Char"/>
    <w:basedOn w:val="19"/>
    <w:link w:val="14"/>
    <w:qFormat/>
    <w:uiPriority w:val="99"/>
    <w:rPr>
      <w:kern w:val="2"/>
      <w:sz w:val="18"/>
      <w:szCs w:val="18"/>
    </w:rPr>
  </w:style>
  <w:style w:type="character" w:customStyle="1" w:styleId="34">
    <w:name w:val="正文首行缩进 Char"/>
    <w:basedOn w:val="25"/>
    <w:link w:val="16"/>
    <w:qFormat/>
    <w:uiPriority w:val="0"/>
    <w:rPr>
      <w:sz w:val="21"/>
      <w:szCs w:val="24"/>
    </w:rPr>
  </w:style>
  <w:style w:type="character" w:customStyle="1" w:styleId="35">
    <w:name w:val="正文首行缩进 2 Char"/>
    <w:basedOn w:val="26"/>
    <w:link w:val="17"/>
    <w:qFormat/>
    <w:uiPriority w:val="99"/>
    <w:rPr>
      <w:rFonts w:ascii="Calibri" w:hAnsi="Calibri"/>
      <w:szCs w:val="22"/>
    </w:rPr>
  </w:style>
  <w:style w:type="character" w:customStyle="1" w:styleId="36">
    <w:name w:val="正文文本缩进 Char1"/>
    <w:basedOn w:val="19"/>
    <w:link w:val="7"/>
    <w:qFormat/>
    <w:uiPriority w:val="0"/>
    <w:rPr>
      <w:kern w:val="2"/>
      <w:sz w:val="21"/>
      <w:szCs w:val="24"/>
    </w:rPr>
  </w:style>
  <w:style w:type="paragraph" w:customStyle="1" w:styleId="37">
    <w:name w:val="Heading 2"/>
    <w:basedOn w:val="1"/>
    <w:qFormat/>
    <w:uiPriority w:val="1"/>
    <w:pPr>
      <w:jc w:val="left"/>
      <w:outlineLvl w:val="2"/>
    </w:pPr>
    <w:rPr>
      <w:rFonts w:ascii="宋体" w:hAnsi="宋体"/>
      <w:kern w:val="0"/>
      <w:sz w:val="31"/>
      <w:szCs w:val="31"/>
      <w:lang w:eastAsia="en-US"/>
    </w:rPr>
  </w:style>
  <w:style w:type="paragraph" w:customStyle="1" w:styleId="38">
    <w:name w:val="Heading 1"/>
    <w:basedOn w:val="1"/>
    <w:qFormat/>
    <w:uiPriority w:val="1"/>
    <w:pPr>
      <w:spacing w:before="38"/>
      <w:ind w:left="118"/>
      <w:jc w:val="left"/>
      <w:outlineLvl w:val="1"/>
    </w:pPr>
    <w:rPr>
      <w:rFonts w:ascii="宋体" w:hAnsi="宋体"/>
      <w:kern w:val="0"/>
      <w:sz w:val="32"/>
      <w:szCs w:val="32"/>
      <w:lang w:eastAsia="en-US"/>
    </w:rPr>
  </w:style>
  <w:style w:type="character" w:customStyle="1" w:styleId="39">
    <w:name w:val="MSG_EN_FONT_STYLE_NAME_TEMPLATE_ROLE_NUMBER MSG_EN_FONT_STYLE_NAME_BY_ROLE_TEXT 2_"/>
    <w:basedOn w:val="19"/>
    <w:link w:val="40"/>
    <w:unhideWhenUsed/>
    <w:qFormat/>
    <w:locked/>
    <w:uiPriority w:val="99"/>
    <w:rPr>
      <w:rFonts w:ascii="PMingLiU" w:eastAsia="PMingLiU"/>
      <w:sz w:val="30"/>
      <w:shd w:val="clear" w:color="auto" w:fill="FFFFFF"/>
    </w:rPr>
  </w:style>
  <w:style w:type="paragraph" w:customStyle="1" w:styleId="40">
    <w:name w:val="MSG_EN_FONT_STYLE_NAME_TEMPLATE_ROLE_NUMBER MSG_EN_FONT_STYLE_NAME_BY_ROLE_TEXT 21"/>
    <w:basedOn w:val="1"/>
    <w:link w:val="39"/>
    <w:unhideWhenUsed/>
    <w:qFormat/>
    <w:uiPriority w:val="99"/>
    <w:pPr>
      <w:shd w:val="clear" w:color="auto" w:fill="FFFFFF"/>
      <w:spacing w:before="560" w:after="280" w:line="300" w:lineRule="exact"/>
    </w:pPr>
    <w:rPr>
      <w:rFonts w:hint="eastAsia" w:ascii="PMingLiU" w:eastAsia="PMingLiU"/>
      <w:kern w:val="0"/>
      <w:sz w:val="30"/>
      <w:szCs w:val="20"/>
    </w:rPr>
  </w:style>
  <w:style w:type="character" w:customStyle="1" w:styleId="41">
    <w:name w:val="正文文本_"/>
    <w:basedOn w:val="19"/>
    <w:link w:val="42"/>
    <w:qFormat/>
    <w:uiPriority w:val="0"/>
    <w:rPr>
      <w:rFonts w:ascii="Arial Unicode MS" w:hAnsi="Arial Unicode MS" w:eastAsia="Arial Unicode MS" w:cs="Arial Unicode MS"/>
      <w:sz w:val="30"/>
      <w:szCs w:val="30"/>
      <w:shd w:val="clear" w:color="auto" w:fill="FFFFFF"/>
    </w:rPr>
  </w:style>
  <w:style w:type="paragraph" w:customStyle="1" w:styleId="42">
    <w:name w:val="正文文本1"/>
    <w:basedOn w:val="1"/>
    <w:link w:val="41"/>
    <w:qFormat/>
    <w:uiPriority w:val="0"/>
    <w:pPr>
      <w:shd w:val="clear" w:color="auto" w:fill="FFFFFF"/>
      <w:spacing w:line="619" w:lineRule="exact"/>
      <w:ind w:hanging="1100"/>
      <w:jc w:val="left"/>
    </w:pPr>
    <w:rPr>
      <w:rFonts w:ascii="Arial Unicode MS" w:hAnsi="Arial Unicode MS" w:eastAsia="Arial Unicode MS" w:cs="Arial Unicode MS"/>
      <w:kern w:val="0"/>
      <w:sz w:val="30"/>
      <w:szCs w:val="30"/>
    </w:rPr>
  </w:style>
  <w:style w:type="character" w:customStyle="1" w:styleId="43">
    <w:name w:val="正文文本 + 17 pt"/>
    <w:basedOn w:val="41"/>
    <w:qFormat/>
    <w:uiPriority w:val="0"/>
    <w:rPr>
      <w:color w:val="000000"/>
      <w:spacing w:val="0"/>
      <w:w w:val="80"/>
      <w:position w:val="0"/>
      <w:sz w:val="34"/>
      <w:szCs w:val="34"/>
      <w:lang w:val="zh-CN"/>
    </w:rPr>
  </w:style>
  <w:style w:type="character" w:customStyle="1" w:styleId="44">
    <w:name w:val="正文文本 + 17 pt1"/>
    <w:basedOn w:val="41"/>
    <w:qFormat/>
    <w:uiPriority w:val="0"/>
    <w:rPr>
      <w:color w:val="000000"/>
      <w:spacing w:val="0"/>
      <w:w w:val="80"/>
      <w:position w:val="0"/>
      <w:sz w:val="34"/>
      <w:szCs w:val="34"/>
      <w:lang w:val="zh-CN"/>
    </w:rPr>
  </w:style>
  <w:style w:type="character" w:customStyle="1" w:styleId="45">
    <w:name w:val="正文文本 (4)_"/>
    <w:basedOn w:val="19"/>
    <w:link w:val="46"/>
    <w:qFormat/>
    <w:uiPriority w:val="0"/>
    <w:rPr>
      <w:rFonts w:ascii="Arial Unicode MS" w:hAnsi="Arial Unicode MS" w:eastAsia="Arial Unicode MS" w:cs="Arial Unicode MS"/>
      <w:sz w:val="30"/>
      <w:szCs w:val="30"/>
      <w:shd w:val="clear" w:color="auto" w:fill="FFFFFF"/>
    </w:rPr>
  </w:style>
  <w:style w:type="paragraph" w:customStyle="1" w:styleId="46">
    <w:name w:val="正文文本 (4)"/>
    <w:basedOn w:val="1"/>
    <w:link w:val="45"/>
    <w:qFormat/>
    <w:uiPriority w:val="0"/>
    <w:pPr>
      <w:shd w:val="clear" w:color="auto" w:fill="FFFFFF"/>
      <w:spacing w:line="619" w:lineRule="exact"/>
      <w:jc w:val="distribute"/>
    </w:pPr>
    <w:rPr>
      <w:rFonts w:ascii="Arial Unicode MS" w:hAnsi="Arial Unicode MS" w:eastAsia="Arial Unicode MS" w:cs="Arial Unicode MS"/>
      <w:kern w:val="0"/>
      <w:sz w:val="30"/>
      <w:szCs w:val="30"/>
    </w:rPr>
  </w:style>
  <w:style w:type="character" w:customStyle="1" w:styleId="47">
    <w:name w:val="正文文本 + 缩放 80%"/>
    <w:basedOn w:val="41"/>
    <w:qFormat/>
    <w:uiPriority w:val="0"/>
    <w:rPr>
      <w:color w:val="000000"/>
      <w:spacing w:val="0"/>
      <w:w w:val="80"/>
      <w:position w:val="0"/>
      <w:lang w:val="zh-CN"/>
    </w:rPr>
  </w:style>
  <w:style w:type="character" w:customStyle="1" w:styleId="48">
    <w:name w:val="正文文本 (9)_"/>
    <w:basedOn w:val="19"/>
    <w:link w:val="49"/>
    <w:qFormat/>
    <w:uiPriority w:val="0"/>
    <w:rPr>
      <w:rFonts w:ascii="Arial Unicode MS" w:hAnsi="Arial Unicode MS" w:eastAsia="Arial Unicode MS" w:cs="Arial Unicode MS"/>
      <w:spacing w:val="20"/>
      <w:w w:val="80"/>
      <w:sz w:val="30"/>
      <w:szCs w:val="30"/>
      <w:shd w:val="clear" w:color="auto" w:fill="FFFFFF"/>
    </w:rPr>
  </w:style>
  <w:style w:type="paragraph" w:customStyle="1" w:styleId="49">
    <w:name w:val="正文文本 (9)"/>
    <w:basedOn w:val="1"/>
    <w:link w:val="48"/>
    <w:qFormat/>
    <w:uiPriority w:val="0"/>
    <w:pPr>
      <w:shd w:val="clear" w:color="auto" w:fill="FFFFFF"/>
      <w:spacing w:line="0" w:lineRule="atLeast"/>
      <w:jc w:val="left"/>
    </w:pPr>
    <w:rPr>
      <w:rFonts w:ascii="Arial Unicode MS" w:hAnsi="Arial Unicode MS" w:eastAsia="Arial Unicode MS" w:cs="Arial Unicode MS"/>
      <w:spacing w:val="20"/>
      <w:w w:val="80"/>
      <w:kern w:val="0"/>
      <w:sz w:val="30"/>
      <w:szCs w:val="30"/>
    </w:rPr>
  </w:style>
  <w:style w:type="character" w:customStyle="1" w:styleId="50">
    <w:name w:val="标题 #2_"/>
    <w:basedOn w:val="19"/>
    <w:link w:val="51"/>
    <w:qFormat/>
    <w:uiPriority w:val="0"/>
    <w:rPr>
      <w:rFonts w:ascii="Arial Unicode MS" w:hAnsi="Arial Unicode MS" w:eastAsia="Arial Unicode MS" w:cs="Arial Unicode MS"/>
      <w:sz w:val="36"/>
      <w:szCs w:val="36"/>
      <w:shd w:val="clear" w:color="auto" w:fill="FFFFFF"/>
    </w:rPr>
  </w:style>
  <w:style w:type="paragraph" w:customStyle="1" w:styleId="51">
    <w:name w:val="标题 #2"/>
    <w:basedOn w:val="1"/>
    <w:link w:val="50"/>
    <w:qFormat/>
    <w:uiPriority w:val="0"/>
    <w:pPr>
      <w:shd w:val="clear" w:color="auto" w:fill="FFFFFF"/>
      <w:spacing w:after="420" w:line="0" w:lineRule="atLeast"/>
      <w:jc w:val="center"/>
      <w:outlineLvl w:val="1"/>
    </w:pPr>
    <w:rPr>
      <w:rFonts w:ascii="Arial Unicode MS" w:hAnsi="Arial Unicode MS" w:eastAsia="Arial Unicode MS" w:cs="Arial Unicode MS"/>
      <w:kern w:val="0"/>
      <w:sz w:val="36"/>
      <w:szCs w:val="36"/>
    </w:rPr>
  </w:style>
  <w:style w:type="character" w:customStyle="1" w:styleId="52">
    <w:name w:val="正文文本 (13)_"/>
    <w:basedOn w:val="19"/>
    <w:link w:val="53"/>
    <w:qFormat/>
    <w:uiPriority w:val="0"/>
    <w:rPr>
      <w:rFonts w:ascii="Arial Unicode MS" w:hAnsi="Arial Unicode MS" w:eastAsia="Arial Unicode MS" w:cs="Arial Unicode MS"/>
      <w:sz w:val="28"/>
      <w:szCs w:val="28"/>
      <w:shd w:val="clear" w:color="auto" w:fill="FFFFFF"/>
    </w:rPr>
  </w:style>
  <w:style w:type="paragraph" w:customStyle="1" w:styleId="53">
    <w:name w:val="正文文本 (13)"/>
    <w:basedOn w:val="1"/>
    <w:link w:val="52"/>
    <w:qFormat/>
    <w:uiPriority w:val="0"/>
    <w:pPr>
      <w:shd w:val="clear" w:color="auto" w:fill="FFFFFF"/>
      <w:spacing w:after="360" w:line="0" w:lineRule="atLeast"/>
      <w:jc w:val="left"/>
    </w:pPr>
    <w:rPr>
      <w:rFonts w:ascii="Arial Unicode MS" w:hAnsi="Arial Unicode MS" w:eastAsia="Arial Unicode MS" w:cs="Arial Unicode MS"/>
      <w:kern w:val="0"/>
      <w:sz w:val="28"/>
      <w:szCs w:val="28"/>
    </w:rPr>
  </w:style>
  <w:style w:type="character" w:customStyle="1" w:styleId="54">
    <w:name w:val="标题 #1_"/>
    <w:basedOn w:val="19"/>
    <w:link w:val="55"/>
    <w:qFormat/>
    <w:uiPriority w:val="0"/>
    <w:rPr>
      <w:rFonts w:ascii="Arial Unicode MS" w:hAnsi="Arial Unicode MS" w:eastAsia="Arial Unicode MS" w:cs="Arial Unicode MS"/>
      <w:sz w:val="46"/>
      <w:szCs w:val="46"/>
      <w:shd w:val="clear" w:color="auto" w:fill="FFFFFF"/>
    </w:rPr>
  </w:style>
  <w:style w:type="paragraph" w:customStyle="1" w:styleId="55">
    <w:name w:val="标题 #1"/>
    <w:basedOn w:val="1"/>
    <w:link w:val="54"/>
    <w:qFormat/>
    <w:uiPriority w:val="0"/>
    <w:pPr>
      <w:shd w:val="clear" w:color="auto" w:fill="FFFFFF"/>
      <w:spacing w:before="360" w:after="1020" w:line="946" w:lineRule="exact"/>
      <w:jc w:val="center"/>
      <w:outlineLvl w:val="0"/>
    </w:pPr>
    <w:rPr>
      <w:rFonts w:ascii="Arial Unicode MS" w:hAnsi="Arial Unicode MS" w:eastAsia="Arial Unicode MS" w:cs="Arial Unicode MS"/>
      <w:kern w:val="0"/>
      <w:sz w:val="46"/>
      <w:szCs w:val="46"/>
    </w:rPr>
  </w:style>
  <w:style w:type="character" w:customStyle="1" w:styleId="56">
    <w:name w:val="正文文本 (9) + 间距 0 pt1"/>
    <w:basedOn w:val="48"/>
    <w:qFormat/>
    <w:uiPriority w:val="0"/>
    <w:rPr>
      <w:color w:val="000000"/>
      <w:spacing w:val="0"/>
      <w:w w:val="100"/>
      <w:position w:val="0"/>
      <w:lang w:val="zh-CN"/>
    </w:rPr>
  </w:style>
  <w:style w:type="character" w:customStyle="1" w:styleId="57">
    <w:name w:val="正文文本 (9) + 缩放 100%"/>
    <w:basedOn w:val="48"/>
    <w:qFormat/>
    <w:uiPriority w:val="0"/>
    <w:rPr>
      <w:color w:val="000000"/>
      <w:w w:val="100"/>
      <w:position w:val="0"/>
      <w:lang w:val="zh-CN"/>
    </w:rPr>
  </w:style>
  <w:style w:type="character" w:customStyle="1" w:styleId="58">
    <w:name w:val="font11"/>
    <w:basedOn w:val="19"/>
    <w:qFormat/>
    <w:uiPriority w:val="0"/>
    <w:rPr>
      <w:rFonts w:hint="eastAsia" w:ascii="仿宋_GB2312" w:eastAsia="仿宋_GB2312" w:cs="仿宋_GB2312"/>
      <w:color w:val="000000"/>
      <w:sz w:val="32"/>
      <w:szCs w:val="32"/>
      <w:u w:val="none"/>
    </w:rPr>
  </w:style>
  <w:style w:type="character" w:customStyle="1" w:styleId="59">
    <w:name w:val="font41"/>
    <w:basedOn w:val="19"/>
    <w:qFormat/>
    <w:uiPriority w:val="0"/>
    <w:rPr>
      <w:rFonts w:hint="eastAsia" w:ascii="宋体" w:hAnsi="宋体" w:eastAsia="宋体" w:cs="宋体"/>
      <w:color w:val="000000"/>
      <w:sz w:val="32"/>
      <w:szCs w:val="32"/>
      <w:u w:val="none"/>
    </w:rPr>
  </w:style>
  <w:style w:type="paragraph" w:styleId="60">
    <w:name w:val="List Paragraph"/>
    <w:basedOn w:val="1"/>
    <w:qFormat/>
    <w:uiPriority w:val="34"/>
    <w:pPr>
      <w:ind w:firstLine="420" w:firstLineChars="200"/>
    </w:pPr>
    <w:rPr>
      <w:rFonts w:ascii="Calibri" w:hAnsi="Calibri"/>
      <w:szCs w:val="22"/>
    </w:rPr>
  </w:style>
  <w:style w:type="paragraph" w:customStyle="1" w:styleId="61">
    <w:name w:val="paragraph text-align-type-center pap-line-28pt pap-line-rule-exact pap-spacing-before-0pt pap-spacing-after-0pt"/>
    <w:basedOn w:val="1"/>
    <w:qFormat/>
    <w:uiPriority w:val="0"/>
    <w:pPr>
      <w:widowControl/>
      <w:spacing w:before="100" w:beforeAutospacing="1" w:after="100" w:afterAutospacing="1"/>
      <w:jc w:val="left"/>
    </w:pPr>
    <w:rPr>
      <w:rFonts w:ascii="宋体" w:hAnsi="宋体" w:cs="宋体"/>
      <w:kern w:val="0"/>
      <w:sz w:val="24"/>
    </w:rPr>
  </w:style>
  <w:style w:type="paragraph" w:customStyle="1" w:styleId="62">
    <w:name w:val="paragraph text-align-type-justify pap-line-28pt pap-line-rule-exact pap-spacing-before-0pt pap-spacing-after-0pt"/>
    <w:basedOn w:val="1"/>
    <w:qFormat/>
    <w:uiPriority w:val="0"/>
    <w:pPr>
      <w:widowControl/>
      <w:spacing w:before="100" w:beforeAutospacing="1" w:after="100" w:afterAutospacing="1"/>
      <w:jc w:val="left"/>
    </w:pPr>
    <w:rPr>
      <w:rFonts w:ascii="宋体" w:hAnsi="宋体" w:cs="宋体"/>
      <w:kern w:val="0"/>
      <w:sz w:val="24"/>
    </w:rPr>
  </w:style>
  <w:style w:type="character" w:customStyle="1" w:styleId="63">
    <w:name w:val="NormalCharacter"/>
    <w:qFormat/>
    <w:uiPriority w:val="0"/>
  </w:style>
  <w:style w:type="paragraph" w:customStyle="1" w:styleId="64">
    <w:name w:val="默认段落字体 Para Char Char Char Char"/>
    <w:basedOn w:val="1"/>
    <w:qFormat/>
    <w:uiPriority w:val="0"/>
    <w:rPr>
      <w:szCs w:val="21"/>
    </w:rPr>
  </w:style>
  <w:style w:type="paragraph" w:customStyle="1" w:styleId="65">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66">
    <w:name w:val="15"/>
    <w:basedOn w:val="19"/>
    <w:qFormat/>
    <w:uiPriority w:val="0"/>
    <w:rPr>
      <w:rFonts w:hint="default" w:ascii="Times New Roman" w:hAnsi="Times New Roman" w:cs="Times New Roman"/>
    </w:rPr>
  </w:style>
  <w:style w:type="paragraph" w:customStyle="1" w:styleId="67">
    <w:name w:val="p0"/>
    <w:basedOn w:val="1"/>
    <w:qFormat/>
    <w:uiPriority w:val="0"/>
    <w:rPr>
      <w:kern w:val="0"/>
      <w:szCs w:val="21"/>
    </w:rPr>
  </w:style>
  <w:style w:type="character" w:customStyle="1" w:styleId="68">
    <w:name w:val="16"/>
    <w:basedOn w:val="19"/>
    <w:qFormat/>
    <w:uiPriority w:val="0"/>
    <w:rPr>
      <w:rFonts w:hint="default" w:ascii="Times New Roman" w:hAnsi="Times New Roman" w:eastAsia="楷体_GB2312" w:cs="楷体_GB2312"/>
      <w:sz w:val="32"/>
      <w:szCs w:val="32"/>
    </w:rPr>
  </w:style>
  <w:style w:type="paragraph" w:customStyle="1" w:styleId="69">
    <w:name w:val="正文格式"/>
    <w:basedOn w:val="1"/>
    <w:qFormat/>
    <w:uiPriority w:val="0"/>
    <w:pPr>
      <w:tabs>
        <w:tab w:val="left" w:pos="992"/>
      </w:tabs>
      <w:ind w:firstLine="200" w:firstLineChars="200"/>
    </w:pPr>
    <w:rPr>
      <w:rFonts w:ascii="宋体" w:hAnsi="宋体"/>
    </w:rPr>
  </w:style>
  <w:style w:type="paragraph" w:customStyle="1" w:styleId="70">
    <w:name w:val="样式1"/>
    <w:basedOn w:val="1"/>
    <w:qFormat/>
    <w:uiPriority w:val="0"/>
    <w:pPr>
      <w:spacing w:line="560" w:lineRule="exact"/>
    </w:pPr>
    <w:rPr>
      <w:rFonts w:ascii="Calibri" w:hAnsi="Calibri" w:eastAsia="仿宋_GB2312"/>
      <w:sz w:val="32"/>
    </w:rPr>
  </w:style>
  <w:style w:type="paragraph" w:customStyle="1" w:styleId="71">
    <w:name w:val="NormalIndent"/>
    <w:qFormat/>
    <w:uiPriority w:val="0"/>
    <w:pPr>
      <w:ind w:firstLine="420" w:firstLineChars="200"/>
      <w:jc w:val="both"/>
      <w:textAlignment w:val="baseline"/>
    </w:pPr>
    <w:rPr>
      <w:rFonts w:ascii="Times New Roman" w:hAnsi="Times New Roman" w:eastAsia="仿宋_GB2312" w:cs="Times New Roman"/>
      <w:kern w:val="2"/>
      <w:sz w:val="32"/>
      <w:szCs w:val="32"/>
      <w:lang w:val="en-US" w:eastAsia="zh-CN" w:bidi="ar-SA"/>
    </w:rPr>
  </w:style>
  <w:style w:type="paragraph" w:customStyle="1" w:styleId="72">
    <w:name w:val="样式 四号 首行缩进:  0.99 厘米 行距: 固定值 22 磅"/>
    <w:basedOn w:val="1"/>
    <w:qFormat/>
    <w:uiPriority w:val="0"/>
    <w:pPr>
      <w:spacing w:line="520" w:lineRule="exact"/>
      <w:ind w:firstLine="567"/>
    </w:pPr>
    <w:rPr>
      <w:rFonts w:ascii="Calibri" w:hAnsi="Calibri" w:cs="宋体"/>
      <w:szCs w:val="20"/>
    </w:rPr>
  </w:style>
  <w:style w:type="character" w:customStyle="1" w:styleId="73">
    <w:name w:val="bjh-p"/>
    <w:basedOn w:val="19"/>
    <w:qFormat/>
    <w:uiPriority w:val="0"/>
  </w:style>
  <w:style w:type="paragraph" w:customStyle="1" w:styleId="74">
    <w:name w:val="普通(网站) Cha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17</Pages>
  <Words>5718</Words>
  <Characters>6447</Characters>
  <Lines>88</Lines>
  <Paragraphs>25</Paragraphs>
  <TotalTime>19</TotalTime>
  <ScaleCrop>false</ScaleCrop>
  <LinksUpToDate>false</LinksUpToDate>
  <CharactersWithSpaces>6560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2025-01-06T07:00:00Z</dcterms:created>
  <dc:creator>AutoBVT</dc:creator>
  <cp:lastModifiedBy>A李艳</cp:lastModifiedBy>
  <cp:lastPrinted>2026-01-21T01:47:00Z</cp:lastPrinted>
  <dcterms:modified xsi:type="dcterms:W3CDTF">2026-02-12T07:18:38Z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eyJoZGlkIjoiNGVlNDA2Y2EzMGFhMmJlZjVmZDc0NzA3MTEwMjE1OTQiLCJ1c2VySWQiOiIzODQwMzk0NTEifQ==</vt:lpwstr>
  </property>
  <property fmtid="{D5CDD505-2E9C-101B-9397-08002B2CF9AE}" pid="3" name="KSOProductBuildVer">
    <vt:lpwstr>2052-12.1.0.24657</vt:lpwstr>
  </property>
  <property fmtid="{D5CDD505-2E9C-101B-9397-08002B2CF9AE}" pid="4" name="ICV">
    <vt:lpwstr>0D8D98738A944E63B263C5D49B32083C_13</vt:lpwstr>
  </property>
</Properties>
</file>