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0F0DBB">
      <w:pPr>
        <w:adjustRightInd w:val="0"/>
        <w:snapToGrid w:val="0"/>
        <w:spacing w:beforeAutospacing="1" w:afterAutospacing="1" w:line="560" w:lineRule="exact"/>
        <w:jc w:val="center"/>
        <w:rPr>
          <w:rFonts w:ascii="方正小标宋_GBK" w:hAnsi="TimesNewRoman" w:eastAsia="方正小标宋_GBK" w:cs="TimesNewRoman"/>
          <w:bCs/>
          <w:kern w:val="0"/>
          <w:sz w:val="40"/>
          <w:szCs w:val="44"/>
        </w:rPr>
      </w:pPr>
      <w:r>
        <w:rPr>
          <w:rFonts w:hint="eastAsia" w:ascii="方正小标宋_GBK" w:hAnsi="TimesNewRoman" w:eastAsia="方正小标宋_GBK" w:cs="TimesNewRoman"/>
          <w:bCs/>
          <w:kern w:val="0"/>
          <w:sz w:val="40"/>
          <w:szCs w:val="44"/>
        </w:rPr>
        <w:t>目  录</w:t>
      </w:r>
    </w:p>
    <w:p w14:paraId="78B57E40">
      <w:pPr>
        <w:topLinePunct/>
        <w:adjustRightInd w:val="0"/>
        <w:snapToGrid w:val="0"/>
        <w:spacing w:line="560" w:lineRule="exact"/>
        <w:ind w:firstLine="640" w:firstLineChars="200"/>
        <w:rPr>
          <w:rFonts w:ascii="黑体" w:hAnsi="黑体" w:eastAsia="黑体" w:cs="TimesNewRoman"/>
          <w:kern w:val="0"/>
          <w:sz w:val="32"/>
          <w:szCs w:val="32"/>
        </w:rPr>
      </w:pPr>
    </w:p>
    <w:p w14:paraId="1F682B9E">
      <w:pPr>
        <w:topLinePunct/>
        <w:adjustRightInd w:val="0"/>
        <w:snapToGrid w:val="0"/>
        <w:spacing w:line="560" w:lineRule="exact"/>
        <w:ind w:firstLine="640" w:firstLineChars="200"/>
        <w:rPr>
          <w:rFonts w:ascii="黑体" w:hAnsi="黑体" w:eastAsia="黑体" w:cs="TimesNewRoman"/>
          <w:kern w:val="0"/>
          <w:sz w:val="32"/>
          <w:szCs w:val="32"/>
        </w:rPr>
      </w:pPr>
      <w:r>
        <w:rPr>
          <w:rFonts w:ascii="黑体" w:hAnsi="黑体" w:eastAsia="黑体" w:cs="TimesNewRoman"/>
          <w:kern w:val="0"/>
          <w:sz w:val="32"/>
          <w:szCs w:val="32"/>
        </w:rPr>
        <w:t>第一部分</w:t>
      </w:r>
      <w:r>
        <w:rPr>
          <w:rFonts w:hint="eastAsia" w:ascii="黑体" w:hAnsi="黑体" w:eastAsia="黑体"/>
          <w:color w:val="333333"/>
          <w:sz w:val="32"/>
          <w:szCs w:val="32"/>
          <w:shd w:val="clear" w:color="auto" w:fill="FFFFFF"/>
        </w:rPr>
        <w:t>单位概况</w:t>
      </w:r>
    </w:p>
    <w:p w14:paraId="480EA71C">
      <w:pPr>
        <w:topLinePunct/>
        <w:adjustRightInd w:val="0"/>
        <w:snapToGrid w:val="0"/>
        <w:spacing w:line="560" w:lineRule="exact"/>
        <w:ind w:firstLine="640" w:firstLineChars="200"/>
        <w:rPr>
          <w:rFonts w:ascii="仿宋_GB2312" w:hAnsi="TimesNewRoman" w:eastAsia="仿宋_GB2312" w:cs="TimesNewRoman"/>
          <w:bCs/>
          <w:kern w:val="0"/>
          <w:sz w:val="32"/>
          <w:szCs w:val="32"/>
        </w:rPr>
      </w:pPr>
      <w:r>
        <w:rPr>
          <w:rFonts w:hint="eastAsia" w:ascii="仿宋_GB2312" w:hAnsi="TimesNewRoman" w:eastAsia="仿宋_GB2312" w:cs="TimesNewRoman"/>
          <w:bCs/>
          <w:kern w:val="0"/>
          <w:sz w:val="32"/>
          <w:szCs w:val="32"/>
        </w:rPr>
        <w:t>1.主要职责</w:t>
      </w:r>
    </w:p>
    <w:p w14:paraId="4800774F">
      <w:pPr>
        <w:topLinePunct/>
        <w:adjustRightInd w:val="0"/>
        <w:snapToGrid w:val="0"/>
        <w:spacing w:line="560" w:lineRule="exact"/>
        <w:ind w:firstLine="640" w:firstLineChars="200"/>
        <w:rPr>
          <w:rFonts w:ascii="仿宋_GB2312" w:hAnsi="TimesNewRoman" w:eastAsia="仿宋_GB2312" w:cs="TimesNewRoman"/>
          <w:bCs/>
          <w:kern w:val="0"/>
          <w:sz w:val="32"/>
          <w:szCs w:val="32"/>
        </w:rPr>
      </w:pPr>
      <w:r>
        <w:rPr>
          <w:rFonts w:hint="eastAsia" w:ascii="仿宋_GB2312" w:hAnsi="TimesNewRoman" w:eastAsia="仿宋_GB2312" w:cs="TimesNewRoman"/>
          <w:bCs/>
          <w:kern w:val="0"/>
          <w:sz w:val="32"/>
          <w:szCs w:val="32"/>
        </w:rPr>
        <w:t>2.</w:t>
      </w:r>
      <w:r>
        <w:rPr>
          <w:rFonts w:hint="eastAsia" w:ascii="仿宋" w:hAnsi="仿宋" w:eastAsia="仿宋"/>
          <w:color w:val="333333"/>
          <w:sz w:val="32"/>
          <w:szCs w:val="32"/>
          <w:shd w:val="clear" w:color="auto" w:fill="FFFFFF"/>
        </w:rPr>
        <w:t>单位预算构成</w:t>
      </w:r>
    </w:p>
    <w:p w14:paraId="402A0F15">
      <w:pPr>
        <w:topLinePunct/>
        <w:adjustRightInd w:val="0"/>
        <w:snapToGrid w:val="0"/>
        <w:spacing w:line="560" w:lineRule="exact"/>
        <w:ind w:firstLine="640" w:firstLineChars="200"/>
        <w:rPr>
          <w:rFonts w:ascii="仿宋_GB2312" w:hAnsi="TimesNewRoman" w:eastAsia="仿宋_GB2312" w:cs="TimesNewRoman"/>
          <w:bCs/>
          <w:kern w:val="0"/>
          <w:sz w:val="32"/>
          <w:szCs w:val="32"/>
        </w:rPr>
      </w:pPr>
      <w:r>
        <w:rPr>
          <w:rFonts w:hint="eastAsia" w:ascii="仿宋_GB2312" w:hAnsi="TimesNewRoman" w:eastAsia="仿宋_GB2312" w:cs="TimesNewRoman"/>
          <w:bCs/>
          <w:kern w:val="0"/>
          <w:sz w:val="32"/>
          <w:szCs w:val="32"/>
        </w:rPr>
        <w:t>3.2026年度主要工作任务</w:t>
      </w:r>
    </w:p>
    <w:p w14:paraId="7A8BB06E">
      <w:pPr>
        <w:topLinePunct/>
        <w:adjustRightInd w:val="0"/>
        <w:snapToGrid w:val="0"/>
        <w:spacing w:line="560" w:lineRule="exact"/>
        <w:ind w:firstLine="640" w:firstLineChars="200"/>
        <w:rPr>
          <w:rFonts w:ascii="黑体" w:hAnsi="黑体" w:eastAsia="黑体" w:cs="TimesNewRoman"/>
          <w:kern w:val="0"/>
          <w:sz w:val="32"/>
          <w:szCs w:val="32"/>
        </w:rPr>
      </w:pPr>
      <w:r>
        <w:rPr>
          <w:rFonts w:ascii="黑体" w:hAnsi="黑体" w:eastAsia="黑体" w:cs="TimesNewRoman"/>
          <w:kern w:val="0"/>
          <w:sz w:val="32"/>
          <w:szCs w:val="32"/>
        </w:rPr>
        <w:t>第</w:t>
      </w:r>
      <w:r>
        <w:rPr>
          <w:rFonts w:hint="eastAsia" w:ascii="黑体" w:hAnsi="黑体" w:eastAsia="黑体" w:cs="TimesNewRoman"/>
          <w:kern w:val="0"/>
          <w:sz w:val="32"/>
          <w:szCs w:val="32"/>
        </w:rPr>
        <w:t>二</w:t>
      </w:r>
      <w:r>
        <w:rPr>
          <w:rFonts w:ascii="黑体" w:hAnsi="黑体" w:eastAsia="黑体" w:cs="TimesNewRoman"/>
          <w:kern w:val="0"/>
          <w:sz w:val="32"/>
          <w:szCs w:val="32"/>
        </w:rPr>
        <w:t xml:space="preserve">部分 </w:t>
      </w:r>
      <w:r>
        <w:rPr>
          <w:rFonts w:hint="eastAsia" w:ascii="黑体" w:hAnsi="黑体" w:eastAsia="黑体" w:cs="TimesNewRoman"/>
          <w:kern w:val="0"/>
          <w:sz w:val="32"/>
          <w:szCs w:val="32"/>
        </w:rPr>
        <w:t>2026</w:t>
      </w:r>
      <w:r>
        <w:rPr>
          <w:rFonts w:ascii="黑体" w:hAnsi="黑体" w:eastAsia="黑体" w:cs="TimesNewRoman"/>
          <w:kern w:val="0"/>
          <w:sz w:val="32"/>
          <w:szCs w:val="32"/>
        </w:rPr>
        <w:t>年部门预算情况说明</w:t>
      </w:r>
    </w:p>
    <w:p w14:paraId="025B9B27">
      <w:pPr>
        <w:topLinePunct/>
        <w:adjustRightInd w:val="0"/>
        <w:snapToGrid w:val="0"/>
        <w:spacing w:line="560" w:lineRule="exact"/>
        <w:ind w:firstLine="640" w:firstLineChars="200"/>
        <w:rPr>
          <w:rFonts w:ascii="仿宋_GB2312" w:hAnsi="TimesNewRoman" w:eastAsia="仿宋_GB2312" w:cs="TimesNewRoman"/>
          <w:bCs/>
          <w:kern w:val="0"/>
          <w:sz w:val="32"/>
          <w:szCs w:val="32"/>
        </w:rPr>
      </w:pPr>
      <w:r>
        <w:rPr>
          <w:rFonts w:ascii="仿宋_GB2312" w:hAnsi="TimesNewRoman" w:eastAsia="仿宋_GB2312" w:cs="TimesNewRoman"/>
          <w:bCs/>
          <w:kern w:val="0"/>
          <w:sz w:val="32"/>
          <w:szCs w:val="32"/>
        </w:rPr>
        <w:t>1.关于</w:t>
      </w:r>
      <w:r>
        <w:rPr>
          <w:rFonts w:hint="eastAsia" w:ascii="仿宋_GB2312" w:hAnsi="TimesNewRoman" w:eastAsia="仿宋_GB2312" w:cs="TimesNewRoman"/>
          <w:bCs/>
          <w:kern w:val="0"/>
          <w:sz w:val="32"/>
          <w:szCs w:val="32"/>
        </w:rPr>
        <w:t>2026</w:t>
      </w:r>
      <w:r>
        <w:rPr>
          <w:rFonts w:ascii="仿宋_GB2312" w:hAnsi="TimesNewRoman" w:eastAsia="仿宋_GB2312" w:cs="TimesNewRoman"/>
          <w:bCs/>
          <w:kern w:val="0"/>
          <w:sz w:val="32"/>
          <w:szCs w:val="32"/>
        </w:rPr>
        <w:t>年收支总表的说明</w:t>
      </w:r>
    </w:p>
    <w:p w14:paraId="52C21CCC">
      <w:pPr>
        <w:topLinePunct/>
        <w:adjustRightInd w:val="0"/>
        <w:snapToGrid w:val="0"/>
        <w:spacing w:line="560" w:lineRule="exact"/>
        <w:ind w:firstLine="640" w:firstLineChars="200"/>
        <w:rPr>
          <w:rFonts w:ascii="仿宋_GB2312" w:hAnsi="TimesNewRoman" w:eastAsia="仿宋_GB2312" w:cs="TimesNewRoman"/>
          <w:bCs/>
          <w:kern w:val="0"/>
          <w:sz w:val="32"/>
          <w:szCs w:val="32"/>
        </w:rPr>
      </w:pPr>
      <w:r>
        <w:rPr>
          <w:rFonts w:ascii="仿宋_GB2312" w:hAnsi="TimesNewRoman" w:eastAsia="仿宋_GB2312" w:cs="TimesNewRoman"/>
          <w:bCs/>
          <w:kern w:val="0"/>
          <w:sz w:val="32"/>
          <w:szCs w:val="32"/>
        </w:rPr>
        <w:t>2.关于</w:t>
      </w:r>
      <w:r>
        <w:rPr>
          <w:rFonts w:hint="eastAsia" w:ascii="仿宋_GB2312" w:hAnsi="TimesNewRoman" w:eastAsia="仿宋_GB2312" w:cs="TimesNewRoman"/>
          <w:bCs/>
          <w:kern w:val="0"/>
          <w:sz w:val="32"/>
          <w:szCs w:val="32"/>
        </w:rPr>
        <w:t>2026</w:t>
      </w:r>
      <w:r>
        <w:rPr>
          <w:rFonts w:ascii="仿宋_GB2312" w:hAnsi="TimesNewRoman" w:eastAsia="仿宋_GB2312" w:cs="TimesNewRoman"/>
          <w:bCs/>
          <w:kern w:val="0"/>
          <w:sz w:val="32"/>
          <w:szCs w:val="32"/>
        </w:rPr>
        <w:t>年收入总表的说明</w:t>
      </w:r>
    </w:p>
    <w:p w14:paraId="0F8467E7">
      <w:pPr>
        <w:topLinePunct/>
        <w:adjustRightInd w:val="0"/>
        <w:snapToGrid w:val="0"/>
        <w:spacing w:line="560" w:lineRule="exact"/>
        <w:ind w:firstLine="640" w:firstLineChars="200"/>
        <w:rPr>
          <w:rFonts w:ascii="仿宋_GB2312" w:hAnsi="TimesNewRoman" w:eastAsia="仿宋_GB2312" w:cs="TimesNewRoman"/>
          <w:bCs/>
          <w:kern w:val="0"/>
          <w:sz w:val="32"/>
          <w:szCs w:val="32"/>
        </w:rPr>
      </w:pPr>
      <w:r>
        <w:rPr>
          <w:rFonts w:ascii="仿宋_GB2312" w:hAnsi="TimesNewRoman" w:eastAsia="仿宋_GB2312" w:cs="TimesNewRoman"/>
          <w:bCs/>
          <w:kern w:val="0"/>
          <w:sz w:val="32"/>
          <w:szCs w:val="32"/>
        </w:rPr>
        <w:t>3.关于</w:t>
      </w:r>
      <w:r>
        <w:rPr>
          <w:rFonts w:hint="eastAsia" w:ascii="仿宋_GB2312" w:hAnsi="TimesNewRoman" w:eastAsia="仿宋_GB2312" w:cs="TimesNewRoman"/>
          <w:bCs/>
          <w:kern w:val="0"/>
          <w:sz w:val="32"/>
          <w:szCs w:val="32"/>
        </w:rPr>
        <w:t>2026</w:t>
      </w:r>
      <w:r>
        <w:rPr>
          <w:rFonts w:ascii="仿宋_GB2312" w:hAnsi="TimesNewRoman" w:eastAsia="仿宋_GB2312" w:cs="TimesNewRoman"/>
          <w:bCs/>
          <w:kern w:val="0"/>
          <w:sz w:val="32"/>
          <w:szCs w:val="32"/>
        </w:rPr>
        <w:t>年支出总表的说明</w:t>
      </w:r>
    </w:p>
    <w:p w14:paraId="795FD696">
      <w:pPr>
        <w:topLinePunct/>
        <w:adjustRightInd w:val="0"/>
        <w:snapToGrid w:val="0"/>
        <w:spacing w:line="560" w:lineRule="exact"/>
        <w:ind w:firstLine="640" w:firstLineChars="200"/>
        <w:rPr>
          <w:rFonts w:ascii="仿宋_GB2312" w:hAnsi="TimesNewRoman" w:eastAsia="仿宋_GB2312" w:cs="TimesNewRoman"/>
          <w:bCs/>
          <w:kern w:val="0"/>
          <w:sz w:val="32"/>
          <w:szCs w:val="32"/>
        </w:rPr>
      </w:pPr>
      <w:r>
        <w:rPr>
          <w:rFonts w:ascii="仿宋_GB2312" w:hAnsi="TimesNewRoman" w:eastAsia="仿宋_GB2312" w:cs="TimesNewRoman"/>
          <w:bCs/>
          <w:kern w:val="0"/>
          <w:sz w:val="32"/>
          <w:szCs w:val="32"/>
        </w:rPr>
        <w:t>4.关于</w:t>
      </w:r>
      <w:r>
        <w:rPr>
          <w:rFonts w:hint="eastAsia" w:ascii="仿宋_GB2312" w:hAnsi="TimesNewRoman" w:eastAsia="仿宋_GB2312" w:cs="TimesNewRoman"/>
          <w:bCs/>
          <w:kern w:val="0"/>
          <w:sz w:val="32"/>
          <w:szCs w:val="32"/>
        </w:rPr>
        <w:t>2026</w:t>
      </w:r>
      <w:r>
        <w:rPr>
          <w:rFonts w:ascii="仿宋_GB2312" w:hAnsi="TimesNewRoman" w:eastAsia="仿宋_GB2312" w:cs="TimesNewRoman"/>
          <w:bCs/>
          <w:kern w:val="0"/>
          <w:sz w:val="32"/>
          <w:szCs w:val="32"/>
        </w:rPr>
        <w:t>年财政拨款收支总表的说明</w:t>
      </w:r>
    </w:p>
    <w:p w14:paraId="6614BD1C">
      <w:pPr>
        <w:topLinePunct/>
        <w:adjustRightInd w:val="0"/>
        <w:snapToGrid w:val="0"/>
        <w:spacing w:line="560" w:lineRule="exact"/>
        <w:ind w:firstLine="640" w:firstLineChars="200"/>
        <w:rPr>
          <w:rFonts w:ascii="仿宋_GB2312" w:hAnsi="TimesNewRoman" w:eastAsia="仿宋_GB2312" w:cs="TimesNewRoman"/>
          <w:bCs/>
          <w:kern w:val="0"/>
          <w:sz w:val="32"/>
          <w:szCs w:val="32"/>
        </w:rPr>
      </w:pPr>
      <w:r>
        <w:rPr>
          <w:rFonts w:ascii="仿宋_GB2312" w:hAnsi="TimesNewRoman" w:eastAsia="仿宋_GB2312" w:cs="TimesNewRoman"/>
          <w:bCs/>
          <w:kern w:val="0"/>
          <w:sz w:val="32"/>
          <w:szCs w:val="32"/>
        </w:rPr>
        <w:t>5.关于</w:t>
      </w:r>
      <w:r>
        <w:rPr>
          <w:rFonts w:hint="eastAsia" w:ascii="仿宋_GB2312" w:hAnsi="TimesNewRoman" w:eastAsia="仿宋_GB2312" w:cs="TimesNewRoman"/>
          <w:bCs/>
          <w:kern w:val="0"/>
          <w:sz w:val="32"/>
          <w:szCs w:val="32"/>
        </w:rPr>
        <w:t>2026</w:t>
      </w:r>
      <w:r>
        <w:rPr>
          <w:rFonts w:ascii="仿宋_GB2312" w:hAnsi="TimesNewRoman" w:eastAsia="仿宋_GB2312" w:cs="TimesNewRoman"/>
          <w:bCs/>
          <w:kern w:val="0"/>
          <w:sz w:val="32"/>
          <w:szCs w:val="32"/>
        </w:rPr>
        <w:t>年一般公共预算支出表的说明</w:t>
      </w:r>
    </w:p>
    <w:p w14:paraId="292A8B3D">
      <w:pPr>
        <w:topLinePunct/>
        <w:adjustRightInd w:val="0"/>
        <w:snapToGrid w:val="0"/>
        <w:spacing w:line="560" w:lineRule="exact"/>
        <w:ind w:firstLine="640" w:firstLineChars="200"/>
        <w:rPr>
          <w:rFonts w:ascii="仿宋_GB2312" w:hAnsi="TimesNewRoman" w:eastAsia="仿宋_GB2312" w:cs="TimesNewRoman"/>
          <w:bCs/>
          <w:kern w:val="0"/>
          <w:sz w:val="32"/>
          <w:szCs w:val="32"/>
        </w:rPr>
      </w:pPr>
      <w:r>
        <w:rPr>
          <w:rFonts w:ascii="仿宋_GB2312" w:hAnsi="TimesNewRoman" w:eastAsia="仿宋_GB2312" w:cs="TimesNewRoman"/>
          <w:bCs/>
          <w:kern w:val="0"/>
          <w:sz w:val="32"/>
          <w:szCs w:val="32"/>
        </w:rPr>
        <w:t>6.关于</w:t>
      </w:r>
      <w:r>
        <w:rPr>
          <w:rFonts w:hint="eastAsia" w:ascii="仿宋_GB2312" w:hAnsi="TimesNewRoman" w:eastAsia="仿宋_GB2312" w:cs="TimesNewRoman"/>
          <w:bCs/>
          <w:kern w:val="0"/>
          <w:sz w:val="32"/>
          <w:szCs w:val="32"/>
        </w:rPr>
        <w:t>2026</w:t>
      </w:r>
      <w:r>
        <w:rPr>
          <w:rFonts w:ascii="仿宋_GB2312" w:hAnsi="TimesNewRoman" w:eastAsia="仿宋_GB2312" w:cs="TimesNewRoman"/>
          <w:bCs/>
          <w:kern w:val="0"/>
          <w:sz w:val="32"/>
          <w:szCs w:val="32"/>
        </w:rPr>
        <w:t>年一般公共预算基本支出表的说明</w:t>
      </w:r>
    </w:p>
    <w:p w14:paraId="00740B75">
      <w:pPr>
        <w:topLinePunct/>
        <w:adjustRightInd w:val="0"/>
        <w:snapToGrid w:val="0"/>
        <w:spacing w:line="560" w:lineRule="exact"/>
        <w:ind w:firstLine="640" w:firstLineChars="200"/>
        <w:rPr>
          <w:rFonts w:ascii="仿宋_GB2312" w:hAnsi="TimesNewRoman" w:eastAsia="仿宋_GB2312" w:cs="TimesNewRoman"/>
          <w:bCs/>
          <w:kern w:val="0"/>
          <w:sz w:val="32"/>
          <w:szCs w:val="32"/>
        </w:rPr>
      </w:pPr>
      <w:r>
        <w:rPr>
          <w:rFonts w:ascii="仿宋_GB2312" w:hAnsi="TimesNewRoman" w:eastAsia="仿宋_GB2312" w:cs="TimesNewRoman"/>
          <w:bCs/>
          <w:kern w:val="0"/>
          <w:sz w:val="32"/>
          <w:szCs w:val="32"/>
        </w:rPr>
        <w:t>7.关于</w:t>
      </w:r>
      <w:r>
        <w:rPr>
          <w:rFonts w:hint="eastAsia" w:ascii="仿宋_GB2312" w:hAnsi="TimesNewRoman" w:eastAsia="仿宋_GB2312" w:cs="TimesNewRoman"/>
          <w:bCs/>
          <w:kern w:val="0"/>
          <w:sz w:val="32"/>
          <w:szCs w:val="32"/>
        </w:rPr>
        <w:t>2026</w:t>
      </w:r>
      <w:r>
        <w:rPr>
          <w:rFonts w:ascii="仿宋_GB2312" w:hAnsi="TimesNewRoman" w:eastAsia="仿宋_GB2312" w:cs="TimesNewRoman"/>
          <w:bCs/>
          <w:kern w:val="0"/>
          <w:sz w:val="32"/>
          <w:szCs w:val="32"/>
        </w:rPr>
        <w:t>年政府性基金预算支出表的说明</w:t>
      </w:r>
    </w:p>
    <w:p w14:paraId="633864A4">
      <w:pPr>
        <w:topLinePunct/>
        <w:adjustRightInd w:val="0"/>
        <w:snapToGrid w:val="0"/>
        <w:spacing w:line="560" w:lineRule="exact"/>
        <w:ind w:firstLine="640" w:firstLineChars="200"/>
        <w:rPr>
          <w:rFonts w:ascii="仿宋_GB2312" w:hAnsi="TimesNewRoman" w:eastAsia="仿宋_GB2312" w:cs="TimesNewRoman"/>
          <w:bCs/>
          <w:kern w:val="0"/>
          <w:sz w:val="32"/>
          <w:szCs w:val="32"/>
        </w:rPr>
      </w:pPr>
      <w:r>
        <w:rPr>
          <w:rFonts w:ascii="仿宋_GB2312" w:hAnsi="TimesNewRoman" w:eastAsia="仿宋_GB2312" w:cs="TimesNewRoman"/>
          <w:bCs/>
          <w:kern w:val="0"/>
          <w:sz w:val="32"/>
          <w:szCs w:val="32"/>
        </w:rPr>
        <w:t>8.关于</w:t>
      </w:r>
      <w:r>
        <w:rPr>
          <w:rFonts w:hint="eastAsia" w:ascii="仿宋_GB2312" w:hAnsi="TimesNewRoman" w:eastAsia="仿宋_GB2312" w:cs="TimesNewRoman"/>
          <w:bCs/>
          <w:kern w:val="0"/>
          <w:sz w:val="32"/>
          <w:szCs w:val="32"/>
        </w:rPr>
        <w:t>2026</w:t>
      </w:r>
      <w:r>
        <w:rPr>
          <w:rFonts w:ascii="仿宋_GB2312" w:hAnsi="TimesNewRoman" w:eastAsia="仿宋_GB2312" w:cs="TimesNewRoman"/>
          <w:bCs/>
          <w:kern w:val="0"/>
          <w:sz w:val="32"/>
          <w:szCs w:val="32"/>
        </w:rPr>
        <w:t>年国有资本经营预算支出表的说明</w:t>
      </w:r>
    </w:p>
    <w:p w14:paraId="7E61167E">
      <w:pPr>
        <w:topLinePunct/>
        <w:adjustRightInd w:val="0"/>
        <w:snapToGrid w:val="0"/>
        <w:spacing w:line="560" w:lineRule="exact"/>
        <w:ind w:firstLine="640" w:firstLineChars="200"/>
        <w:rPr>
          <w:rFonts w:ascii="仿宋_GB2312" w:hAnsi="TimesNewRoman" w:eastAsia="仿宋_GB2312" w:cs="TimesNewRoman"/>
          <w:bCs/>
          <w:kern w:val="0"/>
          <w:sz w:val="32"/>
          <w:szCs w:val="32"/>
        </w:rPr>
      </w:pPr>
      <w:r>
        <w:rPr>
          <w:rFonts w:ascii="仿宋_GB2312" w:hAnsi="TimesNewRoman" w:eastAsia="仿宋_GB2312" w:cs="TimesNewRoman"/>
          <w:bCs/>
          <w:kern w:val="0"/>
          <w:sz w:val="32"/>
          <w:szCs w:val="32"/>
        </w:rPr>
        <w:t>9.关于</w:t>
      </w:r>
      <w:r>
        <w:rPr>
          <w:rFonts w:hint="eastAsia" w:ascii="仿宋_GB2312" w:hAnsi="TimesNewRoman" w:eastAsia="仿宋_GB2312" w:cs="TimesNewRoman"/>
          <w:bCs/>
          <w:kern w:val="0"/>
          <w:sz w:val="32"/>
          <w:szCs w:val="32"/>
        </w:rPr>
        <w:t>2026</w:t>
      </w:r>
      <w:r>
        <w:rPr>
          <w:rFonts w:ascii="仿宋_GB2312" w:hAnsi="TimesNewRoman" w:eastAsia="仿宋_GB2312" w:cs="TimesNewRoman"/>
          <w:bCs/>
          <w:kern w:val="0"/>
          <w:sz w:val="32"/>
          <w:szCs w:val="32"/>
        </w:rPr>
        <w:t>年项目支出表的说明</w:t>
      </w:r>
    </w:p>
    <w:p w14:paraId="7270A143">
      <w:pPr>
        <w:topLinePunct/>
        <w:adjustRightInd w:val="0"/>
        <w:snapToGrid w:val="0"/>
        <w:spacing w:line="560" w:lineRule="exact"/>
        <w:ind w:firstLine="640" w:firstLineChars="200"/>
        <w:rPr>
          <w:rFonts w:ascii="仿宋_GB2312" w:hAnsi="TimesNewRoman" w:eastAsia="仿宋_GB2312" w:cs="TimesNewRoman"/>
          <w:bCs/>
          <w:kern w:val="0"/>
          <w:sz w:val="32"/>
          <w:szCs w:val="32"/>
        </w:rPr>
      </w:pPr>
      <w:r>
        <w:rPr>
          <w:rFonts w:ascii="仿宋_GB2312" w:hAnsi="TimesNewRoman" w:eastAsia="仿宋_GB2312" w:cs="TimesNewRoman"/>
          <w:bCs/>
          <w:kern w:val="0"/>
          <w:sz w:val="32"/>
          <w:szCs w:val="32"/>
        </w:rPr>
        <w:t>10.关于</w:t>
      </w:r>
      <w:r>
        <w:rPr>
          <w:rFonts w:hint="eastAsia" w:ascii="仿宋_GB2312" w:hAnsi="TimesNewRoman" w:eastAsia="仿宋_GB2312" w:cs="TimesNewRoman"/>
          <w:bCs/>
          <w:kern w:val="0"/>
          <w:sz w:val="32"/>
          <w:szCs w:val="32"/>
        </w:rPr>
        <w:t>2026</w:t>
      </w:r>
      <w:r>
        <w:rPr>
          <w:rFonts w:ascii="仿宋_GB2312" w:hAnsi="TimesNewRoman" w:eastAsia="仿宋_GB2312" w:cs="TimesNewRoman"/>
          <w:bCs/>
          <w:kern w:val="0"/>
          <w:sz w:val="32"/>
          <w:szCs w:val="32"/>
        </w:rPr>
        <w:t>年政府采购支出表的说明</w:t>
      </w:r>
    </w:p>
    <w:p w14:paraId="1BC6D4EE">
      <w:pPr>
        <w:topLinePunct/>
        <w:adjustRightInd w:val="0"/>
        <w:snapToGrid w:val="0"/>
        <w:spacing w:line="560" w:lineRule="exact"/>
        <w:ind w:firstLine="640" w:firstLineChars="200"/>
        <w:rPr>
          <w:rFonts w:ascii="仿宋_GB2312" w:hAnsi="TimesNewRoman" w:eastAsia="仿宋_GB2312" w:cs="TimesNewRoman"/>
          <w:bCs/>
          <w:kern w:val="0"/>
          <w:sz w:val="32"/>
          <w:szCs w:val="32"/>
        </w:rPr>
      </w:pPr>
      <w:r>
        <w:rPr>
          <w:rFonts w:ascii="仿宋_GB2312" w:hAnsi="TimesNewRoman" w:eastAsia="仿宋_GB2312" w:cs="TimesNewRoman"/>
          <w:bCs/>
          <w:kern w:val="0"/>
          <w:sz w:val="32"/>
          <w:szCs w:val="32"/>
        </w:rPr>
        <w:t>11.关于</w:t>
      </w:r>
      <w:r>
        <w:rPr>
          <w:rFonts w:hint="eastAsia" w:ascii="仿宋_GB2312" w:hAnsi="TimesNewRoman" w:eastAsia="仿宋_GB2312" w:cs="TimesNewRoman"/>
          <w:bCs/>
          <w:kern w:val="0"/>
          <w:sz w:val="32"/>
          <w:szCs w:val="32"/>
        </w:rPr>
        <w:t>2026</w:t>
      </w:r>
      <w:r>
        <w:rPr>
          <w:rFonts w:ascii="仿宋_GB2312" w:hAnsi="TimesNewRoman" w:eastAsia="仿宋_GB2312" w:cs="TimesNewRoman"/>
          <w:bCs/>
          <w:kern w:val="0"/>
          <w:sz w:val="32"/>
          <w:szCs w:val="32"/>
        </w:rPr>
        <w:t>年政府购买服务支出表的说明</w:t>
      </w:r>
    </w:p>
    <w:p w14:paraId="76580378">
      <w:pPr>
        <w:topLinePunct/>
        <w:adjustRightInd w:val="0"/>
        <w:snapToGrid w:val="0"/>
        <w:spacing w:line="560" w:lineRule="exact"/>
        <w:ind w:firstLine="640" w:firstLineChars="200"/>
        <w:rPr>
          <w:rFonts w:ascii="仿宋_GB2312" w:hAnsi="TimesNewRoman" w:eastAsia="仿宋_GB2312" w:cs="TimesNewRoman"/>
          <w:bCs/>
          <w:kern w:val="0"/>
          <w:sz w:val="32"/>
          <w:szCs w:val="32"/>
        </w:rPr>
      </w:pPr>
      <w:r>
        <w:rPr>
          <w:rFonts w:hint="eastAsia" w:ascii="仿宋_GB2312" w:hAnsi="TimesNewRoman" w:eastAsia="仿宋_GB2312" w:cs="TimesNewRoman"/>
          <w:bCs/>
          <w:kern w:val="0"/>
          <w:sz w:val="32"/>
          <w:szCs w:val="32"/>
        </w:rPr>
        <w:t>12.关于2026年一般公共预算“三公”经费支出情况说明</w:t>
      </w:r>
    </w:p>
    <w:p w14:paraId="6473CD43">
      <w:pPr>
        <w:topLinePunct/>
        <w:adjustRightInd w:val="0"/>
        <w:snapToGrid w:val="0"/>
        <w:spacing w:line="560" w:lineRule="exact"/>
        <w:ind w:firstLine="640" w:firstLineChars="200"/>
        <w:rPr>
          <w:rFonts w:ascii="黑体" w:hAnsi="黑体" w:eastAsia="黑体" w:cs="TimesNewRoman"/>
          <w:kern w:val="0"/>
          <w:sz w:val="32"/>
          <w:szCs w:val="32"/>
        </w:rPr>
      </w:pPr>
      <w:r>
        <w:rPr>
          <w:rFonts w:ascii="仿宋_GB2312" w:hAnsi="TimesNewRoman" w:eastAsia="仿宋_GB2312" w:cs="TimesNewRoman"/>
          <w:bCs/>
          <w:kern w:val="0"/>
          <w:sz w:val="32"/>
          <w:szCs w:val="32"/>
        </w:rPr>
        <w:t>1</w:t>
      </w:r>
      <w:r>
        <w:rPr>
          <w:rFonts w:hint="eastAsia" w:ascii="仿宋_GB2312" w:hAnsi="TimesNewRoman" w:eastAsia="仿宋_GB2312" w:cs="TimesNewRoman"/>
          <w:bCs/>
          <w:kern w:val="0"/>
          <w:sz w:val="32"/>
          <w:szCs w:val="32"/>
        </w:rPr>
        <w:t>3</w:t>
      </w:r>
      <w:r>
        <w:rPr>
          <w:rFonts w:ascii="仿宋_GB2312" w:hAnsi="TimesNewRoman" w:eastAsia="仿宋_GB2312" w:cs="TimesNewRoman"/>
          <w:bCs/>
          <w:kern w:val="0"/>
          <w:sz w:val="32"/>
          <w:szCs w:val="32"/>
        </w:rPr>
        <w:t>.其他重要事项情况说明</w:t>
      </w:r>
    </w:p>
    <w:p w14:paraId="7AF3A7C8">
      <w:pPr>
        <w:topLinePunct/>
        <w:adjustRightInd w:val="0"/>
        <w:snapToGrid w:val="0"/>
        <w:spacing w:line="560" w:lineRule="exact"/>
        <w:ind w:firstLine="640" w:firstLineChars="200"/>
        <w:rPr>
          <w:rFonts w:ascii="黑体" w:hAnsi="黑体" w:eastAsia="黑体" w:cs="TimesNewRoman"/>
          <w:kern w:val="0"/>
          <w:sz w:val="32"/>
          <w:szCs w:val="32"/>
        </w:rPr>
      </w:pPr>
      <w:r>
        <w:rPr>
          <w:rFonts w:ascii="黑体" w:hAnsi="黑体" w:eastAsia="黑体" w:cs="TimesNewRoman"/>
          <w:kern w:val="0"/>
          <w:sz w:val="32"/>
          <w:szCs w:val="32"/>
        </w:rPr>
        <w:t>第</w:t>
      </w:r>
      <w:r>
        <w:rPr>
          <w:rFonts w:hint="eastAsia" w:ascii="黑体" w:hAnsi="黑体" w:eastAsia="黑体" w:cs="TimesNewRoman"/>
          <w:kern w:val="0"/>
          <w:sz w:val="32"/>
          <w:szCs w:val="32"/>
        </w:rPr>
        <w:t>三</w:t>
      </w:r>
      <w:r>
        <w:rPr>
          <w:rFonts w:ascii="黑体" w:hAnsi="黑体" w:eastAsia="黑体" w:cs="TimesNewRoman"/>
          <w:kern w:val="0"/>
          <w:sz w:val="32"/>
          <w:szCs w:val="32"/>
        </w:rPr>
        <w:t>部分 名词解释</w:t>
      </w:r>
    </w:p>
    <w:p w14:paraId="792ED508">
      <w:pPr>
        <w:topLinePunct/>
        <w:adjustRightInd w:val="0"/>
        <w:snapToGrid w:val="0"/>
        <w:spacing w:line="560" w:lineRule="exact"/>
        <w:ind w:firstLine="643" w:firstLineChars="200"/>
        <w:rPr>
          <w:rFonts w:ascii="TimesNewRoman" w:hAnsi="TimesNewRoman" w:eastAsia="仿宋_GB2312" w:cs="TimesNewRoman"/>
          <w:b/>
          <w:kern w:val="0"/>
          <w:sz w:val="32"/>
          <w:szCs w:val="32"/>
        </w:rPr>
      </w:pPr>
    </w:p>
    <w:p w14:paraId="584D3FF9">
      <w:pPr>
        <w:topLinePunct/>
        <w:adjustRightInd w:val="0"/>
        <w:snapToGrid w:val="0"/>
        <w:spacing w:line="560" w:lineRule="exact"/>
        <w:rPr>
          <w:rFonts w:ascii="TimesNewRoman" w:hAnsi="TimesNewRoman" w:eastAsia="黑体" w:cs="TimesNewRoman"/>
          <w:bCs/>
          <w:kern w:val="0"/>
          <w:sz w:val="36"/>
          <w:szCs w:val="36"/>
        </w:rPr>
      </w:pPr>
    </w:p>
    <w:p w14:paraId="5009F2DE">
      <w:pPr>
        <w:topLinePunct/>
        <w:adjustRightInd w:val="0"/>
        <w:snapToGrid w:val="0"/>
        <w:spacing w:line="560" w:lineRule="exact"/>
        <w:rPr>
          <w:rFonts w:ascii="TimesNewRoman" w:hAnsi="TimesNewRoman" w:eastAsia="黑体" w:cs="TimesNewRoman"/>
          <w:bCs/>
          <w:kern w:val="0"/>
          <w:sz w:val="36"/>
          <w:szCs w:val="36"/>
        </w:rPr>
      </w:pPr>
    </w:p>
    <w:p w14:paraId="2D2CA810">
      <w:pPr>
        <w:pStyle w:val="3"/>
        <w:shd w:val="clear" w:color="auto" w:fill="FFFFFF"/>
        <w:spacing w:before="0" w:beforeAutospacing="0" w:after="0" w:afterAutospacing="0" w:line="560" w:lineRule="atLeast"/>
        <w:jc w:val="center"/>
        <w:rPr>
          <w:rFonts w:ascii="Calibri" w:hAnsi="Calibri" w:cs="Calibri"/>
          <w:color w:val="333333"/>
        </w:rPr>
      </w:pPr>
      <w:r>
        <w:rPr>
          <w:rFonts w:hint="eastAsia" w:ascii="黑体" w:hAnsi="黑体" w:eastAsia="黑体" w:cs="Calibri"/>
          <w:color w:val="333333"/>
          <w:sz w:val="36"/>
          <w:szCs w:val="36"/>
        </w:rPr>
        <w:t>第一部分</w:t>
      </w:r>
      <w:r>
        <w:rPr>
          <w:rFonts w:ascii="TimesNewRoman" w:hAnsi="TimesNewRoman" w:cs="TimesNewRoman"/>
          <w:color w:val="333333"/>
          <w:sz w:val="36"/>
          <w:szCs w:val="36"/>
        </w:rPr>
        <w:t> </w:t>
      </w:r>
      <w:r>
        <w:rPr>
          <w:rFonts w:hint="eastAsia" w:ascii="黑体" w:hAnsi="黑体" w:eastAsia="黑体" w:cs="Calibri"/>
          <w:color w:val="333333"/>
          <w:sz w:val="36"/>
          <w:szCs w:val="36"/>
        </w:rPr>
        <w:t>单位概况</w:t>
      </w:r>
    </w:p>
    <w:p w14:paraId="3B9D13E2">
      <w:pPr>
        <w:pStyle w:val="3"/>
        <w:shd w:val="clear" w:color="auto" w:fill="FFFFFF"/>
        <w:spacing w:before="0" w:beforeAutospacing="0" w:after="0" w:afterAutospacing="0" w:line="560" w:lineRule="atLeast"/>
        <w:ind w:firstLine="627"/>
        <w:jc w:val="both"/>
        <w:rPr>
          <w:rFonts w:ascii="Calibri" w:hAnsi="Calibri" w:cs="Calibri"/>
          <w:color w:val="333333"/>
        </w:rPr>
      </w:pPr>
      <w:r>
        <w:rPr>
          <w:rFonts w:ascii="Calibri" w:hAnsi="Calibri" w:cs="Calibri"/>
          <w:color w:val="333333"/>
        </w:rPr>
        <w:t> </w:t>
      </w:r>
    </w:p>
    <w:p w14:paraId="3ADEBBD2">
      <w:pPr>
        <w:pStyle w:val="3"/>
        <w:shd w:val="clear" w:color="auto" w:fill="FFFFFF"/>
        <w:spacing w:before="0" w:beforeAutospacing="0" w:after="0" w:afterAutospacing="0" w:line="580" w:lineRule="atLeast"/>
        <w:ind w:firstLine="640"/>
        <w:jc w:val="both"/>
        <w:rPr>
          <w:rFonts w:ascii="Calibri" w:hAnsi="Calibri" w:cs="Calibri"/>
          <w:color w:val="333333"/>
        </w:rPr>
      </w:pPr>
      <w:r>
        <w:rPr>
          <w:rFonts w:hint="eastAsia" w:ascii="楷体" w:hAnsi="楷体" w:eastAsia="楷体" w:cs="Calibri"/>
          <w:b/>
          <w:bCs/>
          <w:color w:val="333333"/>
          <w:sz w:val="32"/>
          <w:szCs w:val="32"/>
        </w:rPr>
        <w:t>一、主要职责</w:t>
      </w:r>
    </w:p>
    <w:p w14:paraId="33A47349">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rPr>
        <w:t>教育、引导全县广大妇女发扬自尊、自信、自立、自强的精神，提高综合素质，投身和参与社会活动，促进经济发展和社会全面发展。代表妇女参与国家和社会事务的民主管理、民主监督，积极实施中国妇女和儿童发展纲要，维护妇女儿童合法权益，促进男女平等。</w:t>
      </w:r>
    </w:p>
    <w:p w14:paraId="15330021">
      <w:pPr>
        <w:pStyle w:val="3"/>
        <w:shd w:val="clear" w:color="auto" w:fill="FFFFFF"/>
        <w:spacing w:before="0" w:beforeAutospacing="0" w:after="0" w:afterAutospacing="0" w:line="580" w:lineRule="atLeast"/>
        <w:ind w:firstLine="640"/>
        <w:jc w:val="both"/>
        <w:rPr>
          <w:rFonts w:ascii="Calibri" w:hAnsi="Calibri" w:cs="Calibri"/>
          <w:color w:val="333333"/>
        </w:rPr>
      </w:pPr>
      <w:r>
        <w:rPr>
          <w:rFonts w:hint="eastAsia" w:ascii="楷体" w:hAnsi="楷体" w:eastAsia="楷体" w:cs="Calibri"/>
          <w:b/>
          <w:bCs/>
          <w:color w:val="333333"/>
          <w:sz w:val="32"/>
          <w:szCs w:val="32"/>
        </w:rPr>
        <w:t>二、单位预算构成</w:t>
      </w:r>
    </w:p>
    <w:p w14:paraId="201C8FB2">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rPr>
        <w:t>从预算单位构成看，寿县妇女联合会2026年度部门预算包括局本级预算，纳入寿县妇女联合会2026年度部门预算编制范围的单位共1个，无其他下属单位,具体情况见下表。</w:t>
      </w:r>
    </w:p>
    <w:tbl>
      <w:tblPr>
        <w:tblStyle w:val="5"/>
        <w:tblW w:w="9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9"/>
        <w:gridCol w:w="4775"/>
        <w:gridCol w:w="3032"/>
      </w:tblGrid>
      <w:tr w14:paraId="18C5C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289" w:type="dxa"/>
            <w:vAlign w:val="center"/>
          </w:tcPr>
          <w:p w14:paraId="07FEAF17">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rPr>
              <w:t>序号</w:t>
            </w:r>
          </w:p>
        </w:tc>
        <w:tc>
          <w:tcPr>
            <w:tcW w:w="4775" w:type="dxa"/>
            <w:vAlign w:val="center"/>
          </w:tcPr>
          <w:p w14:paraId="3705601B">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rPr>
              <w:t>单位名称</w:t>
            </w:r>
          </w:p>
        </w:tc>
        <w:tc>
          <w:tcPr>
            <w:tcW w:w="3032" w:type="dxa"/>
            <w:vAlign w:val="center"/>
          </w:tcPr>
          <w:p w14:paraId="34D59794">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rPr>
              <w:t>单位性质</w:t>
            </w:r>
          </w:p>
        </w:tc>
      </w:tr>
      <w:tr w14:paraId="4A5B2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289" w:type="dxa"/>
            <w:vAlign w:val="center"/>
          </w:tcPr>
          <w:p w14:paraId="4A2ABF8A">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rPr>
              <w:t>1</w:t>
            </w:r>
          </w:p>
        </w:tc>
        <w:tc>
          <w:tcPr>
            <w:tcW w:w="4775" w:type="dxa"/>
            <w:vAlign w:val="center"/>
          </w:tcPr>
          <w:p w14:paraId="68267E8F">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rPr>
              <w:t>寿县妇女联合会</w:t>
            </w:r>
          </w:p>
        </w:tc>
        <w:tc>
          <w:tcPr>
            <w:tcW w:w="3032" w:type="dxa"/>
            <w:vAlign w:val="center"/>
          </w:tcPr>
          <w:p w14:paraId="3E851E55">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rPr>
              <w:t>行政单位</w:t>
            </w:r>
          </w:p>
        </w:tc>
      </w:tr>
    </w:tbl>
    <w:p w14:paraId="1530D4EB">
      <w:pPr>
        <w:pStyle w:val="3"/>
        <w:shd w:val="clear" w:color="auto" w:fill="FFFFFF"/>
        <w:spacing w:before="0" w:beforeAutospacing="0" w:after="0" w:afterAutospacing="0" w:line="580" w:lineRule="atLeast"/>
        <w:jc w:val="both"/>
        <w:rPr>
          <w:rFonts w:ascii="仿宋" w:hAnsi="仿宋" w:eastAsia="仿宋" w:cs="Calibri"/>
          <w:color w:val="333333"/>
          <w:sz w:val="32"/>
          <w:szCs w:val="32"/>
        </w:rPr>
      </w:pPr>
    </w:p>
    <w:p w14:paraId="34F61869">
      <w:pPr>
        <w:pStyle w:val="3"/>
        <w:shd w:val="clear" w:color="auto" w:fill="FFFFFF"/>
        <w:spacing w:before="0" w:beforeAutospacing="0" w:after="0" w:afterAutospacing="0" w:line="580" w:lineRule="atLeast"/>
        <w:jc w:val="both"/>
        <w:rPr>
          <w:rFonts w:ascii="Calibri" w:hAnsi="Calibri" w:cs="Calibri"/>
          <w:color w:val="333333"/>
        </w:rPr>
      </w:pPr>
      <w:r>
        <w:rPr>
          <w:rFonts w:hint="eastAsia" w:ascii="楷体" w:hAnsi="楷体" w:eastAsia="楷体" w:cs="Calibri"/>
          <w:b/>
          <w:bCs/>
          <w:color w:val="333333"/>
          <w:sz w:val="32"/>
          <w:szCs w:val="32"/>
        </w:rPr>
        <w:t>三、2026年度主要工作任务</w:t>
      </w:r>
    </w:p>
    <w:p w14:paraId="30AA8AB5">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华文楷体" w:hAnsi="华文楷体" w:eastAsia="华文楷体" w:cs="华文楷体"/>
          <w:b/>
          <w:bCs/>
          <w:sz w:val="32"/>
          <w:szCs w:val="32"/>
        </w:rPr>
      </w:pPr>
      <w:r>
        <w:rPr>
          <w:rFonts w:hint="eastAsia" w:ascii="华文楷体" w:hAnsi="华文楷体" w:eastAsia="华文楷体" w:cs="华文楷体"/>
          <w:b/>
          <w:bCs/>
          <w:sz w:val="32"/>
          <w:szCs w:val="32"/>
        </w:rPr>
        <w:t>（一）聚焦思想引领，筑牢巾帼信仰之基</w:t>
      </w:r>
    </w:p>
    <w:p w14:paraId="2DD30A3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楷体_GB2312" w:eastAsia="仿宋_GB2312"/>
          <w:color w:val="000000"/>
          <w:sz w:val="32"/>
          <w:szCs w:val="32"/>
        </w:rPr>
      </w:pPr>
      <w:r>
        <w:rPr>
          <w:rFonts w:hint="eastAsia" w:eastAsia="仿宋_GB2312"/>
          <w:color w:val="000000"/>
          <w:sz w:val="32"/>
          <w:szCs w:val="32"/>
        </w:rPr>
        <w:t>持续学深悟透习近平新时代中国特色社会主义思想，</w:t>
      </w:r>
      <w:r>
        <w:rPr>
          <w:rFonts w:hint="eastAsia" w:hAnsi="仿宋" w:eastAsia="仿宋_GB2312"/>
          <w:color w:val="000000"/>
          <w:sz w:val="32"/>
          <w:szCs w:val="32"/>
        </w:rPr>
        <w:t>深入学习贯彻党的二十大及二十</w:t>
      </w:r>
      <w:r>
        <w:rPr>
          <w:rFonts w:hint="eastAsia" w:hAnsi="仿宋" w:eastAsia="仿宋_GB2312"/>
          <w:color w:val="000000"/>
          <w:sz w:val="32"/>
          <w:szCs w:val="32"/>
          <w:lang w:val="en-US" w:eastAsia="zh-CN"/>
        </w:rPr>
        <w:t>届四中</w:t>
      </w:r>
      <w:r>
        <w:rPr>
          <w:rFonts w:hint="eastAsia" w:hAnsi="仿宋" w:eastAsia="仿宋_GB2312"/>
          <w:color w:val="000000"/>
          <w:sz w:val="32"/>
          <w:szCs w:val="32"/>
        </w:rPr>
        <w:t>全会精神，全面贯彻落实习近平总书记考察安徽重要讲话精神，</w:t>
      </w:r>
      <w:r>
        <w:rPr>
          <w:rFonts w:hint="eastAsia" w:eastAsia="仿宋_GB2312"/>
          <w:color w:val="000000"/>
          <w:sz w:val="32"/>
          <w:szCs w:val="32"/>
        </w:rPr>
        <w:t>创新学习宣传方式，通过线上</w:t>
      </w:r>
      <w:r>
        <w:rPr>
          <w:rFonts w:hint="eastAsia" w:eastAsia="仿宋_GB2312"/>
          <w:color w:val="000000"/>
          <w:sz w:val="32"/>
          <w:szCs w:val="32"/>
          <w:lang w:eastAsia="zh-CN"/>
        </w:rPr>
        <w:t>“</w:t>
      </w:r>
      <w:r>
        <w:rPr>
          <w:rFonts w:hint="eastAsia" w:eastAsia="仿宋_GB2312"/>
          <w:color w:val="000000"/>
          <w:sz w:val="32"/>
          <w:szCs w:val="32"/>
          <w:lang w:val="en-US" w:eastAsia="zh-CN"/>
        </w:rPr>
        <w:t>寿县女性”微信公众号、视频号和</w:t>
      </w:r>
      <w:r>
        <w:rPr>
          <w:rFonts w:hint="eastAsia" w:eastAsia="仿宋_GB2312"/>
          <w:color w:val="000000"/>
          <w:sz w:val="32"/>
          <w:szCs w:val="32"/>
        </w:rPr>
        <w:t>线下巾帼大宣讲等，引导广大妇女进一步坚定拥护“两个确立”、坚决做到“两个维护”。围绕</w:t>
      </w:r>
      <w:r>
        <w:rPr>
          <w:rFonts w:hint="eastAsia" w:eastAsia="仿宋_GB2312"/>
          <w:color w:val="000000"/>
          <w:sz w:val="32"/>
          <w:szCs w:val="32"/>
          <w:lang w:eastAsia="zh-CN"/>
        </w:rPr>
        <w:t>“</w:t>
      </w:r>
      <w:r>
        <w:rPr>
          <w:rFonts w:hint="eastAsia" w:eastAsia="仿宋_GB2312"/>
          <w:color w:val="000000"/>
          <w:sz w:val="32"/>
          <w:szCs w:val="32"/>
          <w:lang w:val="en-US" w:eastAsia="zh-CN"/>
        </w:rPr>
        <w:t>三八、六一”</w:t>
      </w:r>
      <w:r>
        <w:rPr>
          <w:rFonts w:hint="eastAsia" w:eastAsia="仿宋_GB2312"/>
          <w:color w:val="000000"/>
          <w:sz w:val="32"/>
          <w:szCs w:val="32"/>
        </w:rPr>
        <w:t>重大节日和纪念日，组织开展形式多样、内容丰富的群众性主题宣传活动，激发妇女的爱国热情和奋斗精神。</w:t>
      </w:r>
    </w:p>
    <w:p w14:paraId="03043A28">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华文楷体" w:hAnsi="华文楷体" w:eastAsia="华文楷体" w:cs="华文楷体"/>
          <w:b/>
          <w:bCs/>
          <w:sz w:val="32"/>
          <w:szCs w:val="32"/>
        </w:rPr>
      </w:pPr>
      <w:r>
        <w:rPr>
          <w:rFonts w:hint="eastAsia" w:ascii="华文楷体" w:hAnsi="华文楷体" w:eastAsia="华文楷体" w:cs="华文楷体"/>
          <w:b/>
          <w:bCs/>
          <w:sz w:val="32"/>
          <w:szCs w:val="32"/>
        </w:rPr>
        <w:t>（二）聚焦发展赋能，彰显巾帼担当之为</w:t>
      </w:r>
    </w:p>
    <w:p w14:paraId="35C7222F">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b/>
          <w:bCs/>
          <w:color w:val="000000"/>
          <w:sz w:val="32"/>
          <w:szCs w:val="32"/>
        </w:rPr>
        <w:t>加大</w:t>
      </w:r>
      <w:r>
        <w:rPr>
          <w:rFonts w:hint="eastAsia" w:ascii="Times New Roman" w:hAnsi="Times New Roman" w:eastAsia="仿宋_GB2312" w:cs="Times New Roman"/>
          <w:b/>
          <w:bCs/>
          <w:color w:val="000000"/>
          <w:sz w:val="32"/>
          <w:szCs w:val="32"/>
          <w:lang w:val="en-US" w:eastAsia="zh-CN"/>
        </w:rPr>
        <w:t>妇女</w:t>
      </w:r>
      <w:r>
        <w:rPr>
          <w:rFonts w:hint="eastAsia" w:ascii="Times New Roman" w:hAnsi="Times New Roman" w:eastAsia="仿宋_GB2312" w:cs="Times New Roman"/>
          <w:b/>
          <w:bCs/>
          <w:color w:val="000000"/>
          <w:sz w:val="32"/>
          <w:szCs w:val="32"/>
        </w:rPr>
        <w:t>创业就业扶持力度</w:t>
      </w:r>
      <w:r>
        <w:rPr>
          <w:rFonts w:hint="eastAsia"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val="en-US" w:eastAsia="zh-CN"/>
        </w:rPr>
        <w:t>加大妇女创业就业培训，</w:t>
      </w:r>
      <w:r>
        <w:rPr>
          <w:rFonts w:hint="eastAsia" w:ascii="Times New Roman" w:hAnsi="Times New Roman" w:eastAsia="仿宋_GB2312" w:cs="Times New Roman"/>
          <w:color w:val="000000"/>
          <w:sz w:val="32"/>
          <w:szCs w:val="32"/>
        </w:rPr>
        <w:t>拓宽培训渠道与内容，提升培训精准度实效性。</w:t>
      </w:r>
      <w:r>
        <w:rPr>
          <w:rFonts w:hint="eastAsia" w:ascii="Times New Roman" w:hAnsi="Times New Roman" w:eastAsia="仿宋_GB2312" w:cs="Times New Roman"/>
          <w:b/>
          <w:bCs/>
          <w:color w:val="000000"/>
          <w:sz w:val="32"/>
          <w:szCs w:val="32"/>
        </w:rPr>
        <w:t>深化“乡村振兴巾帼行动”，</w:t>
      </w:r>
      <w:r>
        <w:rPr>
          <w:rFonts w:hint="eastAsia" w:ascii="Times New Roman" w:hAnsi="Times New Roman" w:eastAsia="仿宋_GB2312" w:cs="Times New Roman"/>
          <w:color w:val="000000"/>
          <w:sz w:val="32"/>
          <w:szCs w:val="32"/>
        </w:rPr>
        <w:t>鼓励支持妇女发展特色农业、乡村旅游</w:t>
      </w:r>
      <w:r>
        <w:rPr>
          <w:rFonts w:hint="eastAsia" w:ascii="Times New Roman" w:hAnsi="Times New Roman" w:eastAsia="仿宋_GB2312" w:cs="Times New Roman"/>
          <w:color w:val="000000"/>
          <w:sz w:val="32"/>
          <w:szCs w:val="32"/>
          <w:lang w:val="en-US" w:eastAsia="zh-CN"/>
        </w:rPr>
        <w:t>民宿、农家乐</w:t>
      </w:r>
      <w:r>
        <w:rPr>
          <w:rFonts w:hint="eastAsia" w:ascii="Times New Roman" w:hAnsi="Times New Roman" w:eastAsia="仿宋_GB2312" w:cs="Times New Roman"/>
          <w:color w:val="000000"/>
          <w:sz w:val="32"/>
          <w:szCs w:val="32"/>
        </w:rPr>
        <w:t>、农村电商等产业</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依托村播联盟</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引导全县女主播弘扬正能量，</w:t>
      </w:r>
      <w:r>
        <w:rPr>
          <w:rFonts w:hint="eastAsia" w:ascii="Times New Roman" w:hAnsi="Times New Roman" w:eastAsia="仿宋_GB2312" w:cs="Times New Roman"/>
          <w:color w:val="000000"/>
          <w:sz w:val="32"/>
          <w:szCs w:val="32"/>
        </w:rPr>
        <w:t>助力文旅融合与乡村振兴。</w:t>
      </w:r>
      <w:r>
        <w:rPr>
          <w:rFonts w:hint="eastAsia" w:ascii="Times New Roman" w:hAnsi="Times New Roman" w:eastAsia="仿宋_GB2312" w:cs="Times New Roman"/>
          <w:b/>
          <w:bCs/>
          <w:color w:val="000000"/>
          <w:sz w:val="32"/>
          <w:szCs w:val="32"/>
        </w:rPr>
        <w:t>推进“美丽庭院”</w:t>
      </w:r>
      <w:r>
        <w:rPr>
          <w:rFonts w:hint="eastAsia" w:ascii="Times New Roman" w:hAnsi="Times New Roman" w:eastAsia="仿宋_GB2312" w:cs="Times New Roman"/>
          <w:b/>
          <w:bCs/>
          <w:color w:val="000000"/>
          <w:sz w:val="32"/>
          <w:szCs w:val="32"/>
          <w:lang w:val="en-US" w:eastAsia="zh-CN"/>
        </w:rPr>
        <w:t>建设</w:t>
      </w:r>
      <w:r>
        <w:rPr>
          <w:rFonts w:hint="eastAsia" w:ascii="Times New Roman" w:hAnsi="Times New Roman" w:eastAsia="仿宋_GB2312" w:cs="Times New Roman"/>
          <w:color w:val="000000"/>
          <w:sz w:val="32"/>
          <w:szCs w:val="32"/>
        </w:rPr>
        <w:t>，助力农村人居环境提升。</w:t>
      </w:r>
      <w:r>
        <w:rPr>
          <w:rFonts w:hint="eastAsia" w:ascii="Times New Roman" w:hAnsi="Times New Roman" w:eastAsia="仿宋_GB2312" w:cs="Times New Roman"/>
          <w:b/>
          <w:bCs/>
          <w:color w:val="000000"/>
          <w:sz w:val="32"/>
          <w:szCs w:val="32"/>
        </w:rPr>
        <w:t>积极推进巾帼科技创新行动，</w:t>
      </w:r>
      <w:r>
        <w:rPr>
          <w:rFonts w:hint="eastAsia" w:ascii="Times New Roman" w:hAnsi="Times New Roman" w:eastAsia="仿宋_GB2312" w:cs="Times New Roman"/>
          <w:color w:val="000000"/>
          <w:sz w:val="32"/>
          <w:szCs w:val="32"/>
          <w:lang w:val="en-US" w:eastAsia="zh-CN"/>
        </w:rPr>
        <w:t>依托县女企业家协会</w:t>
      </w:r>
      <w:r>
        <w:rPr>
          <w:rFonts w:hint="eastAsia" w:ascii="Times New Roman" w:hAnsi="Times New Roman" w:eastAsia="仿宋_GB2312" w:cs="Times New Roman"/>
          <w:color w:val="000000"/>
          <w:sz w:val="32"/>
          <w:szCs w:val="32"/>
        </w:rPr>
        <w:t>搭建妇女科技创新平台，引导女科技人才发挥作用，为推动科技创新贡献巾帼力量。</w:t>
      </w:r>
      <w:r>
        <w:rPr>
          <w:rFonts w:hint="eastAsia" w:ascii="Times New Roman" w:hAnsi="Times New Roman" w:eastAsia="仿宋_GB2312" w:cs="Times New Roman"/>
          <w:b/>
          <w:bCs/>
          <w:color w:val="000000"/>
          <w:sz w:val="32"/>
          <w:szCs w:val="32"/>
          <w:lang w:val="en-US" w:eastAsia="zh-CN"/>
        </w:rPr>
        <w:t>强化</w:t>
      </w:r>
      <w:r>
        <w:rPr>
          <w:rFonts w:hint="eastAsia" w:ascii="Times New Roman" w:hAnsi="Times New Roman" w:eastAsia="仿宋_GB2312" w:cs="Times New Roman"/>
          <w:b/>
          <w:bCs/>
          <w:color w:val="000000"/>
          <w:sz w:val="32"/>
          <w:szCs w:val="32"/>
        </w:rPr>
        <w:t>法律法规宣传，</w:t>
      </w:r>
      <w:r>
        <w:rPr>
          <w:rFonts w:hint="eastAsia" w:ascii="Times New Roman" w:hAnsi="Times New Roman" w:eastAsia="仿宋_GB2312" w:cs="Times New Roman"/>
          <w:color w:val="000000"/>
          <w:sz w:val="32"/>
          <w:szCs w:val="32"/>
        </w:rPr>
        <w:t>持续开展“</w:t>
      </w:r>
      <w:r>
        <w:rPr>
          <w:rFonts w:hint="eastAsia" w:ascii="Times New Roman" w:hAnsi="Times New Roman" w:eastAsia="仿宋_GB2312" w:cs="Times New Roman"/>
          <w:color w:val="000000"/>
          <w:sz w:val="32"/>
          <w:szCs w:val="32"/>
          <w:lang w:val="en-US" w:eastAsia="zh-CN"/>
        </w:rPr>
        <w:t>皖美巾帼普法行</w:t>
      </w:r>
      <w:r>
        <w:rPr>
          <w:rFonts w:hint="eastAsia" w:ascii="Times New Roman" w:hAnsi="Times New Roman" w:eastAsia="仿宋_GB2312" w:cs="Times New Roman"/>
          <w:color w:val="000000"/>
          <w:sz w:val="32"/>
          <w:szCs w:val="32"/>
        </w:rPr>
        <w:t>”活动，加大对《妇女权益保障法》《民法典》等法律法规的宣传力度，提高妇女依法维权的意识和能力。</w:t>
      </w:r>
      <w:r>
        <w:rPr>
          <w:rFonts w:hint="eastAsia" w:ascii="Times New Roman" w:hAnsi="Times New Roman" w:eastAsia="仿宋_GB2312" w:cs="Times New Roman"/>
          <w:b/>
          <w:bCs/>
          <w:color w:val="000000"/>
          <w:sz w:val="32"/>
          <w:szCs w:val="32"/>
        </w:rPr>
        <w:t>完善维权服务机制</w:t>
      </w:r>
      <w:r>
        <w:rPr>
          <w:rFonts w:hint="eastAsia"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val="en-US" w:eastAsia="zh-CN"/>
        </w:rPr>
        <w:t>深化维权服务，打响寿县婚调品牌，维护家庭和谐、助力基层治理</w:t>
      </w:r>
      <w:r>
        <w:rPr>
          <w:rFonts w:hint="eastAsia" w:ascii="Times New Roman" w:hAnsi="Times New Roman" w:eastAsia="仿宋_GB2312" w:cs="Times New Roman"/>
          <w:color w:val="000000"/>
          <w:sz w:val="32"/>
          <w:szCs w:val="32"/>
        </w:rPr>
        <w:t>。</w:t>
      </w:r>
      <w:r>
        <w:rPr>
          <w:rFonts w:hint="eastAsia" w:ascii="Times New Roman" w:hAnsi="Times New Roman" w:eastAsia="仿宋_GB2312" w:cs="Times New Roman"/>
          <w:b/>
          <w:bCs/>
          <w:color w:val="000000"/>
          <w:sz w:val="32"/>
          <w:szCs w:val="32"/>
        </w:rPr>
        <w:t>关注妇女儿童民生问题，</w:t>
      </w:r>
      <w:r>
        <w:rPr>
          <w:rFonts w:hint="eastAsia" w:ascii="Times New Roman" w:hAnsi="Times New Roman" w:eastAsia="仿宋_GB2312" w:cs="Times New Roman"/>
          <w:color w:val="000000"/>
          <w:sz w:val="32"/>
          <w:szCs w:val="32"/>
        </w:rPr>
        <w:t>积极争取社会资源，扩大救助覆盖面，</w:t>
      </w:r>
      <w:r>
        <w:rPr>
          <w:rFonts w:hint="eastAsia" w:ascii="Times New Roman" w:hAnsi="Times New Roman" w:eastAsia="仿宋_GB2312" w:cs="Times New Roman"/>
          <w:color w:val="000000"/>
          <w:sz w:val="32"/>
          <w:szCs w:val="32"/>
          <w:lang w:val="en-US" w:eastAsia="zh-CN"/>
        </w:rPr>
        <w:t>持续推进“皖家幸福驿站”建设，</w:t>
      </w:r>
      <w:r>
        <w:rPr>
          <w:rFonts w:hint="eastAsia" w:ascii="Times New Roman" w:hAnsi="Times New Roman" w:eastAsia="仿宋_GB2312" w:cs="Times New Roman"/>
          <w:color w:val="000000"/>
          <w:sz w:val="32"/>
          <w:szCs w:val="32"/>
        </w:rPr>
        <w:t>让更多的妇女儿童受益</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加大“爱心妈妈”结对帮扶工作力度，结合留守儿童需求，落实成长指导、学习辅导、物资资助等帮扶措施。</w:t>
      </w:r>
    </w:p>
    <w:p w14:paraId="20FB7142">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Times New Roman" w:eastAsia="楷体_GB2312" w:cs="Times New Roman"/>
          <w:b/>
          <w:color w:val="000000"/>
          <w:sz w:val="32"/>
          <w:szCs w:val="32"/>
        </w:rPr>
      </w:pPr>
      <w:r>
        <w:rPr>
          <w:rFonts w:hint="eastAsia" w:ascii="楷体_GB2312" w:hAnsi="Times New Roman" w:eastAsia="楷体_GB2312" w:cs="Times New Roman"/>
          <w:b/>
          <w:color w:val="000000"/>
          <w:sz w:val="32"/>
          <w:szCs w:val="32"/>
        </w:rPr>
        <w:t>（三）聚焦家庭建设，厚植巾帼文明之风</w:t>
      </w:r>
    </w:p>
    <w:p w14:paraId="773E3AC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加强家庭教育指导服务，</w:t>
      </w:r>
      <w:r>
        <w:rPr>
          <w:rFonts w:hint="eastAsia" w:ascii="Times New Roman" w:hAnsi="Times New Roman" w:eastAsia="仿宋_GB2312" w:cs="Times New Roman"/>
          <w:color w:val="000000"/>
          <w:sz w:val="32"/>
          <w:szCs w:val="32"/>
          <w:lang w:val="en-US" w:eastAsia="zh-CN"/>
        </w:rPr>
        <w:t>擦亮“家和楚韵智慧父母研修班”品牌</w:t>
      </w:r>
      <w:r>
        <w:rPr>
          <w:rFonts w:hint="eastAsia" w:ascii="Times New Roman" w:hAnsi="Times New Roman" w:eastAsia="仿宋_GB2312" w:cs="Times New Roman"/>
          <w:color w:val="000000"/>
          <w:sz w:val="32"/>
          <w:szCs w:val="32"/>
        </w:rPr>
        <w:t>，深入开展家庭教育讲座、亲子实践活动等，传播科学的家庭教育理念和方法，提升家长家庭教育水平。</w:t>
      </w:r>
      <w:r>
        <w:rPr>
          <w:rFonts w:hint="eastAsia" w:ascii="Times New Roman" w:hAnsi="Times New Roman" w:eastAsia="仿宋_GB2312" w:cs="Times New Roman"/>
          <w:color w:val="000000"/>
          <w:sz w:val="32"/>
          <w:szCs w:val="32"/>
          <w:lang w:val="en-US" w:eastAsia="zh-CN"/>
        </w:rPr>
        <w:t>创新</w:t>
      </w:r>
      <w:r>
        <w:rPr>
          <w:rFonts w:hint="eastAsia" w:ascii="Times New Roman" w:hAnsi="Times New Roman" w:eastAsia="仿宋_GB2312" w:cs="Times New Roman"/>
          <w:color w:val="000000"/>
          <w:sz w:val="32"/>
          <w:szCs w:val="32"/>
        </w:rPr>
        <w:t>家庭文明</w:t>
      </w:r>
      <w:r>
        <w:rPr>
          <w:rFonts w:hint="eastAsia" w:ascii="Times New Roman" w:hAnsi="Times New Roman" w:eastAsia="仿宋_GB2312" w:cs="Times New Roman"/>
          <w:color w:val="000000"/>
          <w:sz w:val="32"/>
          <w:szCs w:val="32"/>
          <w:lang w:val="en-US" w:eastAsia="zh-CN"/>
        </w:rPr>
        <w:t>载体</w:t>
      </w:r>
      <w:r>
        <w:rPr>
          <w:rFonts w:hint="eastAsia" w:ascii="Times New Roman" w:hAnsi="Times New Roman" w:eastAsia="仿宋_GB2312" w:cs="Times New Roman"/>
          <w:color w:val="000000"/>
          <w:sz w:val="32"/>
          <w:szCs w:val="32"/>
        </w:rPr>
        <w:t>，吸引更多家庭参与，推动形成爱国爱家、相亲相爱、向上向善、共建共享的社会主义家庭文明新风尚。推进家庭家教家风建设</w:t>
      </w:r>
      <w:r>
        <w:rPr>
          <w:rFonts w:hint="eastAsia" w:ascii="Times New Roman" w:hAnsi="Times New Roman" w:eastAsia="仿宋_GB2312" w:cs="Times New Roman"/>
          <w:color w:val="000000"/>
          <w:sz w:val="32"/>
          <w:szCs w:val="32"/>
          <w:lang w:val="en-US" w:eastAsia="zh-CN"/>
        </w:rPr>
        <w:t>融入</w:t>
      </w:r>
      <w:r>
        <w:rPr>
          <w:rFonts w:hint="eastAsia" w:ascii="Times New Roman" w:hAnsi="Times New Roman" w:eastAsia="仿宋_GB2312" w:cs="Times New Roman"/>
          <w:color w:val="000000"/>
          <w:sz w:val="32"/>
          <w:szCs w:val="32"/>
        </w:rPr>
        <w:t>基层社会治理，以小家和谐促社会安定。</w:t>
      </w:r>
    </w:p>
    <w:p w14:paraId="033DB91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楷体_GB2312" w:hAnsi="Times New Roman" w:eastAsia="楷体_GB2312" w:cs="Times New Roman"/>
          <w:b/>
          <w:color w:val="000000"/>
          <w:sz w:val="32"/>
          <w:szCs w:val="32"/>
        </w:rPr>
      </w:pPr>
      <w:r>
        <w:rPr>
          <w:rFonts w:hint="eastAsia"/>
          <w:sz w:val="32"/>
          <w:szCs w:val="32"/>
        </w:rPr>
        <w:t xml:space="preserve"> </w:t>
      </w:r>
      <w:r>
        <w:rPr>
          <w:rFonts w:hint="eastAsia" w:ascii="楷体_GB2312" w:hAnsi="Times New Roman" w:eastAsia="楷体_GB2312" w:cs="Times New Roman"/>
          <w:b/>
          <w:color w:val="000000"/>
          <w:sz w:val="32"/>
          <w:szCs w:val="32"/>
        </w:rPr>
        <w:t>（四）聚焦组织建设，夯实巾帼履职之基</w:t>
      </w:r>
    </w:p>
    <w:p w14:paraId="466DBE6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Times New Roman"/>
          <w:color w:val="000000"/>
          <w:sz w:val="32"/>
          <w:szCs w:val="32"/>
        </w:rPr>
      </w:pPr>
      <w:r>
        <w:rPr>
          <w:rFonts w:hint="eastAsia" w:eastAsia="仿宋_GB2312"/>
          <w:color w:val="000000"/>
          <w:sz w:val="32"/>
          <w:szCs w:val="32"/>
        </w:rPr>
        <w:t>巩固基层妇联组织改革成果，加强乡镇、村（社区）妇联组织建设，完善工作制度，规范工作流程，提高基层妇联组织的凝聚力和战斗力。拓展</w:t>
      </w:r>
      <w:r>
        <w:rPr>
          <w:rFonts w:hint="eastAsia" w:eastAsia="仿宋_GB2312"/>
          <w:color w:val="000000"/>
          <w:sz w:val="32"/>
          <w:szCs w:val="32"/>
          <w:lang w:val="en-US" w:eastAsia="zh-CN"/>
        </w:rPr>
        <w:t>新兴</w:t>
      </w:r>
      <w:r>
        <w:rPr>
          <w:rFonts w:hint="eastAsia" w:eastAsia="仿宋_GB2312"/>
          <w:color w:val="000000"/>
          <w:sz w:val="32"/>
          <w:szCs w:val="32"/>
        </w:rPr>
        <w:t>领域妇联组织建设，</w:t>
      </w:r>
      <w:r>
        <w:rPr>
          <w:rFonts w:hint="eastAsia" w:eastAsia="仿宋_GB2312"/>
          <w:color w:val="000000"/>
          <w:sz w:val="32"/>
          <w:szCs w:val="32"/>
          <w:lang w:val="en-US" w:eastAsia="zh-CN"/>
        </w:rPr>
        <w:t>持续</w:t>
      </w:r>
      <w:r>
        <w:rPr>
          <w:rFonts w:hint="eastAsia" w:eastAsia="仿宋_GB2312"/>
          <w:color w:val="000000"/>
          <w:sz w:val="32"/>
          <w:szCs w:val="32"/>
        </w:rPr>
        <w:t>加大在新经济组织、新社会组织、新媒体行业和新就业群体中建立妇联组织的力度，扩大妇联组织的覆盖面和影响力。加强妇联干部队伍建设，</w:t>
      </w:r>
      <w:r>
        <w:rPr>
          <w:rFonts w:hint="eastAsia" w:ascii="Times New Roman" w:hAnsi="Times New Roman" w:eastAsia="仿宋_GB2312" w:cs="Times New Roman"/>
          <w:color w:val="000000"/>
          <w:sz w:val="32"/>
          <w:szCs w:val="32"/>
        </w:rPr>
        <w:t>常态化</w:t>
      </w:r>
      <w:r>
        <w:rPr>
          <w:rFonts w:hint="eastAsia" w:ascii="Times New Roman" w:hAnsi="Times New Roman" w:eastAsia="仿宋_GB2312" w:cs="Times New Roman"/>
          <w:color w:val="000000"/>
          <w:sz w:val="32"/>
          <w:szCs w:val="32"/>
          <w:lang w:val="en-US" w:eastAsia="zh-CN"/>
        </w:rPr>
        <w:t>开展</w:t>
      </w:r>
      <w:r>
        <w:rPr>
          <w:rFonts w:hint="eastAsia" w:ascii="Times New Roman" w:hAnsi="Times New Roman" w:eastAsia="仿宋_GB2312" w:cs="Times New Roman"/>
          <w:color w:val="000000"/>
          <w:sz w:val="32"/>
          <w:szCs w:val="32"/>
        </w:rPr>
        <w:t>培训，提高妇联干部的政治素质</w:t>
      </w:r>
      <w:r>
        <w:rPr>
          <w:rFonts w:hint="eastAsia" w:ascii="Times New Roman" w:hAnsi="Times New Roman" w:eastAsia="仿宋_GB2312" w:cs="Times New Roman"/>
          <w:color w:val="000000"/>
          <w:sz w:val="32"/>
          <w:szCs w:val="32"/>
          <w:lang w:val="en-US" w:eastAsia="zh-CN"/>
        </w:rPr>
        <w:t>与</w:t>
      </w:r>
      <w:r>
        <w:rPr>
          <w:rFonts w:hint="eastAsia" w:ascii="Times New Roman" w:hAnsi="Times New Roman" w:eastAsia="仿宋_GB2312" w:cs="Times New Roman"/>
          <w:color w:val="000000"/>
          <w:sz w:val="32"/>
          <w:szCs w:val="32"/>
        </w:rPr>
        <w:t>业务能力。锤炼务实作风，密切联系妇女群众，切实为妇女群众办实事、解难题。</w:t>
      </w:r>
    </w:p>
    <w:p w14:paraId="6F0601B8">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华文楷体" w:hAnsi="华文楷体" w:eastAsia="华文楷体" w:cs="华文楷体"/>
          <w:b/>
          <w:bCs/>
          <w:sz w:val="32"/>
          <w:szCs w:val="32"/>
        </w:rPr>
      </w:pPr>
      <w:r>
        <w:rPr>
          <w:rFonts w:hint="eastAsia" w:ascii="华文楷体" w:hAnsi="华文楷体" w:eastAsia="华文楷体" w:cs="华文楷体"/>
          <w:b/>
          <w:bCs/>
          <w:sz w:val="32"/>
          <w:szCs w:val="32"/>
        </w:rPr>
        <w:t>（五）聚焦创新提质，拓宽巾帼服务之路</w:t>
      </w:r>
    </w:p>
    <w:p w14:paraId="3B46F65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探索建立妇女儿童工作新机制，</w:t>
      </w:r>
      <w:r>
        <w:rPr>
          <w:rFonts w:hint="eastAsia" w:ascii="Times New Roman" w:hAnsi="Times New Roman" w:eastAsia="仿宋_GB2312" w:cs="Times New Roman"/>
          <w:color w:val="000000"/>
          <w:sz w:val="32"/>
          <w:szCs w:val="32"/>
          <w:lang w:val="en-US" w:eastAsia="zh-CN"/>
        </w:rPr>
        <w:t>深化</w:t>
      </w:r>
      <w:r>
        <w:rPr>
          <w:rFonts w:hint="eastAsia" w:ascii="Times New Roman" w:hAnsi="Times New Roman" w:eastAsia="仿宋_GB2312" w:cs="Times New Roman"/>
          <w:color w:val="000000"/>
          <w:sz w:val="32"/>
          <w:szCs w:val="32"/>
        </w:rPr>
        <w:t>与相关部门、社会组织的合作，整合资源形成工作合力，共同推动妇女儿童事业发展。 围绕创业就业、权益维护、家庭教育、健康关爱等领域，设计实施精准化服务项目，满足多样化需求。加强工作研究与宣传，总结推广好经验好做法，营造全社会关心支持妇女儿童事业发展的良好氛围。</w:t>
      </w:r>
    </w:p>
    <w:p w14:paraId="52071BB6">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p>
    <w:p w14:paraId="2B9A0F7A">
      <w:pPr>
        <w:topLinePunct/>
        <w:adjustRightInd w:val="0"/>
        <w:snapToGrid w:val="0"/>
        <w:spacing w:line="560" w:lineRule="exact"/>
        <w:jc w:val="center"/>
        <w:rPr>
          <w:rFonts w:ascii="TimesNewRoman" w:hAnsi="TimesNewRoman" w:eastAsia="黑体" w:cs="TimesNewRoman"/>
          <w:bCs/>
          <w:kern w:val="0"/>
          <w:sz w:val="36"/>
          <w:szCs w:val="36"/>
        </w:rPr>
      </w:pPr>
      <w:r>
        <w:rPr>
          <w:rFonts w:ascii="TimesNewRoman" w:hAnsi="TimesNewRoman" w:eastAsia="黑体" w:cs="TimesNewRoman"/>
          <w:bCs/>
          <w:kern w:val="0"/>
          <w:sz w:val="36"/>
          <w:szCs w:val="36"/>
        </w:rPr>
        <w:t>第</w:t>
      </w:r>
      <w:r>
        <w:rPr>
          <w:rFonts w:hint="eastAsia" w:ascii="TimesNewRoman" w:hAnsi="TimesNewRoman" w:eastAsia="黑体" w:cs="TimesNewRoman"/>
          <w:bCs/>
          <w:kern w:val="0"/>
          <w:sz w:val="36"/>
          <w:szCs w:val="36"/>
        </w:rPr>
        <w:t>二</w:t>
      </w:r>
      <w:r>
        <w:rPr>
          <w:rFonts w:ascii="TimesNewRoman" w:hAnsi="TimesNewRoman" w:eastAsia="黑体" w:cs="TimesNewRoman"/>
          <w:bCs/>
          <w:kern w:val="0"/>
          <w:sz w:val="36"/>
          <w:szCs w:val="36"/>
        </w:rPr>
        <w:t xml:space="preserve">部分 </w:t>
      </w:r>
      <w:r>
        <w:rPr>
          <w:rFonts w:hint="eastAsia" w:ascii="TimesNewRoman" w:hAnsi="TimesNewRoman" w:eastAsia="黑体" w:cs="TimesNewRoman"/>
          <w:bCs/>
          <w:kern w:val="0"/>
          <w:sz w:val="36"/>
          <w:szCs w:val="36"/>
        </w:rPr>
        <w:t>2026</w:t>
      </w:r>
      <w:r>
        <w:rPr>
          <w:rFonts w:ascii="TimesNewRoman" w:hAnsi="TimesNewRoman" w:eastAsia="黑体" w:cs="TimesNewRoman"/>
          <w:bCs/>
          <w:kern w:val="0"/>
          <w:sz w:val="36"/>
          <w:szCs w:val="36"/>
        </w:rPr>
        <w:t>年单位预算情况说明</w:t>
      </w:r>
    </w:p>
    <w:p w14:paraId="2F0B0041">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rPr>
        <w:t>一、关于2026年收支总表的说明</w:t>
      </w:r>
    </w:p>
    <w:p w14:paraId="586253AB">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sz w:val="32"/>
          <w:szCs w:val="32"/>
        </w:rPr>
      </w:pPr>
      <w:r>
        <w:rPr>
          <w:rFonts w:hint="eastAsia" w:ascii="仿宋_GB2312" w:hAnsi="TimesNewRoman" w:eastAsia="仿宋_GB2312" w:cs="TimesNewRoman"/>
          <w:bCs/>
          <w:sz w:val="32"/>
          <w:szCs w:val="32"/>
        </w:rPr>
        <w:t>按照综合预算的原则，寿县妇女联合会所有收入和支出均纳入部门预算管理。寿县妇女联合会2026年收支总预算151.91</w:t>
      </w:r>
      <w:r>
        <w:rPr>
          <w:rFonts w:hint="eastAsia" w:ascii="仿宋_GB2312" w:hAnsi="TimesNewRoman" w:eastAsia="仿宋_GB2312" w:cs="TimesNewRoman"/>
          <w:sz w:val="32"/>
          <w:szCs w:val="32"/>
        </w:rPr>
        <w:t>万元，收入全部为一般公共预算拨款收入，支出包括：一般公共服务支出，社会保障和就业支出 ,住房保障支出。</w:t>
      </w:r>
    </w:p>
    <w:p w14:paraId="6D62D7CE">
      <w:pPr>
        <w:pStyle w:val="3"/>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二、关于2025年收入总表的说明</w:t>
      </w:r>
    </w:p>
    <w:p w14:paraId="12D2A637">
      <w:pPr>
        <w:topLinePunct/>
        <w:adjustRightInd w:val="0"/>
        <w:snapToGrid w:val="0"/>
        <w:spacing w:line="580" w:lineRule="exact"/>
        <w:ind w:firstLine="640" w:firstLineChars="200"/>
        <w:rPr>
          <w:rFonts w:ascii="仿宋_GB2312" w:hAnsi="TimesNewRoman" w:eastAsia="仿宋_GB2312" w:cs="TimesNewRoman"/>
          <w:sz w:val="32"/>
          <w:szCs w:val="32"/>
        </w:rPr>
      </w:pPr>
      <w:r>
        <w:rPr>
          <w:rFonts w:hint="eastAsia" w:ascii="仿宋_GB2312" w:hAnsi="TimesNewRoman" w:eastAsia="仿宋_GB2312" w:cs="TimesNewRoman"/>
          <w:sz w:val="32"/>
          <w:szCs w:val="32"/>
        </w:rPr>
        <w:t>寿县妇女联合会2025年收入预算151.91万元，其中，本年收入151.91万元。</w:t>
      </w:r>
    </w:p>
    <w:p w14:paraId="0EA77BCC">
      <w:pPr>
        <w:topLinePunct/>
        <w:adjustRightInd w:val="0"/>
        <w:snapToGrid w:val="0"/>
        <w:spacing w:line="580" w:lineRule="exact"/>
        <w:ind w:firstLine="640" w:firstLineChars="200"/>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rPr>
        <w:t>（一）本年收入151.91万元，全部为一般公共预算拨款收入占100%，比2025年预算增加2.2万元，增长1.47%，增长原因主要是人员经费增加</w:t>
      </w:r>
      <w:r>
        <w:rPr>
          <w:rFonts w:hint="eastAsia" w:ascii="仿宋_GB2312" w:hAnsi="TimesNewRoman" w:eastAsia="仿宋_GB2312" w:cs="TimesNewRoman"/>
          <w:sz w:val="32"/>
          <w:szCs w:val="32"/>
          <w:lang w:eastAsia="zh-CN"/>
        </w:rPr>
        <w:t>。</w:t>
      </w:r>
    </w:p>
    <w:p w14:paraId="254E95FB">
      <w:pPr>
        <w:pStyle w:val="3"/>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三、关于2026年支出总表的说明</w:t>
      </w:r>
    </w:p>
    <w:p w14:paraId="381FBA84">
      <w:pPr>
        <w:topLinePunct/>
        <w:adjustRightInd w:val="0"/>
        <w:snapToGrid w:val="0"/>
        <w:spacing w:line="580" w:lineRule="exact"/>
        <w:ind w:firstLine="640" w:firstLineChars="200"/>
        <w:rPr>
          <w:rFonts w:ascii="仿宋_GB2312" w:hAnsi="TimesNewRoman" w:eastAsia="仿宋_GB2312" w:cs="TimesNewRoman"/>
          <w:sz w:val="32"/>
          <w:szCs w:val="32"/>
        </w:rPr>
      </w:pPr>
      <w:r>
        <w:rPr>
          <w:rFonts w:hint="eastAsia" w:ascii="仿宋_GB2312" w:hAnsi="TimesNewRoman" w:eastAsia="仿宋_GB2312" w:cs="TimesNewRoman"/>
          <w:sz w:val="32"/>
          <w:szCs w:val="32"/>
        </w:rPr>
        <w:t>寿县妇女联合会2026年支出预算151.91万元，比2025年预算增加2.2万元，增长1.47%，增长原因主要是人员经费增加.其中，基本支出131.91万元，占86.83%，主要用于保障人员工资和社保及公积金,机构日常运转、完成日常工作任务；项目支出20万元，占13.17%，主要用于妇联举办妇女干部培训班、举办系列妇女儿童维权关爱活动、召开两纲专题会议、开展六一节和三八节活动等。</w:t>
      </w:r>
    </w:p>
    <w:p w14:paraId="110FD079">
      <w:pPr>
        <w:topLinePunct/>
        <w:adjustRightInd w:val="0"/>
        <w:snapToGrid w:val="0"/>
        <w:spacing w:line="580" w:lineRule="exact"/>
        <w:ind w:firstLine="643" w:firstLineChars="200"/>
        <w:rPr>
          <w:rFonts w:ascii="楷体_GB2312" w:hAnsi="TimesNewRoman" w:eastAsia="楷体_GB2312" w:cs="TimesNewRoman"/>
          <w:b/>
          <w:kern w:val="0"/>
          <w:sz w:val="32"/>
          <w:szCs w:val="32"/>
        </w:rPr>
      </w:pPr>
      <w:r>
        <w:rPr>
          <w:rFonts w:hint="eastAsia" w:ascii="楷体_GB2312" w:hAnsi="TimesNewRoman" w:eastAsia="楷体_GB2312" w:cs="TimesNewRoman"/>
          <w:b/>
          <w:kern w:val="0"/>
          <w:sz w:val="32"/>
          <w:szCs w:val="32"/>
        </w:rPr>
        <w:t>四、关于2026年财政拨款收支总表的说明</w:t>
      </w:r>
    </w:p>
    <w:p w14:paraId="55B35AC5">
      <w:pPr>
        <w:pStyle w:val="3"/>
        <w:adjustRightInd w:val="0"/>
        <w:snapToGrid w:val="0"/>
        <w:spacing w:beforeAutospacing="0" w:afterAutospacing="0" w:line="600" w:lineRule="exact"/>
        <w:ind w:firstLine="640" w:firstLineChars="200"/>
        <w:rPr>
          <w:rFonts w:ascii="仿宋_GB2312" w:hAnsi="TimesNewRoman" w:eastAsia="仿宋_GB2312" w:cs="TimesNewRoman"/>
          <w:sz w:val="32"/>
          <w:szCs w:val="32"/>
        </w:rPr>
      </w:pPr>
      <w:r>
        <w:rPr>
          <w:rFonts w:hint="eastAsia" w:ascii="仿宋_GB2312" w:hAnsi="TimesNewRoman" w:eastAsia="仿宋_GB2312" w:cs="TimesNewRoman"/>
          <w:sz w:val="32"/>
          <w:szCs w:val="32"/>
        </w:rPr>
        <w:t>寿县妇女联合会2026年收支总预算151.91万元，收入全部为一般公共预算拨款收入，支出包括：一般公共服务支出116.14万元，占76.45%,社会保障和就业支出15.54万元,占10.23%,卫生和健康支出6.14万元，占4.04%,住房保障支出8.13万元，占5.35%。</w:t>
      </w:r>
    </w:p>
    <w:p w14:paraId="79922227">
      <w:pPr>
        <w:topLinePunct/>
        <w:adjustRightInd w:val="0"/>
        <w:snapToGrid w:val="0"/>
        <w:spacing w:line="580" w:lineRule="exact"/>
        <w:ind w:firstLine="643" w:firstLineChars="200"/>
        <w:rPr>
          <w:rFonts w:ascii="楷体_GB2312" w:hAnsi="TimesNewRoman" w:eastAsia="楷体_GB2312" w:cs="TimesNewRoman"/>
          <w:b/>
          <w:kern w:val="0"/>
          <w:sz w:val="32"/>
          <w:szCs w:val="32"/>
        </w:rPr>
      </w:pPr>
      <w:r>
        <w:rPr>
          <w:rFonts w:hint="eastAsia" w:ascii="楷体_GB2312" w:hAnsi="TimesNewRoman" w:eastAsia="楷体_GB2312" w:cs="TimesNewRoman"/>
          <w:b/>
          <w:kern w:val="0"/>
          <w:sz w:val="32"/>
          <w:szCs w:val="32"/>
        </w:rPr>
        <w:t>五、关于2026年一般公共预算支出表的说明</w:t>
      </w:r>
    </w:p>
    <w:p w14:paraId="2058ECA2">
      <w:pPr>
        <w:pStyle w:val="3"/>
        <w:topLinePunct/>
        <w:adjustRightInd w:val="0"/>
        <w:snapToGrid w:val="0"/>
        <w:spacing w:beforeAutospacing="0" w:afterAutospacing="0" w:line="580" w:lineRule="exact"/>
        <w:ind w:firstLine="630" w:firstLineChars="196"/>
        <w:jc w:val="both"/>
        <w:rPr>
          <w:rFonts w:ascii="仿宋_GB2312" w:hAnsi="TimesNewRoman" w:eastAsia="仿宋_GB2312" w:cs="TimesNewRoman"/>
          <w:b/>
          <w:sz w:val="32"/>
          <w:szCs w:val="32"/>
        </w:rPr>
      </w:pPr>
      <w:r>
        <w:rPr>
          <w:rFonts w:hint="eastAsia" w:ascii="仿宋_GB2312" w:hAnsi="TimesNewRoman" w:eastAsia="仿宋_GB2312" w:cs="TimesNewRoman"/>
          <w:b/>
          <w:sz w:val="32"/>
          <w:szCs w:val="32"/>
        </w:rPr>
        <w:t>（一）一般公共预算支出规模变化情况。</w:t>
      </w:r>
    </w:p>
    <w:p w14:paraId="55BC2A8E">
      <w:pPr>
        <w:topLinePunct/>
        <w:adjustRightInd w:val="0"/>
        <w:snapToGrid w:val="0"/>
        <w:spacing w:line="580" w:lineRule="exact"/>
        <w:ind w:firstLine="640" w:firstLineChars="200"/>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rPr>
        <w:t>寿县妇女联合会2026年一般公共预算支出151.91万元，比2025年预算增加2.2万元，增长1.47%，增长原因主要是人员经费增加</w:t>
      </w:r>
      <w:r>
        <w:rPr>
          <w:rFonts w:hint="eastAsia" w:ascii="仿宋_GB2312" w:hAnsi="TimesNewRoman" w:eastAsia="仿宋_GB2312" w:cs="TimesNewRoman"/>
          <w:sz w:val="32"/>
          <w:szCs w:val="32"/>
          <w:lang w:eastAsia="zh-CN"/>
        </w:rPr>
        <w:t>。</w:t>
      </w:r>
    </w:p>
    <w:p w14:paraId="57B290BC">
      <w:pPr>
        <w:pStyle w:val="3"/>
        <w:topLinePunct/>
        <w:adjustRightInd w:val="0"/>
        <w:snapToGrid w:val="0"/>
        <w:spacing w:beforeAutospacing="0" w:afterAutospacing="0" w:line="580" w:lineRule="exact"/>
        <w:ind w:firstLine="630" w:firstLineChars="196"/>
        <w:jc w:val="both"/>
        <w:rPr>
          <w:rFonts w:ascii="仿宋_GB2312" w:hAnsi="TimesNewRoman" w:eastAsia="仿宋_GB2312" w:cs="TimesNewRoman"/>
          <w:b/>
          <w:sz w:val="32"/>
          <w:szCs w:val="32"/>
        </w:rPr>
      </w:pPr>
      <w:r>
        <w:rPr>
          <w:rFonts w:hint="eastAsia" w:ascii="仿宋_GB2312" w:hAnsi="TimesNewRoman" w:eastAsia="仿宋_GB2312" w:cs="TimesNewRoman"/>
          <w:b/>
          <w:sz w:val="32"/>
          <w:szCs w:val="32"/>
        </w:rPr>
        <w:t>（二）一般公共预算支出结构情况。</w:t>
      </w:r>
    </w:p>
    <w:p w14:paraId="652A49A5">
      <w:pPr>
        <w:pStyle w:val="3"/>
        <w:adjustRightInd w:val="0"/>
        <w:snapToGrid w:val="0"/>
        <w:spacing w:beforeAutospacing="0" w:afterAutospacing="0" w:line="600" w:lineRule="exact"/>
        <w:ind w:firstLine="640" w:firstLineChars="200"/>
        <w:rPr>
          <w:rFonts w:ascii="仿宋_GB2312" w:hAnsi="TimesNewRoman" w:eastAsia="仿宋_GB2312" w:cs="TimesNewRoman"/>
          <w:sz w:val="32"/>
          <w:szCs w:val="32"/>
        </w:rPr>
      </w:pPr>
      <w:r>
        <w:rPr>
          <w:rFonts w:hint="eastAsia" w:ascii="仿宋_GB2312" w:hAnsi="TimesNewRoman" w:eastAsia="仿宋_GB2312" w:cs="TimesNewRoman"/>
          <w:sz w:val="32"/>
          <w:szCs w:val="32"/>
        </w:rPr>
        <w:t>一般公共服务支出116.14万元，占76.45%,社会保障和就业支出15.54万元,占10.23%,卫生和健康支出6.14万元，占4.04%,住房保障支出8.13万元，占5.35%。</w:t>
      </w:r>
    </w:p>
    <w:p w14:paraId="31B6FE18">
      <w:pPr>
        <w:topLinePunct/>
        <w:adjustRightInd w:val="0"/>
        <w:snapToGrid w:val="0"/>
        <w:spacing w:line="580" w:lineRule="exact"/>
        <w:ind w:firstLine="643"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（三）一般公共预算支出具体使用情况。</w:t>
      </w:r>
    </w:p>
    <w:p w14:paraId="43AB0371">
      <w:pPr>
        <w:topLinePunct/>
        <w:adjustRightInd w:val="0"/>
        <w:snapToGrid w:val="0"/>
        <w:spacing w:line="580" w:lineRule="exact"/>
        <w:ind w:firstLine="643" w:firstLineChars="200"/>
        <w:rPr>
          <w:rFonts w:ascii="仿宋_GB2312" w:hAnsi="TimesNewRoman" w:eastAsia="仿宋_GB2312" w:cs="TimesNewRoman"/>
          <w:sz w:val="32"/>
          <w:szCs w:val="32"/>
        </w:rPr>
      </w:pPr>
      <w:r>
        <w:rPr>
          <w:rFonts w:hint="eastAsia" w:ascii="仿宋_GB2312" w:hAnsi="TimesNewRoman" w:eastAsia="仿宋_GB2312" w:cs="TimesNewRoman"/>
          <w:b/>
          <w:sz w:val="32"/>
          <w:szCs w:val="32"/>
        </w:rPr>
        <w:t>1.一般公共服务支出（类）民主党派及工商联事务（款）行政运行（项）</w:t>
      </w:r>
      <w:r>
        <w:rPr>
          <w:rFonts w:hint="eastAsia" w:ascii="仿宋_GB2312" w:hAnsi="TimesNewRoman" w:eastAsia="仿宋_GB2312" w:cs="TimesNewRoman"/>
          <w:sz w:val="32"/>
          <w:szCs w:val="32"/>
        </w:rPr>
        <w:t>2026年预算0万元，比2025年预算减少0.54万元，减少54%，增长原因主要是压缩开支。</w:t>
      </w:r>
    </w:p>
    <w:p w14:paraId="41F5A1C7">
      <w:pPr>
        <w:topLinePunct/>
        <w:adjustRightInd w:val="0"/>
        <w:snapToGrid w:val="0"/>
        <w:spacing w:line="580" w:lineRule="exact"/>
        <w:ind w:firstLine="643" w:firstLineChars="200"/>
        <w:rPr>
          <w:rFonts w:hint="eastAsia" w:ascii="仿宋_GB2312" w:hAnsi="TimesNewRoman" w:eastAsia="仿宋_GB2312" w:cs="TimesNewRoman"/>
          <w:b/>
          <w:sz w:val="32"/>
          <w:szCs w:val="32"/>
          <w:lang w:eastAsia="zh-CN"/>
        </w:rPr>
      </w:pPr>
      <w:r>
        <w:rPr>
          <w:rFonts w:hint="eastAsia" w:ascii="仿宋_GB2312" w:hAnsi="TimesNewRoman" w:eastAsia="仿宋_GB2312" w:cs="TimesNewRoman"/>
          <w:b/>
          <w:sz w:val="32"/>
          <w:szCs w:val="32"/>
        </w:rPr>
        <w:t>2.一般公共服务支出（类）群众团体事务（款）行政运行(项)2026年预算116.14万元,</w:t>
      </w:r>
      <w:r>
        <w:rPr>
          <w:rFonts w:hint="eastAsia" w:ascii="仿宋_GB2312" w:hAnsi="TimesNewRoman" w:eastAsia="仿宋_GB2312" w:cs="TimesNewRoman"/>
          <w:sz w:val="32"/>
          <w:szCs w:val="32"/>
        </w:rPr>
        <w:t>比2025年预算增加43.92万元，增加60.8%，增加原因主要是2025年1人在职转退休，2026年新进1名公务员</w:t>
      </w:r>
      <w:r>
        <w:rPr>
          <w:rFonts w:hint="eastAsia" w:ascii="仿宋_GB2312" w:hAnsi="TimesNewRoman" w:eastAsia="仿宋_GB2312" w:cs="TimesNewRoman"/>
          <w:sz w:val="32"/>
          <w:szCs w:val="32"/>
          <w:lang w:eastAsia="zh-CN"/>
        </w:rPr>
        <w:t>。</w:t>
      </w:r>
    </w:p>
    <w:p w14:paraId="459D8BA5">
      <w:pPr>
        <w:topLinePunct/>
        <w:adjustRightInd w:val="0"/>
        <w:snapToGrid w:val="0"/>
        <w:spacing w:line="580" w:lineRule="exact"/>
        <w:ind w:firstLine="643" w:firstLineChars="200"/>
        <w:rPr>
          <w:rFonts w:ascii="仿宋_GB2312" w:hAnsi="TimesNewRoman" w:eastAsia="仿宋_GB2312" w:cs="TimesNewRoman"/>
          <w:sz w:val="32"/>
          <w:szCs w:val="32"/>
        </w:rPr>
      </w:pPr>
      <w:r>
        <w:rPr>
          <w:rFonts w:hint="eastAsia" w:ascii="仿宋_GB2312" w:hAnsi="TimesNewRoman" w:eastAsia="仿宋_GB2312" w:cs="TimesNewRoman"/>
          <w:b/>
          <w:sz w:val="32"/>
          <w:szCs w:val="32"/>
        </w:rPr>
        <w:t>3.一般公共服务支出（类）群众团体事务（款）一般行政管理事务（项）</w:t>
      </w:r>
      <w:r>
        <w:rPr>
          <w:rFonts w:hint="eastAsia" w:ascii="仿宋_GB2312" w:hAnsi="TimesNewRoman" w:eastAsia="仿宋_GB2312" w:cs="TimesNewRoman"/>
          <w:sz w:val="32"/>
          <w:szCs w:val="32"/>
        </w:rPr>
        <w:t>2026年预算0万元，比2025年预算减少12.44万元减少100%，减少原因主要是预算减少项。</w:t>
      </w:r>
    </w:p>
    <w:p w14:paraId="3EA52C9A">
      <w:pPr>
        <w:topLinePunct/>
        <w:adjustRightInd w:val="0"/>
        <w:snapToGrid w:val="0"/>
        <w:spacing w:line="580" w:lineRule="exact"/>
        <w:ind w:firstLine="643" w:firstLineChars="200"/>
        <w:rPr>
          <w:rFonts w:ascii="仿宋_GB2312" w:hAnsi="TimesNewRoman" w:eastAsia="仿宋_GB2312" w:cs="TimesNewRoman"/>
          <w:sz w:val="32"/>
          <w:szCs w:val="32"/>
        </w:rPr>
      </w:pPr>
      <w:r>
        <w:rPr>
          <w:rFonts w:hint="eastAsia" w:ascii="仿宋_GB2312" w:hAnsi="TimesNewRoman" w:eastAsia="仿宋_GB2312" w:cs="TimesNewRoman"/>
          <w:b/>
          <w:sz w:val="32"/>
          <w:szCs w:val="32"/>
        </w:rPr>
        <w:t>4.一般公共服务支出（类）群众团体事务（款）机关服务（项）</w:t>
      </w:r>
      <w:r>
        <w:rPr>
          <w:rFonts w:hint="eastAsia" w:ascii="仿宋_GB2312" w:hAnsi="TimesNewRoman" w:eastAsia="仿宋_GB2312" w:cs="TimesNewRoman"/>
          <w:sz w:val="32"/>
          <w:szCs w:val="32"/>
        </w:rPr>
        <w:t>2026年预算0万元，比2025年预算减少1万元，减少100%，减少原因主要是预算减少项。</w:t>
      </w:r>
    </w:p>
    <w:p w14:paraId="77C526ED">
      <w:pPr>
        <w:ind w:firstLine="643" w:firstLineChars="200"/>
        <w:rPr>
          <w:rFonts w:ascii="宋体" w:hAnsi="宋体" w:cs="Arial"/>
          <w:color w:val="000000"/>
          <w:kern w:val="0"/>
          <w:sz w:val="20"/>
          <w:szCs w:val="20"/>
        </w:rPr>
      </w:pPr>
      <w:r>
        <w:rPr>
          <w:rFonts w:hint="eastAsia" w:ascii="仿宋_GB2312" w:hAnsi="TimesNewRoman" w:eastAsia="仿宋_GB2312" w:cs="TimesNewRoman"/>
          <w:b/>
          <w:sz w:val="32"/>
          <w:szCs w:val="32"/>
        </w:rPr>
        <w:t>5.一般公共服务支出（类）群众团体事务（款）其他群众团体事务（项）</w:t>
      </w:r>
      <w:r>
        <w:rPr>
          <w:rFonts w:hint="eastAsia" w:ascii="仿宋_GB2312" w:hAnsi="TimesNewRoman" w:eastAsia="仿宋_GB2312" w:cs="TimesNewRoman"/>
          <w:sz w:val="32"/>
          <w:szCs w:val="32"/>
        </w:rPr>
        <w:t>2026年预算0万元，比2025年预算减少41.15万元，减少100%，减少原因主要是预算减少项调整。</w:t>
      </w:r>
      <w:r>
        <w:rPr>
          <w:rFonts w:hint="eastAsia" w:ascii="宋体" w:hAnsi="宋体" w:cs="Arial"/>
          <w:color w:val="000000"/>
          <w:kern w:val="0"/>
          <w:sz w:val="20"/>
          <w:szCs w:val="20"/>
        </w:rPr>
        <w:t>　</w:t>
      </w:r>
    </w:p>
    <w:p w14:paraId="244FC293">
      <w:pPr>
        <w:ind w:firstLine="643" w:firstLineChars="200"/>
        <w:rPr>
          <w:rFonts w:ascii="宋体" w:hAnsi="宋体" w:cs="Arial"/>
          <w:color w:val="000000"/>
          <w:kern w:val="0"/>
          <w:sz w:val="20"/>
          <w:szCs w:val="20"/>
        </w:rPr>
      </w:pPr>
      <w:r>
        <w:rPr>
          <w:rFonts w:hint="eastAsia" w:ascii="仿宋_GB2312" w:hAnsi="TimesNewRoman" w:eastAsia="仿宋_GB2312" w:cs="TimesNewRoman"/>
          <w:b/>
          <w:sz w:val="32"/>
          <w:szCs w:val="32"/>
        </w:rPr>
        <w:t>6.一般公共服务支出（类）群众团体事务（款）</w:t>
      </w:r>
      <w:r>
        <w:rPr>
          <w:rFonts w:hint="eastAsia" w:ascii="仿宋" w:hAnsi="仿宋" w:eastAsia="仿宋" w:cs="Arial"/>
          <w:b/>
          <w:color w:val="000000"/>
          <w:kern w:val="0"/>
          <w:sz w:val="32"/>
          <w:szCs w:val="32"/>
        </w:rPr>
        <w:t>党委办公厅（室）及相关机构事务（项）</w:t>
      </w:r>
      <w:r>
        <w:rPr>
          <w:rFonts w:hint="eastAsia" w:ascii="仿宋_GB2312" w:hAnsi="TimesNewRoman" w:eastAsia="仿宋_GB2312" w:cs="TimesNewRoman"/>
          <w:sz w:val="32"/>
          <w:szCs w:val="32"/>
        </w:rPr>
        <w:t>2026年预算0万元，比2025年预算减少1.82万元，减少100%，减少原因主要是预算减少项调整。</w:t>
      </w:r>
    </w:p>
    <w:p w14:paraId="7A13617A">
      <w:pPr>
        <w:topLinePunct/>
        <w:adjustRightInd w:val="0"/>
        <w:snapToGrid w:val="0"/>
        <w:spacing w:line="580" w:lineRule="exact"/>
        <w:ind w:firstLine="643" w:firstLineChars="200"/>
        <w:rPr>
          <w:rFonts w:hint="eastAsia" w:ascii="仿宋_GB2312" w:hAnsi="TimesNewRoman" w:eastAsia="仿宋_GB2312" w:cs="TimesNewRoman"/>
          <w:b/>
          <w:sz w:val="32"/>
          <w:szCs w:val="32"/>
          <w:lang w:eastAsia="zh-CN"/>
        </w:rPr>
      </w:pPr>
      <w:r>
        <w:rPr>
          <w:rFonts w:hint="eastAsia" w:ascii="仿宋_GB2312" w:hAnsi="TimesNewRoman" w:eastAsia="仿宋_GB2312" w:cs="TimesNewRoman"/>
          <w:b/>
          <w:sz w:val="32"/>
          <w:szCs w:val="32"/>
        </w:rPr>
        <w:t>7.社会保障和就业支出（类）行政事业单位养老支出（款）行政事业单位基本养老保险费支出（项）</w:t>
      </w:r>
      <w:r>
        <w:rPr>
          <w:rFonts w:hint="eastAsia" w:ascii="仿宋_GB2312" w:hAnsi="TimesNewRoman" w:eastAsia="仿宋_GB2312" w:cs="TimesNewRoman"/>
          <w:sz w:val="32"/>
          <w:szCs w:val="32"/>
        </w:rPr>
        <w:t>2026年预算10.29万元，比2025年预算增加3.16万元，增长30.71%，增加原因主要是2025年1人在职转退休，2026年新进1名公务员</w:t>
      </w:r>
      <w:r>
        <w:rPr>
          <w:rFonts w:hint="eastAsia" w:ascii="仿宋_GB2312" w:hAnsi="TimesNewRoman" w:eastAsia="仿宋_GB2312" w:cs="TimesNewRoman"/>
          <w:sz w:val="32"/>
          <w:szCs w:val="32"/>
          <w:lang w:eastAsia="zh-CN"/>
        </w:rPr>
        <w:t>。</w:t>
      </w:r>
    </w:p>
    <w:p w14:paraId="69D3A10A">
      <w:pPr>
        <w:topLinePunct/>
        <w:adjustRightInd w:val="0"/>
        <w:snapToGrid w:val="0"/>
        <w:spacing w:line="580" w:lineRule="exact"/>
        <w:ind w:firstLine="643" w:firstLineChars="200"/>
        <w:rPr>
          <w:rFonts w:hint="eastAsia" w:ascii="仿宋_GB2312" w:hAnsi="TimesNewRoman" w:eastAsia="仿宋_GB2312" w:cs="TimesNewRoman"/>
          <w:b/>
          <w:sz w:val="32"/>
          <w:szCs w:val="32"/>
          <w:lang w:eastAsia="zh-CN"/>
        </w:rPr>
      </w:pPr>
      <w:r>
        <w:rPr>
          <w:rFonts w:hint="eastAsia" w:ascii="仿宋_GB2312" w:hAnsi="TimesNewRoman" w:eastAsia="仿宋_GB2312" w:cs="TimesNewRoman"/>
          <w:b/>
          <w:sz w:val="32"/>
          <w:szCs w:val="32"/>
        </w:rPr>
        <w:t>8.社会保障和就业支出（类）行政事业单位养老支出（款）行政事业单位职业年金缴费支出（项）</w:t>
      </w:r>
      <w:r>
        <w:rPr>
          <w:rFonts w:hint="eastAsia" w:ascii="仿宋_GB2312" w:hAnsi="TimesNewRoman" w:eastAsia="仿宋_GB2312" w:cs="TimesNewRoman"/>
          <w:sz w:val="32"/>
          <w:szCs w:val="32"/>
        </w:rPr>
        <w:t>2026年预算5.15万元，比2025年预算增加1.59万元，增长30.87%，增加原因主要是2025年1人在职转退休，2026年新进1名公务员</w:t>
      </w:r>
      <w:r>
        <w:rPr>
          <w:rFonts w:hint="eastAsia" w:ascii="仿宋_GB2312" w:hAnsi="TimesNewRoman" w:eastAsia="仿宋_GB2312" w:cs="TimesNewRoman"/>
          <w:sz w:val="32"/>
          <w:szCs w:val="32"/>
          <w:lang w:eastAsia="zh-CN"/>
        </w:rPr>
        <w:t>。</w:t>
      </w:r>
      <w:r>
        <w:rPr>
          <w:rFonts w:hint="eastAsia" w:ascii="Times New Roman" w:hAnsi="Times New Roman" w:cs="Times New Roman"/>
          <w:color w:val="333333"/>
          <w:sz w:val="36"/>
          <w:szCs w:val="36"/>
        </w:rPr>
        <w:t xml:space="preserve">          9</w:t>
      </w:r>
      <w:r>
        <w:rPr>
          <w:rFonts w:hint="eastAsia" w:ascii="Times New Roman" w:hAnsi="Times New Roman" w:cs="Times New Roman"/>
          <w:b/>
          <w:color w:val="333333"/>
          <w:sz w:val="30"/>
          <w:szCs w:val="30"/>
        </w:rPr>
        <w:t>．卫生健康支出（类）行政事业单位医疗（款）</w:t>
      </w:r>
      <w:r>
        <w:rPr>
          <w:rFonts w:ascii="Times New Roman" w:hAnsi="Times New Roman" w:cs="Times New Roman"/>
          <w:b/>
          <w:color w:val="333333"/>
          <w:sz w:val="30"/>
          <w:szCs w:val="30"/>
        </w:rPr>
        <w:t> </w:t>
      </w:r>
      <w:r>
        <w:rPr>
          <w:rFonts w:hint="eastAsia" w:ascii="Times New Roman" w:hAnsi="Times New Roman" w:cs="Times New Roman"/>
          <w:b/>
          <w:color w:val="333333"/>
          <w:sz w:val="30"/>
          <w:szCs w:val="30"/>
        </w:rPr>
        <w:t>行政</w:t>
      </w:r>
      <w:r>
        <w:rPr>
          <w:rFonts w:ascii="Times New Roman" w:hAnsi="Times New Roman" w:cs="Times New Roman"/>
          <w:b/>
          <w:color w:val="333333"/>
          <w:sz w:val="30"/>
          <w:szCs w:val="30"/>
        </w:rPr>
        <w:t>单位医疗</w:t>
      </w:r>
      <w:r>
        <w:rPr>
          <w:rFonts w:hint="eastAsia" w:ascii="仿宋" w:hAnsi="仿宋" w:eastAsia="仿宋" w:cs="Times New Roman"/>
          <w:color w:val="333333"/>
          <w:sz w:val="32"/>
          <w:szCs w:val="32"/>
        </w:rPr>
        <w:t>2026年预算6.14万元，比2025年预算增加1.44万元，增长23.45%</w:t>
      </w:r>
      <w:r>
        <w:rPr>
          <w:rFonts w:ascii="Times New Roman" w:hAnsi="Times New Roman" w:cs="Times New Roman"/>
          <w:b/>
          <w:color w:val="333333"/>
          <w:sz w:val="30"/>
          <w:szCs w:val="30"/>
        </w:rPr>
        <w:t>，</w:t>
      </w:r>
      <w:r>
        <w:rPr>
          <w:rFonts w:hint="eastAsia" w:ascii="仿宋_GB2312" w:hAnsi="TimesNewRoman" w:eastAsia="仿宋_GB2312" w:cs="TimesNewRoman"/>
          <w:sz w:val="32"/>
          <w:szCs w:val="32"/>
        </w:rPr>
        <w:t>增加原因主要是2025年1人在职转退休，2026年新进1名公务员</w:t>
      </w:r>
      <w:r>
        <w:rPr>
          <w:rFonts w:hint="eastAsia" w:ascii="仿宋_GB2312" w:hAnsi="TimesNewRoman" w:eastAsia="仿宋_GB2312" w:cs="TimesNewRoman"/>
          <w:sz w:val="32"/>
          <w:szCs w:val="32"/>
          <w:lang w:eastAsia="zh-CN"/>
        </w:rPr>
        <w:t>。</w:t>
      </w:r>
    </w:p>
    <w:p w14:paraId="4C3AD3E4">
      <w:pPr>
        <w:topLinePunct/>
        <w:adjustRightInd w:val="0"/>
        <w:snapToGrid w:val="0"/>
        <w:spacing w:line="580" w:lineRule="exact"/>
        <w:ind w:firstLine="643" w:firstLineChars="200"/>
        <w:rPr>
          <w:rFonts w:ascii="仿宋_GB2312" w:hAnsi="TimesNewRoman" w:eastAsia="仿宋_GB2312" w:cs="TimesNewRoman"/>
          <w:sz w:val="32"/>
          <w:szCs w:val="32"/>
        </w:rPr>
      </w:pPr>
      <w:r>
        <w:rPr>
          <w:rFonts w:hint="eastAsia" w:ascii="仿宋_GB2312" w:hAnsi="TimesNewRoman" w:eastAsia="仿宋_GB2312" w:cs="TimesNewRoman"/>
          <w:b/>
          <w:sz w:val="32"/>
          <w:szCs w:val="32"/>
        </w:rPr>
        <w:t>10.住房保障支出（类）住房改革支出（款）住房公积金（项）</w:t>
      </w:r>
      <w:r>
        <w:rPr>
          <w:rFonts w:hint="eastAsia" w:ascii="仿宋_GB2312" w:hAnsi="TimesNewRoman" w:eastAsia="仿宋_GB2312" w:cs="TimesNewRoman"/>
          <w:sz w:val="32"/>
          <w:szCs w:val="32"/>
        </w:rPr>
        <w:t>2026年预算14.10万元，比2025年预算增加4.79万元，增长33.97%，增加原因主要是2025年1人在职转退休，2026年新进1名公务员.及包含提租补贴。</w:t>
      </w:r>
      <w:r>
        <w:rPr>
          <w:rFonts w:hint="eastAsia" w:ascii="Times New Roman" w:hAnsi="Times New Roman" w:cs="Times New Roman"/>
          <w:color w:val="333333"/>
          <w:sz w:val="36"/>
          <w:szCs w:val="36"/>
        </w:rPr>
        <w:t xml:space="preserve">   </w:t>
      </w:r>
    </w:p>
    <w:p w14:paraId="2C57BEFC">
      <w:pPr>
        <w:topLinePunct/>
        <w:adjustRightInd w:val="0"/>
        <w:snapToGrid w:val="0"/>
        <w:spacing w:line="580" w:lineRule="exact"/>
        <w:ind w:firstLine="643" w:firstLineChars="200"/>
        <w:rPr>
          <w:rFonts w:ascii="楷体_GB2312" w:hAnsi="TimesNewRoman" w:eastAsia="楷体_GB2312" w:cs="TimesNewRoman"/>
          <w:b/>
          <w:kern w:val="0"/>
          <w:sz w:val="32"/>
          <w:szCs w:val="32"/>
        </w:rPr>
      </w:pPr>
      <w:r>
        <w:rPr>
          <w:rFonts w:hint="eastAsia" w:ascii="楷体_GB2312" w:hAnsi="TimesNewRoman" w:eastAsia="楷体_GB2312" w:cs="TimesNewRoman"/>
          <w:b/>
          <w:kern w:val="0"/>
          <w:sz w:val="32"/>
          <w:szCs w:val="32"/>
        </w:rPr>
        <w:t>六、关于2026年一般公共预算基本支出表的说明</w:t>
      </w:r>
    </w:p>
    <w:p w14:paraId="0DE84123">
      <w:pPr>
        <w:topLinePunct/>
        <w:spacing w:line="580" w:lineRule="exact"/>
        <w:ind w:firstLine="640" w:firstLineChars="200"/>
        <w:rPr>
          <w:rFonts w:ascii="仿宋_GB2312" w:hAnsi="TimesNewRoman" w:eastAsia="仿宋_GB2312" w:cs="TimesNewRoman"/>
          <w:sz w:val="32"/>
          <w:szCs w:val="32"/>
        </w:rPr>
      </w:pPr>
      <w:r>
        <w:rPr>
          <w:rFonts w:hint="eastAsia" w:ascii="仿宋_GB2312" w:hAnsi="TimesNewRoman" w:eastAsia="仿宋_GB2312" w:cs="TimesNewRoman"/>
          <w:sz w:val="32"/>
          <w:szCs w:val="32"/>
        </w:rPr>
        <w:t>寿县妇女联合会2026年一般公共预算基本支出131.91万元，其中，人员经费82.53万元，公用经费13.6万元。</w:t>
      </w:r>
    </w:p>
    <w:p w14:paraId="0D5987AB">
      <w:pPr>
        <w:topLinePunct/>
        <w:spacing w:line="580" w:lineRule="exact"/>
        <w:ind w:firstLine="640" w:firstLineChars="200"/>
        <w:rPr>
          <w:rFonts w:ascii="仿宋_GB2312" w:hAnsi="TimesNewRoman" w:eastAsia="仿宋_GB2312" w:cs="TimesNewRoman"/>
          <w:sz w:val="32"/>
          <w:szCs w:val="32"/>
        </w:rPr>
      </w:pPr>
      <w:r>
        <w:rPr>
          <w:rFonts w:hint="eastAsia" w:ascii="仿宋_GB2312" w:hAnsi="TimesNewRoman" w:eastAsia="仿宋_GB2312" w:cs="TimesNewRoman"/>
          <w:sz w:val="32"/>
          <w:szCs w:val="32"/>
        </w:rPr>
        <w:t>（一）人员经费82.53万元，主要包括:基本工资、津贴补贴、奖金、伙食补助费、绩效工资、机关事业单位基本养老保险费、职业年金缴费、职工基本医疗保险缴费、公务员医疗补助缴费、其他社会保障缴费、住房公积金、医疗费、其他工资福利支出、退休费、抚恤金、生活补助、救济费、医疗费补助、助学金、奖励金、个人农业生产补贴、对其他个人和家庭的补助支出。</w:t>
      </w:r>
    </w:p>
    <w:p w14:paraId="7A141D1B">
      <w:pPr>
        <w:topLinePunct/>
        <w:spacing w:line="580" w:lineRule="exact"/>
        <w:ind w:firstLine="640" w:firstLineChars="200"/>
        <w:rPr>
          <w:rFonts w:ascii="仿宋_GB2312" w:hAnsi="TimesNewRoman" w:eastAsia="仿宋_GB2312" w:cs="TimesNewRoman"/>
          <w:sz w:val="32"/>
          <w:szCs w:val="32"/>
        </w:rPr>
      </w:pPr>
      <w:r>
        <w:rPr>
          <w:rFonts w:hint="eastAsia" w:ascii="仿宋_GB2312" w:hAnsi="TimesNewRoman" w:eastAsia="仿宋_GB2312" w:cs="TimesNewRoman"/>
          <w:sz w:val="32"/>
          <w:szCs w:val="32"/>
        </w:rPr>
        <w:t>（二）公用经费13.6万元，主要包括：办公费、印刷费、咨询费、邮电费、差旅费、维修（护）费、租赁费、会议费、培训费、公务接待费、专用材料费、被装购置费、专用燃料费、劳务费、委托业务费、工会经费、其他交通费用、税金及附加费用、其他商品服务支出、办公设备购置、其他支出等。</w:t>
      </w:r>
    </w:p>
    <w:p w14:paraId="1CDE2055">
      <w:pPr>
        <w:pStyle w:val="3"/>
        <w:topLinePunct/>
        <w:adjustRightInd w:val="0"/>
        <w:snapToGrid w:val="0"/>
        <w:spacing w:beforeAutospacing="0" w:afterAutospacing="0" w:line="580" w:lineRule="exact"/>
        <w:ind w:firstLine="643" w:firstLineChars="200"/>
        <w:jc w:val="both"/>
        <w:rPr>
          <w:rFonts w:ascii="仿宋_GB2312" w:hAnsi="TimesNewRoman" w:eastAsia="仿宋_GB2312" w:cs="TimesNewRoman"/>
          <w:kern w:val="2"/>
          <w:sz w:val="32"/>
          <w:szCs w:val="32"/>
        </w:rPr>
      </w:pPr>
      <w:r>
        <w:rPr>
          <w:rFonts w:hint="eastAsia" w:ascii="仿宋_GB2312" w:hAnsi="TimesNewRoman" w:eastAsia="仿宋_GB2312" w:cs="TimesNewRoman"/>
          <w:b/>
          <w:kern w:val="2"/>
          <w:sz w:val="32"/>
          <w:szCs w:val="32"/>
        </w:rPr>
        <w:t>七</w:t>
      </w:r>
      <w:r>
        <w:rPr>
          <w:rFonts w:hint="eastAsia" w:ascii="仿宋_GB2312" w:hAnsi="TimesNewRoman" w:eastAsia="仿宋_GB2312" w:cs="TimesNewRoman"/>
          <w:kern w:val="2"/>
          <w:sz w:val="32"/>
          <w:szCs w:val="32"/>
        </w:rPr>
        <w:t>、关于2026年政府性基金预算支出表的说明</w:t>
      </w:r>
    </w:p>
    <w:p w14:paraId="3755B968">
      <w:pPr>
        <w:pStyle w:val="3"/>
        <w:topLinePunct/>
        <w:adjustRightInd w:val="0"/>
        <w:snapToGrid w:val="0"/>
        <w:spacing w:beforeAutospacing="0" w:afterAutospacing="0" w:line="580" w:lineRule="exact"/>
        <w:ind w:firstLine="640" w:firstLineChars="200"/>
        <w:jc w:val="both"/>
        <w:rPr>
          <w:rFonts w:ascii="仿宋_GB2312" w:hAnsi="TimesNewRoman" w:eastAsia="仿宋_GB2312" w:cs="TimesNewRoman"/>
          <w:kern w:val="2"/>
          <w:sz w:val="32"/>
          <w:szCs w:val="32"/>
        </w:rPr>
      </w:pPr>
      <w:r>
        <w:rPr>
          <w:rFonts w:hint="eastAsia" w:ascii="仿宋_GB2312" w:hAnsi="TimesNewRoman" w:eastAsia="仿宋_GB2312" w:cs="TimesNewRoman"/>
          <w:kern w:val="2"/>
          <w:sz w:val="32"/>
          <w:szCs w:val="32"/>
        </w:rPr>
        <w:t>寿县妇女联合会2026年没有政府性基金预算拨款收入，也没有使用政府性基金预算拨款安排的支出。</w:t>
      </w:r>
    </w:p>
    <w:p w14:paraId="064EBBD2">
      <w:pPr>
        <w:pStyle w:val="3"/>
        <w:topLinePunct/>
        <w:adjustRightInd w:val="0"/>
        <w:snapToGrid w:val="0"/>
        <w:spacing w:beforeAutospacing="0" w:afterAutospacing="0" w:line="580" w:lineRule="exact"/>
        <w:ind w:firstLine="643" w:firstLineChars="200"/>
        <w:jc w:val="both"/>
        <w:rPr>
          <w:rFonts w:ascii="仿宋_GB2312" w:hAnsi="TimesNewRoman" w:eastAsia="仿宋_GB2312" w:cs="TimesNewRoman"/>
          <w:kern w:val="2"/>
          <w:sz w:val="32"/>
          <w:szCs w:val="32"/>
        </w:rPr>
      </w:pPr>
      <w:r>
        <w:rPr>
          <w:rFonts w:hint="eastAsia" w:ascii="仿宋_GB2312" w:hAnsi="TimesNewRoman" w:eastAsia="仿宋_GB2312" w:cs="TimesNewRoman"/>
          <w:b/>
          <w:kern w:val="2"/>
          <w:sz w:val="32"/>
          <w:szCs w:val="32"/>
        </w:rPr>
        <w:t>八</w:t>
      </w:r>
      <w:r>
        <w:rPr>
          <w:rFonts w:hint="eastAsia" w:ascii="仿宋_GB2312" w:hAnsi="TimesNewRoman" w:eastAsia="仿宋_GB2312" w:cs="TimesNewRoman"/>
          <w:kern w:val="2"/>
          <w:sz w:val="32"/>
          <w:szCs w:val="32"/>
        </w:rPr>
        <w:t>、关于2026年国有资本经营预算支出表的说明</w:t>
      </w:r>
    </w:p>
    <w:p w14:paraId="65B6E91D">
      <w:pPr>
        <w:pStyle w:val="3"/>
        <w:topLinePunct/>
        <w:adjustRightInd w:val="0"/>
        <w:snapToGrid w:val="0"/>
        <w:spacing w:beforeAutospacing="0" w:afterAutospacing="0" w:line="580" w:lineRule="exact"/>
        <w:ind w:firstLine="640" w:firstLineChars="200"/>
        <w:jc w:val="both"/>
        <w:rPr>
          <w:rFonts w:ascii="仿宋_GB2312" w:hAnsi="TimesNewRoman" w:eastAsia="仿宋_GB2312" w:cs="TimesNewRoman"/>
          <w:kern w:val="2"/>
          <w:sz w:val="32"/>
          <w:szCs w:val="32"/>
        </w:rPr>
      </w:pPr>
      <w:r>
        <w:rPr>
          <w:rFonts w:hint="eastAsia" w:ascii="仿宋_GB2312" w:hAnsi="TimesNewRoman" w:eastAsia="仿宋_GB2312" w:cs="TimesNewRoman"/>
          <w:kern w:val="2"/>
          <w:sz w:val="32"/>
          <w:szCs w:val="32"/>
        </w:rPr>
        <w:t>寿县妇女联合会2026年没有国有资本经营预算拨款收入，也没有使用国有资本经营预算拨款安排的支出。</w:t>
      </w:r>
    </w:p>
    <w:p w14:paraId="51800700">
      <w:pPr>
        <w:pStyle w:val="3"/>
        <w:topLinePunct/>
        <w:adjustRightInd w:val="0"/>
        <w:snapToGrid w:val="0"/>
        <w:spacing w:beforeAutospacing="0" w:afterAutospacing="0" w:line="580" w:lineRule="exact"/>
        <w:ind w:firstLine="643" w:firstLineChars="200"/>
        <w:jc w:val="both"/>
        <w:rPr>
          <w:rFonts w:ascii="仿宋_GB2312" w:hAnsi="TimesNewRoman" w:eastAsia="仿宋_GB2312" w:cs="TimesNewRoman"/>
          <w:kern w:val="2"/>
          <w:sz w:val="32"/>
          <w:szCs w:val="32"/>
        </w:rPr>
      </w:pPr>
      <w:r>
        <w:rPr>
          <w:rFonts w:hint="eastAsia" w:ascii="仿宋_GB2312" w:hAnsi="TimesNewRoman" w:eastAsia="仿宋_GB2312" w:cs="TimesNewRoman"/>
          <w:b/>
          <w:kern w:val="2"/>
          <w:sz w:val="32"/>
          <w:szCs w:val="32"/>
        </w:rPr>
        <w:t>九</w:t>
      </w:r>
      <w:r>
        <w:rPr>
          <w:rFonts w:hint="eastAsia" w:ascii="仿宋_GB2312" w:hAnsi="TimesNewRoman" w:eastAsia="仿宋_GB2312" w:cs="TimesNewRoman"/>
          <w:kern w:val="2"/>
          <w:sz w:val="32"/>
          <w:szCs w:val="32"/>
        </w:rPr>
        <w:t>、关于2026年项目支出表的说明</w:t>
      </w:r>
    </w:p>
    <w:p w14:paraId="4717954C">
      <w:pPr>
        <w:pStyle w:val="3"/>
        <w:topLinePunct/>
        <w:adjustRightInd w:val="0"/>
        <w:snapToGrid w:val="0"/>
        <w:spacing w:beforeAutospacing="0" w:afterAutospacing="0" w:line="580" w:lineRule="exact"/>
        <w:ind w:firstLine="640" w:firstLineChars="200"/>
        <w:jc w:val="both"/>
        <w:rPr>
          <w:rFonts w:ascii="仿宋_GB2312" w:hAnsi="TimesNewRoman" w:eastAsia="仿宋_GB2312" w:cs="TimesNewRoman"/>
          <w:kern w:val="2"/>
          <w:sz w:val="32"/>
          <w:szCs w:val="32"/>
        </w:rPr>
      </w:pPr>
      <w:r>
        <w:rPr>
          <w:rFonts w:hint="eastAsia" w:ascii="仿宋_GB2312" w:hAnsi="TimesNewRoman" w:eastAsia="仿宋_GB2312" w:cs="TimesNewRoman"/>
          <w:kern w:val="2"/>
          <w:sz w:val="32"/>
          <w:szCs w:val="32"/>
        </w:rPr>
        <w:t>寿县妇女联合会2026年预算共安排项目支出20万元，比2025年预算减少35.89万元，下降64.22%，下降原因主要是减少县妇联工作经费及专业业务经费。主要包括：本年财政拨款安排20万元,全部为一般公共预算拨款安排资金。</w:t>
      </w:r>
    </w:p>
    <w:p w14:paraId="280E704D">
      <w:pPr>
        <w:pStyle w:val="3"/>
        <w:topLinePunct/>
        <w:adjustRightInd w:val="0"/>
        <w:snapToGrid w:val="0"/>
        <w:spacing w:beforeAutospacing="0" w:afterAutospacing="0" w:line="580" w:lineRule="exact"/>
        <w:ind w:firstLine="643" w:firstLineChars="200"/>
        <w:jc w:val="both"/>
        <w:rPr>
          <w:rFonts w:ascii="仿宋_GB2312" w:hAnsi="TimesNewRoman" w:eastAsia="仿宋_GB2312" w:cs="TimesNewRoman"/>
          <w:kern w:val="2"/>
          <w:sz w:val="32"/>
          <w:szCs w:val="32"/>
        </w:rPr>
      </w:pPr>
      <w:r>
        <w:rPr>
          <w:rFonts w:hint="eastAsia" w:ascii="仿宋_GB2312" w:hAnsi="TimesNewRoman" w:eastAsia="仿宋_GB2312" w:cs="TimesNewRoman"/>
          <w:b/>
          <w:kern w:val="2"/>
          <w:sz w:val="32"/>
          <w:szCs w:val="32"/>
        </w:rPr>
        <w:t>十</w:t>
      </w:r>
      <w:r>
        <w:rPr>
          <w:rFonts w:hint="eastAsia" w:ascii="仿宋_GB2312" w:hAnsi="TimesNewRoman" w:eastAsia="仿宋_GB2312" w:cs="TimesNewRoman"/>
          <w:kern w:val="2"/>
          <w:sz w:val="32"/>
          <w:szCs w:val="32"/>
        </w:rPr>
        <w:t>、关于2026年政府采购支出表的说明</w:t>
      </w:r>
    </w:p>
    <w:p w14:paraId="304189C6">
      <w:pPr>
        <w:pStyle w:val="3"/>
        <w:topLinePunct/>
        <w:adjustRightInd w:val="0"/>
        <w:snapToGrid w:val="0"/>
        <w:spacing w:beforeAutospacing="0" w:afterAutospacing="0" w:line="580" w:lineRule="exact"/>
        <w:ind w:firstLine="640" w:firstLineChars="200"/>
        <w:jc w:val="both"/>
        <w:rPr>
          <w:rFonts w:ascii="仿宋_GB2312" w:hAnsi="TimesNewRoman" w:eastAsia="仿宋_GB2312" w:cs="TimesNewRoman"/>
          <w:kern w:val="2"/>
          <w:sz w:val="32"/>
          <w:szCs w:val="32"/>
        </w:rPr>
      </w:pPr>
      <w:r>
        <w:rPr>
          <w:rFonts w:hint="eastAsia" w:ascii="仿宋_GB2312" w:hAnsi="TimesNewRoman" w:eastAsia="仿宋_GB2312" w:cs="TimesNewRoman"/>
          <w:kern w:val="2"/>
          <w:sz w:val="32"/>
          <w:szCs w:val="32"/>
        </w:rPr>
        <w:t>寿县妇女联合会2026年使用一般公共预算拨款的采购为0.3万元、没有使用政府性基金预算拨款、国有资本经营预算拨款、财政专户管理资金和单位资金安排的政府采购支出。</w:t>
      </w:r>
    </w:p>
    <w:p w14:paraId="6A8D55A9">
      <w:pPr>
        <w:pStyle w:val="3"/>
        <w:topLinePunct/>
        <w:adjustRightInd w:val="0"/>
        <w:snapToGrid w:val="0"/>
        <w:spacing w:beforeAutospacing="0" w:afterAutospacing="0" w:line="580" w:lineRule="exact"/>
        <w:ind w:firstLine="643" w:firstLineChars="200"/>
        <w:jc w:val="both"/>
        <w:rPr>
          <w:rFonts w:ascii="仿宋_GB2312" w:hAnsi="TimesNewRoman" w:eastAsia="仿宋_GB2312" w:cs="TimesNewRoman"/>
          <w:kern w:val="2"/>
          <w:sz w:val="32"/>
          <w:szCs w:val="32"/>
        </w:rPr>
      </w:pPr>
      <w:r>
        <w:rPr>
          <w:rFonts w:hint="eastAsia" w:ascii="仿宋_GB2312" w:hAnsi="TimesNewRoman" w:eastAsia="仿宋_GB2312" w:cs="TimesNewRoman"/>
          <w:b/>
          <w:kern w:val="2"/>
          <w:sz w:val="32"/>
          <w:szCs w:val="32"/>
        </w:rPr>
        <w:t>十一</w:t>
      </w:r>
      <w:r>
        <w:rPr>
          <w:rFonts w:hint="eastAsia" w:ascii="仿宋_GB2312" w:hAnsi="TimesNewRoman" w:eastAsia="仿宋_GB2312" w:cs="TimesNewRoman"/>
          <w:kern w:val="2"/>
          <w:sz w:val="32"/>
          <w:szCs w:val="32"/>
        </w:rPr>
        <w:t>、关于2026年政府购买服务支出表的说明</w:t>
      </w:r>
    </w:p>
    <w:p w14:paraId="0279DB39">
      <w:pPr>
        <w:pStyle w:val="3"/>
        <w:topLinePunct/>
        <w:adjustRightInd w:val="0"/>
        <w:snapToGrid w:val="0"/>
        <w:spacing w:beforeAutospacing="0" w:afterAutospacing="0" w:line="580" w:lineRule="exact"/>
        <w:ind w:firstLine="640" w:firstLineChars="200"/>
        <w:jc w:val="both"/>
        <w:rPr>
          <w:rFonts w:ascii="仿宋_GB2312" w:hAnsi="TimesNewRoman" w:eastAsia="仿宋_GB2312" w:cs="TimesNewRoman"/>
          <w:kern w:val="2"/>
          <w:sz w:val="32"/>
          <w:szCs w:val="32"/>
        </w:rPr>
      </w:pPr>
      <w:r>
        <w:rPr>
          <w:rFonts w:hint="eastAsia" w:ascii="仿宋_GB2312" w:hAnsi="TimesNewRoman" w:eastAsia="仿宋_GB2312" w:cs="TimesNewRoman"/>
          <w:kern w:val="2"/>
          <w:sz w:val="32"/>
          <w:szCs w:val="32"/>
        </w:rPr>
        <w:t>寿县妇女联合会2026年没有安排政府购买服务支出</w:t>
      </w:r>
    </w:p>
    <w:p w14:paraId="1D87EE89">
      <w:pPr>
        <w:spacing w:line="560" w:lineRule="exact"/>
        <w:ind w:firstLine="643" w:firstLineChars="200"/>
        <w:outlineLvl w:val="0"/>
        <w:rPr>
          <w:rFonts w:ascii="TimesNewRoman" w:hAnsi="TimesNewRoman" w:eastAsia="黑体" w:cs="TimesNewRoman"/>
          <w:sz w:val="28"/>
          <w:szCs w:val="28"/>
        </w:rPr>
      </w:pPr>
      <w:r>
        <w:rPr>
          <w:rFonts w:hint="eastAsia" w:ascii="仿宋_GB2312" w:hAnsi="TimesNewRoman" w:eastAsia="仿宋_GB2312" w:cs="TimesNewRoman"/>
          <w:b/>
          <w:sz w:val="32"/>
          <w:szCs w:val="32"/>
        </w:rPr>
        <w:t>十二</w:t>
      </w:r>
      <w:r>
        <w:rPr>
          <w:rFonts w:hint="eastAsia" w:ascii="仿宋_GB2312" w:hAnsi="TimesNewRoman" w:eastAsia="仿宋_GB2312" w:cs="TimesNewRoman"/>
          <w:sz w:val="32"/>
          <w:szCs w:val="32"/>
        </w:rPr>
        <w:t>、</w:t>
      </w:r>
      <w:r>
        <w:rPr>
          <w:rFonts w:hint="eastAsia" w:ascii="TimesNewRoman" w:hAnsi="TimesNewRoman" w:eastAsia="黑体" w:cs="TimesNewRoman"/>
          <w:sz w:val="28"/>
          <w:szCs w:val="28"/>
        </w:rPr>
        <w:t>2026</w:t>
      </w:r>
      <w:r>
        <w:rPr>
          <w:rFonts w:ascii="TimesNewRoman" w:hAnsi="TimesNewRoman" w:eastAsia="黑体" w:cs="TimesNewRoman"/>
          <w:sz w:val="28"/>
          <w:szCs w:val="28"/>
        </w:rPr>
        <w:t>年一般公共预算“三公”经费支出预算表</w:t>
      </w:r>
    </w:p>
    <w:p w14:paraId="39A97E33">
      <w:pPr>
        <w:adjustRightInd w:val="0"/>
        <w:snapToGrid w:val="0"/>
        <w:spacing w:line="560" w:lineRule="exact"/>
        <w:rPr>
          <w:rStyle w:val="7"/>
          <w:rFonts w:ascii="TimesNewRoman" w:hAnsi="TimesNewRoman" w:cs="TimesNewRoman"/>
          <w:b w:val="0"/>
          <w:bCs w:val="0"/>
          <w:szCs w:val="21"/>
        </w:rPr>
      </w:pPr>
      <w:r>
        <w:rPr>
          <w:rStyle w:val="7"/>
          <w:rFonts w:ascii="TimesNewRoman" w:hAnsi="TimesNewRoman" w:cs="TimesNewRoman"/>
          <w:szCs w:val="21"/>
        </w:rPr>
        <w:t xml:space="preserve">   </w:t>
      </w:r>
    </w:p>
    <w:p w14:paraId="3ECD73D1">
      <w:pPr>
        <w:wordWrap w:val="0"/>
        <w:adjustRightInd w:val="0"/>
        <w:snapToGrid w:val="0"/>
        <w:spacing w:line="560" w:lineRule="exact"/>
        <w:ind w:firstLine="548" w:firstLineChars="196"/>
        <w:jc w:val="right"/>
        <w:rPr>
          <w:rStyle w:val="7"/>
          <w:rFonts w:ascii="TimesNewRoman" w:hAnsi="TimesNewRoman" w:cs="TimesNewRoman"/>
          <w:b w:val="0"/>
          <w:bCs w:val="0"/>
          <w:sz w:val="28"/>
          <w:szCs w:val="28"/>
        </w:rPr>
      </w:pPr>
      <w:r>
        <w:rPr>
          <w:rStyle w:val="7"/>
          <w:rFonts w:ascii="TimesNewRoman" w:hAnsi="TimesNewRoman" w:cs="TimesNewRoman"/>
          <w:b w:val="0"/>
          <w:sz w:val="28"/>
          <w:szCs w:val="28"/>
        </w:rPr>
        <w:t xml:space="preserve">      单位：万元</w:t>
      </w:r>
    </w:p>
    <w:tbl>
      <w:tblPr>
        <w:tblStyle w:val="4"/>
        <w:tblW w:w="8925" w:type="dxa"/>
        <w:tblInd w:w="-34" w:type="dxa"/>
        <w:tblLayout w:type="fixed"/>
        <w:tblCellMar>
          <w:top w:w="0" w:type="dxa"/>
          <w:left w:w="108" w:type="dxa"/>
          <w:bottom w:w="0" w:type="dxa"/>
          <w:right w:w="108" w:type="dxa"/>
        </w:tblCellMar>
      </w:tblPr>
      <w:tblGrid>
        <w:gridCol w:w="1349"/>
        <w:gridCol w:w="1850"/>
        <w:gridCol w:w="1080"/>
        <w:gridCol w:w="1730"/>
        <w:gridCol w:w="1810"/>
        <w:gridCol w:w="1106"/>
      </w:tblGrid>
      <w:tr w14:paraId="55FD50EC">
        <w:tblPrEx>
          <w:tblCellMar>
            <w:top w:w="0" w:type="dxa"/>
            <w:left w:w="108" w:type="dxa"/>
            <w:bottom w:w="0" w:type="dxa"/>
            <w:right w:w="108" w:type="dxa"/>
          </w:tblCellMar>
        </w:tblPrEx>
        <w:trPr>
          <w:trHeight w:val="532" w:hRule="atLeast"/>
        </w:trPr>
        <w:tc>
          <w:tcPr>
            <w:tcW w:w="1349" w:type="dxa"/>
            <w:vMerge w:val="restart"/>
            <w:tcBorders>
              <w:top w:val="single" w:color="auto" w:sz="4" w:space="0"/>
              <w:left w:val="single" w:color="auto" w:sz="4" w:space="0"/>
              <w:bottom w:val="single" w:color="auto" w:sz="4" w:space="0"/>
              <w:right w:val="single" w:color="auto" w:sz="4" w:space="0"/>
            </w:tcBorders>
            <w:vAlign w:val="center"/>
          </w:tcPr>
          <w:p w14:paraId="227D7CB6">
            <w:pPr>
              <w:widowControl/>
              <w:spacing w:line="560" w:lineRule="exact"/>
              <w:jc w:val="center"/>
              <w:rPr>
                <w:rFonts w:ascii="TimesNewRoman" w:hAnsi="TimesNewRoman" w:cs="TimesNewRoman"/>
                <w:bCs/>
                <w:kern w:val="0"/>
                <w:sz w:val="28"/>
                <w:szCs w:val="28"/>
              </w:rPr>
            </w:pPr>
            <w:r>
              <w:rPr>
                <w:rFonts w:ascii="TimesNewRoman" w:hAnsi="TimesNewRoman" w:cs="TimesNewRoman"/>
                <w:bCs/>
                <w:kern w:val="0"/>
                <w:sz w:val="28"/>
                <w:szCs w:val="28"/>
              </w:rPr>
              <w:t>“三公”经费合计</w:t>
            </w:r>
          </w:p>
        </w:tc>
        <w:tc>
          <w:tcPr>
            <w:tcW w:w="1850" w:type="dxa"/>
            <w:vMerge w:val="restart"/>
            <w:tcBorders>
              <w:top w:val="single" w:color="auto" w:sz="4" w:space="0"/>
              <w:left w:val="single" w:color="auto" w:sz="4" w:space="0"/>
              <w:bottom w:val="single" w:color="auto" w:sz="4" w:space="0"/>
              <w:right w:val="single" w:color="auto" w:sz="4" w:space="0"/>
            </w:tcBorders>
            <w:noWrap/>
            <w:vAlign w:val="center"/>
          </w:tcPr>
          <w:p w14:paraId="3A09597B">
            <w:pPr>
              <w:widowControl/>
              <w:spacing w:line="560" w:lineRule="exact"/>
              <w:jc w:val="center"/>
              <w:rPr>
                <w:rFonts w:ascii="TimesNewRoman" w:hAnsi="TimesNewRoman" w:cs="TimesNewRoman"/>
                <w:bCs/>
                <w:kern w:val="0"/>
                <w:sz w:val="28"/>
                <w:szCs w:val="28"/>
              </w:rPr>
            </w:pPr>
            <w:r>
              <w:rPr>
                <w:rFonts w:ascii="TimesNewRoman" w:hAnsi="TimesNewRoman" w:cs="TimesNewRoman"/>
                <w:bCs/>
                <w:kern w:val="0"/>
                <w:sz w:val="28"/>
                <w:szCs w:val="28"/>
              </w:rPr>
              <w:t>因公出国（境）费</w:t>
            </w:r>
          </w:p>
        </w:tc>
        <w:tc>
          <w:tcPr>
            <w:tcW w:w="4620" w:type="dxa"/>
            <w:gridSpan w:val="3"/>
            <w:tcBorders>
              <w:top w:val="single" w:color="auto" w:sz="4" w:space="0"/>
              <w:left w:val="nil"/>
              <w:bottom w:val="single" w:color="auto" w:sz="4" w:space="0"/>
              <w:right w:val="single" w:color="auto" w:sz="4" w:space="0"/>
            </w:tcBorders>
            <w:noWrap/>
            <w:vAlign w:val="center"/>
          </w:tcPr>
          <w:p w14:paraId="1E3AB76C">
            <w:pPr>
              <w:widowControl/>
              <w:spacing w:line="560" w:lineRule="exact"/>
              <w:jc w:val="center"/>
              <w:rPr>
                <w:rFonts w:ascii="TimesNewRoman" w:hAnsi="TimesNewRoman" w:cs="TimesNewRoman"/>
                <w:bCs/>
                <w:kern w:val="0"/>
                <w:sz w:val="28"/>
                <w:szCs w:val="28"/>
              </w:rPr>
            </w:pPr>
            <w:r>
              <w:rPr>
                <w:rFonts w:ascii="TimesNewRoman" w:hAnsi="TimesNewRoman" w:cs="TimesNewRoman"/>
                <w:bCs/>
                <w:kern w:val="0"/>
                <w:sz w:val="28"/>
                <w:szCs w:val="28"/>
              </w:rPr>
              <w:t>公务用车购置及运行费</w:t>
            </w:r>
          </w:p>
        </w:tc>
        <w:tc>
          <w:tcPr>
            <w:tcW w:w="1106" w:type="dxa"/>
            <w:vMerge w:val="restart"/>
            <w:tcBorders>
              <w:top w:val="single" w:color="auto" w:sz="4" w:space="0"/>
              <w:left w:val="single" w:color="auto" w:sz="4" w:space="0"/>
              <w:bottom w:val="single" w:color="000000" w:sz="4" w:space="0"/>
              <w:right w:val="single" w:color="auto" w:sz="4" w:space="0"/>
            </w:tcBorders>
            <w:noWrap/>
            <w:vAlign w:val="center"/>
          </w:tcPr>
          <w:p w14:paraId="2B6C193B">
            <w:pPr>
              <w:widowControl/>
              <w:spacing w:line="560" w:lineRule="exact"/>
              <w:jc w:val="center"/>
              <w:rPr>
                <w:rFonts w:ascii="TimesNewRoman" w:hAnsi="TimesNewRoman" w:cs="TimesNewRoman"/>
                <w:bCs/>
                <w:kern w:val="0"/>
                <w:sz w:val="28"/>
                <w:szCs w:val="28"/>
              </w:rPr>
            </w:pPr>
            <w:r>
              <w:rPr>
                <w:rFonts w:ascii="TimesNewRoman" w:hAnsi="TimesNewRoman" w:cs="TimesNewRoman"/>
                <w:bCs/>
                <w:kern w:val="0"/>
                <w:sz w:val="28"/>
                <w:szCs w:val="28"/>
              </w:rPr>
              <w:t>公务</w:t>
            </w:r>
          </w:p>
          <w:p w14:paraId="321DD3B0">
            <w:pPr>
              <w:widowControl/>
              <w:spacing w:line="560" w:lineRule="exact"/>
              <w:jc w:val="center"/>
              <w:rPr>
                <w:rFonts w:ascii="TimesNewRoman" w:hAnsi="TimesNewRoman" w:cs="TimesNewRoman"/>
                <w:bCs/>
                <w:kern w:val="0"/>
                <w:sz w:val="28"/>
                <w:szCs w:val="28"/>
              </w:rPr>
            </w:pPr>
            <w:r>
              <w:rPr>
                <w:rFonts w:ascii="TimesNewRoman" w:hAnsi="TimesNewRoman" w:cs="TimesNewRoman"/>
                <w:bCs/>
                <w:kern w:val="0"/>
                <w:sz w:val="28"/>
                <w:szCs w:val="28"/>
              </w:rPr>
              <w:t>接待费</w:t>
            </w:r>
          </w:p>
        </w:tc>
      </w:tr>
      <w:tr w14:paraId="242EBA19">
        <w:tblPrEx>
          <w:tblCellMar>
            <w:top w:w="0" w:type="dxa"/>
            <w:left w:w="108" w:type="dxa"/>
            <w:bottom w:w="0" w:type="dxa"/>
            <w:right w:w="108" w:type="dxa"/>
          </w:tblCellMar>
        </w:tblPrEx>
        <w:trPr>
          <w:trHeight w:val="518" w:hRule="atLeast"/>
        </w:trPr>
        <w:tc>
          <w:tcPr>
            <w:tcW w:w="1349" w:type="dxa"/>
            <w:vMerge w:val="continue"/>
            <w:tcBorders>
              <w:top w:val="single" w:color="auto" w:sz="4" w:space="0"/>
              <w:left w:val="single" w:color="auto" w:sz="4" w:space="0"/>
              <w:bottom w:val="single" w:color="auto" w:sz="4" w:space="0"/>
              <w:right w:val="single" w:color="auto" w:sz="4" w:space="0"/>
            </w:tcBorders>
            <w:vAlign w:val="center"/>
          </w:tcPr>
          <w:p w14:paraId="6F124E8D">
            <w:pPr>
              <w:widowControl/>
              <w:spacing w:line="560" w:lineRule="exact"/>
              <w:jc w:val="left"/>
              <w:rPr>
                <w:rFonts w:ascii="TimesNewRoman" w:hAnsi="TimesNewRoman" w:cs="TimesNewRoman"/>
                <w:bCs/>
                <w:kern w:val="0"/>
                <w:sz w:val="28"/>
                <w:szCs w:val="28"/>
              </w:rPr>
            </w:pPr>
          </w:p>
        </w:tc>
        <w:tc>
          <w:tcPr>
            <w:tcW w:w="1850" w:type="dxa"/>
            <w:vMerge w:val="continue"/>
            <w:tcBorders>
              <w:top w:val="single" w:color="auto" w:sz="4" w:space="0"/>
              <w:left w:val="single" w:color="auto" w:sz="4" w:space="0"/>
              <w:bottom w:val="single" w:color="auto" w:sz="4" w:space="0"/>
              <w:right w:val="single" w:color="auto" w:sz="4" w:space="0"/>
            </w:tcBorders>
            <w:vAlign w:val="center"/>
          </w:tcPr>
          <w:p w14:paraId="5A42D6DD">
            <w:pPr>
              <w:widowControl/>
              <w:spacing w:line="560" w:lineRule="exact"/>
              <w:jc w:val="left"/>
              <w:rPr>
                <w:rFonts w:ascii="TimesNewRoman" w:hAnsi="TimesNewRoman" w:cs="TimesNewRoman"/>
                <w:bCs/>
                <w:kern w:val="0"/>
                <w:sz w:val="28"/>
                <w:szCs w:val="28"/>
              </w:rPr>
            </w:pPr>
          </w:p>
        </w:tc>
        <w:tc>
          <w:tcPr>
            <w:tcW w:w="1080" w:type="dxa"/>
            <w:tcBorders>
              <w:top w:val="nil"/>
              <w:left w:val="nil"/>
              <w:bottom w:val="single" w:color="auto" w:sz="4" w:space="0"/>
              <w:right w:val="single" w:color="auto" w:sz="4" w:space="0"/>
            </w:tcBorders>
            <w:noWrap/>
            <w:vAlign w:val="center"/>
          </w:tcPr>
          <w:p w14:paraId="6DDFED23">
            <w:pPr>
              <w:widowControl/>
              <w:spacing w:line="560" w:lineRule="exact"/>
              <w:jc w:val="center"/>
              <w:rPr>
                <w:rFonts w:ascii="TimesNewRoman" w:hAnsi="TimesNewRoman" w:cs="TimesNewRoman"/>
                <w:bCs/>
                <w:kern w:val="0"/>
                <w:sz w:val="28"/>
                <w:szCs w:val="28"/>
              </w:rPr>
            </w:pPr>
            <w:r>
              <w:rPr>
                <w:rFonts w:ascii="TimesNewRoman" w:hAnsi="TimesNewRoman" w:cs="TimesNewRoman"/>
                <w:bCs/>
                <w:kern w:val="0"/>
                <w:sz w:val="28"/>
                <w:szCs w:val="28"/>
              </w:rPr>
              <w:t>小计</w:t>
            </w:r>
          </w:p>
        </w:tc>
        <w:tc>
          <w:tcPr>
            <w:tcW w:w="1730" w:type="dxa"/>
            <w:tcBorders>
              <w:top w:val="nil"/>
              <w:left w:val="nil"/>
              <w:bottom w:val="single" w:color="auto" w:sz="4" w:space="0"/>
              <w:right w:val="single" w:color="auto" w:sz="4" w:space="0"/>
            </w:tcBorders>
            <w:noWrap/>
            <w:vAlign w:val="center"/>
          </w:tcPr>
          <w:p w14:paraId="7F58C6B8">
            <w:pPr>
              <w:widowControl/>
              <w:spacing w:line="560" w:lineRule="exact"/>
              <w:jc w:val="center"/>
              <w:rPr>
                <w:rFonts w:ascii="TimesNewRoman" w:hAnsi="TimesNewRoman" w:cs="TimesNewRoman"/>
                <w:bCs/>
                <w:kern w:val="0"/>
                <w:sz w:val="28"/>
                <w:szCs w:val="28"/>
              </w:rPr>
            </w:pPr>
            <w:r>
              <w:rPr>
                <w:rFonts w:ascii="TimesNewRoman" w:hAnsi="TimesNewRoman" w:cs="TimesNewRoman"/>
                <w:bCs/>
                <w:kern w:val="0"/>
                <w:sz w:val="28"/>
                <w:szCs w:val="28"/>
              </w:rPr>
              <w:t>公务用车购置费</w:t>
            </w:r>
          </w:p>
        </w:tc>
        <w:tc>
          <w:tcPr>
            <w:tcW w:w="1810" w:type="dxa"/>
            <w:tcBorders>
              <w:top w:val="nil"/>
              <w:left w:val="nil"/>
              <w:bottom w:val="single" w:color="auto" w:sz="4" w:space="0"/>
              <w:right w:val="single" w:color="auto" w:sz="4" w:space="0"/>
            </w:tcBorders>
            <w:noWrap/>
            <w:vAlign w:val="center"/>
          </w:tcPr>
          <w:p w14:paraId="4F187943">
            <w:pPr>
              <w:widowControl/>
              <w:spacing w:line="560" w:lineRule="exact"/>
              <w:jc w:val="center"/>
              <w:rPr>
                <w:rFonts w:ascii="TimesNewRoman" w:hAnsi="TimesNewRoman" w:cs="TimesNewRoman"/>
                <w:bCs/>
                <w:kern w:val="0"/>
                <w:sz w:val="28"/>
                <w:szCs w:val="28"/>
              </w:rPr>
            </w:pPr>
            <w:r>
              <w:rPr>
                <w:rFonts w:ascii="TimesNewRoman" w:hAnsi="TimesNewRoman" w:cs="TimesNewRoman"/>
                <w:bCs/>
                <w:kern w:val="0"/>
                <w:sz w:val="28"/>
                <w:szCs w:val="28"/>
              </w:rPr>
              <w:t>公务用车运行费</w:t>
            </w:r>
          </w:p>
        </w:tc>
        <w:tc>
          <w:tcPr>
            <w:tcW w:w="1106" w:type="dxa"/>
            <w:vMerge w:val="continue"/>
            <w:tcBorders>
              <w:top w:val="single" w:color="auto" w:sz="4" w:space="0"/>
              <w:left w:val="single" w:color="auto" w:sz="4" w:space="0"/>
              <w:bottom w:val="single" w:color="000000" w:sz="4" w:space="0"/>
              <w:right w:val="single" w:color="auto" w:sz="4" w:space="0"/>
            </w:tcBorders>
            <w:vAlign w:val="center"/>
          </w:tcPr>
          <w:p w14:paraId="6EF26E2D">
            <w:pPr>
              <w:widowControl/>
              <w:spacing w:line="560" w:lineRule="exact"/>
              <w:jc w:val="left"/>
              <w:rPr>
                <w:rFonts w:ascii="TimesNewRoman" w:hAnsi="TimesNewRoman" w:cs="TimesNewRoman"/>
                <w:bCs/>
                <w:kern w:val="0"/>
                <w:sz w:val="28"/>
                <w:szCs w:val="28"/>
              </w:rPr>
            </w:pPr>
          </w:p>
        </w:tc>
      </w:tr>
      <w:tr w14:paraId="38E3BBA4">
        <w:tblPrEx>
          <w:tblCellMar>
            <w:top w:w="0" w:type="dxa"/>
            <w:left w:w="108" w:type="dxa"/>
            <w:bottom w:w="0" w:type="dxa"/>
            <w:right w:w="108" w:type="dxa"/>
          </w:tblCellMar>
        </w:tblPrEx>
        <w:trPr>
          <w:trHeight w:val="560" w:hRule="atLeast"/>
        </w:trPr>
        <w:tc>
          <w:tcPr>
            <w:tcW w:w="1349" w:type="dxa"/>
            <w:tcBorders>
              <w:top w:val="nil"/>
              <w:left w:val="single" w:color="auto" w:sz="4" w:space="0"/>
              <w:bottom w:val="single" w:color="auto" w:sz="4" w:space="0"/>
              <w:right w:val="single" w:color="auto" w:sz="4" w:space="0"/>
            </w:tcBorders>
            <w:noWrap/>
            <w:vAlign w:val="center"/>
          </w:tcPr>
          <w:p w14:paraId="687C55D3">
            <w:pPr>
              <w:widowControl/>
              <w:spacing w:line="560" w:lineRule="exact"/>
              <w:ind w:firstLine="420" w:firstLineChars="150"/>
              <w:jc w:val="left"/>
              <w:rPr>
                <w:rFonts w:ascii="TimesNewRoman" w:hAnsi="TimesNewRoman" w:cs="TimesNewRoman"/>
                <w:kern w:val="0"/>
                <w:sz w:val="28"/>
                <w:szCs w:val="28"/>
              </w:rPr>
            </w:pPr>
            <w:r>
              <w:rPr>
                <w:rFonts w:hint="eastAsia" w:ascii="TimesNewRoman" w:hAnsi="TimesNewRoman" w:cs="TimesNewRoman"/>
                <w:kern w:val="0"/>
                <w:sz w:val="28"/>
                <w:szCs w:val="28"/>
              </w:rPr>
              <w:t>0.8</w:t>
            </w:r>
          </w:p>
        </w:tc>
        <w:tc>
          <w:tcPr>
            <w:tcW w:w="1850" w:type="dxa"/>
            <w:tcBorders>
              <w:top w:val="nil"/>
              <w:left w:val="nil"/>
              <w:bottom w:val="single" w:color="auto" w:sz="4" w:space="0"/>
              <w:right w:val="single" w:color="auto" w:sz="4" w:space="0"/>
            </w:tcBorders>
            <w:noWrap/>
            <w:vAlign w:val="center"/>
          </w:tcPr>
          <w:p w14:paraId="77FB406B">
            <w:pPr>
              <w:widowControl/>
              <w:spacing w:line="560" w:lineRule="exact"/>
              <w:jc w:val="left"/>
              <w:rPr>
                <w:rFonts w:ascii="TimesNewRoman" w:hAnsi="TimesNewRoman" w:cs="TimesNewRoman"/>
                <w:kern w:val="0"/>
                <w:sz w:val="28"/>
                <w:szCs w:val="28"/>
              </w:rPr>
            </w:pPr>
          </w:p>
        </w:tc>
        <w:tc>
          <w:tcPr>
            <w:tcW w:w="1080" w:type="dxa"/>
            <w:tcBorders>
              <w:top w:val="nil"/>
              <w:left w:val="nil"/>
              <w:bottom w:val="single" w:color="auto" w:sz="4" w:space="0"/>
              <w:right w:val="single" w:color="auto" w:sz="4" w:space="0"/>
            </w:tcBorders>
            <w:noWrap/>
            <w:vAlign w:val="center"/>
          </w:tcPr>
          <w:p w14:paraId="490F5286">
            <w:pPr>
              <w:widowControl/>
              <w:spacing w:line="560" w:lineRule="exact"/>
              <w:jc w:val="center"/>
              <w:rPr>
                <w:rFonts w:ascii="TimesNewRoman" w:hAnsi="TimesNewRoman" w:cs="TimesNewRoman"/>
                <w:kern w:val="0"/>
                <w:sz w:val="28"/>
                <w:szCs w:val="28"/>
              </w:rPr>
            </w:pPr>
          </w:p>
        </w:tc>
        <w:tc>
          <w:tcPr>
            <w:tcW w:w="1730" w:type="dxa"/>
            <w:tcBorders>
              <w:top w:val="nil"/>
              <w:left w:val="nil"/>
              <w:bottom w:val="single" w:color="auto" w:sz="4" w:space="0"/>
              <w:right w:val="single" w:color="auto" w:sz="4" w:space="0"/>
            </w:tcBorders>
            <w:noWrap/>
            <w:vAlign w:val="center"/>
          </w:tcPr>
          <w:p w14:paraId="257E46FF">
            <w:pPr>
              <w:widowControl/>
              <w:spacing w:line="560" w:lineRule="exact"/>
              <w:ind w:firstLine="140" w:firstLineChars="50"/>
              <w:jc w:val="left"/>
              <w:rPr>
                <w:rFonts w:ascii="TimesNewRoman" w:hAnsi="TimesNewRoman" w:cs="TimesNewRoman"/>
                <w:kern w:val="0"/>
                <w:sz w:val="28"/>
                <w:szCs w:val="28"/>
              </w:rPr>
            </w:pPr>
          </w:p>
        </w:tc>
        <w:tc>
          <w:tcPr>
            <w:tcW w:w="1810" w:type="dxa"/>
            <w:tcBorders>
              <w:top w:val="nil"/>
              <w:left w:val="nil"/>
              <w:bottom w:val="single" w:color="auto" w:sz="4" w:space="0"/>
              <w:right w:val="single" w:color="auto" w:sz="4" w:space="0"/>
            </w:tcBorders>
            <w:noWrap/>
            <w:vAlign w:val="center"/>
          </w:tcPr>
          <w:p w14:paraId="0CC03ED1">
            <w:pPr>
              <w:widowControl/>
              <w:spacing w:line="560" w:lineRule="exact"/>
              <w:ind w:firstLine="140" w:firstLineChars="50"/>
              <w:jc w:val="left"/>
              <w:rPr>
                <w:rFonts w:ascii="TimesNewRoman" w:hAnsi="TimesNewRoman" w:cs="TimesNewRoman"/>
                <w:kern w:val="0"/>
                <w:sz w:val="28"/>
                <w:szCs w:val="28"/>
              </w:rPr>
            </w:pPr>
          </w:p>
        </w:tc>
        <w:tc>
          <w:tcPr>
            <w:tcW w:w="1106" w:type="dxa"/>
            <w:tcBorders>
              <w:top w:val="nil"/>
              <w:left w:val="nil"/>
              <w:bottom w:val="single" w:color="auto" w:sz="4" w:space="0"/>
              <w:right w:val="single" w:color="auto" w:sz="4" w:space="0"/>
            </w:tcBorders>
            <w:noWrap/>
            <w:vAlign w:val="center"/>
          </w:tcPr>
          <w:p w14:paraId="1BBE9818">
            <w:pPr>
              <w:widowControl/>
              <w:spacing w:line="560" w:lineRule="exact"/>
              <w:rPr>
                <w:rFonts w:ascii="TimesNewRoman" w:hAnsi="TimesNewRoman" w:cs="TimesNewRoman"/>
                <w:kern w:val="0"/>
                <w:sz w:val="28"/>
                <w:szCs w:val="28"/>
              </w:rPr>
            </w:pPr>
            <w:r>
              <w:rPr>
                <w:rFonts w:hint="eastAsia" w:ascii="TimesNewRoman" w:hAnsi="TimesNewRoman" w:cs="TimesNewRoman"/>
                <w:kern w:val="0"/>
                <w:sz w:val="28"/>
                <w:szCs w:val="28"/>
              </w:rPr>
              <w:t>0.8</w:t>
            </w:r>
          </w:p>
        </w:tc>
      </w:tr>
    </w:tbl>
    <w:p w14:paraId="52AA61DC">
      <w:pPr>
        <w:spacing w:line="560" w:lineRule="exact"/>
        <w:outlineLvl w:val="0"/>
        <w:rPr>
          <w:rFonts w:ascii="TimesNewRoman" w:hAnsi="TimesNewRoman" w:eastAsia="黑体" w:cs="TimesNewRoman"/>
          <w:sz w:val="28"/>
          <w:szCs w:val="28"/>
        </w:rPr>
      </w:pPr>
    </w:p>
    <w:p w14:paraId="11B5030A">
      <w:pPr>
        <w:spacing w:line="560" w:lineRule="exact"/>
        <w:ind w:firstLine="640" w:firstLineChars="200"/>
        <w:outlineLvl w:val="0"/>
        <w:rPr>
          <w:rFonts w:ascii="仿宋" w:hAnsi="仿宋" w:eastAsia="仿宋" w:cs="TimesNewRoman"/>
          <w:spacing w:val="-6"/>
          <w:sz w:val="32"/>
          <w:szCs w:val="32"/>
        </w:rPr>
      </w:pPr>
      <w:r>
        <w:rPr>
          <w:rFonts w:ascii="仿宋" w:hAnsi="仿宋" w:eastAsia="仿宋" w:cs="TimesNewRoman"/>
          <w:sz w:val="32"/>
          <w:szCs w:val="32"/>
        </w:rPr>
        <w:t>二、</w:t>
      </w:r>
      <w:r>
        <w:rPr>
          <w:rFonts w:hint="eastAsia" w:ascii="仿宋" w:hAnsi="仿宋" w:eastAsia="仿宋" w:cs="TimesNewRoman"/>
          <w:spacing w:val="-6"/>
          <w:sz w:val="32"/>
          <w:szCs w:val="32"/>
        </w:rPr>
        <w:t>2026</w:t>
      </w:r>
      <w:r>
        <w:rPr>
          <w:rFonts w:ascii="仿宋" w:hAnsi="仿宋" w:eastAsia="仿宋" w:cs="TimesNewRoman"/>
          <w:spacing w:val="-6"/>
          <w:sz w:val="32"/>
          <w:szCs w:val="32"/>
        </w:rPr>
        <w:t>年一般公共预算“三公”经费支出预算情况说明</w:t>
      </w:r>
    </w:p>
    <w:p w14:paraId="2E2BD20F">
      <w:pPr>
        <w:adjustRightInd w:val="0"/>
        <w:snapToGrid w:val="0"/>
        <w:spacing w:line="560" w:lineRule="exact"/>
        <w:ind w:firstLine="640" w:firstLineChars="200"/>
        <w:rPr>
          <w:rFonts w:ascii="仿宋" w:hAnsi="仿宋" w:eastAsia="仿宋" w:cs="TimesNewRoman"/>
          <w:sz w:val="32"/>
          <w:szCs w:val="32"/>
        </w:rPr>
      </w:pPr>
      <w:r>
        <w:rPr>
          <w:rFonts w:hint="eastAsia" w:ascii="仿宋" w:hAnsi="仿宋" w:eastAsia="仿宋" w:cs="TimesNewRoman"/>
          <w:sz w:val="32"/>
          <w:szCs w:val="32"/>
        </w:rPr>
        <w:t>寿县妇女联合会2026</w:t>
      </w:r>
      <w:r>
        <w:rPr>
          <w:rFonts w:ascii="仿宋" w:hAnsi="仿宋" w:eastAsia="仿宋" w:cs="TimesNewRoman"/>
          <w:sz w:val="32"/>
          <w:szCs w:val="32"/>
        </w:rPr>
        <w:t>年一般公共预算“三公”经费支出预算为</w:t>
      </w:r>
      <w:r>
        <w:rPr>
          <w:rFonts w:hint="eastAsia" w:ascii="仿宋" w:hAnsi="仿宋" w:eastAsia="仿宋" w:cs="TimesNewRoman"/>
          <w:sz w:val="32"/>
          <w:szCs w:val="32"/>
        </w:rPr>
        <w:t>0.8</w:t>
      </w:r>
      <w:r>
        <w:rPr>
          <w:rFonts w:ascii="仿宋" w:hAnsi="仿宋" w:eastAsia="仿宋" w:cs="TimesNewRoman"/>
          <w:sz w:val="32"/>
          <w:szCs w:val="32"/>
        </w:rPr>
        <w:t>万元，比</w:t>
      </w:r>
      <w:r>
        <w:rPr>
          <w:rFonts w:hint="eastAsia" w:ascii="仿宋" w:hAnsi="仿宋" w:eastAsia="仿宋" w:cs="TimesNewRoman"/>
          <w:sz w:val="32"/>
          <w:szCs w:val="32"/>
        </w:rPr>
        <w:t>2025</w:t>
      </w:r>
      <w:r>
        <w:rPr>
          <w:rFonts w:ascii="仿宋" w:hAnsi="仿宋" w:eastAsia="仿宋" w:cs="TimesNewRoman"/>
          <w:sz w:val="32"/>
          <w:szCs w:val="32"/>
        </w:rPr>
        <w:t>年预算减少</w:t>
      </w:r>
      <w:r>
        <w:rPr>
          <w:rFonts w:hint="eastAsia" w:ascii="仿宋" w:hAnsi="仿宋" w:eastAsia="仿宋" w:cs="TimesNewRoman"/>
          <w:sz w:val="32"/>
          <w:szCs w:val="32"/>
        </w:rPr>
        <w:t>0.77</w:t>
      </w:r>
      <w:r>
        <w:rPr>
          <w:rFonts w:ascii="仿宋" w:hAnsi="仿宋" w:eastAsia="仿宋" w:cs="TimesNewRoman"/>
          <w:sz w:val="32"/>
          <w:szCs w:val="32"/>
        </w:rPr>
        <w:t>万元，下降</w:t>
      </w:r>
      <w:r>
        <w:rPr>
          <w:rFonts w:hint="eastAsia" w:ascii="仿宋" w:hAnsi="仿宋" w:eastAsia="仿宋" w:cs="TimesNewRoman"/>
          <w:sz w:val="32"/>
          <w:szCs w:val="32"/>
        </w:rPr>
        <w:t>49.04</w:t>
      </w:r>
      <w:r>
        <w:rPr>
          <w:rFonts w:ascii="仿宋" w:hAnsi="仿宋" w:eastAsia="仿宋" w:cs="TimesNewRoman"/>
          <w:sz w:val="32"/>
          <w:szCs w:val="32"/>
        </w:rPr>
        <w:t>%。其中：因公出国（境）费支出预算为</w:t>
      </w:r>
      <w:r>
        <w:rPr>
          <w:rFonts w:hint="eastAsia" w:ascii="仿宋" w:hAnsi="仿宋" w:eastAsia="仿宋" w:cs="TimesNewRoman"/>
          <w:sz w:val="32"/>
          <w:szCs w:val="32"/>
        </w:rPr>
        <w:t>0</w:t>
      </w:r>
      <w:r>
        <w:rPr>
          <w:rFonts w:ascii="仿宋" w:hAnsi="仿宋" w:eastAsia="仿宋" w:cs="TimesNewRoman"/>
          <w:sz w:val="32"/>
          <w:szCs w:val="32"/>
        </w:rPr>
        <w:t>万元，公务接待费支出预算为</w:t>
      </w:r>
      <w:r>
        <w:rPr>
          <w:rFonts w:hint="eastAsia" w:ascii="仿宋" w:hAnsi="仿宋" w:eastAsia="仿宋" w:cs="TimesNewRoman"/>
          <w:sz w:val="32"/>
          <w:szCs w:val="32"/>
        </w:rPr>
        <w:t>0.8</w:t>
      </w:r>
      <w:r>
        <w:rPr>
          <w:rFonts w:ascii="仿宋" w:hAnsi="仿宋" w:eastAsia="仿宋" w:cs="TimesNewRoman"/>
          <w:sz w:val="32"/>
          <w:szCs w:val="32"/>
        </w:rPr>
        <w:t>万元，公务用车购置及运行费支出预算为</w:t>
      </w:r>
      <w:r>
        <w:rPr>
          <w:rFonts w:hint="eastAsia" w:ascii="仿宋" w:hAnsi="仿宋" w:eastAsia="仿宋" w:cs="TimesNewRoman"/>
          <w:sz w:val="32"/>
          <w:szCs w:val="32"/>
        </w:rPr>
        <w:t>0</w:t>
      </w:r>
      <w:r>
        <w:rPr>
          <w:rFonts w:ascii="仿宋" w:hAnsi="仿宋" w:eastAsia="仿宋" w:cs="TimesNewRoman"/>
          <w:sz w:val="32"/>
          <w:szCs w:val="32"/>
        </w:rPr>
        <w:t>万元。具体情况如下：</w:t>
      </w:r>
    </w:p>
    <w:p w14:paraId="0C46206A">
      <w:pPr>
        <w:pStyle w:val="3"/>
        <w:spacing w:line="520" w:lineRule="exact"/>
        <w:ind w:firstLine="482" w:firstLineChars="150"/>
        <w:rPr>
          <w:rFonts w:ascii="仿宋" w:hAnsi="仿宋" w:eastAsia="仿宋" w:cs="TimesNewRoman"/>
          <w:sz w:val="32"/>
          <w:szCs w:val="32"/>
        </w:rPr>
      </w:pPr>
      <w:r>
        <w:rPr>
          <w:rFonts w:ascii="仿宋" w:hAnsi="仿宋" w:eastAsia="仿宋" w:cs="TimesNewRoman"/>
          <w:b/>
          <w:sz w:val="32"/>
          <w:szCs w:val="32"/>
        </w:rPr>
        <w:t>（一）因公出国（境）费</w:t>
      </w:r>
      <w:r>
        <w:rPr>
          <w:rFonts w:ascii="仿宋" w:hAnsi="仿宋" w:eastAsia="仿宋" w:cs="TimesNewRoman"/>
          <w:sz w:val="32"/>
          <w:szCs w:val="32"/>
        </w:rPr>
        <w:t>支出预算</w:t>
      </w:r>
      <w:r>
        <w:rPr>
          <w:rFonts w:hint="eastAsia" w:ascii="仿宋" w:hAnsi="仿宋" w:eastAsia="仿宋" w:cs="TimesNewRoman"/>
          <w:sz w:val="32"/>
          <w:szCs w:val="32"/>
        </w:rPr>
        <w:t>0</w:t>
      </w:r>
      <w:r>
        <w:rPr>
          <w:rFonts w:ascii="仿宋" w:hAnsi="仿宋" w:eastAsia="仿宋" w:cs="TimesNewRoman"/>
          <w:sz w:val="32"/>
          <w:szCs w:val="32"/>
        </w:rPr>
        <w:t>万元</w:t>
      </w:r>
    </w:p>
    <w:p w14:paraId="0C7F4C40">
      <w:pPr>
        <w:pStyle w:val="3"/>
        <w:spacing w:line="520" w:lineRule="exact"/>
        <w:ind w:firstLine="482" w:firstLineChars="150"/>
        <w:rPr>
          <w:rFonts w:ascii="仿宋" w:hAnsi="仿宋" w:eastAsia="仿宋" w:cs="TimesNewRoman"/>
          <w:sz w:val="32"/>
          <w:szCs w:val="32"/>
        </w:rPr>
      </w:pPr>
      <w:r>
        <w:rPr>
          <w:rFonts w:ascii="仿宋" w:hAnsi="仿宋" w:eastAsia="仿宋" w:cs="TimesNewRoman"/>
          <w:b/>
          <w:sz w:val="32"/>
          <w:szCs w:val="32"/>
        </w:rPr>
        <w:t>（二）公务用车购置及运行费</w:t>
      </w:r>
      <w:r>
        <w:rPr>
          <w:rFonts w:ascii="仿宋" w:hAnsi="仿宋" w:eastAsia="仿宋" w:cs="TimesNewRoman"/>
          <w:sz w:val="32"/>
          <w:szCs w:val="32"/>
        </w:rPr>
        <w:t>支出预算</w:t>
      </w:r>
      <w:r>
        <w:rPr>
          <w:rFonts w:hint="eastAsia" w:ascii="仿宋" w:hAnsi="仿宋" w:eastAsia="仿宋" w:cs="TimesNewRoman"/>
          <w:sz w:val="32"/>
          <w:szCs w:val="32"/>
        </w:rPr>
        <w:t>0</w:t>
      </w:r>
      <w:r>
        <w:rPr>
          <w:rFonts w:ascii="仿宋" w:hAnsi="仿宋" w:eastAsia="仿宋" w:cs="TimesNewRoman"/>
          <w:sz w:val="32"/>
          <w:szCs w:val="32"/>
        </w:rPr>
        <w:t>万元</w:t>
      </w:r>
    </w:p>
    <w:p w14:paraId="1B2796A1">
      <w:pPr>
        <w:pStyle w:val="3"/>
        <w:spacing w:line="520" w:lineRule="exact"/>
        <w:ind w:firstLine="482" w:firstLineChars="150"/>
        <w:rPr>
          <w:rFonts w:ascii="仿宋" w:hAnsi="仿宋" w:eastAsia="仿宋" w:cs="TimesNewRoman"/>
          <w:sz w:val="32"/>
          <w:szCs w:val="32"/>
        </w:rPr>
      </w:pPr>
      <w:r>
        <w:rPr>
          <w:rFonts w:ascii="仿宋" w:hAnsi="仿宋" w:eastAsia="仿宋" w:cs="TimesNewRoman"/>
          <w:b/>
          <w:sz w:val="32"/>
          <w:szCs w:val="32"/>
        </w:rPr>
        <w:t>（</w:t>
      </w:r>
      <w:r>
        <w:rPr>
          <w:rFonts w:hint="eastAsia" w:ascii="仿宋" w:hAnsi="仿宋" w:eastAsia="仿宋" w:cs="TimesNewRoman"/>
          <w:b/>
          <w:sz w:val="32"/>
          <w:szCs w:val="32"/>
        </w:rPr>
        <w:t>三</w:t>
      </w:r>
      <w:r>
        <w:rPr>
          <w:rFonts w:ascii="仿宋" w:hAnsi="仿宋" w:eastAsia="仿宋" w:cs="TimesNewRoman"/>
          <w:b/>
          <w:sz w:val="32"/>
          <w:szCs w:val="32"/>
        </w:rPr>
        <w:t>）公务接待费</w:t>
      </w:r>
      <w:r>
        <w:rPr>
          <w:rFonts w:ascii="仿宋" w:hAnsi="仿宋" w:eastAsia="仿宋" w:cs="TimesNewRoman"/>
          <w:sz w:val="32"/>
          <w:szCs w:val="32"/>
        </w:rPr>
        <w:t>支出预算</w:t>
      </w:r>
      <w:r>
        <w:rPr>
          <w:rFonts w:hint="eastAsia" w:ascii="仿宋" w:hAnsi="仿宋" w:eastAsia="仿宋" w:cs="TimesNewRoman"/>
          <w:sz w:val="32"/>
          <w:szCs w:val="32"/>
        </w:rPr>
        <w:t>0.8</w:t>
      </w:r>
      <w:r>
        <w:rPr>
          <w:rFonts w:ascii="仿宋" w:hAnsi="仿宋" w:eastAsia="仿宋" w:cs="TimesNewRoman"/>
          <w:sz w:val="32"/>
          <w:szCs w:val="32"/>
        </w:rPr>
        <w:t>万元，比</w:t>
      </w:r>
      <w:r>
        <w:rPr>
          <w:rFonts w:hint="eastAsia" w:ascii="仿宋" w:hAnsi="仿宋" w:eastAsia="仿宋" w:cs="TimesNewRoman"/>
          <w:sz w:val="32"/>
          <w:szCs w:val="32"/>
        </w:rPr>
        <w:t>2025</w:t>
      </w:r>
      <w:r>
        <w:rPr>
          <w:rFonts w:ascii="仿宋" w:hAnsi="仿宋" w:eastAsia="仿宋" w:cs="TimesNewRoman"/>
          <w:sz w:val="32"/>
          <w:szCs w:val="32"/>
        </w:rPr>
        <w:t>年预算减少</w:t>
      </w:r>
      <w:r>
        <w:rPr>
          <w:rFonts w:hint="eastAsia" w:ascii="仿宋" w:hAnsi="仿宋" w:eastAsia="仿宋" w:cs="TimesNewRoman"/>
          <w:sz w:val="32"/>
          <w:szCs w:val="32"/>
        </w:rPr>
        <w:t>0.77</w:t>
      </w:r>
      <w:r>
        <w:rPr>
          <w:rFonts w:ascii="仿宋" w:hAnsi="仿宋" w:eastAsia="仿宋" w:cs="TimesNewRoman"/>
          <w:sz w:val="32"/>
          <w:szCs w:val="32"/>
        </w:rPr>
        <w:t>万元，下降</w:t>
      </w:r>
      <w:r>
        <w:rPr>
          <w:rFonts w:hint="eastAsia" w:ascii="仿宋" w:hAnsi="仿宋" w:eastAsia="仿宋" w:cs="TimesNewRoman"/>
          <w:sz w:val="32"/>
          <w:szCs w:val="32"/>
        </w:rPr>
        <w:t>49.04</w:t>
      </w:r>
      <w:r>
        <w:rPr>
          <w:rFonts w:ascii="仿宋" w:hAnsi="仿宋" w:eastAsia="仿宋" w:cs="TimesNewRoman"/>
          <w:sz w:val="32"/>
          <w:szCs w:val="32"/>
        </w:rPr>
        <w:t>%，</w:t>
      </w:r>
      <w:r>
        <w:rPr>
          <w:rFonts w:hint="eastAsia" w:ascii="仿宋" w:hAnsi="仿宋" w:eastAsia="仿宋"/>
          <w:sz w:val="32"/>
          <w:szCs w:val="32"/>
        </w:rPr>
        <w:t>下降原因主要是节约开支。该项经费</w:t>
      </w:r>
      <w:r>
        <w:rPr>
          <w:rFonts w:hint="eastAsia" w:ascii="仿宋" w:hAnsi="仿宋" w:eastAsia="仿宋"/>
          <w:color w:val="000000"/>
          <w:sz w:val="32"/>
          <w:szCs w:val="32"/>
        </w:rPr>
        <w:t>主要用于上级及其他部门等公务往来支出。</w:t>
      </w:r>
      <w:r>
        <w:rPr>
          <w:rFonts w:ascii="仿宋" w:hAnsi="仿宋" w:eastAsia="仿宋" w:cs="TimesNewRoman"/>
          <w:sz w:val="32"/>
          <w:szCs w:val="32"/>
        </w:rPr>
        <w:t>经费使用严格执行《党政机关厉行节约反对浪费条例》</w:t>
      </w:r>
      <w:r>
        <w:rPr>
          <w:rFonts w:hint="eastAsia" w:ascii="仿宋" w:hAnsi="仿宋" w:eastAsia="仿宋"/>
          <w:color w:val="000000"/>
          <w:sz w:val="32"/>
          <w:szCs w:val="32"/>
        </w:rPr>
        <w:t>（中发〔2013〕13号）</w:t>
      </w:r>
      <w:r>
        <w:rPr>
          <w:rFonts w:hint="eastAsia" w:ascii="仿宋" w:hAnsi="仿宋" w:eastAsia="仿宋" w:cs="TimesNewRoman"/>
          <w:sz w:val="32"/>
          <w:szCs w:val="32"/>
        </w:rPr>
        <w:t>和</w:t>
      </w:r>
      <w:r>
        <w:rPr>
          <w:rFonts w:hint="eastAsia" w:ascii="仿宋" w:hAnsi="仿宋" w:eastAsia="仿宋"/>
          <w:color w:val="000000"/>
          <w:sz w:val="32"/>
          <w:szCs w:val="32"/>
        </w:rPr>
        <w:t>《寿县党政机关公务接待管理规定</w:t>
      </w:r>
      <w:r>
        <w:rPr>
          <w:rFonts w:ascii="仿宋" w:hAnsi="仿宋" w:eastAsia="仿宋" w:cs="TimesNewRoman"/>
          <w:sz w:val="32"/>
          <w:szCs w:val="32"/>
        </w:rPr>
        <w:t>》</w:t>
      </w:r>
      <w:r>
        <w:rPr>
          <w:rFonts w:hint="eastAsia" w:ascii="仿宋" w:hAnsi="仿宋" w:eastAsia="仿宋"/>
          <w:color w:val="000000"/>
          <w:sz w:val="32"/>
          <w:szCs w:val="32"/>
        </w:rPr>
        <w:t>（寿办发〔2015〕2号）规定。</w:t>
      </w:r>
    </w:p>
    <w:p w14:paraId="3732CF03">
      <w:pPr>
        <w:pStyle w:val="3"/>
        <w:topLinePunct/>
        <w:adjustRightInd w:val="0"/>
        <w:snapToGrid w:val="0"/>
        <w:spacing w:beforeAutospacing="0" w:afterAutospacing="0" w:line="580" w:lineRule="exact"/>
        <w:ind w:firstLine="643" w:firstLineChars="200"/>
        <w:jc w:val="both"/>
        <w:rPr>
          <w:rFonts w:ascii="仿宋_GB2312" w:hAnsi="TimesNewRoman" w:eastAsia="仿宋_GB2312" w:cs="TimesNewRoman"/>
          <w:kern w:val="2"/>
          <w:sz w:val="32"/>
          <w:szCs w:val="32"/>
        </w:rPr>
      </w:pPr>
      <w:r>
        <w:rPr>
          <w:rFonts w:hint="eastAsia" w:ascii="仿宋_GB2312" w:hAnsi="TimesNewRoman" w:eastAsia="仿宋_GB2312" w:cs="TimesNewRoman"/>
          <w:b/>
          <w:kern w:val="2"/>
          <w:sz w:val="32"/>
          <w:szCs w:val="32"/>
        </w:rPr>
        <w:t>十三、</w:t>
      </w:r>
      <w:r>
        <w:rPr>
          <w:rFonts w:hint="eastAsia" w:ascii="仿宋_GB2312" w:hAnsi="TimesNewRoman" w:eastAsia="仿宋_GB2312" w:cs="TimesNewRoman"/>
          <w:kern w:val="2"/>
          <w:sz w:val="32"/>
          <w:szCs w:val="32"/>
        </w:rPr>
        <w:t>其他重要事项情况说明</w:t>
      </w:r>
    </w:p>
    <w:p w14:paraId="165108B2">
      <w:pPr>
        <w:adjustRightInd w:val="0"/>
        <w:snapToGrid w:val="0"/>
        <w:spacing w:line="600" w:lineRule="exact"/>
        <w:ind w:firstLine="640" w:firstLineChars="200"/>
        <w:rPr>
          <w:rFonts w:ascii="仿宋_GB2312" w:hAnsi="TimesNewRoman" w:eastAsia="仿宋_GB2312" w:cs="TimesNewRoman"/>
          <w:sz w:val="32"/>
          <w:szCs w:val="32"/>
        </w:rPr>
      </w:pPr>
      <w:r>
        <w:rPr>
          <w:rFonts w:hint="eastAsia" w:ascii="仿宋_GB2312" w:hAnsi="TimesNewRoman" w:eastAsia="仿宋_GB2312" w:cs="TimesNewRoman"/>
          <w:sz w:val="32"/>
          <w:szCs w:val="32"/>
        </w:rPr>
        <w:t>（一）项目及绩效目标情况</w:t>
      </w:r>
    </w:p>
    <w:p w14:paraId="744ABA8D">
      <w:pPr>
        <w:adjustRightInd w:val="0"/>
        <w:snapToGrid w:val="0"/>
        <w:spacing w:line="600" w:lineRule="exact"/>
        <w:ind w:firstLine="640" w:firstLineChars="200"/>
        <w:rPr>
          <w:rFonts w:ascii="仿宋_GB2312" w:hAnsi="TimesNewRoman" w:eastAsia="仿宋_GB2312" w:cs="TimesNewRoman"/>
          <w:sz w:val="32"/>
          <w:szCs w:val="32"/>
        </w:rPr>
      </w:pPr>
      <w:r>
        <w:rPr>
          <w:rFonts w:hint="eastAsia" w:ascii="仿宋_GB2312" w:hAnsi="TimesNewRoman" w:eastAsia="仿宋_GB2312" w:cs="TimesNewRoman"/>
          <w:sz w:val="32"/>
          <w:szCs w:val="32"/>
        </w:rPr>
        <w:t>寿县妇女联合会2026年没有重点项目，项目为常年项目。</w:t>
      </w:r>
    </w:p>
    <w:p w14:paraId="421495C2">
      <w:pPr>
        <w:adjustRightInd w:val="0"/>
        <w:snapToGrid w:val="0"/>
        <w:spacing w:line="600" w:lineRule="exact"/>
        <w:ind w:firstLine="803" w:firstLineChars="250"/>
        <w:rPr>
          <w:rFonts w:ascii="仿宋_GB2312" w:hAnsi="楷体" w:eastAsia="仿宋_GB2312"/>
          <w:b/>
          <w:sz w:val="32"/>
          <w:szCs w:val="32"/>
        </w:rPr>
      </w:pPr>
      <w:r>
        <w:rPr>
          <w:rFonts w:hint="eastAsia" w:ascii="仿宋_GB2312" w:hAnsi="楷体" w:eastAsia="仿宋_GB2312"/>
          <w:b/>
          <w:sz w:val="32"/>
          <w:szCs w:val="32"/>
        </w:rPr>
        <w:t>1.“县妇联工作经费”项目。</w:t>
      </w:r>
    </w:p>
    <w:p w14:paraId="46EAC229">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（1）项目概述和内容。县妇联工作经费主要用于县妇联开展正常工作，发展妇女儿童工作事业。</w:t>
      </w:r>
    </w:p>
    <w:p w14:paraId="762E9851">
      <w:pPr>
        <w:spacing w:line="600" w:lineRule="exact"/>
        <w:ind w:firstLine="585" w:firstLineChars="183"/>
        <w:rPr>
          <w:rFonts w:ascii="仿宋_GB2312" w:hAnsi="仿宋" w:eastAsia="仿宋_GB2312"/>
          <w:sz w:val="32"/>
          <w:szCs w:val="32"/>
        </w:rPr>
      </w:pPr>
      <w:r>
        <w:rPr>
          <w:rFonts w:hint="eastAsia" w:ascii="仿宋_GB2312" w:hAnsi="仿宋" w:eastAsia="仿宋_GB2312"/>
          <w:sz w:val="32"/>
          <w:szCs w:val="32"/>
        </w:rPr>
        <w:t>（2）立项依据。部门主要职责</w:t>
      </w:r>
    </w:p>
    <w:p w14:paraId="5D0F2D2F">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（3）起止时间。2026年1月1日-2026年12月31日</w:t>
      </w:r>
    </w:p>
    <w:p w14:paraId="24F8E837">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（4）年度预算安排20万元</w:t>
      </w:r>
    </w:p>
    <w:p w14:paraId="3315DAC6">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（5）绩效目标和指标。县妇联工作经费主要用于县妇联开展正常工作，发展妇女儿童工作事业。推动县妇联工作健康发展。</w:t>
      </w:r>
    </w:p>
    <w:p w14:paraId="27BB5477">
      <w:pPr>
        <w:adjustRightInd w:val="0"/>
        <w:snapToGrid w:val="0"/>
        <w:spacing w:line="600" w:lineRule="exact"/>
        <w:ind w:firstLine="640" w:firstLineChars="200"/>
        <w:rPr>
          <w:rFonts w:ascii="仿宋_GB2312" w:hAnsi="仿宋" w:eastAsia="仿宋_GB2312"/>
          <w:sz w:val="32"/>
          <w:szCs w:val="32"/>
        </w:rPr>
      </w:pPr>
    </w:p>
    <w:tbl>
      <w:tblPr>
        <w:tblStyle w:val="4"/>
        <w:tblW w:w="9623" w:type="dxa"/>
        <w:tblInd w:w="93" w:type="dxa"/>
        <w:tblLayout w:type="fixed"/>
        <w:tblCellMar>
          <w:top w:w="0" w:type="dxa"/>
          <w:left w:w="108" w:type="dxa"/>
          <w:bottom w:w="0" w:type="dxa"/>
          <w:right w:w="108" w:type="dxa"/>
        </w:tblCellMar>
      </w:tblPr>
      <w:tblGrid>
        <w:gridCol w:w="416"/>
        <w:gridCol w:w="616"/>
        <w:gridCol w:w="723"/>
        <w:gridCol w:w="3271"/>
        <w:gridCol w:w="236"/>
        <w:gridCol w:w="1761"/>
        <w:gridCol w:w="1997"/>
        <w:gridCol w:w="603"/>
      </w:tblGrid>
      <w:tr w14:paraId="6F5ED177">
        <w:tblPrEx>
          <w:tblCellMar>
            <w:top w:w="0" w:type="dxa"/>
            <w:left w:w="108" w:type="dxa"/>
            <w:bottom w:w="0" w:type="dxa"/>
            <w:right w:w="108" w:type="dxa"/>
          </w:tblCellMar>
        </w:tblPrEx>
        <w:trPr>
          <w:gridAfter w:val="1"/>
          <w:wAfter w:w="603" w:type="dxa"/>
          <w:trHeight w:val="360" w:hRule="atLeast"/>
        </w:trPr>
        <w:tc>
          <w:tcPr>
            <w:tcW w:w="9020" w:type="dxa"/>
            <w:gridSpan w:val="7"/>
            <w:tcBorders>
              <w:top w:val="nil"/>
              <w:left w:val="nil"/>
              <w:bottom w:val="nil"/>
              <w:right w:val="nil"/>
            </w:tcBorders>
            <w:vAlign w:val="center"/>
          </w:tcPr>
          <w:p w14:paraId="697A7A57">
            <w:pPr>
              <w:jc w:val="center"/>
              <w:rPr>
                <w:rFonts w:ascii="宋体" w:hAnsi="宋体" w:cs="宋体"/>
                <w:b/>
                <w:bCs/>
                <w:sz w:val="32"/>
                <w:szCs w:val="32"/>
              </w:rPr>
            </w:pPr>
            <w:r>
              <w:rPr>
                <w:rFonts w:hint="eastAsia"/>
                <w:b/>
                <w:bCs/>
                <w:sz w:val="32"/>
                <w:szCs w:val="32"/>
              </w:rPr>
              <w:t>项目支出绩效目标表</w:t>
            </w:r>
          </w:p>
        </w:tc>
      </w:tr>
      <w:tr w14:paraId="3DFAA0C3">
        <w:tblPrEx>
          <w:tblCellMar>
            <w:top w:w="0" w:type="dxa"/>
            <w:left w:w="108" w:type="dxa"/>
            <w:bottom w:w="0" w:type="dxa"/>
            <w:right w:w="108" w:type="dxa"/>
          </w:tblCellMar>
        </w:tblPrEx>
        <w:trPr>
          <w:gridAfter w:val="1"/>
          <w:wAfter w:w="603" w:type="dxa"/>
          <w:trHeight w:val="270" w:hRule="atLeast"/>
        </w:trPr>
        <w:tc>
          <w:tcPr>
            <w:tcW w:w="9020" w:type="dxa"/>
            <w:gridSpan w:val="7"/>
            <w:tcBorders>
              <w:top w:val="nil"/>
              <w:left w:val="nil"/>
              <w:bottom w:val="nil"/>
              <w:right w:val="nil"/>
            </w:tcBorders>
            <w:vAlign w:val="center"/>
          </w:tcPr>
          <w:p w14:paraId="2D7BB214">
            <w:pPr>
              <w:jc w:val="center"/>
              <w:rPr>
                <w:rFonts w:ascii="宋体" w:hAnsi="宋体" w:cs="宋体"/>
                <w:sz w:val="20"/>
                <w:szCs w:val="20"/>
              </w:rPr>
            </w:pPr>
            <w:r>
              <w:rPr>
                <w:rFonts w:hint="eastAsia"/>
                <w:sz w:val="20"/>
                <w:szCs w:val="20"/>
              </w:rPr>
              <w:t>（202</w:t>
            </w:r>
            <w:r>
              <w:rPr>
                <w:rFonts w:hint="eastAsia"/>
                <w:sz w:val="20"/>
                <w:szCs w:val="20"/>
                <w:lang w:val="en-US" w:eastAsia="zh-CN"/>
              </w:rPr>
              <w:t>6</w:t>
            </w:r>
            <w:r>
              <w:rPr>
                <w:rFonts w:hint="eastAsia"/>
                <w:sz w:val="20"/>
                <w:szCs w:val="20"/>
              </w:rPr>
              <w:t xml:space="preserve"> 年度）</w:t>
            </w:r>
          </w:p>
        </w:tc>
      </w:tr>
      <w:tr w14:paraId="04D591B4">
        <w:tblPrEx>
          <w:tblCellMar>
            <w:top w:w="0" w:type="dxa"/>
            <w:left w:w="108" w:type="dxa"/>
            <w:bottom w:w="0" w:type="dxa"/>
            <w:right w:w="108" w:type="dxa"/>
          </w:tblCellMar>
        </w:tblPrEx>
        <w:trPr>
          <w:gridAfter w:val="1"/>
          <w:wAfter w:w="603" w:type="dxa"/>
          <w:trHeight w:val="330" w:hRule="atLeast"/>
        </w:trPr>
        <w:tc>
          <w:tcPr>
            <w:tcW w:w="1032" w:type="dxa"/>
            <w:gridSpan w:val="2"/>
            <w:tcBorders>
              <w:top w:val="single" w:color="auto" w:sz="4" w:space="0"/>
              <w:left w:val="single" w:color="auto" w:sz="4" w:space="0"/>
              <w:bottom w:val="single" w:color="auto" w:sz="4" w:space="0"/>
              <w:right w:val="single" w:color="auto" w:sz="4" w:space="0"/>
            </w:tcBorders>
            <w:vAlign w:val="center"/>
          </w:tcPr>
          <w:p w14:paraId="4916C0DB">
            <w:pPr>
              <w:jc w:val="center"/>
              <w:rPr>
                <w:rFonts w:ascii="宋体" w:hAnsi="宋体" w:cs="宋体"/>
                <w:color w:val="000000"/>
                <w:sz w:val="20"/>
                <w:szCs w:val="20"/>
              </w:rPr>
            </w:pPr>
            <w:r>
              <w:rPr>
                <w:rFonts w:hint="eastAsia"/>
                <w:color w:val="000000"/>
                <w:sz w:val="20"/>
                <w:szCs w:val="20"/>
              </w:rPr>
              <w:t>项目名称</w:t>
            </w:r>
          </w:p>
        </w:tc>
        <w:tc>
          <w:tcPr>
            <w:tcW w:w="7988" w:type="dxa"/>
            <w:gridSpan w:val="5"/>
            <w:tcBorders>
              <w:top w:val="single" w:color="auto" w:sz="4" w:space="0"/>
              <w:left w:val="nil"/>
              <w:bottom w:val="single" w:color="auto" w:sz="4" w:space="0"/>
              <w:right w:val="single" w:color="000000" w:sz="4" w:space="0"/>
            </w:tcBorders>
            <w:vAlign w:val="center"/>
          </w:tcPr>
          <w:p w14:paraId="67B92653">
            <w:pPr>
              <w:jc w:val="center"/>
              <w:rPr>
                <w:rFonts w:ascii="宋体" w:hAnsi="宋体" w:cs="宋体"/>
                <w:color w:val="000000"/>
                <w:sz w:val="20"/>
                <w:szCs w:val="20"/>
              </w:rPr>
            </w:pPr>
            <w:r>
              <w:rPr>
                <w:rFonts w:hint="eastAsia"/>
                <w:sz w:val="20"/>
                <w:szCs w:val="20"/>
              </w:rPr>
              <w:t>县妇联工作经费</w:t>
            </w:r>
          </w:p>
        </w:tc>
      </w:tr>
      <w:tr w14:paraId="012B629E">
        <w:tblPrEx>
          <w:tblCellMar>
            <w:top w:w="0" w:type="dxa"/>
            <w:left w:w="108" w:type="dxa"/>
            <w:bottom w:w="0" w:type="dxa"/>
            <w:right w:w="108" w:type="dxa"/>
          </w:tblCellMar>
        </w:tblPrEx>
        <w:trPr>
          <w:gridAfter w:val="1"/>
          <w:wAfter w:w="603" w:type="dxa"/>
          <w:trHeight w:val="160" w:hRule="atLeast"/>
        </w:trPr>
        <w:tc>
          <w:tcPr>
            <w:tcW w:w="1032" w:type="dxa"/>
            <w:gridSpan w:val="2"/>
            <w:tcBorders>
              <w:top w:val="single" w:color="auto" w:sz="4" w:space="0"/>
              <w:left w:val="single" w:color="auto" w:sz="4" w:space="0"/>
              <w:bottom w:val="single" w:color="auto" w:sz="4" w:space="0"/>
              <w:right w:val="single" w:color="auto" w:sz="4" w:space="0"/>
            </w:tcBorders>
            <w:vAlign w:val="center"/>
          </w:tcPr>
          <w:p w14:paraId="3B38F7AE">
            <w:pPr>
              <w:jc w:val="center"/>
              <w:rPr>
                <w:rFonts w:hint="default" w:ascii="宋体" w:hAnsi="宋体" w:cs="宋体" w:eastAsiaTheme="minorEastAsia"/>
                <w:color w:val="000000"/>
                <w:sz w:val="20"/>
                <w:szCs w:val="20"/>
                <w:lang w:val="en-US" w:eastAsia="zh-CN"/>
              </w:rPr>
            </w:pPr>
            <w:r>
              <w:rPr>
                <w:rFonts w:hint="eastAsia"/>
                <w:color w:val="000000"/>
                <w:sz w:val="20"/>
                <w:szCs w:val="20"/>
                <w:lang w:val="en-US" w:eastAsia="zh-CN"/>
              </w:rPr>
              <w:t>主管部门及代码</w:t>
            </w:r>
          </w:p>
        </w:tc>
        <w:tc>
          <w:tcPr>
            <w:tcW w:w="3994" w:type="dxa"/>
            <w:gridSpan w:val="2"/>
            <w:tcBorders>
              <w:top w:val="single" w:color="auto" w:sz="4" w:space="0"/>
              <w:left w:val="single" w:color="auto" w:sz="4" w:space="0"/>
              <w:bottom w:val="single" w:color="auto" w:sz="4" w:space="0"/>
              <w:right w:val="single" w:color="auto" w:sz="4" w:space="0"/>
            </w:tcBorders>
            <w:vAlign w:val="center"/>
          </w:tcPr>
          <w:p w14:paraId="7D616CB5">
            <w:pPr>
              <w:jc w:val="center"/>
              <w:rPr>
                <w:rFonts w:ascii="宋体" w:hAnsi="宋体" w:cs="宋体"/>
                <w:color w:val="000000"/>
                <w:sz w:val="20"/>
                <w:szCs w:val="20"/>
              </w:rPr>
            </w:pPr>
            <w:r>
              <w:rPr>
                <w:rFonts w:hint="eastAsia"/>
                <w:color w:val="000000"/>
                <w:sz w:val="20"/>
                <w:szCs w:val="20"/>
              </w:rPr>
              <w:t>寿县妇女联合会　</w:t>
            </w:r>
          </w:p>
        </w:tc>
        <w:tc>
          <w:tcPr>
            <w:tcW w:w="1997" w:type="dxa"/>
            <w:gridSpan w:val="2"/>
            <w:tcBorders>
              <w:top w:val="single" w:color="auto" w:sz="4" w:space="0"/>
              <w:left w:val="nil"/>
              <w:bottom w:val="single" w:color="auto" w:sz="4" w:space="0"/>
              <w:right w:val="single" w:color="auto" w:sz="4" w:space="0"/>
            </w:tcBorders>
            <w:vAlign w:val="center"/>
          </w:tcPr>
          <w:p w14:paraId="025E589C">
            <w:pPr>
              <w:jc w:val="center"/>
              <w:rPr>
                <w:rFonts w:hint="eastAsia" w:eastAsiaTheme="minorEastAsia"/>
                <w:color w:val="000000"/>
                <w:sz w:val="20"/>
                <w:szCs w:val="20"/>
                <w:lang w:val="en-US" w:eastAsia="zh-CN"/>
              </w:rPr>
            </w:pPr>
            <w:r>
              <w:rPr>
                <w:rFonts w:hint="eastAsia"/>
                <w:color w:val="000000"/>
                <w:sz w:val="20"/>
                <w:szCs w:val="20"/>
                <w:lang w:val="en-US" w:eastAsia="zh-CN"/>
              </w:rPr>
              <w:t>实施单位</w:t>
            </w:r>
          </w:p>
        </w:tc>
        <w:tc>
          <w:tcPr>
            <w:tcW w:w="1997" w:type="dxa"/>
            <w:tcBorders>
              <w:top w:val="single" w:color="auto" w:sz="4" w:space="0"/>
              <w:left w:val="nil"/>
              <w:bottom w:val="single" w:color="auto" w:sz="4" w:space="0"/>
              <w:right w:val="single" w:color="auto" w:sz="4" w:space="0"/>
            </w:tcBorders>
            <w:vAlign w:val="center"/>
          </w:tcPr>
          <w:p w14:paraId="02663699">
            <w:pPr>
              <w:jc w:val="center"/>
              <w:rPr>
                <w:rFonts w:hint="eastAsia"/>
                <w:color w:val="000000"/>
                <w:sz w:val="20"/>
                <w:szCs w:val="20"/>
              </w:rPr>
            </w:pPr>
            <w:r>
              <w:rPr>
                <w:rFonts w:hint="eastAsia"/>
                <w:color w:val="000000"/>
                <w:sz w:val="20"/>
                <w:szCs w:val="20"/>
              </w:rPr>
              <w:t>寿县妇女联合会</w:t>
            </w:r>
          </w:p>
        </w:tc>
      </w:tr>
      <w:tr w14:paraId="67672D17">
        <w:tblPrEx>
          <w:tblCellMar>
            <w:top w:w="0" w:type="dxa"/>
            <w:left w:w="108" w:type="dxa"/>
            <w:bottom w:w="0" w:type="dxa"/>
            <w:right w:w="108" w:type="dxa"/>
          </w:tblCellMar>
        </w:tblPrEx>
        <w:trPr>
          <w:gridAfter w:val="1"/>
          <w:wAfter w:w="603" w:type="dxa"/>
          <w:trHeight w:val="160" w:hRule="atLeast"/>
        </w:trPr>
        <w:tc>
          <w:tcPr>
            <w:tcW w:w="1032" w:type="dxa"/>
            <w:gridSpan w:val="2"/>
            <w:tcBorders>
              <w:top w:val="single" w:color="auto" w:sz="4" w:space="0"/>
              <w:left w:val="single" w:color="auto" w:sz="4" w:space="0"/>
              <w:bottom w:val="single" w:color="auto" w:sz="4" w:space="0"/>
              <w:right w:val="single" w:color="auto" w:sz="4" w:space="0"/>
            </w:tcBorders>
            <w:vAlign w:val="center"/>
          </w:tcPr>
          <w:p w14:paraId="1BA6CE83">
            <w:pPr>
              <w:jc w:val="center"/>
              <w:rPr>
                <w:rFonts w:hint="default" w:eastAsiaTheme="minorEastAsia"/>
                <w:lang w:val="en-US" w:eastAsia="zh-CN"/>
              </w:rPr>
            </w:pPr>
            <w:r>
              <w:rPr>
                <w:rFonts w:hint="eastAsia"/>
                <w:lang w:val="en-US" w:eastAsia="zh-CN"/>
              </w:rPr>
              <w:t>项目来源</w:t>
            </w:r>
          </w:p>
        </w:tc>
        <w:tc>
          <w:tcPr>
            <w:tcW w:w="3994" w:type="dxa"/>
            <w:gridSpan w:val="2"/>
            <w:tcBorders>
              <w:top w:val="single" w:color="auto" w:sz="4" w:space="0"/>
              <w:left w:val="single" w:color="auto" w:sz="4" w:space="0"/>
              <w:bottom w:val="single" w:color="auto" w:sz="4" w:space="0"/>
              <w:right w:val="single" w:color="auto" w:sz="4" w:space="0"/>
            </w:tcBorders>
            <w:vAlign w:val="center"/>
          </w:tcPr>
          <w:p w14:paraId="5D12C5E1">
            <w:pPr>
              <w:jc w:val="center"/>
              <w:rPr>
                <w:rFonts w:hint="default" w:eastAsiaTheme="minorEastAsia"/>
                <w:lang w:val="en-US" w:eastAsia="zh-CN"/>
              </w:rPr>
            </w:pPr>
            <w:r>
              <w:rPr>
                <w:rFonts w:hint="eastAsia"/>
                <w:lang w:val="en-US" w:eastAsia="zh-CN"/>
              </w:rPr>
              <w:t>财政拨款</w:t>
            </w:r>
          </w:p>
        </w:tc>
        <w:tc>
          <w:tcPr>
            <w:tcW w:w="1997" w:type="dxa"/>
            <w:gridSpan w:val="2"/>
            <w:tcBorders>
              <w:top w:val="single" w:color="auto" w:sz="4" w:space="0"/>
              <w:left w:val="nil"/>
              <w:bottom w:val="single" w:color="auto" w:sz="4" w:space="0"/>
              <w:right w:val="single" w:color="auto" w:sz="4" w:space="0"/>
            </w:tcBorders>
            <w:vAlign w:val="center"/>
          </w:tcPr>
          <w:p w14:paraId="2AD2DF4E">
            <w:pPr>
              <w:jc w:val="center"/>
              <w:rPr>
                <w:rFonts w:hint="default" w:eastAsiaTheme="minorEastAsia"/>
                <w:color w:val="000000"/>
                <w:sz w:val="20"/>
                <w:szCs w:val="20"/>
                <w:lang w:val="en-US" w:eastAsia="zh-CN"/>
              </w:rPr>
            </w:pPr>
            <w:r>
              <w:rPr>
                <w:rFonts w:hint="eastAsia"/>
                <w:color w:val="000000"/>
                <w:sz w:val="20"/>
                <w:szCs w:val="20"/>
                <w:lang w:val="en-US" w:eastAsia="zh-CN"/>
              </w:rPr>
              <w:t>项目期</w:t>
            </w:r>
          </w:p>
        </w:tc>
        <w:tc>
          <w:tcPr>
            <w:tcW w:w="1997" w:type="dxa"/>
            <w:tcBorders>
              <w:top w:val="single" w:color="auto" w:sz="4" w:space="0"/>
              <w:left w:val="nil"/>
              <w:bottom w:val="single" w:color="auto" w:sz="4" w:space="0"/>
              <w:right w:val="single" w:color="auto" w:sz="4" w:space="0"/>
            </w:tcBorders>
            <w:vAlign w:val="center"/>
          </w:tcPr>
          <w:p w14:paraId="3EC3F120">
            <w:pPr>
              <w:jc w:val="center"/>
              <w:rPr>
                <w:rFonts w:hint="default" w:eastAsiaTheme="minorEastAsia"/>
                <w:color w:val="000000"/>
                <w:sz w:val="20"/>
                <w:szCs w:val="20"/>
                <w:lang w:val="en-US" w:eastAsia="zh-CN"/>
              </w:rPr>
            </w:pPr>
            <w:r>
              <w:rPr>
                <w:rFonts w:hint="eastAsia"/>
                <w:color w:val="000000"/>
                <w:sz w:val="20"/>
                <w:szCs w:val="20"/>
                <w:lang w:val="en-US" w:eastAsia="zh-CN"/>
              </w:rPr>
              <w:t>2026-2026</w:t>
            </w:r>
          </w:p>
        </w:tc>
      </w:tr>
      <w:tr w14:paraId="1DF992D3">
        <w:tblPrEx>
          <w:tblCellMar>
            <w:top w:w="0" w:type="dxa"/>
            <w:left w:w="108" w:type="dxa"/>
            <w:bottom w:w="0" w:type="dxa"/>
            <w:right w:w="108" w:type="dxa"/>
          </w:tblCellMar>
        </w:tblPrEx>
        <w:trPr>
          <w:gridAfter w:val="1"/>
          <w:wAfter w:w="603" w:type="dxa"/>
          <w:trHeight w:val="330" w:hRule="atLeast"/>
        </w:trPr>
        <w:tc>
          <w:tcPr>
            <w:tcW w:w="1032" w:type="dxa"/>
            <w:gridSpan w:val="2"/>
            <w:vMerge w:val="restart"/>
            <w:tcBorders>
              <w:top w:val="single" w:color="auto" w:sz="4" w:space="0"/>
              <w:left w:val="single" w:color="auto" w:sz="4" w:space="0"/>
              <w:right w:val="single" w:color="000000" w:sz="4" w:space="0"/>
            </w:tcBorders>
            <w:vAlign w:val="center"/>
          </w:tcPr>
          <w:p w14:paraId="0E51B015">
            <w:pPr>
              <w:jc w:val="center"/>
              <w:rPr>
                <w:sz w:val="20"/>
                <w:szCs w:val="20"/>
              </w:rPr>
            </w:pPr>
            <w:r>
              <w:rPr>
                <w:rFonts w:hint="eastAsia"/>
                <w:sz w:val="20"/>
                <w:szCs w:val="20"/>
              </w:rPr>
              <w:t>项目资金</w:t>
            </w:r>
          </w:p>
          <w:p w14:paraId="7486FA9C">
            <w:pPr>
              <w:jc w:val="center"/>
              <w:rPr>
                <w:rFonts w:ascii="宋体" w:hAnsi="宋体" w:cs="宋体"/>
                <w:sz w:val="20"/>
                <w:szCs w:val="20"/>
              </w:rPr>
            </w:pPr>
            <w:r>
              <w:rPr>
                <w:rFonts w:hint="eastAsia"/>
                <w:sz w:val="20"/>
                <w:szCs w:val="20"/>
              </w:rPr>
              <w:t>（万元）</w:t>
            </w:r>
          </w:p>
        </w:tc>
        <w:tc>
          <w:tcPr>
            <w:tcW w:w="3994" w:type="dxa"/>
            <w:gridSpan w:val="2"/>
            <w:tcBorders>
              <w:top w:val="single" w:color="auto" w:sz="4" w:space="0"/>
              <w:left w:val="single" w:color="auto" w:sz="4" w:space="0"/>
              <w:bottom w:val="single" w:color="000000" w:sz="4" w:space="0"/>
              <w:right w:val="single" w:color="auto" w:sz="4" w:space="0"/>
            </w:tcBorders>
            <w:vAlign w:val="center"/>
          </w:tcPr>
          <w:p w14:paraId="0456DF4F">
            <w:pPr>
              <w:rPr>
                <w:rFonts w:ascii="宋体" w:hAnsi="宋体" w:cs="宋体"/>
                <w:sz w:val="20"/>
                <w:szCs w:val="20"/>
              </w:rPr>
            </w:pPr>
            <w:r>
              <w:rPr>
                <w:rFonts w:hint="eastAsia"/>
                <w:sz w:val="20"/>
                <w:szCs w:val="20"/>
              </w:rPr>
              <w:t xml:space="preserve"> </w:t>
            </w:r>
            <w:r>
              <w:rPr>
                <w:rFonts w:hint="eastAsia"/>
                <w:sz w:val="20"/>
                <w:szCs w:val="20"/>
                <w:lang w:val="en-US" w:eastAsia="zh-CN"/>
              </w:rPr>
              <w:t>年度</w:t>
            </w:r>
            <w:r>
              <w:rPr>
                <w:rFonts w:hint="eastAsia"/>
                <w:sz w:val="20"/>
                <w:szCs w:val="20"/>
              </w:rPr>
              <w:t>资金总额：</w:t>
            </w:r>
          </w:p>
        </w:tc>
        <w:tc>
          <w:tcPr>
            <w:tcW w:w="3994" w:type="dxa"/>
            <w:gridSpan w:val="3"/>
            <w:tcBorders>
              <w:top w:val="single" w:color="auto" w:sz="4" w:space="0"/>
              <w:left w:val="nil"/>
              <w:bottom w:val="single" w:color="auto" w:sz="4" w:space="0"/>
              <w:right w:val="single" w:color="000000" w:sz="4" w:space="0"/>
            </w:tcBorders>
            <w:vAlign w:val="center"/>
          </w:tcPr>
          <w:p w14:paraId="7A88A1AE">
            <w:pPr>
              <w:jc w:val="center"/>
              <w:rPr>
                <w:rFonts w:ascii="宋体" w:hAnsi="宋体" w:cs="宋体"/>
                <w:sz w:val="20"/>
                <w:szCs w:val="20"/>
              </w:rPr>
            </w:pPr>
            <w:r>
              <w:rPr>
                <w:rFonts w:hint="eastAsia"/>
                <w:sz w:val="20"/>
                <w:szCs w:val="20"/>
              </w:rPr>
              <w:t>20　</w:t>
            </w:r>
          </w:p>
        </w:tc>
      </w:tr>
      <w:tr w14:paraId="25F18D07">
        <w:tblPrEx>
          <w:tblCellMar>
            <w:top w:w="0" w:type="dxa"/>
            <w:left w:w="108" w:type="dxa"/>
            <w:bottom w:w="0" w:type="dxa"/>
            <w:right w:w="108" w:type="dxa"/>
          </w:tblCellMar>
        </w:tblPrEx>
        <w:trPr>
          <w:gridAfter w:val="1"/>
          <w:wAfter w:w="603" w:type="dxa"/>
          <w:trHeight w:val="330" w:hRule="atLeast"/>
        </w:trPr>
        <w:tc>
          <w:tcPr>
            <w:tcW w:w="1032" w:type="dxa"/>
            <w:gridSpan w:val="2"/>
            <w:vMerge w:val="continue"/>
            <w:tcBorders>
              <w:left w:val="single" w:color="auto" w:sz="4" w:space="0"/>
              <w:right w:val="single" w:color="000000" w:sz="4" w:space="0"/>
            </w:tcBorders>
            <w:vAlign w:val="center"/>
          </w:tcPr>
          <w:p w14:paraId="134AFAC8">
            <w:pPr>
              <w:rPr>
                <w:rFonts w:ascii="宋体" w:hAnsi="宋体" w:cs="宋体"/>
                <w:sz w:val="20"/>
                <w:szCs w:val="20"/>
              </w:rPr>
            </w:pPr>
          </w:p>
        </w:tc>
        <w:tc>
          <w:tcPr>
            <w:tcW w:w="3994" w:type="dxa"/>
            <w:gridSpan w:val="2"/>
            <w:tcBorders>
              <w:top w:val="single" w:color="auto" w:sz="4" w:space="0"/>
              <w:left w:val="single" w:color="auto" w:sz="4" w:space="0"/>
              <w:bottom w:val="single" w:color="000000" w:sz="4" w:space="0"/>
              <w:right w:val="single" w:color="auto" w:sz="4" w:space="0"/>
            </w:tcBorders>
            <w:vAlign w:val="center"/>
          </w:tcPr>
          <w:p w14:paraId="75DEA1CB">
            <w:pPr>
              <w:rPr>
                <w:rFonts w:ascii="宋体" w:hAnsi="宋体" w:cs="宋体"/>
                <w:sz w:val="20"/>
                <w:szCs w:val="20"/>
              </w:rPr>
            </w:pPr>
            <w:r>
              <w:rPr>
                <w:rFonts w:hint="eastAsia"/>
                <w:sz w:val="20"/>
                <w:szCs w:val="20"/>
              </w:rPr>
              <w:t>其中：财政拨款</w:t>
            </w:r>
          </w:p>
        </w:tc>
        <w:tc>
          <w:tcPr>
            <w:tcW w:w="3994" w:type="dxa"/>
            <w:gridSpan w:val="3"/>
            <w:tcBorders>
              <w:top w:val="single" w:color="auto" w:sz="4" w:space="0"/>
              <w:left w:val="nil"/>
              <w:bottom w:val="single" w:color="auto" w:sz="4" w:space="0"/>
              <w:right w:val="single" w:color="000000" w:sz="4" w:space="0"/>
            </w:tcBorders>
            <w:vAlign w:val="center"/>
          </w:tcPr>
          <w:p w14:paraId="42A8EFEE">
            <w:pPr>
              <w:jc w:val="center"/>
              <w:rPr>
                <w:rFonts w:ascii="宋体" w:hAnsi="宋体" w:cs="宋体"/>
                <w:sz w:val="20"/>
                <w:szCs w:val="20"/>
              </w:rPr>
            </w:pPr>
            <w:r>
              <w:rPr>
                <w:rFonts w:hint="eastAsia"/>
                <w:sz w:val="20"/>
                <w:szCs w:val="20"/>
              </w:rPr>
              <w:t xml:space="preserve">20  </w:t>
            </w:r>
          </w:p>
        </w:tc>
      </w:tr>
      <w:tr w14:paraId="3F202BD2">
        <w:tblPrEx>
          <w:tblCellMar>
            <w:top w:w="0" w:type="dxa"/>
            <w:left w:w="108" w:type="dxa"/>
            <w:bottom w:w="0" w:type="dxa"/>
            <w:right w:w="108" w:type="dxa"/>
          </w:tblCellMar>
        </w:tblPrEx>
        <w:trPr>
          <w:gridAfter w:val="1"/>
          <w:wAfter w:w="603" w:type="dxa"/>
          <w:trHeight w:val="330" w:hRule="atLeast"/>
        </w:trPr>
        <w:tc>
          <w:tcPr>
            <w:tcW w:w="1032" w:type="dxa"/>
            <w:gridSpan w:val="2"/>
            <w:vMerge w:val="continue"/>
            <w:tcBorders>
              <w:left w:val="single" w:color="auto" w:sz="4" w:space="0"/>
              <w:bottom w:val="single" w:color="000000" w:sz="4" w:space="0"/>
              <w:right w:val="single" w:color="000000" w:sz="4" w:space="0"/>
            </w:tcBorders>
            <w:vAlign w:val="center"/>
          </w:tcPr>
          <w:p w14:paraId="62EFBA38">
            <w:pPr>
              <w:rPr>
                <w:rFonts w:ascii="宋体" w:hAnsi="宋体" w:cs="宋体"/>
                <w:sz w:val="20"/>
                <w:szCs w:val="20"/>
              </w:rPr>
            </w:pPr>
          </w:p>
        </w:tc>
        <w:tc>
          <w:tcPr>
            <w:tcW w:w="3994" w:type="dxa"/>
            <w:gridSpan w:val="2"/>
            <w:tcBorders>
              <w:top w:val="single" w:color="auto" w:sz="4" w:space="0"/>
              <w:left w:val="single" w:color="auto" w:sz="4" w:space="0"/>
              <w:bottom w:val="single" w:color="000000" w:sz="4" w:space="0"/>
              <w:right w:val="single" w:color="auto" w:sz="4" w:space="0"/>
            </w:tcBorders>
            <w:vAlign w:val="center"/>
          </w:tcPr>
          <w:p w14:paraId="719F4A98">
            <w:pPr>
              <w:ind w:firstLine="600" w:firstLineChars="300"/>
              <w:rPr>
                <w:rFonts w:hint="default" w:eastAsiaTheme="minorEastAsia"/>
                <w:sz w:val="20"/>
                <w:szCs w:val="20"/>
                <w:lang w:val="en-US" w:eastAsia="zh-CN"/>
              </w:rPr>
            </w:pPr>
            <w:r>
              <w:rPr>
                <w:rFonts w:hint="eastAsia"/>
                <w:sz w:val="20"/>
                <w:szCs w:val="20"/>
                <w:lang w:val="en-US" w:eastAsia="zh-CN"/>
              </w:rPr>
              <w:t>上年结转</w:t>
            </w:r>
          </w:p>
        </w:tc>
        <w:tc>
          <w:tcPr>
            <w:tcW w:w="3994" w:type="dxa"/>
            <w:gridSpan w:val="3"/>
            <w:tcBorders>
              <w:top w:val="single" w:color="auto" w:sz="4" w:space="0"/>
              <w:left w:val="nil"/>
              <w:bottom w:val="single" w:color="auto" w:sz="4" w:space="0"/>
              <w:right w:val="single" w:color="000000" w:sz="4" w:space="0"/>
            </w:tcBorders>
            <w:vAlign w:val="center"/>
          </w:tcPr>
          <w:p w14:paraId="13277313">
            <w:pPr>
              <w:jc w:val="center"/>
              <w:rPr>
                <w:rFonts w:hint="eastAsia"/>
                <w:sz w:val="20"/>
                <w:szCs w:val="20"/>
              </w:rPr>
            </w:pPr>
          </w:p>
        </w:tc>
      </w:tr>
      <w:tr w14:paraId="22D0F319">
        <w:tblPrEx>
          <w:tblCellMar>
            <w:top w:w="0" w:type="dxa"/>
            <w:left w:w="108" w:type="dxa"/>
            <w:bottom w:w="0" w:type="dxa"/>
            <w:right w:w="108" w:type="dxa"/>
          </w:tblCellMar>
        </w:tblPrEx>
        <w:trPr>
          <w:gridAfter w:val="1"/>
          <w:wAfter w:w="603" w:type="dxa"/>
          <w:trHeight w:val="330" w:hRule="atLeast"/>
        </w:trPr>
        <w:tc>
          <w:tcPr>
            <w:tcW w:w="1032" w:type="dxa"/>
            <w:gridSpan w:val="2"/>
            <w:vMerge w:val="continue"/>
            <w:tcBorders>
              <w:left w:val="single" w:color="auto" w:sz="4" w:space="0"/>
              <w:bottom w:val="single" w:color="000000" w:sz="4" w:space="0"/>
              <w:right w:val="single" w:color="000000" w:sz="4" w:space="0"/>
            </w:tcBorders>
            <w:vAlign w:val="center"/>
          </w:tcPr>
          <w:p w14:paraId="6755FF92">
            <w:pPr>
              <w:rPr>
                <w:rFonts w:ascii="宋体" w:hAnsi="宋体" w:cs="宋体"/>
                <w:sz w:val="20"/>
                <w:szCs w:val="20"/>
              </w:rPr>
            </w:pPr>
          </w:p>
        </w:tc>
        <w:tc>
          <w:tcPr>
            <w:tcW w:w="3994" w:type="dxa"/>
            <w:gridSpan w:val="2"/>
            <w:tcBorders>
              <w:top w:val="single" w:color="auto" w:sz="4" w:space="0"/>
              <w:left w:val="single" w:color="auto" w:sz="4" w:space="0"/>
              <w:bottom w:val="single" w:color="000000" w:sz="4" w:space="0"/>
              <w:right w:val="single" w:color="auto" w:sz="4" w:space="0"/>
            </w:tcBorders>
            <w:vAlign w:val="center"/>
          </w:tcPr>
          <w:p w14:paraId="5743E494">
            <w:pPr>
              <w:rPr>
                <w:rFonts w:ascii="宋体" w:hAnsi="宋体" w:cs="宋体"/>
                <w:sz w:val="20"/>
                <w:szCs w:val="20"/>
              </w:rPr>
            </w:pPr>
            <w:r>
              <w:rPr>
                <w:rFonts w:hint="eastAsia"/>
                <w:sz w:val="20"/>
                <w:szCs w:val="20"/>
              </w:rPr>
              <w:t xml:space="preserve">      其他资金</w:t>
            </w:r>
          </w:p>
        </w:tc>
        <w:tc>
          <w:tcPr>
            <w:tcW w:w="3994" w:type="dxa"/>
            <w:gridSpan w:val="3"/>
            <w:tcBorders>
              <w:top w:val="single" w:color="auto" w:sz="4" w:space="0"/>
              <w:left w:val="nil"/>
              <w:bottom w:val="single" w:color="auto" w:sz="4" w:space="0"/>
              <w:right w:val="single" w:color="000000" w:sz="4" w:space="0"/>
            </w:tcBorders>
            <w:vAlign w:val="center"/>
          </w:tcPr>
          <w:p w14:paraId="0D2F8B61">
            <w:pPr>
              <w:jc w:val="center"/>
              <w:rPr>
                <w:rFonts w:ascii="宋体" w:hAnsi="宋体" w:cs="宋体"/>
                <w:sz w:val="20"/>
                <w:szCs w:val="20"/>
              </w:rPr>
            </w:pPr>
            <w:r>
              <w:rPr>
                <w:rFonts w:hint="eastAsia"/>
                <w:sz w:val="20"/>
                <w:szCs w:val="20"/>
              </w:rPr>
              <w:t>　</w:t>
            </w:r>
          </w:p>
        </w:tc>
      </w:tr>
      <w:tr w14:paraId="3DB91D2E">
        <w:tblPrEx>
          <w:tblCellMar>
            <w:top w:w="0" w:type="dxa"/>
            <w:left w:w="108" w:type="dxa"/>
            <w:bottom w:w="0" w:type="dxa"/>
            <w:right w:w="108" w:type="dxa"/>
          </w:tblCellMar>
        </w:tblPrEx>
        <w:trPr>
          <w:gridAfter w:val="1"/>
          <w:wAfter w:w="603" w:type="dxa"/>
          <w:trHeight w:val="1872" w:hRule="atLeast"/>
        </w:trPr>
        <w:tc>
          <w:tcPr>
            <w:tcW w:w="416" w:type="dxa"/>
            <w:tcBorders>
              <w:top w:val="nil"/>
              <w:left w:val="single" w:color="auto" w:sz="4" w:space="0"/>
              <w:bottom w:val="single" w:color="auto" w:sz="4" w:space="0"/>
              <w:right w:val="single" w:color="auto" w:sz="4" w:space="0"/>
            </w:tcBorders>
            <w:vAlign w:val="center"/>
          </w:tcPr>
          <w:p w14:paraId="2CE2D78A">
            <w:pPr>
              <w:jc w:val="center"/>
              <w:rPr>
                <w:sz w:val="20"/>
                <w:szCs w:val="20"/>
              </w:rPr>
            </w:pPr>
            <w:r>
              <w:rPr>
                <w:rFonts w:hint="eastAsia"/>
                <w:sz w:val="20"/>
                <w:szCs w:val="20"/>
                <w:lang w:val="en-US" w:eastAsia="zh-CN"/>
              </w:rPr>
              <w:t>年度</w:t>
            </w:r>
          </w:p>
          <w:p w14:paraId="3BC158BB">
            <w:pPr>
              <w:jc w:val="center"/>
              <w:rPr>
                <w:sz w:val="20"/>
                <w:szCs w:val="20"/>
              </w:rPr>
            </w:pPr>
            <w:r>
              <w:rPr>
                <w:rFonts w:hint="eastAsia"/>
                <w:sz w:val="20"/>
                <w:szCs w:val="20"/>
              </w:rPr>
              <w:t>目</w:t>
            </w:r>
          </w:p>
          <w:p w14:paraId="1E86DC9E">
            <w:pPr>
              <w:jc w:val="center"/>
              <w:rPr>
                <w:rFonts w:ascii="宋体" w:hAnsi="宋体" w:cs="宋体"/>
                <w:sz w:val="20"/>
                <w:szCs w:val="20"/>
              </w:rPr>
            </w:pPr>
            <w:r>
              <w:rPr>
                <w:rFonts w:hint="eastAsia"/>
                <w:sz w:val="20"/>
                <w:szCs w:val="20"/>
              </w:rPr>
              <w:t>标</w:t>
            </w:r>
          </w:p>
        </w:tc>
        <w:tc>
          <w:tcPr>
            <w:tcW w:w="8604" w:type="dxa"/>
            <w:gridSpan w:val="6"/>
            <w:tcBorders>
              <w:top w:val="single" w:color="auto" w:sz="4" w:space="0"/>
              <w:left w:val="nil"/>
              <w:bottom w:val="single" w:color="auto" w:sz="4" w:space="0"/>
              <w:right w:val="single" w:color="000000" w:sz="4" w:space="0"/>
            </w:tcBorders>
            <w:vAlign w:val="center"/>
          </w:tcPr>
          <w:p w14:paraId="433BDC00">
            <w:pPr>
              <w:rPr>
                <w:sz w:val="20"/>
                <w:szCs w:val="20"/>
              </w:rPr>
            </w:pPr>
            <w:r>
              <w:rPr>
                <w:rFonts w:hint="eastAsia"/>
                <w:sz w:val="20"/>
                <w:szCs w:val="20"/>
              </w:rPr>
              <w:t xml:space="preserve"> 目标1：推动妇女儿童事业发展，促进妇女儿童的全面发展</w:t>
            </w:r>
          </w:p>
          <w:p w14:paraId="2E3D7520">
            <w:pPr>
              <w:rPr>
                <w:rFonts w:hint="default" w:ascii="宋体" w:hAnsi="宋体" w:cs="宋体" w:eastAsiaTheme="minorEastAsia"/>
                <w:sz w:val="20"/>
                <w:szCs w:val="20"/>
                <w:lang w:val="en-US" w:eastAsia="zh-CN"/>
              </w:rPr>
            </w:pPr>
            <w:r>
              <w:rPr>
                <w:rFonts w:hint="eastAsia"/>
                <w:sz w:val="20"/>
                <w:szCs w:val="20"/>
              </w:rPr>
              <w:t xml:space="preserve"> 目标2：</w:t>
            </w:r>
            <w:r>
              <w:rPr>
                <w:rFonts w:hint="eastAsia"/>
                <w:sz w:val="20"/>
                <w:szCs w:val="20"/>
                <w:lang w:val="en-US" w:eastAsia="zh-CN"/>
              </w:rPr>
              <w:t>关爱困境妇女儿童，维护妇儿权益</w:t>
            </w:r>
          </w:p>
          <w:p w14:paraId="7B48F771">
            <w:pPr>
              <w:rPr>
                <w:rFonts w:ascii="宋体" w:hAnsi="宋体" w:cs="宋体"/>
                <w:sz w:val="20"/>
                <w:szCs w:val="20"/>
              </w:rPr>
            </w:pPr>
            <w:r>
              <w:rPr>
                <w:rFonts w:hint="eastAsia"/>
                <w:sz w:val="20"/>
                <w:szCs w:val="20"/>
              </w:rPr>
              <w:t xml:space="preserve"> </w:t>
            </w:r>
          </w:p>
        </w:tc>
      </w:tr>
      <w:tr w14:paraId="494BBD76">
        <w:tblPrEx>
          <w:tblCellMar>
            <w:top w:w="0" w:type="dxa"/>
            <w:left w:w="108" w:type="dxa"/>
            <w:bottom w:w="0" w:type="dxa"/>
            <w:right w:w="108" w:type="dxa"/>
          </w:tblCellMar>
        </w:tblPrEx>
        <w:trPr>
          <w:gridAfter w:val="1"/>
          <w:wAfter w:w="603" w:type="dxa"/>
          <w:trHeight w:val="830" w:hRule="atLeast"/>
        </w:trPr>
        <w:tc>
          <w:tcPr>
            <w:tcW w:w="416" w:type="dxa"/>
            <w:vMerge w:val="restart"/>
            <w:tcBorders>
              <w:top w:val="nil"/>
              <w:left w:val="single" w:color="auto" w:sz="4" w:space="0"/>
              <w:bottom w:val="single" w:color="000000" w:sz="4" w:space="0"/>
              <w:right w:val="single" w:color="auto" w:sz="4" w:space="0"/>
            </w:tcBorders>
            <w:vAlign w:val="center"/>
          </w:tcPr>
          <w:p w14:paraId="6E640E2D">
            <w:pPr>
              <w:jc w:val="center"/>
              <w:rPr>
                <w:sz w:val="20"/>
                <w:szCs w:val="20"/>
              </w:rPr>
            </w:pPr>
            <w:r>
              <w:rPr>
                <w:rFonts w:hint="eastAsia"/>
                <w:sz w:val="20"/>
                <w:szCs w:val="20"/>
              </w:rPr>
              <w:t>绩</w:t>
            </w:r>
          </w:p>
          <w:p w14:paraId="0B6F6496">
            <w:pPr>
              <w:jc w:val="center"/>
              <w:rPr>
                <w:sz w:val="20"/>
                <w:szCs w:val="20"/>
              </w:rPr>
            </w:pPr>
            <w:r>
              <w:rPr>
                <w:rFonts w:hint="eastAsia"/>
                <w:sz w:val="20"/>
                <w:szCs w:val="20"/>
              </w:rPr>
              <w:t>效</w:t>
            </w:r>
          </w:p>
          <w:p w14:paraId="36D7C84C">
            <w:pPr>
              <w:jc w:val="center"/>
              <w:rPr>
                <w:sz w:val="20"/>
                <w:szCs w:val="20"/>
              </w:rPr>
            </w:pPr>
            <w:r>
              <w:rPr>
                <w:rFonts w:hint="eastAsia"/>
                <w:sz w:val="20"/>
                <w:szCs w:val="20"/>
              </w:rPr>
              <w:t>指</w:t>
            </w:r>
          </w:p>
          <w:p w14:paraId="545919C9">
            <w:pPr>
              <w:jc w:val="center"/>
              <w:rPr>
                <w:rFonts w:ascii="宋体" w:hAnsi="宋体" w:cs="宋体"/>
                <w:sz w:val="20"/>
                <w:szCs w:val="20"/>
              </w:rPr>
            </w:pPr>
            <w:r>
              <w:rPr>
                <w:rFonts w:hint="eastAsia"/>
                <w:sz w:val="20"/>
                <w:szCs w:val="20"/>
              </w:rPr>
              <w:t>标</w:t>
            </w:r>
          </w:p>
        </w:tc>
        <w:tc>
          <w:tcPr>
            <w:tcW w:w="616" w:type="dxa"/>
            <w:tcBorders>
              <w:top w:val="nil"/>
              <w:left w:val="nil"/>
              <w:bottom w:val="nil"/>
              <w:right w:val="single" w:color="auto" w:sz="4" w:space="0"/>
            </w:tcBorders>
            <w:vAlign w:val="center"/>
          </w:tcPr>
          <w:p w14:paraId="1C68721A">
            <w:pPr>
              <w:jc w:val="center"/>
              <w:rPr>
                <w:sz w:val="20"/>
                <w:szCs w:val="20"/>
              </w:rPr>
            </w:pPr>
            <w:r>
              <w:rPr>
                <w:rFonts w:hint="eastAsia"/>
                <w:sz w:val="20"/>
                <w:szCs w:val="20"/>
              </w:rPr>
              <w:t>一级</w:t>
            </w:r>
          </w:p>
          <w:p w14:paraId="526D6625">
            <w:pPr>
              <w:jc w:val="center"/>
              <w:rPr>
                <w:rFonts w:ascii="宋体" w:hAnsi="宋体" w:cs="宋体"/>
                <w:sz w:val="20"/>
                <w:szCs w:val="20"/>
              </w:rPr>
            </w:pPr>
            <w:r>
              <w:rPr>
                <w:rFonts w:hint="eastAsia"/>
                <w:sz w:val="20"/>
                <w:szCs w:val="20"/>
              </w:rPr>
              <w:t>指标</w:t>
            </w:r>
          </w:p>
        </w:tc>
        <w:tc>
          <w:tcPr>
            <w:tcW w:w="723" w:type="dxa"/>
            <w:tcBorders>
              <w:top w:val="nil"/>
              <w:left w:val="nil"/>
              <w:bottom w:val="single" w:color="auto" w:sz="4" w:space="0"/>
              <w:right w:val="single" w:color="auto" w:sz="4" w:space="0"/>
            </w:tcBorders>
            <w:vAlign w:val="center"/>
          </w:tcPr>
          <w:p w14:paraId="7670F28F">
            <w:pPr>
              <w:jc w:val="center"/>
              <w:rPr>
                <w:sz w:val="20"/>
                <w:szCs w:val="20"/>
              </w:rPr>
            </w:pPr>
            <w:r>
              <w:rPr>
                <w:rFonts w:hint="eastAsia"/>
                <w:sz w:val="20"/>
                <w:szCs w:val="20"/>
              </w:rPr>
              <w:t>二级</w:t>
            </w:r>
          </w:p>
          <w:p w14:paraId="4EEC39A9">
            <w:pPr>
              <w:jc w:val="center"/>
              <w:rPr>
                <w:rFonts w:ascii="宋体" w:hAnsi="宋体" w:cs="宋体"/>
                <w:sz w:val="20"/>
                <w:szCs w:val="20"/>
              </w:rPr>
            </w:pPr>
            <w:r>
              <w:rPr>
                <w:rFonts w:hint="eastAsia"/>
                <w:sz w:val="20"/>
                <w:szCs w:val="20"/>
              </w:rPr>
              <w:t>指标</w:t>
            </w:r>
          </w:p>
        </w:tc>
        <w:tc>
          <w:tcPr>
            <w:tcW w:w="3271" w:type="dxa"/>
            <w:tcBorders>
              <w:top w:val="nil"/>
              <w:left w:val="nil"/>
              <w:bottom w:val="single" w:color="auto" w:sz="4" w:space="0"/>
              <w:right w:val="single" w:color="auto" w:sz="4" w:space="0"/>
            </w:tcBorders>
            <w:vAlign w:val="center"/>
          </w:tcPr>
          <w:p w14:paraId="7DE1A102">
            <w:pPr>
              <w:jc w:val="center"/>
              <w:rPr>
                <w:rFonts w:ascii="宋体" w:hAnsi="宋体" w:cs="宋体"/>
                <w:sz w:val="20"/>
                <w:szCs w:val="20"/>
              </w:rPr>
            </w:pPr>
            <w:r>
              <w:rPr>
                <w:rFonts w:hint="eastAsia"/>
                <w:sz w:val="20"/>
                <w:szCs w:val="20"/>
              </w:rPr>
              <w:t>三级指标</w:t>
            </w:r>
          </w:p>
        </w:tc>
        <w:tc>
          <w:tcPr>
            <w:tcW w:w="3994" w:type="dxa"/>
            <w:gridSpan w:val="3"/>
            <w:tcBorders>
              <w:top w:val="nil"/>
              <w:left w:val="nil"/>
              <w:bottom w:val="single" w:color="auto" w:sz="4" w:space="0"/>
              <w:right w:val="single" w:color="auto" w:sz="4" w:space="0"/>
            </w:tcBorders>
            <w:vAlign w:val="center"/>
          </w:tcPr>
          <w:p w14:paraId="49643D20">
            <w:pPr>
              <w:jc w:val="center"/>
              <w:rPr>
                <w:rFonts w:ascii="宋体" w:hAnsi="宋体" w:cs="宋体"/>
                <w:sz w:val="20"/>
                <w:szCs w:val="20"/>
              </w:rPr>
            </w:pPr>
            <w:r>
              <w:rPr>
                <w:rFonts w:hint="eastAsia"/>
                <w:sz w:val="20"/>
                <w:szCs w:val="20"/>
              </w:rPr>
              <w:t>指标值</w:t>
            </w:r>
          </w:p>
        </w:tc>
      </w:tr>
      <w:tr w14:paraId="67F0D6D5">
        <w:tblPrEx>
          <w:tblCellMar>
            <w:top w:w="0" w:type="dxa"/>
            <w:left w:w="108" w:type="dxa"/>
            <w:bottom w:w="0" w:type="dxa"/>
            <w:right w:w="108" w:type="dxa"/>
          </w:tblCellMar>
        </w:tblPrEx>
        <w:trPr>
          <w:gridAfter w:val="1"/>
          <w:wAfter w:w="603" w:type="dxa"/>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1CC13756">
            <w:pPr>
              <w:rPr>
                <w:rFonts w:ascii="宋体" w:hAnsi="宋体" w:cs="宋体"/>
                <w:sz w:val="20"/>
                <w:szCs w:val="20"/>
              </w:rPr>
            </w:pPr>
          </w:p>
        </w:tc>
        <w:tc>
          <w:tcPr>
            <w:tcW w:w="616" w:type="dxa"/>
            <w:vMerge w:val="restart"/>
            <w:tcBorders>
              <w:top w:val="single" w:color="auto" w:sz="4" w:space="0"/>
              <w:left w:val="single" w:color="auto" w:sz="4" w:space="0"/>
              <w:bottom w:val="single" w:color="auto" w:sz="4" w:space="0"/>
              <w:right w:val="single" w:color="auto" w:sz="4" w:space="0"/>
            </w:tcBorders>
            <w:vAlign w:val="center"/>
          </w:tcPr>
          <w:p w14:paraId="72D71D12">
            <w:pPr>
              <w:jc w:val="center"/>
              <w:rPr>
                <w:sz w:val="20"/>
                <w:szCs w:val="20"/>
              </w:rPr>
            </w:pPr>
            <w:r>
              <w:rPr>
                <w:rFonts w:hint="eastAsia"/>
                <w:sz w:val="20"/>
                <w:szCs w:val="20"/>
              </w:rPr>
              <w:t>产</w:t>
            </w:r>
          </w:p>
          <w:p w14:paraId="5FD1BEB8">
            <w:pPr>
              <w:jc w:val="center"/>
              <w:rPr>
                <w:sz w:val="20"/>
                <w:szCs w:val="20"/>
              </w:rPr>
            </w:pPr>
            <w:r>
              <w:rPr>
                <w:rFonts w:hint="eastAsia"/>
                <w:sz w:val="20"/>
                <w:szCs w:val="20"/>
              </w:rPr>
              <w:t>出</w:t>
            </w:r>
          </w:p>
          <w:p w14:paraId="1BA1AE71">
            <w:pPr>
              <w:jc w:val="center"/>
              <w:rPr>
                <w:sz w:val="20"/>
                <w:szCs w:val="20"/>
              </w:rPr>
            </w:pPr>
            <w:r>
              <w:rPr>
                <w:rFonts w:hint="eastAsia"/>
                <w:sz w:val="20"/>
                <w:szCs w:val="20"/>
              </w:rPr>
              <w:t>指</w:t>
            </w:r>
          </w:p>
          <w:p w14:paraId="5920BA10">
            <w:pPr>
              <w:jc w:val="center"/>
              <w:rPr>
                <w:rFonts w:ascii="宋体" w:hAnsi="宋体" w:cs="宋体"/>
                <w:sz w:val="20"/>
                <w:szCs w:val="20"/>
              </w:rPr>
            </w:pPr>
            <w:r>
              <w:rPr>
                <w:rFonts w:hint="eastAsia"/>
                <w:sz w:val="20"/>
                <w:szCs w:val="20"/>
              </w:rPr>
              <w:t>标</w:t>
            </w:r>
          </w:p>
        </w:tc>
        <w:tc>
          <w:tcPr>
            <w:tcW w:w="723" w:type="dxa"/>
            <w:vMerge w:val="restart"/>
            <w:tcBorders>
              <w:top w:val="nil"/>
              <w:left w:val="single" w:color="auto" w:sz="4" w:space="0"/>
              <w:bottom w:val="single" w:color="000000" w:sz="4" w:space="0"/>
              <w:right w:val="single" w:color="auto" w:sz="4" w:space="0"/>
            </w:tcBorders>
            <w:vAlign w:val="center"/>
          </w:tcPr>
          <w:p w14:paraId="58CB4855">
            <w:pPr>
              <w:jc w:val="center"/>
              <w:rPr>
                <w:sz w:val="20"/>
                <w:szCs w:val="20"/>
              </w:rPr>
            </w:pPr>
            <w:r>
              <w:rPr>
                <w:rFonts w:hint="eastAsia"/>
                <w:sz w:val="20"/>
                <w:szCs w:val="20"/>
              </w:rPr>
              <w:t>数量</w:t>
            </w:r>
          </w:p>
          <w:p w14:paraId="7199FC5A">
            <w:pPr>
              <w:jc w:val="center"/>
              <w:rPr>
                <w:rFonts w:ascii="宋体" w:hAnsi="宋体" w:cs="宋体"/>
                <w:sz w:val="20"/>
                <w:szCs w:val="20"/>
              </w:rPr>
            </w:pPr>
            <w:r>
              <w:rPr>
                <w:rFonts w:hint="eastAsia"/>
                <w:sz w:val="20"/>
                <w:szCs w:val="20"/>
              </w:rPr>
              <w:t>指标</w:t>
            </w:r>
          </w:p>
        </w:tc>
        <w:tc>
          <w:tcPr>
            <w:tcW w:w="3271" w:type="dxa"/>
            <w:tcBorders>
              <w:top w:val="nil"/>
              <w:left w:val="nil"/>
              <w:bottom w:val="single" w:color="auto" w:sz="4" w:space="0"/>
              <w:right w:val="single" w:color="auto" w:sz="4" w:space="0"/>
            </w:tcBorders>
            <w:vAlign w:val="center"/>
          </w:tcPr>
          <w:p w14:paraId="5E632984">
            <w:pPr>
              <w:rPr>
                <w:rFonts w:ascii="宋体" w:hAnsi="宋体" w:cs="宋体"/>
                <w:sz w:val="20"/>
                <w:szCs w:val="20"/>
              </w:rPr>
            </w:pPr>
            <w:r>
              <w:rPr>
                <w:rFonts w:hint="eastAsia"/>
                <w:sz w:val="20"/>
                <w:szCs w:val="20"/>
              </w:rPr>
              <w:t>举办妇女干部培训</w:t>
            </w:r>
          </w:p>
        </w:tc>
        <w:tc>
          <w:tcPr>
            <w:tcW w:w="3994" w:type="dxa"/>
            <w:gridSpan w:val="3"/>
            <w:tcBorders>
              <w:top w:val="nil"/>
              <w:left w:val="nil"/>
              <w:bottom w:val="single" w:color="auto" w:sz="4" w:space="0"/>
              <w:right w:val="single" w:color="auto" w:sz="4" w:space="0"/>
            </w:tcBorders>
            <w:vAlign w:val="center"/>
          </w:tcPr>
          <w:p w14:paraId="1B50949B">
            <w:pPr>
              <w:rPr>
                <w:rFonts w:ascii="宋体" w:hAnsi="宋体" w:cs="宋体"/>
                <w:sz w:val="20"/>
                <w:szCs w:val="20"/>
              </w:rPr>
            </w:pPr>
            <w:r>
              <w:rPr>
                <w:rFonts w:hint="eastAsia"/>
                <w:sz w:val="20"/>
                <w:szCs w:val="20"/>
              </w:rPr>
              <w:t>≥1次</w:t>
            </w:r>
          </w:p>
        </w:tc>
      </w:tr>
      <w:tr w14:paraId="43C51DDD">
        <w:tblPrEx>
          <w:tblCellMar>
            <w:top w:w="0" w:type="dxa"/>
            <w:left w:w="108" w:type="dxa"/>
            <w:bottom w:w="0" w:type="dxa"/>
            <w:right w:w="108" w:type="dxa"/>
          </w:tblCellMar>
        </w:tblPrEx>
        <w:trPr>
          <w:gridAfter w:val="1"/>
          <w:wAfter w:w="603" w:type="dxa"/>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5AAE8E7C">
            <w:pPr>
              <w:rPr>
                <w:rFonts w:ascii="宋体" w:hAnsi="宋体" w:cs="宋体"/>
                <w:sz w:val="20"/>
                <w:szCs w:val="20"/>
              </w:rPr>
            </w:pPr>
          </w:p>
        </w:tc>
        <w:tc>
          <w:tcPr>
            <w:tcW w:w="616" w:type="dxa"/>
            <w:vMerge w:val="continue"/>
            <w:tcBorders>
              <w:top w:val="single" w:color="auto" w:sz="4" w:space="0"/>
              <w:left w:val="single" w:color="auto" w:sz="4" w:space="0"/>
              <w:bottom w:val="single" w:color="auto" w:sz="4" w:space="0"/>
              <w:right w:val="single" w:color="auto" w:sz="4" w:space="0"/>
            </w:tcBorders>
            <w:vAlign w:val="center"/>
          </w:tcPr>
          <w:p w14:paraId="4A42A21B">
            <w:pPr>
              <w:rPr>
                <w:rFonts w:ascii="宋体" w:hAnsi="宋体" w:cs="宋体"/>
                <w:sz w:val="20"/>
                <w:szCs w:val="20"/>
              </w:rPr>
            </w:pPr>
          </w:p>
        </w:tc>
        <w:tc>
          <w:tcPr>
            <w:tcW w:w="723" w:type="dxa"/>
            <w:vMerge w:val="continue"/>
            <w:tcBorders>
              <w:top w:val="nil"/>
              <w:left w:val="single" w:color="auto" w:sz="4" w:space="0"/>
              <w:bottom w:val="single" w:color="000000" w:sz="4" w:space="0"/>
              <w:right w:val="single" w:color="auto" w:sz="4" w:space="0"/>
            </w:tcBorders>
            <w:vAlign w:val="center"/>
          </w:tcPr>
          <w:p w14:paraId="22C1C388">
            <w:pPr>
              <w:rPr>
                <w:rFonts w:ascii="宋体" w:hAnsi="宋体" w:cs="宋体"/>
                <w:sz w:val="20"/>
                <w:szCs w:val="20"/>
              </w:rPr>
            </w:pPr>
          </w:p>
        </w:tc>
        <w:tc>
          <w:tcPr>
            <w:tcW w:w="3271" w:type="dxa"/>
            <w:tcBorders>
              <w:top w:val="nil"/>
              <w:left w:val="nil"/>
              <w:bottom w:val="single" w:color="auto" w:sz="4" w:space="0"/>
              <w:right w:val="single" w:color="auto" w:sz="4" w:space="0"/>
            </w:tcBorders>
            <w:vAlign w:val="center"/>
          </w:tcPr>
          <w:p w14:paraId="039A7F1A">
            <w:pPr>
              <w:rPr>
                <w:sz w:val="20"/>
                <w:szCs w:val="20"/>
              </w:rPr>
            </w:pPr>
            <w:r>
              <w:rPr>
                <w:rFonts w:hint="eastAsia"/>
                <w:sz w:val="20"/>
                <w:szCs w:val="20"/>
              </w:rPr>
              <w:t>举办系列妇女儿童维权关爱活动次数</w:t>
            </w:r>
          </w:p>
        </w:tc>
        <w:tc>
          <w:tcPr>
            <w:tcW w:w="3994" w:type="dxa"/>
            <w:gridSpan w:val="3"/>
            <w:tcBorders>
              <w:top w:val="nil"/>
              <w:left w:val="nil"/>
              <w:bottom w:val="single" w:color="auto" w:sz="4" w:space="0"/>
              <w:right w:val="single" w:color="auto" w:sz="4" w:space="0"/>
            </w:tcBorders>
            <w:vAlign w:val="center"/>
          </w:tcPr>
          <w:p w14:paraId="02240408">
            <w:pPr>
              <w:rPr>
                <w:rFonts w:ascii="宋体" w:hAnsi="宋体" w:cs="宋体"/>
                <w:sz w:val="20"/>
                <w:szCs w:val="20"/>
              </w:rPr>
            </w:pPr>
            <w:r>
              <w:rPr>
                <w:rFonts w:hint="eastAsia" w:ascii="宋体" w:hAnsi="宋体" w:cs="宋体"/>
                <w:sz w:val="20"/>
                <w:szCs w:val="20"/>
              </w:rPr>
              <w:t>≥3次</w:t>
            </w:r>
          </w:p>
        </w:tc>
      </w:tr>
      <w:tr w14:paraId="4E0DEEB3">
        <w:tblPrEx>
          <w:tblCellMar>
            <w:top w:w="0" w:type="dxa"/>
            <w:left w:w="108" w:type="dxa"/>
            <w:bottom w:w="0" w:type="dxa"/>
            <w:right w:w="108" w:type="dxa"/>
          </w:tblCellMar>
        </w:tblPrEx>
        <w:trPr>
          <w:gridAfter w:val="1"/>
          <w:wAfter w:w="603" w:type="dxa"/>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5122FAC6">
            <w:pPr>
              <w:rPr>
                <w:rFonts w:ascii="宋体" w:hAnsi="宋体" w:cs="宋体"/>
                <w:sz w:val="20"/>
                <w:szCs w:val="20"/>
              </w:rPr>
            </w:pPr>
          </w:p>
        </w:tc>
        <w:tc>
          <w:tcPr>
            <w:tcW w:w="616" w:type="dxa"/>
            <w:vMerge w:val="continue"/>
            <w:tcBorders>
              <w:top w:val="single" w:color="auto" w:sz="4" w:space="0"/>
              <w:left w:val="single" w:color="auto" w:sz="4" w:space="0"/>
              <w:bottom w:val="single" w:color="auto" w:sz="4" w:space="0"/>
              <w:right w:val="single" w:color="auto" w:sz="4" w:space="0"/>
            </w:tcBorders>
            <w:vAlign w:val="center"/>
          </w:tcPr>
          <w:p w14:paraId="3EB9F837">
            <w:pPr>
              <w:rPr>
                <w:rFonts w:ascii="宋体" w:hAnsi="宋体" w:cs="宋体"/>
                <w:sz w:val="20"/>
                <w:szCs w:val="20"/>
              </w:rPr>
            </w:pPr>
          </w:p>
        </w:tc>
        <w:tc>
          <w:tcPr>
            <w:tcW w:w="723" w:type="dxa"/>
            <w:vMerge w:val="continue"/>
            <w:tcBorders>
              <w:top w:val="nil"/>
              <w:left w:val="single" w:color="auto" w:sz="4" w:space="0"/>
              <w:bottom w:val="single" w:color="000000" w:sz="4" w:space="0"/>
              <w:right w:val="single" w:color="auto" w:sz="4" w:space="0"/>
            </w:tcBorders>
            <w:vAlign w:val="center"/>
          </w:tcPr>
          <w:p w14:paraId="08BDCBAC">
            <w:pPr>
              <w:rPr>
                <w:rFonts w:ascii="宋体" w:hAnsi="宋体" w:cs="宋体"/>
                <w:sz w:val="20"/>
                <w:szCs w:val="20"/>
              </w:rPr>
            </w:pPr>
          </w:p>
        </w:tc>
        <w:tc>
          <w:tcPr>
            <w:tcW w:w="3271" w:type="dxa"/>
            <w:tcBorders>
              <w:top w:val="nil"/>
              <w:left w:val="nil"/>
              <w:bottom w:val="single" w:color="auto" w:sz="4" w:space="0"/>
              <w:right w:val="single" w:color="auto" w:sz="4" w:space="0"/>
            </w:tcBorders>
            <w:vAlign w:val="center"/>
          </w:tcPr>
          <w:p w14:paraId="0E45F842">
            <w:pPr>
              <w:rPr>
                <w:sz w:val="20"/>
                <w:szCs w:val="20"/>
              </w:rPr>
            </w:pPr>
            <w:r>
              <w:rPr>
                <w:rFonts w:hint="eastAsia"/>
                <w:sz w:val="20"/>
                <w:szCs w:val="20"/>
              </w:rPr>
              <w:t>召开两纲专题会议次数</w:t>
            </w:r>
          </w:p>
        </w:tc>
        <w:tc>
          <w:tcPr>
            <w:tcW w:w="3994" w:type="dxa"/>
            <w:gridSpan w:val="3"/>
            <w:tcBorders>
              <w:top w:val="nil"/>
              <w:left w:val="nil"/>
              <w:bottom w:val="single" w:color="auto" w:sz="4" w:space="0"/>
              <w:right w:val="single" w:color="auto" w:sz="4" w:space="0"/>
            </w:tcBorders>
            <w:vAlign w:val="center"/>
          </w:tcPr>
          <w:p w14:paraId="4017FBCC">
            <w:pPr>
              <w:rPr>
                <w:sz w:val="20"/>
                <w:szCs w:val="20"/>
              </w:rPr>
            </w:pPr>
            <w:r>
              <w:rPr>
                <w:rFonts w:hint="eastAsia"/>
              </w:rPr>
              <w:t>≥1次</w:t>
            </w:r>
          </w:p>
        </w:tc>
      </w:tr>
      <w:tr w14:paraId="268BBB83">
        <w:tblPrEx>
          <w:tblCellMar>
            <w:top w:w="0" w:type="dxa"/>
            <w:left w:w="108" w:type="dxa"/>
            <w:bottom w:w="0" w:type="dxa"/>
            <w:right w:w="108" w:type="dxa"/>
          </w:tblCellMar>
        </w:tblPrEx>
        <w:trPr>
          <w:gridAfter w:val="1"/>
          <w:wAfter w:w="603" w:type="dxa"/>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59EEDE8F">
            <w:pPr>
              <w:rPr>
                <w:rFonts w:ascii="宋体" w:hAnsi="宋体" w:cs="宋体"/>
                <w:sz w:val="20"/>
                <w:szCs w:val="20"/>
              </w:rPr>
            </w:pPr>
          </w:p>
        </w:tc>
        <w:tc>
          <w:tcPr>
            <w:tcW w:w="616" w:type="dxa"/>
            <w:vMerge w:val="continue"/>
            <w:tcBorders>
              <w:top w:val="single" w:color="auto" w:sz="4" w:space="0"/>
              <w:left w:val="single" w:color="auto" w:sz="4" w:space="0"/>
              <w:bottom w:val="single" w:color="auto" w:sz="4" w:space="0"/>
              <w:right w:val="single" w:color="auto" w:sz="4" w:space="0"/>
            </w:tcBorders>
            <w:vAlign w:val="center"/>
          </w:tcPr>
          <w:p w14:paraId="6FBECEC6">
            <w:pPr>
              <w:rPr>
                <w:rFonts w:ascii="宋体" w:hAnsi="宋体" w:cs="宋体"/>
                <w:sz w:val="20"/>
                <w:szCs w:val="20"/>
              </w:rPr>
            </w:pPr>
          </w:p>
        </w:tc>
        <w:tc>
          <w:tcPr>
            <w:tcW w:w="723" w:type="dxa"/>
            <w:vMerge w:val="continue"/>
            <w:tcBorders>
              <w:top w:val="nil"/>
              <w:left w:val="single" w:color="auto" w:sz="4" w:space="0"/>
              <w:bottom w:val="single" w:color="000000" w:sz="4" w:space="0"/>
              <w:right w:val="single" w:color="auto" w:sz="4" w:space="0"/>
            </w:tcBorders>
            <w:vAlign w:val="center"/>
          </w:tcPr>
          <w:p w14:paraId="2FA45A2A">
            <w:pPr>
              <w:rPr>
                <w:rFonts w:ascii="宋体" w:hAnsi="宋体" w:cs="宋体"/>
                <w:sz w:val="20"/>
                <w:szCs w:val="20"/>
              </w:rPr>
            </w:pPr>
          </w:p>
        </w:tc>
        <w:tc>
          <w:tcPr>
            <w:tcW w:w="3271" w:type="dxa"/>
            <w:tcBorders>
              <w:top w:val="nil"/>
              <w:left w:val="nil"/>
              <w:bottom w:val="single" w:color="auto" w:sz="4" w:space="0"/>
              <w:right w:val="single" w:color="auto" w:sz="4" w:space="0"/>
            </w:tcBorders>
            <w:vAlign w:val="center"/>
          </w:tcPr>
          <w:p w14:paraId="696FDEE2">
            <w:pPr>
              <w:rPr>
                <w:rFonts w:hint="default" w:ascii="宋体" w:hAnsi="宋体" w:cs="宋体" w:eastAsiaTheme="minorEastAsia"/>
                <w:sz w:val="20"/>
                <w:szCs w:val="20"/>
                <w:lang w:val="en-US" w:eastAsia="zh-CN"/>
              </w:rPr>
            </w:pPr>
            <w:r>
              <w:rPr>
                <w:rFonts w:hint="eastAsia"/>
                <w:sz w:val="20"/>
                <w:szCs w:val="20"/>
              </w:rPr>
              <w:t>开展三八</w:t>
            </w:r>
            <w:r>
              <w:rPr>
                <w:rFonts w:hint="eastAsia"/>
                <w:sz w:val="20"/>
                <w:szCs w:val="20"/>
                <w:lang w:val="en-US" w:eastAsia="zh-CN"/>
              </w:rPr>
              <w:t>纪念日和家庭教育指导活动</w:t>
            </w:r>
          </w:p>
        </w:tc>
        <w:tc>
          <w:tcPr>
            <w:tcW w:w="3994" w:type="dxa"/>
            <w:gridSpan w:val="3"/>
            <w:tcBorders>
              <w:top w:val="nil"/>
              <w:left w:val="nil"/>
              <w:bottom w:val="single" w:color="auto" w:sz="4" w:space="0"/>
              <w:right w:val="single" w:color="auto" w:sz="4" w:space="0"/>
            </w:tcBorders>
            <w:vAlign w:val="center"/>
          </w:tcPr>
          <w:p w14:paraId="21A6724A">
            <w:pPr>
              <w:rPr>
                <w:rFonts w:ascii="宋体" w:hAnsi="宋体" w:cs="宋体"/>
                <w:sz w:val="20"/>
                <w:szCs w:val="20"/>
              </w:rPr>
            </w:pPr>
            <w:r>
              <w:rPr>
                <w:rFonts w:hint="eastAsia"/>
              </w:rPr>
              <w:t>≥</w:t>
            </w:r>
            <w:r>
              <w:rPr>
                <w:rFonts w:hint="eastAsia"/>
                <w:lang w:val="en-US" w:eastAsia="zh-CN"/>
              </w:rPr>
              <w:t>5</w:t>
            </w:r>
            <w:r>
              <w:rPr>
                <w:rFonts w:hint="eastAsia"/>
              </w:rPr>
              <w:t>次</w:t>
            </w:r>
          </w:p>
        </w:tc>
      </w:tr>
      <w:tr w14:paraId="7640E971">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33206CE9">
            <w:pPr>
              <w:rPr>
                <w:rFonts w:ascii="宋体" w:hAnsi="宋体" w:cs="宋体"/>
                <w:sz w:val="20"/>
                <w:szCs w:val="20"/>
              </w:rPr>
            </w:pPr>
          </w:p>
        </w:tc>
        <w:tc>
          <w:tcPr>
            <w:tcW w:w="616" w:type="dxa"/>
            <w:vMerge w:val="continue"/>
            <w:tcBorders>
              <w:top w:val="single" w:color="auto" w:sz="4" w:space="0"/>
              <w:left w:val="single" w:color="auto" w:sz="4" w:space="0"/>
              <w:bottom w:val="single" w:color="auto" w:sz="4" w:space="0"/>
              <w:right w:val="single" w:color="auto" w:sz="4" w:space="0"/>
            </w:tcBorders>
            <w:vAlign w:val="center"/>
          </w:tcPr>
          <w:p w14:paraId="05F49DB0">
            <w:pPr>
              <w:rPr>
                <w:rFonts w:ascii="宋体" w:hAnsi="宋体" w:cs="宋体"/>
                <w:sz w:val="20"/>
                <w:szCs w:val="20"/>
              </w:rPr>
            </w:pPr>
          </w:p>
        </w:tc>
        <w:tc>
          <w:tcPr>
            <w:tcW w:w="723" w:type="dxa"/>
            <w:vMerge w:val="restart"/>
            <w:tcBorders>
              <w:top w:val="nil"/>
              <w:left w:val="single" w:color="auto" w:sz="4" w:space="0"/>
              <w:bottom w:val="single" w:color="000000" w:sz="4" w:space="0"/>
              <w:right w:val="single" w:color="auto" w:sz="4" w:space="0"/>
            </w:tcBorders>
            <w:vAlign w:val="center"/>
          </w:tcPr>
          <w:p w14:paraId="4EA2AC7B">
            <w:pPr>
              <w:jc w:val="center"/>
              <w:rPr>
                <w:sz w:val="20"/>
                <w:szCs w:val="20"/>
              </w:rPr>
            </w:pPr>
            <w:r>
              <w:rPr>
                <w:rFonts w:hint="eastAsia"/>
                <w:sz w:val="20"/>
                <w:szCs w:val="20"/>
              </w:rPr>
              <w:t>质量</w:t>
            </w:r>
          </w:p>
          <w:p w14:paraId="0E4D652C">
            <w:pPr>
              <w:jc w:val="center"/>
              <w:rPr>
                <w:rFonts w:ascii="宋体" w:hAnsi="宋体" w:cs="宋体"/>
                <w:sz w:val="20"/>
                <w:szCs w:val="20"/>
              </w:rPr>
            </w:pPr>
            <w:r>
              <w:rPr>
                <w:rFonts w:hint="eastAsia"/>
                <w:sz w:val="20"/>
                <w:szCs w:val="20"/>
              </w:rPr>
              <w:t>指标</w:t>
            </w:r>
          </w:p>
        </w:tc>
        <w:tc>
          <w:tcPr>
            <w:tcW w:w="3271" w:type="dxa"/>
            <w:tcBorders>
              <w:top w:val="nil"/>
              <w:left w:val="nil"/>
              <w:bottom w:val="single" w:color="auto" w:sz="4" w:space="0"/>
              <w:right w:val="single" w:color="auto" w:sz="4" w:space="0"/>
            </w:tcBorders>
            <w:vAlign w:val="center"/>
          </w:tcPr>
          <w:p w14:paraId="3147A238">
            <w:pPr>
              <w:rPr>
                <w:rFonts w:ascii="宋体" w:hAnsi="宋体" w:cs="宋体"/>
                <w:sz w:val="20"/>
                <w:szCs w:val="20"/>
              </w:rPr>
            </w:pPr>
            <w:r>
              <w:rPr>
                <w:rFonts w:hint="eastAsia"/>
                <w:sz w:val="20"/>
                <w:szCs w:val="20"/>
              </w:rPr>
              <w:t xml:space="preserve"> 指标1：</w:t>
            </w:r>
          </w:p>
        </w:tc>
        <w:tc>
          <w:tcPr>
            <w:tcW w:w="236" w:type="dxa"/>
            <w:tcBorders>
              <w:top w:val="nil"/>
              <w:left w:val="nil"/>
              <w:bottom w:val="single" w:color="auto" w:sz="4" w:space="0"/>
              <w:right w:val="single" w:color="auto" w:sz="4" w:space="0"/>
            </w:tcBorders>
            <w:vAlign w:val="center"/>
          </w:tcPr>
          <w:p w14:paraId="417B5DA9">
            <w:pPr>
              <w:rPr>
                <w:rFonts w:ascii="宋体" w:hAnsi="宋体" w:cs="宋体"/>
                <w:sz w:val="20"/>
                <w:szCs w:val="20"/>
              </w:rPr>
            </w:pPr>
            <w:r>
              <w:rPr>
                <w:rFonts w:hint="eastAsia"/>
                <w:sz w:val="20"/>
                <w:szCs w:val="20"/>
              </w:rPr>
              <w:t>　</w:t>
            </w:r>
          </w:p>
        </w:tc>
        <w:tc>
          <w:tcPr>
            <w:tcW w:w="4361" w:type="dxa"/>
            <w:gridSpan w:val="3"/>
            <w:tcBorders>
              <w:top w:val="nil"/>
              <w:left w:val="nil"/>
              <w:bottom w:val="single" w:color="auto" w:sz="4" w:space="0"/>
              <w:right w:val="single" w:color="auto" w:sz="4" w:space="0"/>
            </w:tcBorders>
            <w:vAlign w:val="center"/>
          </w:tcPr>
          <w:p w14:paraId="5FE97229">
            <w:pPr>
              <w:rPr>
                <w:rFonts w:ascii="宋体" w:hAnsi="宋体" w:cs="宋体"/>
                <w:sz w:val="20"/>
                <w:szCs w:val="20"/>
              </w:rPr>
            </w:pPr>
            <w:r>
              <w:rPr>
                <w:rFonts w:hint="eastAsia"/>
                <w:sz w:val="20"/>
                <w:szCs w:val="20"/>
              </w:rPr>
              <w:t>　</w:t>
            </w:r>
          </w:p>
        </w:tc>
      </w:tr>
      <w:tr w14:paraId="25B4C3C8">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6263FF91">
            <w:pPr>
              <w:rPr>
                <w:rFonts w:ascii="宋体" w:hAnsi="宋体" w:cs="宋体"/>
                <w:sz w:val="20"/>
                <w:szCs w:val="20"/>
              </w:rPr>
            </w:pPr>
          </w:p>
        </w:tc>
        <w:tc>
          <w:tcPr>
            <w:tcW w:w="616" w:type="dxa"/>
            <w:vMerge w:val="continue"/>
            <w:tcBorders>
              <w:top w:val="single" w:color="auto" w:sz="4" w:space="0"/>
              <w:left w:val="single" w:color="auto" w:sz="4" w:space="0"/>
              <w:bottom w:val="single" w:color="auto" w:sz="4" w:space="0"/>
              <w:right w:val="single" w:color="auto" w:sz="4" w:space="0"/>
            </w:tcBorders>
            <w:vAlign w:val="center"/>
          </w:tcPr>
          <w:p w14:paraId="2CD0F7EE">
            <w:pPr>
              <w:rPr>
                <w:rFonts w:ascii="宋体" w:hAnsi="宋体" w:cs="宋体"/>
                <w:sz w:val="20"/>
                <w:szCs w:val="20"/>
              </w:rPr>
            </w:pPr>
          </w:p>
        </w:tc>
        <w:tc>
          <w:tcPr>
            <w:tcW w:w="723" w:type="dxa"/>
            <w:vMerge w:val="continue"/>
            <w:tcBorders>
              <w:top w:val="nil"/>
              <w:left w:val="single" w:color="auto" w:sz="4" w:space="0"/>
              <w:bottom w:val="single" w:color="000000" w:sz="4" w:space="0"/>
              <w:right w:val="single" w:color="auto" w:sz="4" w:space="0"/>
            </w:tcBorders>
            <w:vAlign w:val="center"/>
          </w:tcPr>
          <w:p w14:paraId="40DBDC7F">
            <w:pPr>
              <w:rPr>
                <w:rFonts w:ascii="宋体" w:hAnsi="宋体" w:cs="宋体"/>
                <w:sz w:val="20"/>
                <w:szCs w:val="20"/>
              </w:rPr>
            </w:pPr>
          </w:p>
        </w:tc>
        <w:tc>
          <w:tcPr>
            <w:tcW w:w="3271" w:type="dxa"/>
            <w:tcBorders>
              <w:top w:val="nil"/>
              <w:left w:val="nil"/>
              <w:bottom w:val="single" w:color="auto" w:sz="4" w:space="0"/>
              <w:right w:val="single" w:color="auto" w:sz="4" w:space="0"/>
            </w:tcBorders>
            <w:vAlign w:val="center"/>
          </w:tcPr>
          <w:p w14:paraId="10056C76">
            <w:pPr>
              <w:rPr>
                <w:rFonts w:ascii="宋体" w:hAnsi="宋体" w:cs="宋体"/>
                <w:sz w:val="20"/>
                <w:szCs w:val="20"/>
              </w:rPr>
            </w:pPr>
            <w:r>
              <w:rPr>
                <w:rFonts w:hint="eastAsia"/>
                <w:sz w:val="20"/>
                <w:szCs w:val="20"/>
              </w:rPr>
              <w:t xml:space="preserve"> ……</w:t>
            </w:r>
          </w:p>
        </w:tc>
        <w:tc>
          <w:tcPr>
            <w:tcW w:w="236" w:type="dxa"/>
            <w:tcBorders>
              <w:top w:val="nil"/>
              <w:left w:val="nil"/>
              <w:bottom w:val="single" w:color="auto" w:sz="4" w:space="0"/>
              <w:right w:val="single" w:color="auto" w:sz="4" w:space="0"/>
            </w:tcBorders>
            <w:vAlign w:val="center"/>
          </w:tcPr>
          <w:p w14:paraId="4A6BEAA4">
            <w:pPr>
              <w:rPr>
                <w:rFonts w:ascii="宋体" w:hAnsi="宋体" w:cs="宋体"/>
                <w:sz w:val="20"/>
                <w:szCs w:val="20"/>
              </w:rPr>
            </w:pPr>
            <w:r>
              <w:rPr>
                <w:rFonts w:hint="eastAsia"/>
                <w:sz w:val="20"/>
                <w:szCs w:val="20"/>
              </w:rPr>
              <w:t>　</w:t>
            </w:r>
          </w:p>
        </w:tc>
        <w:tc>
          <w:tcPr>
            <w:tcW w:w="4361" w:type="dxa"/>
            <w:gridSpan w:val="3"/>
            <w:tcBorders>
              <w:top w:val="nil"/>
              <w:left w:val="nil"/>
              <w:bottom w:val="single" w:color="auto" w:sz="4" w:space="0"/>
              <w:right w:val="single" w:color="auto" w:sz="4" w:space="0"/>
            </w:tcBorders>
            <w:vAlign w:val="center"/>
          </w:tcPr>
          <w:p w14:paraId="065C3871">
            <w:pPr>
              <w:rPr>
                <w:rFonts w:ascii="宋体" w:hAnsi="宋体" w:cs="宋体"/>
                <w:sz w:val="20"/>
                <w:szCs w:val="20"/>
              </w:rPr>
            </w:pPr>
            <w:r>
              <w:rPr>
                <w:rFonts w:hint="eastAsia"/>
                <w:sz w:val="20"/>
                <w:szCs w:val="20"/>
              </w:rPr>
              <w:t>　</w:t>
            </w:r>
          </w:p>
        </w:tc>
      </w:tr>
      <w:tr w14:paraId="3D8CA9D4">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41AD7229">
            <w:pPr>
              <w:rPr>
                <w:rFonts w:ascii="宋体" w:hAnsi="宋体" w:cs="宋体"/>
                <w:sz w:val="20"/>
                <w:szCs w:val="20"/>
              </w:rPr>
            </w:pPr>
          </w:p>
        </w:tc>
        <w:tc>
          <w:tcPr>
            <w:tcW w:w="616" w:type="dxa"/>
            <w:vMerge w:val="continue"/>
            <w:tcBorders>
              <w:top w:val="single" w:color="auto" w:sz="4" w:space="0"/>
              <w:left w:val="single" w:color="auto" w:sz="4" w:space="0"/>
              <w:bottom w:val="single" w:color="auto" w:sz="4" w:space="0"/>
              <w:right w:val="single" w:color="auto" w:sz="4" w:space="0"/>
            </w:tcBorders>
            <w:vAlign w:val="center"/>
          </w:tcPr>
          <w:p w14:paraId="3CA31830">
            <w:pPr>
              <w:rPr>
                <w:rFonts w:ascii="宋体" w:hAnsi="宋体" w:cs="宋体"/>
                <w:sz w:val="20"/>
                <w:szCs w:val="20"/>
              </w:rPr>
            </w:pPr>
          </w:p>
        </w:tc>
        <w:tc>
          <w:tcPr>
            <w:tcW w:w="723" w:type="dxa"/>
            <w:vMerge w:val="restart"/>
            <w:tcBorders>
              <w:top w:val="nil"/>
              <w:left w:val="single" w:color="auto" w:sz="4" w:space="0"/>
              <w:bottom w:val="single" w:color="000000" w:sz="4" w:space="0"/>
              <w:right w:val="single" w:color="auto" w:sz="4" w:space="0"/>
            </w:tcBorders>
            <w:vAlign w:val="center"/>
          </w:tcPr>
          <w:p w14:paraId="45C0CABA">
            <w:pPr>
              <w:jc w:val="center"/>
              <w:rPr>
                <w:sz w:val="20"/>
                <w:szCs w:val="20"/>
              </w:rPr>
            </w:pPr>
            <w:r>
              <w:rPr>
                <w:rFonts w:hint="eastAsia"/>
                <w:sz w:val="20"/>
                <w:szCs w:val="20"/>
              </w:rPr>
              <w:t>时效</w:t>
            </w:r>
          </w:p>
          <w:p w14:paraId="6E5B024E">
            <w:pPr>
              <w:jc w:val="center"/>
              <w:rPr>
                <w:rFonts w:ascii="宋体" w:hAnsi="宋体" w:cs="宋体"/>
                <w:sz w:val="20"/>
                <w:szCs w:val="20"/>
              </w:rPr>
            </w:pPr>
            <w:r>
              <w:rPr>
                <w:rFonts w:hint="eastAsia"/>
                <w:sz w:val="20"/>
                <w:szCs w:val="20"/>
              </w:rPr>
              <w:t>指标</w:t>
            </w:r>
          </w:p>
        </w:tc>
        <w:tc>
          <w:tcPr>
            <w:tcW w:w="3271" w:type="dxa"/>
            <w:tcBorders>
              <w:top w:val="nil"/>
              <w:left w:val="nil"/>
              <w:bottom w:val="single" w:color="auto" w:sz="4" w:space="0"/>
              <w:right w:val="single" w:color="auto" w:sz="4" w:space="0"/>
            </w:tcBorders>
            <w:vAlign w:val="center"/>
          </w:tcPr>
          <w:p w14:paraId="09B8E562">
            <w:pPr>
              <w:rPr>
                <w:rFonts w:ascii="宋体" w:hAnsi="宋体" w:cs="宋体"/>
                <w:sz w:val="20"/>
                <w:szCs w:val="20"/>
              </w:rPr>
            </w:pPr>
            <w:r>
              <w:rPr>
                <w:rFonts w:hint="eastAsia"/>
                <w:sz w:val="20"/>
                <w:szCs w:val="20"/>
              </w:rPr>
              <w:t xml:space="preserve"> 指标1：</w:t>
            </w:r>
          </w:p>
        </w:tc>
        <w:tc>
          <w:tcPr>
            <w:tcW w:w="236" w:type="dxa"/>
            <w:tcBorders>
              <w:top w:val="nil"/>
              <w:left w:val="nil"/>
              <w:bottom w:val="single" w:color="auto" w:sz="4" w:space="0"/>
              <w:right w:val="single" w:color="auto" w:sz="4" w:space="0"/>
            </w:tcBorders>
            <w:vAlign w:val="center"/>
          </w:tcPr>
          <w:p w14:paraId="093C5CA3">
            <w:pPr>
              <w:rPr>
                <w:rFonts w:ascii="宋体" w:hAnsi="宋体" w:cs="宋体"/>
                <w:sz w:val="20"/>
                <w:szCs w:val="20"/>
              </w:rPr>
            </w:pPr>
            <w:r>
              <w:rPr>
                <w:rFonts w:hint="eastAsia"/>
                <w:sz w:val="20"/>
                <w:szCs w:val="20"/>
              </w:rPr>
              <w:t>　</w:t>
            </w:r>
          </w:p>
        </w:tc>
        <w:tc>
          <w:tcPr>
            <w:tcW w:w="4361" w:type="dxa"/>
            <w:gridSpan w:val="3"/>
            <w:tcBorders>
              <w:top w:val="nil"/>
              <w:left w:val="nil"/>
              <w:bottom w:val="single" w:color="auto" w:sz="4" w:space="0"/>
              <w:right w:val="single" w:color="auto" w:sz="4" w:space="0"/>
            </w:tcBorders>
            <w:vAlign w:val="center"/>
          </w:tcPr>
          <w:p w14:paraId="72B837B6">
            <w:pPr>
              <w:rPr>
                <w:rFonts w:ascii="宋体" w:hAnsi="宋体" w:cs="宋体"/>
                <w:sz w:val="20"/>
                <w:szCs w:val="20"/>
              </w:rPr>
            </w:pPr>
            <w:r>
              <w:rPr>
                <w:rFonts w:hint="eastAsia"/>
                <w:sz w:val="20"/>
                <w:szCs w:val="20"/>
              </w:rPr>
              <w:t>　</w:t>
            </w:r>
          </w:p>
        </w:tc>
      </w:tr>
      <w:tr w14:paraId="76EE1122">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66311375">
            <w:pPr>
              <w:rPr>
                <w:rFonts w:ascii="宋体" w:hAnsi="宋体" w:cs="宋体"/>
                <w:sz w:val="20"/>
                <w:szCs w:val="20"/>
              </w:rPr>
            </w:pPr>
          </w:p>
        </w:tc>
        <w:tc>
          <w:tcPr>
            <w:tcW w:w="616" w:type="dxa"/>
            <w:vMerge w:val="continue"/>
            <w:tcBorders>
              <w:top w:val="single" w:color="auto" w:sz="4" w:space="0"/>
              <w:left w:val="single" w:color="auto" w:sz="4" w:space="0"/>
              <w:bottom w:val="single" w:color="auto" w:sz="4" w:space="0"/>
              <w:right w:val="single" w:color="auto" w:sz="4" w:space="0"/>
            </w:tcBorders>
            <w:vAlign w:val="center"/>
          </w:tcPr>
          <w:p w14:paraId="43A5CF64">
            <w:pPr>
              <w:rPr>
                <w:rFonts w:ascii="宋体" w:hAnsi="宋体" w:cs="宋体"/>
                <w:sz w:val="20"/>
                <w:szCs w:val="20"/>
              </w:rPr>
            </w:pPr>
          </w:p>
        </w:tc>
        <w:tc>
          <w:tcPr>
            <w:tcW w:w="723" w:type="dxa"/>
            <w:vMerge w:val="continue"/>
            <w:tcBorders>
              <w:top w:val="nil"/>
              <w:left w:val="single" w:color="auto" w:sz="4" w:space="0"/>
              <w:bottom w:val="single" w:color="000000" w:sz="4" w:space="0"/>
              <w:right w:val="single" w:color="auto" w:sz="4" w:space="0"/>
            </w:tcBorders>
            <w:vAlign w:val="center"/>
          </w:tcPr>
          <w:p w14:paraId="176E2A64">
            <w:pPr>
              <w:rPr>
                <w:rFonts w:ascii="宋体" w:hAnsi="宋体" w:cs="宋体"/>
                <w:sz w:val="20"/>
                <w:szCs w:val="20"/>
              </w:rPr>
            </w:pPr>
          </w:p>
        </w:tc>
        <w:tc>
          <w:tcPr>
            <w:tcW w:w="3271" w:type="dxa"/>
            <w:tcBorders>
              <w:top w:val="nil"/>
              <w:left w:val="nil"/>
              <w:bottom w:val="single" w:color="auto" w:sz="4" w:space="0"/>
              <w:right w:val="single" w:color="auto" w:sz="4" w:space="0"/>
            </w:tcBorders>
            <w:vAlign w:val="center"/>
          </w:tcPr>
          <w:p w14:paraId="351661B1">
            <w:pPr>
              <w:rPr>
                <w:rFonts w:ascii="宋体" w:hAnsi="宋体" w:cs="宋体"/>
                <w:sz w:val="20"/>
                <w:szCs w:val="20"/>
              </w:rPr>
            </w:pPr>
            <w:r>
              <w:rPr>
                <w:rFonts w:hint="eastAsia"/>
                <w:sz w:val="20"/>
                <w:szCs w:val="20"/>
              </w:rPr>
              <w:t xml:space="preserve"> ……</w:t>
            </w:r>
          </w:p>
        </w:tc>
        <w:tc>
          <w:tcPr>
            <w:tcW w:w="236" w:type="dxa"/>
            <w:tcBorders>
              <w:top w:val="nil"/>
              <w:left w:val="nil"/>
              <w:bottom w:val="single" w:color="auto" w:sz="4" w:space="0"/>
              <w:right w:val="single" w:color="auto" w:sz="4" w:space="0"/>
            </w:tcBorders>
            <w:vAlign w:val="center"/>
          </w:tcPr>
          <w:p w14:paraId="2545807D">
            <w:pPr>
              <w:rPr>
                <w:rFonts w:ascii="宋体" w:hAnsi="宋体" w:cs="宋体"/>
                <w:sz w:val="20"/>
                <w:szCs w:val="20"/>
              </w:rPr>
            </w:pPr>
            <w:r>
              <w:rPr>
                <w:rFonts w:hint="eastAsia"/>
                <w:sz w:val="20"/>
                <w:szCs w:val="20"/>
              </w:rPr>
              <w:t>　</w:t>
            </w:r>
          </w:p>
        </w:tc>
        <w:tc>
          <w:tcPr>
            <w:tcW w:w="4361" w:type="dxa"/>
            <w:gridSpan w:val="3"/>
            <w:tcBorders>
              <w:top w:val="nil"/>
              <w:left w:val="nil"/>
              <w:bottom w:val="single" w:color="auto" w:sz="4" w:space="0"/>
              <w:right w:val="single" w:color="auto" w:sz="4" w:space="0"/>
            </w:tcBorders>
            <w:vAlign w:val="center"/>
          </w:tcPr>
          <w:p w14:paraId="31110EAA">
            <w:pPr>
              <w:rPr>
                <w:rFonts w:ascii="宋体" w:hAnsi="宋体" w:cs="宋体"/>
                <w:sz w:val="20"/>
                <w:szCs w:val="20"/>
              </w:rPr>
            </w:pPr>
            <w:r>
              <w:rPr>
                <w:rFonts w:hint="eastAsia"/>
                <w:sz w:val="20"/>
                <w:szCs w:val="20"/>
              </w:rPr>
              <w:t>　</w:t>
            </w:r>
          </w:p>
        </w:tc>
      </w:tr>
      <w:tr w14:paraId="4612EB38">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41B3F52F">
            <w:pPr>
              <w:rPr>
                <w:rFonts w:ascii="宋体" w:hAnsi="宋体" w:cs="宋体"/>
                <w:sz w:val="20"/>
                <w:szCs w:val="20"/>
              </w:rPr>
            </w:pPr>
          </w:p>
        </w:tc>
        <w:tc>
          <w:tcPr>
            <w:tcW w:w="616" w:type="dxa"/>
            <w:vMerge w:val="continue"/>
            <w:tcBorders>
              <w:top w:val="single" w:color="auto" w:sz="4" w:space="0"/>
              <w:left w:val="single" w:color="auto" w:sz="4" w:space="0"/>
              <w:bottom w:val="single" w:color="auto" w:sz="4" w:space="0"/>
              <w:right w:val="single" w:color="auto" w:sz="4" w:space="0"/>
            </w:tcBorders>
            <w:vAlign w:val="center"/>
          </w:tcPr>
          <w:p w14:paraId="35E08B3C">
            <w:pPr>
              <w:rPr>
                <w:rFonts w:ascii="宋体" w:hAnsi="宋体" w:cs="宋体"/>
                <w:sz w:val="20"/>
                <w:szCs w:val="20"/>
              </w:rPr>
            </w:pPr>
          </w:p>
        </w:tc>
        <w:tc>
          <w:tcPr>
            <w:tcW w:w="723" w:type="dxa"/>
            <w:vMerge w:val="restart"/>
            <w:tcBorders>
              <w:top w:val="nil"/>
              <w:left w:val="single" w:color="auto" w:sz="4" w:space="0"/>
              <w:bottom w:val="single" w:color="000000" w:sz="4" w:space="0"/>
              <w:right w:val="single" w:color="auto" w:sz="4" w:space="0"/>
            </w:tcBorders>
            <w:vAlign w:val="center"/>
          </w:tcPr>
          <w:p w14:paraId="64036DDD">
            <w:pPr>
              <w:jc w:val="center"/>
              <w:rPr>
                <w:sz w:val="20"/>
                <w:szCs w:val="20"/>
              </w:rPr>
            </w:pPr>
            <w:r>
              <w:rPr>
                <w:rFonts w:hint="eastAsia"/>
                <w:sz w:val="20"/>
                <w:szCs w:val="20"/>
              </w:rPr>
              <w:t>成本</w:t>
            </w:r>
          </w:p>
          <w:p w14:paraId="5A9B1285">
            <w:pPr>
              <w:jc w:val="center"/>
              <w:rPr>
                <w:rFonts w:ascii="宋体" w:hAnsi="宋体" w:cs="宋体"/>
                <w:sz w:val="20"/>
                <w:szCs w:val="20"/>
              </w:rPr>
            </w:pPr>
            <w:r>
              <w:rPr>
                <w:rFonts w:hint="eastAsia"/>
                <w:sz w:val="20"/>
                <w:szCs w:val="20"/>
              </w:rPr>
              <w:t>指标</w:t>
            </w:r>
          </w:p>
        </w:tc>
        <w:tc>
          <w:tcPr>
            <w:tcW w:w="3271" w:type="dxa"/>
            <w:tcBorders>
              <w:top w:val="nil"/>
              <w:left w:val="nil"/>
              <w:bottom w:val="single" w:color="auto" w:sz="4" w:space="0"/>
              <w:right w:val="single" w:color="auto" w:sz="4" w:space="0"/>
            </w:tcBorders>
            <w:vAlign w:val="center"/>
          </w:tcPr>
          <w:p w14:paraId="30ECF425">
            <w:pPr>
              <w:rPr>
                <w:rFonts w:ascii="宋体" w:hAnsi="宋体" w:cs="宋体"/>
                <w:sz w:val="20"/>
                <w:szCs w:val="20"/>
              </w:rPr>
            </w:pPr>
            <w:r>
              <w:rPr>
                <w:rFonts w:hint="eastAsia"/>
                <w:sz w:val="20"/>
                <w:szCs w:val="20"/>
              </w:rPr>
              <w:t xml:space="preserve"> 指标1：</w:t>
            </w:r>
          </w:p>
        </w:tc>
        <w:tc>
          <w:tcPr>
            <w:tcW w:w="236" w:type="dxa"/>
            <w:tcBorders>
              <w:top w:val="nil"/>
              <w:left w:val="nil"/>
              <w:bottom w:val="single" w:color="auto" w:sz="4" w:space="0"/>
              <w:right w:val="single" w:color="auto" w:sz="4" w:space="0"/>
            </w:tcBorders>
            <w:vAlign w:val="center"/>
          </w:tcPr>
          <w:p w14:paraId="589FA9E5">
            <w:pPr>
              <w:rPr>
                <w:rFonts w:ascii="宋体" w:hAnsi="宋体" w:cs="宋体"/>
                <w:sz w:val="20"/>
                <w:szCs w:val="20"/>
              </w:rPr>
            </w:pPr>
            <w:r>
              <w:rPr>
                <w:rFonts w:hint="eastAsia"/>
                <w:sz w:val="20"/>
                <w:szCs w:val="20"/>
              </w:rPr>
              <w:t>　</w:t>
            </w:r>
          </w:p>
        </w:tc>
        <w:tc>
          <w:tcPr>
            <w:tcW w:w="4361" w:type="dxa"/>
            <w:gridSpan w:val="3"/>
            <w:tcBorders>
              <w:top w:val="nil"/>
              <w:left w:val="nil"/>
              <w:bottom w:val="single" w:color="auto" w:sz="4" w:space="0"/>
              <w:right w:val="single" w:color="auto" w:sz="4" w:space="0"/>
            </w:tcBorders>
            <w:vAlign w:val="center"/>
          </w:tcPr>
          <w:p w14:paraId="0D221F91">
            <w:pPr>
              <w:rPr>
                <w:rFonts w:ascii="宋体" w:hAnsi="宋体" w:cs="宋体"/>
                <w:sz w:val="20"/>
                <w:szCs w:val="20"/>
              </w:rPr>
            </w:pPr>
            <w:r>
              <w:rPr>
                <w:rFonts w:hint="eastAsia"/>
                <w:sz w:val="20"/>
                <w:szCs w:val="20"/>
              </w:rPr>
              <w:t>　　</w:t>
            </w:r>
          </w:p>
        </w:tc>
      </w:tr>
      <w:tr w14:paraId="52EECCE8">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48493507">
            <w:pPr>
              <w:rPr>
                <w:rFonts w:ascii="宋体" w:hAnsi="宋体" w:cs="宋体"/>
                <w:sz w:val="20"/>
                <w:szCs w:val="20"/>
              </w:rPr>
            </w:pPr>
          </w:p>
        </w:tc>
        <w:tc>
          <w:tcPr>
            <w:tcW w:w="616" w:type="dxa"/>
            <w:vMerge w:val="continue"/>
            <w:tcBorders>
              <w:top w:val="single" w:color="auto" w:sz="4" w:space="0"/>
              <w:left w:val="single" w:color="auto" w:sz="4" w:space="0"/>
              <w:bottom w:val="single" w:color="auto" w:sz="4" w:space="0"/>
              <w:right w:val="single" w:color="auto" w:sz="4" w:space="0"/>
            </w:tcBorders>
            <w:vAlign w:val="center"/>
          </w:tcPr>
          <w:p w14:paraId="34D5AF08">
            <w:pPr>
              <w:rPr>
                <w:rFonts w:ascii="宋体" w:hAnsi="宋体" w:cs="宋体"/>
                <w:sz w:val="20"/>
                <w:szCs w:val="20"/>
              </w:rPr>
            </w:pPr>
          </w:p>
        </w:tc>
        <w:tc>
          <w:tcPr>
            <w:tcW w:w="723" w:type="dxa"/>
            <w:vMerge w:val="continue"/>
            <w:tcBorders>
              <w:top w:val="nil"/>
              <w:left w:val="single" w:color="auto" w:sz="4" w:space="0"/>
              <w:bottom w:val="single" w:color="000000" w:sz="4" w:space="0"/>
              <w:right w:val="single" w:color="auto" w:sz="4" w:space="0"/>
            </w:tcBorders>
            <w:vAlign w:val="center"/>
          </w:tcPr>
          <w:p w14:paraId="6769A529">
            <w:pPr>
              <w:rPr>
                <w:rFonts w:ascii="宋体" w:hAnsi="宋体" w:cs="宋体"/>
                <w:sz w:val="20"/>
                <w:szCs w:val="20"/>
              </w:rPr>
            </w:pPr>
          </w:p>
        </w:tc>
        <w:tc>
          <w:tcPr>
            <w:tcW w:w="3271" w:type="dxa"/>
            <w:tcBorders>
              <w:top w:val="nil"/>
              <w:left w:val="nil"/>
              <w:bottom w:val="single" w:color="auto" w:sz="4" w:space="0"/>
              <w:right w:val="single" w:color="auto" w:sz="4" w:space="0"/>
            </w:tcBorders>
            <w:vAlign w:val="center"/>
          </w:tcPr>
          <w:p w14:paraId="494787F7">
            <w:pPr>
              <w:rPr>
                <w:rFonts w:ascii="宋体" w:hAnsi="宋体" w:cs="宋体"/>
                <w:sz w:val="20"/>
                <w:szCs w:val="20"/>
              </w:rPr>
            </w:pPr>
            <w:r>
              <w:rPr>
                <w:rFonts w:hint="eastAsia"/>
                <w:sz w:val="20"/>
                <w:szCs w:val="20"/>
              </w:rPr>
              <w:t xml:space="preserve"> ……</w:t>
            </w:r>
          </w:p>
        </w:tc>
        <w:tc>
          <w:tcPr>
            <w:tcW w:w="236" w:type="dxa"/>
            <w:tcBorders>
              <w:top w:val="nil"/>
              <w:left w:val="nil"/>
              <w:bottom w:val="single" w:color="auto" w:sz="4" w:space="0"/>
              <w:right w:val="single" w:color="auto" w:sz="4" w:space="0"/>
            </w:tcBorders>
            <w:vAlign w:val="center"/>
          </w:tcPr>
          <w:p w14:paraId="118C6AF1">
            <w:pPr>
              <w:rPr>
                <w:rFonts w:ascii="宋体" w:hAnsi="宋体" w:cs="宋体"/>
                <w:sz w:val="20"/>
                <w:szCs w:val="20"/>
              </w:rPr>
            </w:pPr>
            <w:r>
              <w:rPr>
                <w:rFonts w:hint="eastAsia"/>
                <w:sz w:val="20"/>
                <w:szCs w:val="20"/>
              </w:rPr>
              <w:t>　</w:t>
            </w:r>
          </w:p>
        </w:tc>
        <w:tc>
          <w:tcPr>
            <w:tcW w:w="4361" w:type="dxa"/>
            <w:gridSpan w:val="3"/>
            <w:tcBorders>
              <w:top w:val="nil"/>
              <w:left w:val="nil"/>
              <w:bottom w:val="single" w:color="auto" w:sz="4" w:space="0"/>
              <w:right w:val="single" w:color="auto" w:sz="4" w:space="0"/>
            </w:tcBorders>
            <w:vAlign w:val="center"/>
          </w:tcPr>
          <w:p w14:paraId="00A93540">
            <w:pPr>
              <w:rPr>
                <w:rFonts w:ascii="宋体" w:hAnsi="宋体" w:cs="宋体"/>
                <w:sz w:val="20"/>
                <w:szCs w:val="20"/>
              </w:rPr>
            </w:pPr>
            <w:r>
              <w:rPr>
                <w:rFonts w:hint="eastAsia"/>
                <w:sz w:val="20"/>
                <w:szCs w:val="20"/>
              </w:rPr>
              <w:t>　</w:t>
            </w:r>
          </w:p>
        </w:tc>
      </w:tr>
      <w:tr w14:paraId="321C956A">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210295AB">
            <w:pPr>
              <w:rPr>
                <w:rFonts w:ascii="宋体" w:hAnsi="宋体" w:cs="宋体"/>
                <w:sz w:val="20"/>
                <w:szCs w:val="20"/>
              </w:rPr>
            </w:pPr>
          </w:p>
        </w:tc>
        <w:tc>
          <w:tcPr>
            <w:tcW w:w="616" w:type="dxa"/>
            <w:vMerge w:val="continue"/>
            <w:tcBorders>
              <w:top w:val="single" w:color="auto" w:sz="4" w:space="0"/>
              <w:left w:val="single" w:color="auto" w:sz="4" w:space="0"/>
              <w:bottom w:val="single" w:color="auto" w:sz="4" w:space="0"/>
              <w:right w:val="single" w:color="auto" w:sz="4" w:space="0"/>
            </w:tcBorders>
            <w:vAlign w:val="center"/>
          </w:tcPr>
          <w:p w14:paraId="7F54BFC3">
            <w:pPr>
              <w:rPr>
                <w:rFonts w:ascii="宋体" w:hAnsi="宋体" w:cs="宋体"/>
                <w:sz w:val="20"/>
                <w:szCs w:val="20"/>
              </w:rPr>
            </w:pPr>
          </w:p>
        </w:tc>
        <w:tc>
          <w:tcPr>
            <w:tcW w:w="723" w:type="dxa"/>
            <w:tcBorders>
              <w:top w:val="nil"/>
              <w:left w:val="nil"/>
              <w:bottom w:val="single" w:color="auto" w:sz="4" w:space="0"/>
              <w:right w:val="single" w:color="auto" w:sz="4" w:space="0"/>
            </w:tcBorders>
            <w:vAlign w:val="center"/>
          </w:tcPr>
          <w:p w14:paraId="7049A7A4">
            <w:pPr>
              <w:jc w:val="center"/>
              <w:rPr>
                <w:rFonts w:ascii="宋体" w:hAnsi="宋体" w:cs="宋体"/>
                <w:sz w:val="20"/>
                <w:szCs w:val="20"/>
              </w:rPr>
            </w:pPr>
            <w:r>
              <w:rPr>
                <w:rFonts w:hint="eastAsia"/>
                <w:sz w:val="20"/>
                <w:szCs w:val="20"/>
              </w:rPr>
              <w:t>……</w:t>
            </w:r>
          </w:p>
        </w:tc>
        <w:tc>
          <w:tcPr>
            <w:tcW w:w="3271" w:type="dxa"/>
            <w:tcBorders>
              <w:top w:val="nil"/>
              <w:left w:val="nil"/>
              <w:bottom w:val="single" w:color="auto" w:sz="4" w:space="0"/>
              <w:right w:val="single" w:color="auto" w:sz="4" w:space="0"/>
            </w:tcBorders>
            <w:vAlign w:val="center"/>
          </w:tcPr>
          <w:p w14:paraId="176F380D">
            <w:pPr>
              <w:rPr>
                <w:rFonts w:ascii="宋体" w:hAnsi="宋体" w:cs="宋体"/>
                <w:sz w:val="20"/>
                <w:szCs w:val="20"/>
              </w:rPr>
            </w:pPr>
            <w:r>
              <w:rPr>
                <w:rFonts w:hint="eastAsia"/>
                <w:sz w:val="20"/>
                <w:szCs w:val="20"/>
              </w:rPr>
              <w:t>　</w:t>
            </w:r>
          </w:p>
        </w:tc>
        <w:tc>
          <w:tcPr>
            <w:tcW w:w="236" w:type="dxa"/>
            <w:tcBorders>
              <w:top w:val="nil"/>
              <w:left w:val="nil"/>
              <w:bottom w:val="single" w:color="auto" w:sz="4" w:space="0"/>
              <w:right w:val="single" w:color="auto" w:sz="4" w:space="0"/>
            </w:tcBorders>
            <w:vAlign w:val="center"/>
          </w:tcPr>
          <w:p w14:paraId="0BF2E7B2">
            <w:pPr>
              <w:jc w:val="center"/>
              <w:rPr>
                <w:rFonts w:ascii="宋体" w:hAnsi="宋体" w:cs="宋体"/>
                <w:sz w:val="20"/>
                <w:szCs w:val="20"/>
              </w:rPr>
            </w:pPr>
            <w:r>
              <w:rPr>
                <w:rFonts w:hint="eastAsia"/>
                <w:sz w:val="20"/>
                <w:szCs w:val="20"/>
              </w:rPr>
              <w:t>　</w:t>
            </w:r>
          </w:p>
        </w:tc>
        <w:tc>
          <w:tcPr>
            <w:tcW w:w="4361" w:type="dxa"/>
            <w:gridSpan w:val="3"/>
            <w:tcBorders>
              <w:top w:val="nil"/>
              <w:left w:val="nil"/>
              <w:bottom w:val="single" w:color="auto" w:sz="4" w:space="0"/>
              <w:right w:val="single" w:color="auto" w:sz="4" w:space="0"/>
            </w:tcBorders>
            <w:vAlign w:val="center"/>
          </w:tcPr>
          <w:p w14:paraId="20639DE2">
            <w:pPr>
              <w:jc w:val="both"/>
              <w:rPr>
                <w:rFonts w:ascii="宋体" w:hAnsi="宋体" w:cs="宋体"/>
                <w:sz w:val="20"/>
                <w:szCs w:val="20"/>
              </w:rPr>
            </w:pPr>
            <w:r>
              <w:rPr>
                <w:rFonts w:hint="eastAsia"/>
                <w:sz w:val="20"/>
                <w:szCs w:val="20"/>
              </w:rPr>
              <w:t>　</w:t>
            </w:r>
          </w:p>
        </w:tc>
      </w:tr>
      <w:tr w14:paraId="4A4D2204">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4B6FADB2">
            <w:pPr>
              <w:rPr>
                <w:rFonts w:ascii="宋体" w:hAnsi="宋体" w:cs="宋体"/>
                <w:sz w:val="20"/>
                <w:szCs w:val="20"/>
              </w:rPr>
            </w:pPr>
          </w:p>
        </w:tc>
        <w:tc>
          <w:tcPr>
            <w:tcW w:w="616" w:type="dxa"/>
            <w:vMerge w:val="restart"/>
            <w:tcBorders>
              <w:top w:val="nil"/>
              <w:left w:val="single" w:color="auto" w:sz="4" w:space="0"/>
              <w:bottom w:val="single" w:color="auto" w:sz="4" w:space="0"/>
              <w:right w:val="single" w:color="auto" w:sz="4" w:space="0"/>
            </w:tcBorders>
            <w:vAlign w:val="center"/>
          </w:tcPr>
          <w:p w14:paraId="2DB9A341">
            <w:pPr>
              <w:jc w:val="center"/>
              <w:rPr>
                <w:sz w:val="20"/>
                <w:szCs w:val="20"/>
              </w:rPr>
            </w:pPr>
            <w:r>
              <w:rPr>
                <w:rFonts w:hint="eastAsia"/>
                <w:sz w:val="20"/>
                <w:szCs w:val="20"/>
              </w:rPr>
              <w:t>效</w:t>
            </w:r>
          </w:p>
          <w:p w14:paraId="3008B267">
            <w:pPr>
              <w:jc w:val="center"/>
              <w:rPr>
                <w:sz w:val="20"/>
                <w:szCs w:val="20"/>
              </w:rPr>
            </w:pPr>
            <w:r>
              <w:rPr>
                <w:rFonts w:hint="eastAsia"/>
                <w:sz w:val="20"/>
                <w:szCs w:val="20"/>
              </w:rPr>
              <w:t>益</w:t>
            </w:r>
          </w:p>
          <w:p w14:paraId="7315D8B2">
            <w:pPr>
              <w:jc w:val="center"/>
              <w:rPr>
                <w:sz w:val="20"/>
                <w:szCs w:val="20"/>
              </w:rPr>
            </w:pPr>
            <w:r>
              <w:rPr>
                <w:rFonts w:hint="eastAsia"/>
                <w:sz w:val="20"/>
                <w:szCs w:val="20"/>
              </w:rPr>
              <w:t>指</w:t>
            </w:r>
          </w:p>
          <w:p w14:paraId="5AC941E2">
            <w:pPr>
              <w:jc w:val="center"/>
              <w:rPr>
                <w:rFonts w:ascii="宋体" w:hAnsi="宋体" w:cs="宋体"/>
                <w:sz w:val="20"/>
                <w:szCs w:val="20"/>
              </w:rPr>
            </w:pPr>
            <w:r>
              <w:rPr>
                <w:rFonts w:hint="eastAsia"/>
                <w:sz w:val="20"/>
                <w:szCs w:val="20"/>
              </w:rPr>
              <w:t>标</w:t>
            </w:r>
          </w:p>
        </w:tc>
        <w:tc>
          <w:tcPr>
            <w:tcW w:w="723" w:type="dxa"/>
            <w:vMerge w:val="restart"/>
            <w:tcBorders>
              <w:top w:val="nil"/>
              <w:left w:val="single" w:color="auto" w:sz="4" w:space="0"/>
              <w:bottom w:val="single" w:color="000000" w:sz="4" w:space="0"/>
              <w:right w:val="single" w:color="auto" w:sz="4" w:space="0"/>
            </w:tcBorders>
            <w:vAlign w:val="center"/>
          </w:tcPr>
          <w:p w14:paraId="6C98CFDA">
            <w:pPr>
              <w:jc w:val="center"/>
              <w:rPr>
                <w:rFonts w:ascii="宋体" w:hAnsi="宋体" w:cs="宋体"/>
                <w:sz w:val="20"/>
                <w:szCs w:val="20"/>
              </w:rPr>
            </w:pPr>
            <w:r>
              <w:rPr>
                <w:rFonts w:hint="eastAsia"/>
                <w:sz w:val="20"/>
                <w:szCs w:val="20"/>
              </w:rPr>
              <w:t>经济效益指标</w:t>
            </w:r>
          </w:p>
        </w:tc>
        <w:tc>
          <w:tcPr>
            <w:tcW w:w="3271" w:type="dxa"/>
            <w:tcBorders>
              <w:top w:val="nil"/>
              <w:left w:val="nil"/>
              <w:bottom w:val="single" w:color="auto" w:sz="4" w:space="0"/>
              <w:right w:val="single" w:color="auto" w:sz="4" w:space="0"/>
            </w:tcBorders>
            <w:vAlign w:val="center"/>
          </w:tcPr>
          <w:p w14:paraId="17E47BCA">
            <w:pPr>
              <w:rPr>
                <w:rFonts w:ascii="宋体" w:hAnsi="宋体" w:cs="宋体"/>
                <w:sz w:val="20"/>
                <w:szCs w:val="20"/>
              </w:rPr>
            </w:pPr>
            <w:r>
              <w:rPr>
                <w:rFonts w:hint="eastAsia"/>
                <w:sz w:val="20"/>
                <w:szCs w:val="20"/>
              </w:rPr>
              <w:t xml:space="preserve"> 指标1：</w:t>
            </w:r>
          </w:p>
        </w:tc>
        <w:tc>
          <w:tcPr>
            <w:tcW w:w="236" w:type="dxa"/>
            <w:tcBorders>
              <w:top w:val="nil"/>
              <w:left w:val="nil"/>
              <w:bottom w:val="single" w:color="auto" w:sz="4" w:space="0"/>
              <w:right w:val="single" w:color="auto" w:sz="4" w:space="0"/>
            </w:tcBorders>
            <w:vAlign w:val="center"/>
          </w:tcPr>
          <w:p w14:paraId="0E2DC641">
            <w:pPr>
              <w:rPr>
                <w:rFonts w:ascii="宋体" w:hAnsi="宋体" w:cs="宋体"/>
                <w:sz w:val="20"/>
                <w:szCs w:val="20"/>
              </w:rPr>
            </w:pPr>
            <w:r>
              <w:rPr>
                <w:rFonts w:hint="eastAsia"/>
                <w:sz w:val="20"/>
                <w:szCs w:val="20"/>
              </w:rPr>
              <w:t>　</w:t>
            </w:r>
          </w:p>
        </w:tc>
        <w:tc>
          <w:tcPr>
            <w:tcW w:w="4361" w:type="dxa"/>
            <w:gridSpan w:val="3"/>
            <w:tcBorders>
              <w:top w:val="nil"/>
              <w:left w:val="nil"/>
              <w:bottom w:val="single" w:color="auto" w:sz="4" w:space="0"/>
              <w:right w:val="single" w:color="auto" w:sz="4" w:space="0"/>
            </w:tcBorders>
            <w:vAlign w:val="center"/>
          </w:tcPr>
          <w:p w14:paraId="7E63FAC1">
            <w:pPr>
              <w:rPr>
                <w:rFonts w:ascii="宋体" w:hAnsi="宋体" w:cs="宋体"/>
                <w:sz w:val="20"/>
                <w:szCs w:val="20"/>
              </w:rPr>
            </w:pPr>
            <w:r>
              <w:rPr>
                <w:rFonts w:hint="eastAsia"/>
                <w:sz w:val="20"/>
                <w:szCs w:val="20"/>
              </w:rPr>
              <w:t>　　</w:t>
            </w:r>
          </w:p>
        </w:tc>
      </w:tr>
      <w:tr w14:paraId="5CE198FB">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03A03CE6">
            <w:pPr>
              <w:rPr>
                <w:rFonts w:ascii="宋体" w:hAnsi="宋体" w:cs="宋体"/>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14:paraId="240C65E9">
            <w:pPr>
              <w:rPr>
                <w:rFonts w:ascii="宋体" w:hAnsi="宋体" w:cs="宋体"/>
                <w:sz w:val="20"/>
                <w:szCs w:val="20"/>
              </w:rPr>
            </w:pPr>
          </w:p>
        </w:tc>
        <w:tc>
          <w:tcPr>
            <w:tcW w:w="723" w:type="dxa"/>
            <w:vMerge w:val="continue"/>
            <w:tcBorders>
              <w:top w:val="nil"/>
              <w:left w:val="single" w:color="auto" w:sz="4" w:space="0"/>
              <w:bottom w:val="single" w:color="000000" w:sz="4" w:space="0"/>
              <w:right w:val="single" w:color="auto" w:sz="4" w:space="0"/>
            </w:tcBorders>
            <w:vAlign w:val="center"/>
          </w:tcPr>
          <w:p w14:paraId="2590A095">
            <w:pPr>
              <w:rPr>
                <w:rFonts w:ascii="宋体" w:hAnsi="宋体" w:cs="宋体"/>
                <w:sz w:val="20"/>
                <w:szCs w:val="20"/>
              </w:rPr>
            </w:pPr>
          </w:p>
        </w:tc>
        <w:tc>
          <w:tcPr>
            <w:tcW w:w="3271" w:type="dxa"/>
            <w:tcBorders>
              <w:top w:val="nil"/>
              <w:left w:val="nil"/>
              <w:bottom w:val="single" w:color="auto" w:sz="4" w:space="0"/>
              <w:right w:val="single" w:color="auto" w:sz="4" w:space="0"/>
            </w:tcBorders>
            <w:vAlign w:val="center"/>
          </w:tcPr>
          <w:p w14:paraId="67F965C4">
            <w:pPr>
              <w:rPr>
                <w:rFonts w:ascii="宋体" w:hAnsi="宋体" w:cs="宋体"/>
                <w:sz w:val="20"/>
                <w:szCs w:val="20"/>
              </w:rPr>
            </w:pPr>
            <w:r>
              <w:rPr>
                <w:rFonts w:hint="eastAsia"/>
                <w:sz w:val="20"/>
                <w:szCs w:val="20"/>
              </w:rPr>
              <w:t xml:space="preserve"> ……</w:t>
            </w:r>
          </w:p>
        </w:tc>
        <w:tc>
          <w:tcPr>
            <w:tcW w:w="236" w:type="dxa"/>
            <w:tcBorders>
              <w:top w:val="nil"/>
              <w:left w:val="nil"/>
              <w:bottom w:val="single" w:color="auto" w:sz="4" w:space="0"/>
              <w:right w:val="single" w:color="auto" w:sz="4" w:space="0"/>
            </w:tcBorders>
            <w:vAlign w:val="center"/>
          </w:tcPr>
          <w:p w14:paraId="1DC2D988">
            <w:pPr>
              <w:rPr>
                <w:rFonts w:ascii="宋体" w:hAnsi="宋体" w:cs="宋体"/>
                <w:sz w:val="20"/>
                <w:szCs w:val="20"/>
              </w:rPr>
            </w:pPr>
            <w:r>
              <w:rPr>
                <w:rFonts w:hint="eastAsia"/>
                <w:sz w:val="20"/>
                <w:szCs w:val="20"/>
              </w:rPr>
              <w:t>　</w:t>
            </w:r>
          </w:p>
        </w:tc>
        <w:tc>
          <w:tcPr>
            <w:tcW w:w="4361" w:type="dxa"/>
            <w:gridSpan w:val="3"/>
            <w:tcBorders>
              <w:top w:val="nil"/>
              <w:left w:val="nil"/>
              <w:bottom w:val="single" w:color="auto" w:sz="4" w:space="0"/>
              <w:right w:val="single" w:color="auto" w:sz="4" w:space="0"/>
            </w:tcBorders>
            <w:vAlign w:val="center"/>
          </w:tcPr>
          <w:p w14:paraId="281F3123">
            <w:pPr>
              <w:rPr>
                <w:rFonts w:ascii="宋体" w:hAnsi="宋体" w:cs="宋体"/>
                <w:sz w:val="20"/>
                <w:szCs w:val="20"/>
              </w:rPr>
            </w:pPr>
            <w:r>
              <w:rPr>
                <w:rFonts w:hint="eastAsia"/>
                <w:sz w:val="20"/>
                <w:szCs w:val="20"/>
              </w:rPr>
              <w:t>　　</w:t>
            </w:r>
          </w:p>
        </w:tc>
      </w:tr>
      <w:tr w14:paraId="172EB383">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67F6595D">
            <w:pPr>
              <w:rPr>
                <w:rFonts w:ascii="宋体" w:hAnsi="宋体" w:cs="宋体"/>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14:paraId="0B5BBEE2">
            <w:pPr>
              <w:rPr>
                <w:rFonts w:ascii="宋体" w:hAnsi="宋体" w:cs="宋体"/>
                <w:sz w:val="20"/>
                <w:szCs w:val="20"/>
              </w:rPr>
            </w:pPr>
          </w:p>
        </w:tc>
        <w:tc>
          <w:tcPr>
            <w:tcW w:w="723" w:type="dxa"/>
            <w:vMerge w:val="restart"/>
            <w:tcBorders>
              <w:top w:val="nil"/>
              <w:left w:val="single" w:color="auto" w:sz="4" w:space="0"/>
              <w:bottom w:val="single" w:color="000000" w:sz="4" w:space="0"/>
              <w:right w:val="single" w:color="auto" w:sz="4" w:space="0"/>
            </w:tcBorders>
            <w:vAlign w:val="center"/>
          </w:tcPr>
          <w:p w14:paraId="2B71F909">
            <w:pPr>
              <w:jc w:val="center"/>
              <w:rPr>
                <w:rFonts w:ascii="宋体" w:hAnsi="宋体" w:cs="宋体"/>
                <w:sz w:val="20"/>
                <w:szCs w:val="20"/>
              </w:rPr>
            </w:pPr>
            <w:r>
              <w:rPr>
                <w:rFonts w:hint="eastAsia"/>
                <w:sz w:val="20"/>
                <w:szCs w:val="20"/>
              </w:rPr>
              <w:t>社会效益指标</w:t>
            </w:r>
          </w:p>
        </w:tc>
        <w:tc>
          <w:tcPr>
            <w:tcW w:w="3271" w:type="dxa"/>
            <w:tcBorders>
              <w:top w:val="nil"/>
              <w:left w:val="nil"/>
              <w:bottom w:val="single" w:color="auto" w:sz="4" w:space="0"/>
              <w:right w:val="single" w:color="auto" w:sz="4" w:space="0"/>
            </w:tcBorders>
            <w:vAlign w:val="center"/>
          </w:tcPr>
          <w:p w14:paraId="05E9B73B">
            <w:pPr>
              <w:rPr>
                <w:rFonts w:ascii="宋体" w:hAnsi="宋体" w:cs="宋体"/>
                <w:sz w:val="20"/>
                <w:szCs w:val="20"/>
              </w:rPr>
            </w:pPr>
            <w:r>
              <w:rPr>
                <w:rFonts w:hint="eastAsia"/>
                <w:sz w:val="20"/>
                <w:szCs w:val="20"/>
              </w:rPr>
              <w:t xml:space="preserve"> 指标1：</w:t>
            </w:r>
          </w:p>
        </w:tc>
        <w:tc>
          <w:tcPr>
            <w:tcW w:w="236" w:type="dxa"/>
            <w:tcBorders>
              <w:top w:val="nil"/>
              <w:left w:val="nil"/>
              <w:bottom w:val="single" w:color="auto" w:sz="4" w:space="0"/>
              <w:right w:val="single" w:color="auto" w:sz="4" w:space="0"/>
            </w:tcBorders>
            <w:vAlign w:val="center"/>
          </w:tcPr>
          <w:p w14:paraId="05F36132">
            <w:pPr>
              <w:rPr>
                <w:rFonts w:ascii="宋体" w:hAnsi="宋体" w:cs="宋体"/>
                <w:sz w:val="20"/>
                <w:szCs w:val="20"/>
              </w:rPr>
            </w:pPr>
            <w:r>
              <w:rPr>
                <w:rFonts w:hint="eastAsia"/>
                <w:sz w:val="20"/>
                <w:szCs w:val="20"/>
              </w:rPr>
              <w:t>　</w:t>
            </w:r>
          </w:p>
        </w:tc>
        <w:tc>
          <w:tcPr>
            <w:tcW w:w="4361" w:type="dxa"/>
            <w:gridSpan w:val="3"/>
            <w:tcBorders>
              <w:top w:val="nil"/>
              <w:left w:val="nil"/>
              <w:bottom w:val="single" w:color="auto" w:sz="4" w:space="0"/>
              <w:right w:val="single" w:color="auto" w:sz="4" w:space="0"/>
            </w:tcBorders>
            <w:vAlign w:val="center"/>
          </w:tcPr>
          <w:p w14:paraId="71609545">
            <w:pPr>
              <w:rPr>
                <w:rFonts w:ascii="宋体" w:hAnsi="宋体" w:cs="宋体"/>
                <w:sz w:val="20"/>
                <w:szCs w:val="20"/>
              </w:rPr>
            </w:pPr>
            <w:r>
              <w:rPr>
                <w:rFonts w:hint="eastAsia"/>
                <w:sz w:val="20"/>
                <w:szCs w:val="20"/>
              </w:rPr>
              <w:t>　</w:t>
            </w:r>
          </w:p>
        </w:tc>
      </w:tr>
      <w:tr w14:paraId="703DD070">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68E234BA">
            <w:pPr>
              <w:rPr>
                <w:rFonts w:ascii="宋体" w:hAnsi="宋体" w:cs="宋体"/>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14:paraId="793D22B0">
            <w:pPr>
              <w:rPr>
                <w:rFonts w:ascii="宋体" w:hAnsi="宋体" w:cs="宋体"/>
                <w:sz w:val="20"/>
                <w:szCs w:val="20"/>
              </w:rPr>
            </w:pPr>
          </w:p>
        </w:tc>
        <w:tc>
          <w:tcPr>
            <w:tcW w:w="723" w:type="dxa"/>
            <w:vMerge w:val="continue"/>
            <w:tcBorders>
              <w:top w:val="nil"/>
              <w:left w:val="single" w:color="auto" w:sz="4" w:space="0"/>
              <w:bottom w:val="single" w:color="000000" w:sz="4" w:space="0"/>
              <w:right w:val="single" w:color="auto" w:sz="4" w:space="0"/>
            </w:tcBorders>
            <w:vAlign w:val="center"/>
          </w:tcPr>
          <w:p w14:paraId="49E5DC63">
            <w:pPr>
              <w:rPr>
                <w:rFonts w:ascii="宋体" w:hAnsi="宋体" w:cs="宋体"/>
                <w:sz w:val="20"/>
                <w:szCs w:val="20"/>
              </w:rPr>
            </w:pPr>
          </w:p>
        </w:tc>
        <w:tc>
          <w:tcPr>
            <w:tcW w:w="3271" w:type="dxa"/>
            <w:tcBorders>
              <w:top w:val="nil"/>
              <w:left w:val="nil"/>
              <w:bottom w:val="single" w:color="auto" w:sz="4" w:space="0"/>
              <w:right w:val="single" w:color="auto" w:sz="4" w:space="0"/>
            </w:tcBorders>
            <w:vAlign w:val="center"/>
          </w:tcPr>
          <w:p w14:paraId="001ADDA4">
            <w:pPr>
              <w:rPr>
                <w:rFonts w:ascii="宋体" w:hAnsi="宋体" w:cs="宋体"/>
                <w:sz w:val="20"/>
                <w:szCs w:val="20"/>
              </w:rPr>
            </w:pPr>
            <w:r>
              <w:rPr>
                <w:rFonts w:hint="eastAsia"/>
                <w:sz w:val="20"/>
                <w:szCs w:val="20"/>
              </w:rPr>
              <w:t xml:space="preserve"> ……</w:t>
            </w:r>
          </w:p>
        </w:tc>
        <w:tc>
          <w:tcPr>
            <w:tcW w:w="236" w:type="dxa"/>
            <w:tcBorders>
              <w:top w:val="nil"/>
              <w:left w:val="nil"/>
              <w:bottom w:val="single" w:color="auto" w:sz="4" w:space="0"/>
              <w:right w:val="single" w:color="auto" w:sz="4" w:space="0"/>
            </w:tcBorders>
            <w:vAlign w:val="center"/>
          </w:tcPr>
          <w:p w14:paraId="07946465">
            <w:pPr>
              <w:rPr>
                <w:rFonts w:ascii="宋体" w:hAnsi="宋体" w:cs="宋体"/>
                <w:sz w:val="20"/>
                <w:szCs w:val="20"/>
              </w:rPr>
            </w:pPr>
            <w:r>
              <w:rPr>
                <w:rFonts w:hint="eastAsia"/>
                <w:sz w:val="20"/>
                <w:szCs w:val="20"/>
              </w:rPr>
              <w:t>　</w:t>
            </w:r>
          </w:p>
        </w:tc>
        <w:tc>
          <w:tcPr>
            <w:tcW w:w="4361" w:type="dxa"/>
            <w:gridSpan w:val="3"/>
            <w:tcBorders>
              <w:top w:val="nil"/>
              <w:left w:val="nil"/>
              <w:bottom w:val="single" w:color="auto" w:sz="4" w:space="0"/>
              <w:right w:val="single" w:color="auto" w:sz="4" w:space="0"/>
            </w:tcBorders>
            <w:vAlign w:val="center"/>
          </w:tcPr>
          <w:p w14:paraId="69BF10A7">
            <w:pPr>
              <w:rPr>
                <w:rFonts w:ascii="宋体" w:hAnsi="宋体" w:cs="宋体"/>
                <w:sz w:val="20"/>
                <w:szCs w:val="20"/>
              </w:rPr>
            </w:pPr>
            <w:r>
              <w:rPr>
                <w:rFonts w:hint="eastAsia"/>
                <w:sz w:val="20"/>
                <w:szCs w:val="20"/>
              </w:rPr>
              <w:t>　</w:t>
            </w:r>
          </w:p>
        </w:tc>
      </w:tr>
      <w:tr w14:paraId="3705E650">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3C382E82">
            <w:pPr>
              <w:rPr>
                <w:rFonts w:ascii="宋体" w:hAnsi="宋体" w:cs="宋体"/>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14:paraId="0368211D">
            <w:pPr>
              <w:rPr>
                <w:rFonts w:ascii="宋体" w:hAnsi="宋体" w:cs="宋体"/>
                <w:sz w:val="20"/>
                <w:szCs w:val="20"/>
              </w:rPr>
            </w:pPr>
          </w:p>
        </w:tc>
        <w:tc>
          <w:tcPr>
            <w:tcW w:w="723" w:type="dxa"/>
            <w:vMerge w:val="restart"/>
            <w:tcBorders>
              <w:top w:val="nil"/>
              <w:left w:val="single" w:color="auto" w:sz="4" w:space="0"/>
              <w:bottom w:val="single" w:color="000000" w:sz="4" w:space="0"/>
              <w:right w:val="single" w:color="auto" w:sz="4" w:space="0"/>
            </w:tcBorders>
            <w:vAlign w:val="center"/>
          </w:tcPr>
          <w:p w14:paraId="6D06CADE">
            <w:pPr>
              <w:jc w:val="center"/>
              <w:rPr>
                <w:rFonts w:ascii="宋体" w:hAnsi="宋体" w:cs="宋体"/>
                <w:sz w:val="20"/>
                <w:szCs w:val="20"/>
              </w:rPr>
            </w:pPr>
            <w:r>
              <w:rPr>
                <w:rFonts w:hint="eastAsia"/>
                <w:sz w:val="20"/>
                <w:szCs w:val="20"/>
              </w:rPr>
              <w:t>生态效益指标</w:t>
            </w:r>
          </w:p>
        </w:tc>
        <w:tc>
          <w:tcPr>
            <w:tcW w:w="3271" w:type="dxa"/>
            <w:tcBorders>
              <w:top w:val="nil"/>
              <w:left w:val="nil"/>
              <w:bottom w:val="single" w:color="auto" w:sz="4" w:space="0"/>
              <w:right w:val="single" w:color="auto" w:sz="4" w:space="0"/>
            </w:tcBorders>
            <w:vAlign w:val="center"/>
          </w:tcPr>
          <w:p w14:paraId="3B84796A">
            <w:pPr>
              <w:rPr>
                <w:rFonts w:ascii="宋体" w:hAnsi="宋体" w:cs="宋体"/>
                <w:sz w:val="20"/>
                <w:szCs w:val="20"/>
              </w:rPr>
            </w:pPr>
            <w:r>
              <w:rPr>
                <w:rFonts w:hint="eastAsia"/>
                <w:sz w:val="20"/>
                <w:szCs w:val="20"/>
              </w:rPr>
              <w:t xml:space="preserve"> 指标1：</w:t>
            </w:r>
          </w:p>
        </w:tc>
        <w:tc>
          <w:tcPr>
            <w:tcW w:w="236" w:type="dxa"/>
            <w:tcBorders>
              <w:top w:val="nil"/>
              <w:left w:val="nil"/>
              <w:bottom w:val="single" w:color="auto" w:sz="4" w:space="0"/>
              <w:right w:val="single" w:color="auto" w:sz="4" w:space="0"/>
            </w:tcBorders>
            <w:vAlign w:val="center"/>
          </w:tcPr>
          <w:p w14:paraId="24DD3F46">
            <w:pPr>
              <w:rPr>
                <w:rFonts w:ascii="宋体" w:hAnsi="宋体" w:cs="宋体"/>
                <w:sz w:val="20"/>
                <w:szCs w:val="20"/>
              </w:rPr>
            </w:pPr>
            <w:r>
              <w:rPr>
                <w:rFonts w:hint="eastAsia"/>
                <w:sz w:val="20"/>
                <w:szCs w:val="20"/>
              </w:rPr>
              <w:t>　</w:t>
            </w:r>
          </w:p>
        </w:tc>
        <w:tc>
          <w:tcPr>
            <w:tcW w:w="4361" w:type="dxa"/>
            <w:gridSpan w:val="3"/>
            <w:tcBorders>
              <w:top w:val="nil"/>
              <w:left w:val="nil"/>
              <w:bottom w:val="single" w:color="auto" w:sz="4" w:space="0"/>
              <w:right w:val="single" w:color="auto" w:sz="4" w:space="0"/>
            </w:tcBorders>
            <w:vAlign w:val="center"/>
          </w:tcPr>
          <w:p w14:paraId="0D088C19">
            <w:pPr>
              <w:rPr>
                <w:rFonts w:ascii="宋体" w:hAnsi="宋体" w:cs="宋体"/>
                <w:sz w:val="20"/>
                <w:szCs w:val="20"/>
              </w:rPr>
            </w:pPr>
            <w:r>
              <w:rPr>
                <w:rFonts w:hint="eastAsia"/>
                <w:sz w:val="20"/>
                <w:szCs w:val="20"/>
              </w:rPr>
              <w:t>　</w:t>
            </w:r>
          </w:p>
        </w:tc>
      </w:tr>
      <w:tr w14:paraId="57D38BE1">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2E7DD833">
            <w:pPr>
              <w:rPr>
                <w:rFonts w:ascii="宋体" w:hAnsi="宋体" w:cs="宋体"/>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14:paraId="02021214">
            <w:pPr>
              <w:rPr>
                <w:rFonts w:ascii="宋体" w:hAnsi="宋体" w:cs="宋体"/>
                <w:sz w:val="20"/>
                <w:szCs w:val="20"/>
              </w:rPr>
            </w:pPr>
          </w:p>
        </w:tc>
        <w:tc>
          <w:tcPr>
            <w:tcW w:w="723" w:type="dxa"/>
            <w:vMerge w:val="continue"/>
            <w:tcBorders>
              <w:top w:val="nil"/>
              <w:left w:val="single" w:color="auto" w:sz="4" w:space="0"/>
              <w:bottom w:val="single" w:color="000000" w:sz="4" w:space="0"/>
              <w:right w:val="single" w:color="auto" w:sz="4" w:space="0"/>
            </w:tcBorders>
            <w:vAlign w:val="center"/>
          </w:tcPr>
          <w:p w14:paraId="736604DD">
            <w:pPr>
              <w:rPr>
                <w:rFonts w:ascii="宋体" w:hAnsi="宋体" w:cs="宋体"/>
                <w:sz w:val="20"/>
                <w:szCs w:val="20"/>
              </w:rPr>
            </w:pPr>
          </w:p>
        </w:tc>
        <w:tc>
          <w:tcPr>
            <w:tcW w:w="3271" w:type="dxa"/>
            <w:tcBorders>
              <w:top w:val="nil"/>
              <w:left w:val="nil"/>
              <w:bottom w:val="single" w:color="auto" w:sz="4" w:space="0"/>
              <w:right w:val="single" w:color="auto" w:sz="4" w:space="0"/>
            </w:tcBorders>
            <w:vAlign w:val="center"/>
          </w:tcPr>
          <w:p w14:paraId="0C4A2BB7">
            <w:pPr>
              <w:rPr>
                <w:rFonts w:ascii="宋体" w:hAnsi="宋体" w:cs="宋体"/>
                <w:sz w:val="20"/>
                <w:szCs w:val="20"/>
              </w:rPr>
            </w:pPr>
            <w:r>
              <w:rPr>
                <w:rFonts w:hint="eastAsia"/>
                <w:sz w:val="20"/>
                <w:szCs w:val="20"/>
              </w:rPr>
              <w:t xml:space="preserve"> ……</w:t>
            </w:r>
          </w:p>
        </w:tc>
        <w:tc>
          <w:tcPr>
            <w:tcW w:w="236" w:type="dxa"/>
            <w:tcBorders>
              <w:top w:val="nil"/>
              <w:left w:val="nil"/>
              <w:bottom w:val="single" w:color="auto" w:sz="4" w:space="0"/>
              <w:right w:val="single" w:color="auto" w:sz="4" w:space="0"/>
            </w:tcBorders>
            <w:vAlign w:val="center"/>
          </w:tcPr>
          <w:p w14:paraId="47024A35">
            <w:pPr>
              <w:rPr>
                <w:rFonts w:ascii="宋体" w:hAnsi="宋体" w:cs="宋体"/>
                <w:sz w:val="20"/>
                <w:szCs w:val="20"/>
              </w:rPr>
            </w:pPr>
            <w:r>
              <w:rPr>
                <w:rFonts w:hint="eastAsia"/>
                <w:sz w:val="20"/>
                <w:szCs w:val="20"/>
              </w:rPr>
              <w:t>　</w:t>
            </w:r>
          </w:p>
        </w:tc>
        <w:tc>
          <w:tcPr>
            <w:tcW w:w="4361" w:type="dxa"/>
            <w:gridSpan w:val="3"/>
            <w:tcBorders>
              <w:top w:val="nil"/>
              <w:left w:val="nil"/>
              <w:bottom w:val="single" w:color="auto" w:sz="4" w:space="0"/>
              <w:right w:val="single" w:color="auto" w:sz="4" w:space="0"/>
            </w:tcBorders>
            <w:vAlign w:val="center"/>
          </w:tcPr>
          <w:p w14:paraId="74531CED">
            <w:pPr>
              <w:rPr>
                <w:rFonts w:ascii="宋体" w:hAnsi="宋体" w:cs="宋体"/>
                <w:sz w:val="20"/>
                <w:szCs w:val="20"/>
              </w:rPr>
            </w:pPr>
          </w:p>
        </w:tc>
      </w:tr>
      <w:tr w14:paraId="0FC36533">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6FFDBE0B">
            <w:pPr>
              <w:rPr>
                <w:rFonts w:ascii="宋体" w:hAnsi="宋体" w:cs="宋体"/>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14:paraId="139AD0F4">
            <w:pPr>
              <w:rPr>
                <w:rFonts w:ascii="宋体" w:hAnsi="宋体" w:cs="宋体"/>
                <w:sz w:val="20"/>
                <w:szCs w:val="20"/>
              </w:rPr>
            </w:pPr>
          </w:p>
        </w:tc>
        <w:tc>
          <w:tcPr>
            <w:tcW w:w="723" w:type="dxa"/>
            <w:vMerge w:val="restart"/>
            <w:tcBorders>
              <w:top w:val="nil"/>
              <w:left w:val="single" w:color="auto" w:sz="4" w:space="0"/>
              <w:bottom w:val="single" w:color="000000" w:sz="4" w:space="0"/>
              <w:right w:val="single" w:color="auto" w:sz="4" w:space="0"/>
            </w:tcBorders>
            <w:vAlign w:val="center"/>
          </w:tcPr>
          <w:p w14:paraId="6CEDF6DF">
            <w:pPr>
              <w:jc w:val="center"/>
              <w:rPr>
                <w:sz w:val="20"/>
                <w:szCs w:val="20"/>
              </w:rPr>
            </w:pPr>
            <w:r>
              <w:rPr>
                <w:rFonts w:hint="eastAsia"/>
                <w:sz w:val="20"/>
                <w:szCs w:val="20"/>
              </w:rPr>
              <w:t>可持续影响</w:t>
            </w:r>
          </w:p>
          <w:p w14:paraId="7DFCC45E">
            <w:pPr>
              <w:jc w:val="center"/>
              <w:rPr>
                <w:rFonts w:ascii="宋体" w:hAnsi="宋体" w:cs="宋体"/>
                <w:sz w:val="20"/>
                <w:szCs w:val="20"/>
              </w:rPr>
            </w:pPr>
            <w:r>
              <w:rPr>
                <w:rFonts w:hint="eastAsia"/>
                <w:sz w:val="20"/>
                <w:szCs w:val="20"/>
              </w:rPr>
              <w:t>指标</w:t>
            </w:r>
          </w:p>
        </w:tc>
        <w:tc>
          <w:tcPr>
            <w:tcW w:w="3271" w:type="dxa"/>
            <w:tcBorders>
              <w:top w:val="nil"/>
              <w:left w:val="nil"/>
              <w:bottom w:val="single" w:color="auto" w:sz="4" w:space="0"/>
              <w:right w:val="single" w:color="auto" w:sz="4" w:space="0"/>
            </w:tcBorders>
            <w:vAlign w:val="center"/>
          </w:tcPr>
          <w:p w14:paraId="1380221B">
            <w:pPr>
              <w:rPr>
                <w:rFonts w:ascii="宋体" w:hAnsi="宋体" w:cs="宋体"/>
                <w:sz w:val="20"/>
                <w:szCs w:val="20"/>
              </w:rPr>
            </w:pPr>
            <w:r>
              <w:rPr>
                <w:rFonts w:hint="eastAsia"/>
                <w:sz w:val="20"/>
                <w:szCs w:val="20"/>
              </w:rPr>
              <w:t xml:space="preserve"> 指标1：</w:t>
            </w:r>
          </w:p>
        </w:tc>
        <w:tc>
          <w:tcPr>
            <w:tcW w:w="236" w:type="dxa"/>
            <w:tcBorders>
              <w:top w:val="nil"/>
              <w:left w:val="nil"/>
              <w:bottom w:val="single" w:color="auto" w:sz="4" w:space="0"/>
              <w:right w:val="single" w:color="auto" w:sz="4" w:space="0"/>
            </w:tcBorders>
            <w:vAlign w:val="center"/>
          </w:tcPr>
          <w:p w14:paraId="5DC1243B">
            <w:pPr>
              <w:rPr>
                <w:rFonts w:ascii="宋体" w:hAnsi="宋体" w:cs="宋体"/>
                <w:sz w:val="20"/>
                <w:szCs w:val="20"/>
              </w:rPr>
            </w:pPr>
            <w:r>
              <w:rPr>
                <w:rFonts w:hint="eastAsia"/>
                <w:sz w:val="20"/>
                <w:szCs w:val="20"/>
              </w:rPr>
              <w:t>　</w:t>
            </w:r>
          </w:p>
        </w:tc>
        <w:tc>
          <w:tcPr>
            <w:tcW w:w="4361" w:type="dxa"/>
            <w:gridSpan w:val="3"/>
            <w:tcBorders>
              <w:top w:val="nil"/>
              <w:left w:val="nil"/>
              <w:bottom w:val="single" w:color="auto" w:sz="4" w:space="0"/>
              <w:right w:val="single" w:color="auto" w:sz="4" w:space="0"/>
            </w:tcBorders>
            <w:vAlign w:val="center"/>
          </w:tcPr>
          <w:p w14:paraId="79AB9318">
            <w:pPr>
              <w:rPr>
                <w:rFonts w:ascii="宋体" w:hAnsi="宋体" w:cs="宋体"/>
                <w:sz w:val="20"/>
                <w:szCs w:val="20"/>
              </w:rPr>
            </w:pPr>
            <w:r>
              <w:rPr>
                <w:rFonts w:hint="eastAsia"/>
                <w:sz w:val="20"/>
                <w:szCs w:val="20"/>
              </w:rPr>
              <w:t>　</w:t>
            </w:r>
          </w:p>
        </w:tc>
      </w:tr>
      <w:tr w14:paraId="10D8C3C9">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321FB02A">
            <w:pPr>
              <w:rPr>
                <w:rFonts w:ascii="宋体" w:hAnsi="宋体" w:cs="宋体"/>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14:paraId="1832C7A8">
            <w:pPr>
              <w:rPr>
                <w:rFonts w:ascii="宋体" w:hAnsi="宋体" w:cs="宋体"/>
                <w:sz w:val="20"/>
                <w:szCs w:val="20"/>
              </w:rPr>
            </w:pPr>
          </w:p>
        </w:tc>
        <w:tc>
          <w:tcPr>
            <w:tcW w:w="723" w:type="dxa"/>
            <w:vMerge w:val="continue"/>
            <w:tcBorders>
              <w:top w:val="nil"/>
              <w:left w:val="single" w:color="auto" w:sz="4" w:space="0"/>
              <w:bottom w:val="single" w:color="000000" w:sz="4" w:space="0"/>
              <w:right w:val="single" w:color="auto" w:sz="4" w:space="0"/>
            </w:tcBorders>
            <w:vAlign w:val="center"/>
          </w:tcPr>
          <w:p w14:paraId="5BE71739">
            <w:pPr>
              <w:rPr>
                <w:rFonts w:ascii="宋体" w:hAnsi="宋体" w:cs="宋体"/>
                <w:sz w:val="20"/>
                <w:szCs w:val="20"/>
              </w:rPr>
            </w:pPr>
          </w:p>
        </w:tc>
        <w:tc>
          <w:tcPr>
            <w:tcW w:w="3271" w:type="dxa"/>
            <w:tcBorders>
              <w:top w:val="nil"/>
              <w:left w:val="nil"/>
              <w:bottom w:val="single" w:color="auto" w:sz="4" w:space="0"/>
              <w:right w:val="single" w:color="auto" w:sz="4" w:space="0"/>
            </w:tcBorders>
            <w:vAlign w:val="center"/>
          </w:tcPr>
          <w:p w14:paraId="6FEE9508">
            <w:pPr>
              <w:rPr>
                <w:rFonts w:ascii="宋体" w:hAnsi="宋体" w:cs="宋体"/>
                <w:sz w:val="20"/>
                <w:szCs w:val="20"/>
              </w:rPr>
            </w:pPr>
            <w:r>
              <w:rPr>
                <w:rFonts w:hint="eastAsia"/>
                <w:sz w:val="20"/>
                <w:szCs w:val="20"/>
              </w:rPr>
              <w:t xml:space="preserve"> ……</w:t>
            </w:r>
          </w:p>
        </w:tc>
        <w:tc>
          <w:tcPr>
            <w:tcW w:w="236" w:type="dxa"/>
            <w:tcBorders>
              <w:top w:val="nil"/>
              <w:left w:val="nil"/>
              <w:bottom w:val="single" w:color="auto" w:sz="4" w:space="0"/>
              <w:right w:val="single" w:color="auto" w:sz="4" w:space="0"/>
            </w:tcBorders>
            <w:vAlign w:val="center"/>
          </w:tcPr>
          <w:p w14:paraId="3CF9D874">
            <w:pPr>
              <w:rPr>
                <w:rFonts w:ascii="宋体" w:hAnsi="宋体" w:cs="宋体"/>
                <w:sz w:val="20"/>
                <w:szCs w:val="20"/>
              </w:rPr>
            </w:pPr>
            <w:r>
              <w:rPr>
                <w:rFonts w:hint="eastAsia"/>
                <w:sz w:val="20"/>
                <w:szCs w:val="20"/>
              </w:rPr>
              <w:t>　</w:t>
            </w:r>
          </w:p>
        </w:tc>
        <w:tc>
          <w:tcPr>
            <w:tcW w:w="4361" w:type="dxa"/>
            <w:gridSpan w:val="3"/>
            <w:tcBorders>
              <w:top w:val="nil"/>
              <w:left w:val="nil"/>
              <w:bottom w:val="single" w:color="auto" w:sz="4" w:space="0"/>
              <w:right w:val="single" w:color="auto" w:sz="4" w:space="0"/>
            </w:tcBorders>
            <w:vAlign w:val="center"/>
          </w:tcPr>
          <w:p w14:paraId="06AB4299">
            <w:pPr>
              <w:rPr>
                <w:rFonts w:ascii="宋体" w:hAnsi="宋体" w:cs="宋体"/>
                <w:sz w:val="20"/>
                <w:szCs w:val="20"/>
              </w:rPr>
            </w:pPr>
          </w:p>
        </w:tc>
      </w:tr>
      <w:tr w14:paraId="390FBEDF">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23F09FFC">
            <w:pPr>
              <w:rPr>
                <w:rFonts w:ascii="宋体" w:hAnsi="宋体" w:cs="宋体"/>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14:paraId="236DE247">
            <w:pPr>
              <w:rPr>
                <w:rFonts w:ascii="宋体" w:hAnsi="宋体" w:cs="宋体"/>
                <w:sz w:val="20"/>
                <w:szCs w:val="20"/>
              </w:rPr>
            </w:pPr>
          </w:p>
        </w:tc>
        <w:tc>
          <w:tcPr>
            <w:tcW w:w="723" w:type="dxa"/>
            <w:tcBorders>
              <w:top w:val="nil"/>
              <w:left w:val="nil"/>
              <w:bottom w:val="single" w:color="auto" w:sz="4" w:space="0"/>
              <w:right w:val="single" w:color="auto" w:sz="4" w:space="0"/>
            </w:tcBorders>
            <w:vAlign w:val="center"/>
          </w:tcPr>
          <w:p w14:paraId="2006ED8B">
            <w:pPr>
              <w:jc w:val="center"/>
              <w:rPr>
                <w:rFonts w:ascii="宋体" w:hAnsi="宋体" w:cs="宋体"/>
                <w:sz w:val="20"/>
                <w:szCs w:val="20"/>
              </w:rPr>
            </w:pPr>
            <w:r>
              <w:rPr>
                <w:rFonts w:hint="eastAsia"/>
                <w:sz w:val="20"/>
                <w:szCs w:val="20"/>
              </w:rPr>
              <w:t>……</w:t>
            </w:r>
          </w:p>
        </w:tc>
        <w:tc>
          <w:tcPr>
            <w:tcW w:w="3271" w:type="dxa"/>
            <w:tcBorders>
              <w:top w:val="nil"/>
              <w:left w:val="nil"/>
              <w:bottom w:val="single" w:color="auto" w:sz="4" w:space="0"/>
              <w:right w:val="single" w:color="auto" w:sz="4" w:space="0"/>
            </w:tcBorders>
            <w:vAlign w:val="center"/>
          </w:tcPr>
          <w:p w14:paraId="681A7559">
            <w:pPr>
              <w:rPr>
                <w:rFonts w:ascii="宋体" w:hAnsi="宋体" w:cs="宋体"/>
                <w:sz w:val="20"/>
                <w:szCs w:val="20"/>
              </w:rPr>
            </w:pPr>
            <w:r>
              <w:rPr>
                <w:rFonts w:hint="eastAsia"/>
                <w:sz w:val="20"/>
                <w:szCs w:val="20"/>
              </w:rPr>
              <w:t>　</w:t>
            </w:r>
          </w:p>
        </w:tc>
        <w:tc>
          <w:tcPr>
            <w:tcW w:w="236" w:type="dxa"/>
            <w:tcBorders>
              <w:top w:val="nil"/>
              <w:left w:val="nil"/>
              <w:bottom w:val="single" w:color="auto" w:sz="4" w:space="0"/>
              <w:right w:val="single" w:color="auto" w:sz="4" w:space="0"/>
            </w:tcBorders>
            <w:vAlign w:val="center"/>
          </w:tcPr>
          <w:p w14:paraId="7B370559">
            <w:pPr>
              <w:rPr>
                <w:rFonts w:ascii="宋体" w:hAnsi="宋体" w:cs="宋体"/>
                <w:sz w:val="20"/>
                <w:szCs w:val="20"/>
              </w:rPr>
            </w:pPr>
            <w:r>
              <w:rPr>
                <w:rFonts w:hint="eastAsia"/>
                <w:sz w:val="20"/>
                <w:szCs w:val="20"/>
              </w:rPr>
              <w:t>　</w:t>
            </w:r>
          </w:p>
        </w:tc>
        <w:tc>
          <w:tcPr>
            <w:tcW w:w="4361" w:type="dxa"/>
            <w:gridSpan w:val="3"/>
            <w:tcBorders>
              <w:top w:val="nil"/>
              <w:left w:val="nil"/>
              <w:bottom w:val="single" w:color="auto" w:sz="4" w:space="0"/>
              <w:right w:val="single" w:color="auto" w:sz="4" w:space="0"/>
            </w:tcBorders>
            <w:vAlign w:val="center"/>
          </w:tcPr>
          <w:p w14:paraId="463E4C20">
            <w:pPr>
              <w:rPr>
                <w:rFonts w:ascii="宋体" w:hAnsi="宋体" w:cs="宋体"/>
                <w:sz w:val="20"/>
                <w:szCs w:val="20"/>
              </w:rPr>
            </w:pPr>
            <w:r>
              <w:rPr>
                <w:rFonts w:hint="eastAsia"/>
                <w:sz w:val="20"/>
                <w:szCs w:val="20"/>
              </w:rPr>
              <w:t>　</w:t>
            </w:r>
          </w:p>
        </w:tc>
      </w:tr>
      <w:tr w14:paraId="3DF10077">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72E20D55">
            <w:pPr>
              <w:rPr>
                <w:rFonts w:ascii="宋体" w:hAnsi="宋体" w:cs="宋体"/>
                <w:sz w:val="20"/>
                <w:szCs w:val="20"/>
              </w:rPr>
            </w:pPr>
          </w:p>
        </w:tc>
        <w:tc>
          <w:tcPr>
            <w:tcW w:w="616" w:type="dxa"/>
            <w:vMerge w:val="restart"/>
            <w:tcBorders>
              <w:top w:val="nil"/>
              <w:left w:val="single" w:color="auto" w:sz="4" w:space="0"/>
              <w:bottom w:val="single" w:color="000000" w:sz="4" w:space="0"/>
              <w:right w:val="single" w:color="auto" w:sz="4" w:space="0"/>
            </w:tcBorders>
            <w:vAlign w:val="center"/>
          </w:tcPr>
          <w:p w14:paraId="78308AB0">
            <w:pPr>
              <w:jc w:val="center"/>
              <w:rPr>
                <w:rFonts w:ascii="宋体" w:hAnsi="宋体" w:cs="宋体"/>
                <w:sz w:val="20"/>
                <w:szCs w:val="20"/>
              </w:rPr>
            </w:pPr>
            <w:r>
              <w:rPr>
                <w:rFonts w:hint="eastAsia"/>
                <w:sz w:val="20"/>
                <w:szCs w:val="20"/>
              </w:rPr>
              <w:t>满意度指标</w:t>
            </w:r>
          </w:p>
        </w:tc>
        <w:tc>
          <w:tcPr>
            <w:tcW w:w="723" w:type="dxa"/>
            <w:vMerge w:val="restart"/>
            <w:tcBorders>
              <w:top w:val="nil"/>
              <w:left w:val="single" w:color="auto" w:sz="4" w:space="0"/>
              <w:bottom w:val="single" w:color="000000" w:sz="4" w:space="0"/>
              <w:right w:val="single" w:color="auto" w:sz="4" w:space="0"/>
            </w:tcBorders>
            <w:vAlign w:val="center"/>
          </w:tcPr>
          <w:p w14:paraId="3F0BB375">
            <w:pPr>
              <w:jc w:val="center"/>
              <w:rPr>
                <w:rFonts w:ascii="宋体" w:hAnsi="宋体" w:cs="宋体"/>
                <w:sz w:val="20"/>
                <w:szCs w:val="20"/>
              </w:rPr>
            </w:pPr>
            <w:r>
              <w:rPr>
                <w:rFonts w:hint="eastAsia"/>
                <w:sz w:val="20"/>
                <w:szCs w:val="20"/>
              </w:rPr>
              <w:t>服务对象满意度指标</w:t>
            </w:r>
          </w:p>
        </w:tc>
        <w:tc>
          <w:tcPr>
            <w:tcW w:w="3271" w:type="dxa"/>
            <w:tcBorders>
              <w:top w:val="nil"/>
              <w:left w:val="nil"/>
              <w:bottom w:val="single" w:color="auto" w:sz="4" w:space="0"/>
              <w:right w:val="single" w:color="auto" w:sz="4" w:space="0"/>
            </w:tcBorders>
            <w:vAlign w:val="center"/>
          </w:tcPr>
          <w:p w14:paraId="4F959DFF">
            <w:pPr>
              <w:rPr>
                <w:rFonts w:ascii="宋体" w:hAnsi="宋体" w:cs="宋体"/>
                <w:sz w:val="20"/>
                <w:szCs w:val="20"/>
              </w:rPr>
            </w:pPr>
            <w:r>
              <w:rPr>
                <w:rFonts w:hint="eastAsia"/>
                <w:sz w:val="20"/>
                <w:szCs w:val="20"/>
              </w:rPr>
              <w:t xml:space="preserve"> 指标1：</w:t>
            </w:r>
          </w:p>
        </w:tc>
        <w:tc>
          <w:tcPr>
            <w:tcW w:w="236" w:type="dxa"/>
            <w:tcBorders>
              <w:top w:val="nil"/>
              <w:left w:val="nil"/>
              <w:bottom w:val="single" w:color="auto" w:sz="4" w:space="0"/>
              <w:right w:val="single" w:color="auto" w:sz="4" w:space="0"/>
            </w:tcBorders>
            <w:vAlign w:val="center"/>
          </w:tcPr>
          <w:p w14:paraId="51F7E1DC">
            <w:pPr>
              <w:jc w:val="center"/>
              <w:rPr>
                <w:rFonts w:ascii="宋体" w:hAnsi="宋体" w:cs="宋体"/>
                <w:sz w:val="20"/>
                <w:szCs w:val="20"/>
              </w:rPr>
            </w:pPr>
            <w:r>
              <w:rPr>
                <w:rFonts w:hint="eastAsia"/>
                <w:sz w:val="20"/>
                <w:szCs w:val="20"/>
              </w:rPr>
              <w:t>　</w:t>
            </w:r>
          </w:p>
        </w:tc>
        <w:tc>
          <w:tcPr>
            <w:tcW w:w="4361" w:type="dxa"/>
            <w:gridSpan w:val="3"/>
            <w:tcBorders>
              <w:top w:val="nil"/>
              <w:left w:val="nil"/>
              <w:bottom w:val="single" w:color="auto" w:sz="4" w:space="0"/>
              <w:right w:val="single" w:color="auto" w:sz="4" w:space="0"/>
            </w:tcBorders>
            <w:vAlign w:val="center"/>
          </w:tcPr>
          <w:p w14:paraId="38487E58">
            <w:pPr>
              <w:jc w:val="center"/>
              <w:rPr>
                <w:rFonts w:ascii="宋体" w:hAnsi="宋体" w:cs="宋体"/>
                <w:sz w:val="20"/>
                <w:szCs w:val="20"/>
              </w:rPr>
            </w:pPr>
            <w:r>
              <w:rPr>
                <w:rFonts w:hint="eastAsia"/>
                <w:sz w:val="20"/>
                <w:szCs w:val="20"/>
              </w:rPr>
              <w:t>　</w:t>
            </w:r>
          </w:p>
        </w:tc>
      </w:tr>
      <w:tr w14:paraId="2636ECA1">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5BBC981C">
            <w:pPr>
              <w:rPr>
                <w:rFonts w:ascii="宋体" w:hAnsi="宋体" w:cs="宋体"/>
                <w:sz w:val="20"/>
                <w:szCs w:val="20"/>
              </w:rPr>
            </w:pPr>
          </w:p>
        </w:tc>
        <w:tc>
          <w:tcPr>
            <w:tcW w:w="616" w:type="dxa"/>
            <w:vMerge w:val="continue"/>
            <w:tcBorders>
              <w:top w:val="nil"/>
              <w:left w:val="single" w:color="auto" w:sz="4" w:space="0"/>
              <w:bottom w:val="single" w:color="000000" w:sz="4" w:space="0"/>
              <w:right w:val="single" w:color="auto" w:sz="4" w:space="0"/>
            </w:tcBorders>
            <w:vAlign w:val="center"/>
          </w:tcPr>
          <w:p w14:paraId="74C9021D">
            <w:pPr>
              <w:rPr>
                <w:rFonts w:ascii="宋体" w:hAnsi="宋体" w:cs="宋体"/>
                <w:sz w:val="20"/>
                <w:szCs w:val="20"/>
              </w:rPr>
            </w:pPr>
          </w:p>
        </w:tc>
        <w:tc>
          <w:tcPr>
            <w:tcW w:w="723" w:type="dxa"/>
            <w:vMerge w:val="continue"/>
            <w:tcBorders>
              <w:top w:val="nil"/>
              <w:left w:val="single" w:color="auto" w:sz="4" w:space="0"/>
              <w:bottom w:val="single" w:color="000000" w:sz="4" w:space="0"/>
              <w:right w:val="single" w:color="auto" w:sz="4" w:space="0"/>
            </w:tcBorders>
            <w:vAlign w:val="center"/>
          </w:tcPr>
          <w:p w14:paraId="5A216E81">
            <w:pPr>
              <w:rPr>
                <w:rFonts w:ascii="宋体" w:hAnsi="宋体" w:cs="宋体"/>
                <w:sz w:val="20"/>
                <w:szCs w:val="20"/>
              </w:rPr>
            </w:pPr>
          </w:p>
        </w:tc>
        <w:tc>
          <w:tcPr>
            <w:tcW w:w="3271" w:type="dxa"/>
            <w:tcBorders>
              <w:top w:val="nil"/>
              <w:left w:val="nil"/>
              <w:bottom w:val="single" w:color="auto" w:sz="4" w:space="0"/>
              <w:right w:val="single" w:color="auto" w:sz="4" w:space="0"/>
            </w:tcBorders>
            <w:vAlign w:val="center"/>
          </w:tcPr>
          <w:p w14:paraId="6FB62566">
            <w:pPr>
              <w:rPr>
                <w:rFonts w:ascii="宋体" w:hAnsi="宋体" w:cs="宋体"/>
                <w:sz w:val="20"/>
                <w:szCs w:val="20"/>
              </w:rPr>
            </w:pPr>
            <w:r>
              <w:rPr>
                <w:rFonts w:hint="eastAsia"/>
                <w:sz w:val="20"/>
                <w:szCs w:val="20"/>
              </w:rPr>
              <w:t xml:space="preserve"> ……</w:t>
            </w:r>
          </w:p>
        </w:tc>
        <w:tc>
          <w:tcPr>
            <w:tcW w:w="236" w:type="dxa"/>
            <w:tcBorders>
              <w:top w:val="nil"/>
              <w:left w:val="nil"/>
              <w:bottom w:val="single" w:color="auto" w:sz="4" w:space="0"/>
              <w:right w:val="single" w:color="auto" w:sz="4" w:space="0"/>
            </w:tcBorders>
            <w:vAlign w:val="center"/>
          </w:tcPr>
          <w:p w14:paraId="5D9BEEB4">
            <w:pPr>
              <w:jc w:val="center"/>
              <w:rPr>
                <w:rFonts w:ascii="宋体" w:hAnsi="宋体" w:cs="宋体"/>
                <w:sz w:val="20"/>
                <w:szCs w:val="20"/>
              </w:rPr>
            </w:pPr>
            <w:r>
              <w:rPr>
                <w:rFonts w:hint="eastAsia"/>
                <w:sz w:val="20"/>
                <w:szCs w:val="20"/>
              </w:rPr>
              <w:t>　</w:t>
            </w:r>
          </w:p>
        </w:tc>
        <w:tc>
          <w:tcPr>
            <w:tcW w:w="4361" w:type="dxa"/>
            <w:gridSpan w:val="3"/>
            <w:tcBorders>
              <w:top w:val="nil"/>
              <w:left w:val="nil"/>
              <w:bottom w:val="single" w:color="auto" w:sz="4" w:space="0"/>
              <w:right w:val="single" w:color="auto" w:sz="4" w:space="0"/>
            </w:tcBorders>
            <w:vAlign w:val="center"/>
          </w:tcPr>
          <w:p w14:paraId="3B4E4C0F">
            <w:pPr>
              <w:jc w:val="both"/>
              <w:rPr>
                <w:rFonts w:ascii="宋体" w:hAnsi="宋体" w:cs="宋体"/>
                <w:sz w:val="20"/>
                <w:szCs w:val="20"/>
              </w:rPr>
            </w:pPr>
          </w:p>
        </w:tc>
      </w:tr>
      <w:tr w14:paraId="4396AEF9">
        <w:tblPrEx>
          <w:tblCellMar>
            <w:top w:w="0" w:type="dxa"/>
            <w:left w:w="108" w:type="dxa"/>
            <w:bottom w:w="0" w:type="dxa"/>
            <w:right w:w="108" w:type="dxa"/>
          </w:tblCellMar>
        </w:tblPrEx>
        <w:trPr>
          <w:trHeight w:val="315" w:hRule="atLeast"/>
        </w:trPr>
        <w:tc>
          <w:tcPr>
            <w:tcW w:w="416" w:type="dxa"/>
            <w:vMerge w:val="continue"/>
            <w:tcBorders>
              <w:top w:val="nil"/>
              <w:left w:val="single" w:color="auto" w:sz="4" w:space="0"/>
              <w:bottom w:val="single" w:color="000000" w:sz="4" w:space="0"/>
              <w:right w:val="single" w:color="auto" w:sz="4" w:space="0"/>
            </w:tcBorders>
            <w:vAlign w:val="center"/>
          </w:tcPr>
          <w:p w14:paraId="7F25D124">
            <w:pPr>
              <w:rPr>
                <w:rFonts w:ascii="宋体" w:hAnsi="宋体" w:cs="宋体"/>
                <w:sz w:val="20"/>
                <w:szCs w:val="20"/>
              </w:rPr>
            </w:pPr>
          </w:p>
        </w:tc>
        <w:tc>
          <w:tcPr>
            <w:tcW w:w="616" w:type="dxa"/>
            <w:vMerge w:val="continue"/>
            <w:tcBorders>
              <w:top w:val="nil"/>
              <w:left w:val="single" w:color="auto" w:sz="4" w:space="0"/>
              <w:bottom w:val="single" w:color="000000" w:sz="4" w:space="0"/>
              <w:right w:val="single" w:color="auto" w:sz="4" w:space="0"/>
            </w:tcBorders>
            <w:vAlign w:val="center"/>
          </w:tcPr>
          <w:p w14:paraId="77A29563">
            <w:pPr>
              <w:rPr>
                <w:rFonts w:ascii="宋体" w:hAnsi="宋体" w:cs="宋体"/>
                <w:sz w:val="20"/>
                <w:szCs w:val="20"/>
              </w:rPr>
            </w:pPr>
          </w:p>
        </w:tc>
        <w:tc>
          <w:tcPr>
            <w:tcW w:w="723" w:type="dxa"/>
            <w:tcBorders>
              <w:top w:val="nil"/>
              <w:left w:val="nil"/>
              <w:bottom w:val="single" w:color="auto" w:sz="4" w:space="0"/>
              <w:right w:val="single" w:color="auto" w:sz="4" w:space="0"/>
            </w:tcBorders>
            <w:vAlign w:val="center"/>
          </w:tcPr>
          <w:p w14:paraId="471FC865">
            <w:pPr>
              <w:jc w:val="center"/>
              <w:rPr>
                <w:rFonts w:ascii="宋体" w:hAnsi="宋体" w:cs="宋体"/>
                <w:sz w:val="20"/>
                <w:szCs w:val="20"/>
              </w:rPr>
            </w:pPr>
            <w:r>
              <w:rPr>
                <w:rFonts w:hint="eastAsia"/>
                <w:sz w:val="20"/>
                <w:szCs w:val="20"/>
              </w:rPr>
              <w:t>……</w:t>
            </w:r>
          </w:p>
        </w:tc>
        <w:tc>
          <w:tcPr>
            <w:tcW w:w="3271" w:type="dxa"/>
            <w:tcBorders>
              <w:top w:val="nil"/>
              <w:left w:val="nil"/>
              <w:bottom w:val="single" w:color="auto" w:sz="4" w:space="0"/>
              <w:right w:val="single" w:color="auto" w:sz="4" w:space="0"/>
            </w:tcBorders>
            <w:vAlign w:val="center"/>
          </w:tcPr>
          <w:p w14:paraId="5FDB76EA">
            <w:pPr>
              <w:rPr>
                <w:rFonts w:ascii="宋体" w:hAnsi="宋体" w:cs="宋体"/>
                <w:sz w:val="20"/>
                <w:szCs w:val="20"/>
              </w:rPr>
            </w:pPr>
            <w:r>
              <w:rPr>
                <w:rFonts w:hint="eastAsia"/>
                <w:sz w:val="20"/>
                <w:szCs w:val="20"/>
              </w:rPr>
              <w:t>　</w:t>
            </w:r>
          </w:p>
        </w:tc>
        <w:tc>
          <w:tcPr>
            <w:tcW w:w="236" w:type="dxa"/>
            <w:tcBorders>
              <w:top w:val="nil"/>
              <w:left w:val="nil"/>
              <w:bottom w:val="single" w:color="auto" w:sz="4" w:space="0"/>
              <w:right w:val="single" w:color="auto" w:sz="4" w:space="0"/>
            </w:tcBorders>
            <w:vAlign w:val="center"/>
          </w:tcPr>
          <w:p w14:paraId="2850ECF4">
            <w:pPr>
              <w:jc w:val="center"/>
              <w:rPr>
                <w:rFonts w:ascii="宋体" w:hAnsi="宋体" w:cs="宋体"/>
                <w:sz w:val="20"/>
                <w:szCs w:val="20"/>
              </w:rPr>
            </w:pPr>
            <w:r>
              <w:rPr>
                <w:rFonts w:hint="eastAsia"/>
                <w:sz w:val="20"/>
                <w:szCs w:val="20"/>
              </w:rPr>
              <w:t>　</w:t>
            </w:r>
          </w:p>
        </w:tc>
        <w:tc>
          <w:tcPr>
            <w:tcW w:w="4361" w:type="dxa"/>
            <w:gridSpan w:val="3"/>
            <w:tcBorders>
              <w:top w:val="nil"/>
              <w:left w:val="nil"/>
              <w:bottom w:val="single" w:color="auto" w:sz="4" w:space="0"/>
              <w:right w:val="single" w:color="auto" w:sz="4" w:space="0"/>
            </w:tcBorders>
            <w:vAlign w:val="center"/>
          </w:tcPr>
          <w:p w14:paraId="52FEEED5">
            <w:pPr>
              <w:jc w:val="center"/>
              <w:rPr>
                <w:rFonts w:ascii="宋体" w:hAnsi="宋体" w:cs="宋体"/>
                <w:sz w:val="20"/>
                <w:szCs w:val="20"/>
              </w:rPr>
            </w:pPr>
            <w:r>
              <w:rPr>
                <w:rFonts w:hint="eastAsia"/>
                <w:sz w:val="20"/>
                <w:szCs w:val="20"/>
              </w:rPr>
              <w:t>　</w:t>
            </w:r>
          </w:p>
        </w:tc>
      </w:tr>
    </w:tbl>
    <w:p w14:paraId="05922F1D">
      <w:pPr>
        <w:adjustRightInd w:val="0"/>
        <w:snapToGrid w:val="0"/>
        <w:spacing w:line="600" w:lineRule="exact"/>
        <w:ind w:firstLine="640" w:firstLineChars="200"/>
        <w:rPr>
          <w:rFonts w:ascii="仿宋_GB2312" w:hAnsi="仿宋" w:eastAsia="仿宋_GB2312"/>
          <w:sz w:val="32"/>
          <w:szCs w:val="32"/>
        </w:rPr>
      </w:pPr>
    </w:p>
    <w:p w14:paraId="268F92FF">
      <w:pPr>
        <w:topLinePunct/>
        <w:adjustRightInd w:val="0"/>
        <w:snapToGrid w:val="0"/>
        <w:spacing w:line="560" w:lineRule="exact"/>
        <w:ind w:firstLine="643"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（二）机关运行经费。</w:t>
      </w:r>
    </w:p>
    <w:p w14:paraId="777CE140">
      <w:pPr>
        <w:topLinePunct/>
        <w:adjustRightInd w:val="0"/>
        <w:snapToGrid w:val="0"/>
        <w:spacing w:line="560" w:lineRule="exact"/>
        <w:ind w:firstLine="640" w:firstLineChars="200"/>
        <w:rPr>
          <w:rFonts w:ascii="仿宋_GB2312" w:hAnsi="TimesNewRoman" w:eastAsia="仿宋_GB2312" w:cs="TimesNewRoman"/>
          <w:sz w:val="32"/>
          <w:szCs w:val="32"/>
        </w:rPr>
      </w:pPr>
      <w:r>
        <w:rPr>
          <w:rFonts w:hint="eastAsia" w:ascii="仿宋_GB2312" w:hAnsi="TimesNewRoman" w:eastAsia="仿宋_GB2312" w:cs="TimesNewRoman"/>
          <w:sz w:val="32"/>
          <w:szCs w:val="32"/>
        </w:rPr>
        <w:t>寿县妇女联合会2026年机关运行经费财政拨款预算13.6万元，比2025年预算增长3.35万元，增长24.63%，增长主要原因是本年运行经费包含工会经费和福利费。</w:t>
      </w:r>
    </w:p>
    <w:p w14:paraId="2ED5C618">
      <w:pPr>
        <w:topLinePunct/>
        <w:adjustRightInd w:val="0"/>
        <w:snapToGrid w:val="0"/>
        <w:spacing w:line="560" w:lineRule="exact"/>
        <w:ind w:firstLine="643"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（三）政府采购情况。</w:t>
      </w:r>
    </w:p>
    <w:p w14:paraId="72D4C289">
      <w:pPr>
        <w:topLinePunct/>
        <w:adjustRightInd w:val="0"/>
        <w:snapToGrid w:val="0"/>
        <w:spacing w:line="560" w:lineRule="exact"/>
        <w:ind w:firstLine="640" w:firstLineChars="200"/>
        <w:rPr>
          <w:rFonts w:ascii="仿宋_GB2312" w:hAnsi="TimesNewRoman" w:eastAsia="仿宋_GB2312" w:cs="TimesNewRoman"/>
          <w:sz w:val="32"/>
          <w:szCs w:val="32"/>
        </w:rPr>
      </w:pPr>
      <w:r>
        <w:rPr>
          <w:rFonts w:hint="eastAsia" w:ascii="仿宋_GB2312" w:hAnsi="TimesNewRoman" w:eastAsia="仿宋_GB2312" w:cs="TimesNewRoman"/>
          <w:sz w:val="32"/>
          <w:szCs w:val="32"/>
        </w:rPr>
        <w:t>寿县妇女联合会2026年政府采购预算0.3万元。其中：政府采购货物预算0.3万元，政府采购工程预算0万元，政府采购服务预算0万元。</w:t>
      </w:r>
    </w:p>
    <w:p w14:paraId="439AA877">
      <w:pPr>
        <w:topLinePunct/>
        <w:adjustRightInd w:val="0"/>
        <w:snapToGrid w:val="0"/>
        <w:spacing w:line="560" w:lineRule="exact"/>
        <w:ind w:firstLine="643"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（四）国有资产占有使用情况。</w:t>
      </w:r>
    </w:p>
    <w:p w14:paraId="37F6E92E">
      <w:pPr>
        <w:topLinePunct/>
        <w:adjustRightInd w:val="0"/>
        <w:snapToGrid w:val="0"/>
        <w:spacing w:line="560" w:lineRule="exact"/>
        <w:ind w:firstLine="640" w:firstLineChars="200"/>
        <w:rPr>
          <w:rFonts w:ascii="仿宋_GB2312" w:hAnsi="TimesNewRoman" w:eastAsia="仿宋_GB2312" w:cs="TimesNewRoman"/>
          <w:sz w:val="32"/>
          <w:szCs w:val="32"/>
        </w:rPr>
      </w:pPr>
      <w:r>
        <w:rPr>
          <w:rFonts w:hint="eastAsia" w:ascii="仿宋_GB2312" w:hAnsi="TimesNewRoman" w:eastAsia="仿宋_GB2312" w:cs="TimesNewRoman"/>
          <w:sz w:val="32"/>
          <w:szCs w:val="32"/>
        </w:rPr>
        <w:t>截至2025年12月31日，寿县妇女联合会共有车辆0辆，单价50万元以上的通用设备0台（套），单价100万元以上的专用设备0台（套）。</w:t>
      </w:r>
    </w:p>
    <w:p w14:paraId="14EFF023">
      <w:pPr>
        <w:topLinePunct/>
        <w:adjustRightInd w:val="0"/>
        <w:snapToGrid w:val="0"/>
        <w:spacing w:line="560" w:lineRule="exact"/>
        <w:ind w:firstLine="640" w:firstLineChars="200"/>
        <w:rPr>
          <w:rFonts w:ascii="仿宋_GB2312" w:hAnsi="TimesNewRoman" w:eastAsia="仿宋_GB2312" w:cs="TimesNewRoman"/>
          <w:sz w:val="32"/>
          <w:szCs w:val="32"/>
        </w:rPr>
      </w:pPr>
      <w:r>
        <w:rPr>
          <w:rFonts w:hint="eastAsia" w:ascii="仿宋_GB2312" w:hAnsi="TimesNewRoman" w:eastAsia="仿宋_GB2312" w:cs="TimesNewRoman"/>
          <w:sz w:val="32"/>
          <w:szCs w:val="32"/>
        </w:rPr>
        <w:t>2026年部门预算安排购置公务用车0辆，购置费0万元，安排购置单价50万元以上的通用设备0台（套），购置费0万元；安排购置单价100万元以上专用设备0台（套），购置费0万元。</w:t>
      </w:r>
    </w:p>
    <w:p w14:paraId="5EE8CD9E">
      <w:pPr>
        <w:topLinePunct/>
        <w:adjustRightInd w:val="0"/>
        <w:snapToGrid w:val="0"/>
        <w:spacing w:line="560" w:lineRule="exact"/>
        <w:ind w:firstLine="643" w:firstLineChars="200"/>
        <w:rPr>
          <w:rFonts w:ascii="仿宋_GB2312" w:hAnsi="TimesNewRoman" w:eastAsia="仿宋_GB2312" w:cs="TimesNewRoman"/>
          <w:b/>
          <w:sz w:val="32"/>
          <w:szCs w:val="32"/>
        </w:rPr>
      </w:pPr>
      <w:r>
        <w:rPr>
          <w:rFonts w:hint="eastAsia" w:ascii="仿宋_GB2312" w:hAnsi="TimesNewRoman" w:eastAsia="仿宋_GB2312" w:cs="TimesNewRoman"/>
          <w:b/>
          <w:sz w:val="32"/>
          <w:szCs w:val="32"/>
        </w:rPr>
        <w:t>（五）绩效目标设置情况。</w:t>
      </w:r>
    </w:p>
    <w:p w14:paraId="013F73CB">
      <w:pPr>
        <w:adjustRightInd w:val="0"/>
        <w:snapToGrid w:val="0"/>
        <w:spacing w:line="600" w:lineRule="exact"/>
        <w:ind w:firstLine="640" w:firstLineChars="200"/>
        <w:outlineLvl w:val="0"/>
        <w:rPr>
          <w:rFonts w:ascii="仿宋_GB2312" w:hAnsi="仿宋" w:eastAsia="仿宋_GB2312"/>
          <w:sz w:val="32"/>
          <w:szCs w:val="32"/>
        </w:rPr>
      </w:pPr>
      <w:r>
        <w:rPr>
          <w:rFonts w:hint="eastAsia" w:ascii="仿宋_GB2312" w:hAnsi="TimesNewRoman" w:eastAsia="仿宋_GB2312" w:cs="TimesNewRoman"/>
          <w:sz w:val="32"/>
          <w:szCs w:val="32"/>
        </w:rPr>
        <w:t>2026年，</w:t>
      </w:r>
      <w:r>
        <w:rPr>
          <w:rFonts w:hint="eastAsia" w:ascii="仿宋_GB2312" w:hAnsi="仿宋" w:eastAsia="仿宋_GB2312"/>
          <w:sz w:val="32"/>
          <w:szCs w:val="32"/>
        </w:rPr>
        <w:t>寿县妇女联合会无项目实行绩效目标管理。</w:t>
      </w:r>
    </w:p>
    <w:p w14:paraId="607CE988">
      <w:pPr>
        <w:topLinePunct/>
        <w:adjustRightInd w:val="0"/>
        <w:snapToGrid w:val="0"/>
        <w:spacing w:line="560" w:lineRule="exact"/>
        <w:rPr>
          <w:rFonts w:ascii="TimesNewRoman" w:hAnsi="TimesNewRoman" w:eastAsia="黑体" w:cs="TimesNewRoman"/>
          <w:sz w:val="36"/>
          <w:szCs w:val="36"/>
        </w:rPr>
      </w:pPr>
    </w:p>
    <w:p w14:paraId="613A7548">
      <w:pPr>
        <w:topLinePunct/>
        <w:adjustRightInd w:val="0"/>
        <w:snapToGrid w:val="0"/>
        <w:spacing w:line="560" w:lineRule="exact"/>
        <w:jc w:val="center"/>
        <w:rPr>
          <w:rFonts w:ascii="TimesNewRoman" w:hAnsi="TimesNewRoman" w:eastAsia="黑体" w:cs="TimesNewRoman"/>
          <w:sz w:val="36"/>
          <w:szCs w:val="36"/>
        </w:rPr>
      </w:pPr>
      <w:r>
        <w:rPr>
          <w:rFonts w:ascii="TimesNewRoman" w:hAnsi="TimesNewRoman" w:eastAsia="黑体" w:cs="TimesNewRoman"/>
          <w:sz w:val="36"/>
          <w:szCs w:val="36"/>
        </w:rPr>
        <w:t>第四部分 名词解释</w:t>
      </w:r>
    </w:p>
    <w:p w14:paraId="2E55F9F5">
      <w:pPr>
        <w:topLinePunct/>
        <w:adjustRightInd w:val="0"/>
        <w:snapToGrid w:val="0"/>
        <w:spacing w:line="560" w:lineRule="exact"/>
        <w:rPr>
          <w:rFonts w:ascii="TimesNewRoman" w:hAnsi="TimesNewRoman" w:eastAsia="黑体" w:cs="TimesNewRoman"/>
          <w:szCs w:val="32"/>
        </w:rPr>
      </w:pPr>
    </w:p>
    <w:p w14:paraId="3F5DD059">
      <w:pPr>
        <w:topLinePunct/>
        <w:adjustRightInd w:val="0"/>
        <w:snapToGrid w:val="0"/>
        <w:spacing w:line="560" w:lineRule="exact"/>
        <w:ind w:firstLine="640" w:firstLineChars="200"/>
        <w:rPr>
          <w:rFonts w:ascii="仿宋_GB2312" w:hAnsi="仿宋" w:eastAsia="仿宋_GB2312"/>
          <w:sz w:val="32"/>
          <w:szCs w:val="32"/>
        </w:rPr>
      </w:pPr>
      <w:r>
        <w:rPr>
          <w:rFonts w:hint="eastAsia" w:ascii="楷体_GB2312" w:hAnsi="TimesNewRoman" w:eastAsia="楷体_GB2312" w:cs="TimesNewRoman"/>
          <w:sz w:val="32"/>
          <w:szCs w:val="32"/>
        </w:rPr>
        <w:t>一、财政拨款收入</w:t>
      </w:r>
      <w:r>
        <w:rPr>
          <w:rFonts w:hint="eastAsia" w:ascii="楷体_GB2312" w:hAnsi="TimesNewRoman" w:eastAsia="楷体_GB2312" w:cs="TimesNewRoman"/>
          <w:b/>
          <w:sz w:val="32"/>
          <w:szCs w:val="32"/>
        </w:rPr>
        <w:t>：</w:t>
      </w:r>
      <w:r>
        <w:rPr>
          <w:rFonts w:ascii="仿宋_GB2312" w:hAnsi="仿宋" w:eastAsia="仿宋_GB2312"/>
          <w:sz w:val="32"/>
          <w:szCs w:val="32"/>
        </w:rPr>
        <w:t>指部门或单位从同级财政部门取得的财政预算资金。</w:t>
      </w:r>
    </w:p>
    <w:p w14:paraId="69517DCF">
      <w:pPr>
        <w:pStyle w:val="3"/>
        <w:topLinePunct/>
        <w:adjustRightInd w:val="0"/>
        <w:snapToGrid w:val="0"/>
        <w:spacing w:beforeAutospacing="0" w:afterAutospacing="0" w:line="560" w:lineRule="exact"/>
        <w:ind w:firstLine="627" w:firstLineChars="196"/>
        <w:jc w:val="both"/>
        <w:rPr>
          <w:rFonts w:ascii="TimesNewRoman" w:hAnsi="TimesNewRoman" w:eastAsia="黑体" w:cs="TimesNewRoman"/>
          <w:sz w:val="32"/>
          <w:szCs w:val="32"/>
        </w:rPr>
      </w:pPr>
      <w:r>
        <w:rPr>
          <w:rFonts w:ascii="楷体_GB2312" w:hAnsi="TimesNewRoman" w:eastAsia="楷体_GB2312" w:cs="TimesNewRoman"/>
          <w:kern w:val="2"/>
          <w:sz w:val="32"/>
          <w:szCs w:val="32"/>
        </w:rPr>
        <w:t>二、事业收入：</w:t>
      </w:r>
      <w:r>
        <w:rPr>
          <w:rFonts w:ascii="TimesNewRoman" w:hAnsi="TimesNewRoman" w:eastAsia="仿宋_GB2312" w:cs="TimesNewRoman"/>
          <w:sz w:val="32"/>
          <w:szCs w:val="32"/>
        </w:rPr>
        <w:t>指事业单位开展专业业务活动及辅助活动所取得的收入。</w:t>
      </w:r>
    </w:p>
    <w:p w14:paraId="612D4FEF">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三、财政专户管理资金：</w:t>
      </w:r>
      <w:r>
        <w:rPr>
          <w:rFonts w:ascii="TimesNewRoman" w:hAnsi="TimesNewRoman" w:eastAsia="仿宋_GB2312" w:cs="TimesNewRoman"/>
          <w:sz w:val="32"/>
          <w:szCs w:val="32"/>
        </w:rPr>
        <w:t>指按照非税收入管理相关规定，纳入财政专户管理的教育收费等。</w:t>
      </w:r>
    </w:p>
    <w:p w14:paraId="1B19F574">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四、事业单位经营收入：</w:t>
      </w:r>
      <w:r>
        <w:rPr>
          <w:rFonts w:ascii="TimesNewRoman" w:hAnsi="TimesNewRoman" w:eastAsia="仿宋_GB2312" w:cs="TimesNewRoman"/>
          <w:sz w:val="32"/>
          <w:szCs w:val="32"/>
        </w:rPr>
        <w:t>指事业单位在专业业务活动及其辅助活动之外开展非独立核算经营活动取得的收入。</w:t>
      </w:r>
    </w:p>
    <w:p w14:paraId="472072FA">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五、附属单位上缴收入：</w:t>
      </w:r>
      <w:r>
        <w:rPr>
          <w:rFonts w:ascii="TimesNewRoman" w:hAnsi="TimesNewRoman" w:eastAsia="仿宋_GB2312" w:cs="TimesNewRoman"/>
          <w:sz w:val="32"/>
          <w:szCs w:val="32"/>
        </w:rPr>
        <w:t>本单位所属下级单位上缴给本单位的全部收入。</w:t>
      </w:r>
    </w:p>
    <w:p w14:paraId="279070CE">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六、上年结转：</w:t>
      </w:r>
      <w:r>
        <w:rPr>
          <w:rFonts w:ascii="TimesNewRoman" w:hAnsi="TimesNewRoman" w:eastAsia="仿宋_GB2312" w:cs="TimesNewRoman"/>
          <w:sz w:val="32"/>
          <w:szCs w:val="32"/>
        </w:rPr>
        <w:t>指以前年度安排、结转到本年仍按原用途继续使用的资金。</w:t>
      </w:r>
    </w:p>
    <w:p w14:paraId="68A58BEE">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七、结转下年：</w:t>
      </w:r>
      <w:r>
        <w:rPr>
          <w:rFonts w:ascii="TimesNewRoman" w:hAnsi="TimesNewRoman" w:eastAsia="仿宋_GB2312" w:cs="TimesNewRoman"/>
          <w:sz w:val="32"/>
          <w:szCs w:val="32"/>
        </w:rPr>
        <w:t>指以前年度预算安排、因客观条件发生变化无法按原计划实施，需以后年度按原用途继续使用的资金。</w:t>
      </w:r>
    </w:p>
    <w:p w14:paraId="5DE15F11">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八、基本支出：</w:t>
      </w:r>
      <w:r>
        <w:rPr>
          <w:rFonts w:ascii="TimesNewRoman" w:hAnsi="TimesNewRoman" w:eastAsia="仿宋_GB2312" w:cs="TimesNewRoman"/>
          <w:sz w:val="32"/>
          <w:szCs w:val="32"/>
        </w:rPr>
        <w:t>指为保障机构正常运转、完成日常工作任务而发生的人员支出和公用支出。</w:t>
      </w:r>
    </w:p>
    <w:p w14:paraId="495F807D">
      <w:pPr>
        <w:pStyle w:val="3"/>
        <w:topLinePunct/>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九、项目支出：</w:t>
      </w:r>
      <w:r>
        <w:rPr>
          <w:rFonts w:ascii="TimesNewRoman" w:hAnsi="TimesNewRoman" w:eastAsia="仿宋_GB2312" w:cs="TimesNewRoman"/>
          <w:sz w:val="32"/>
          <w:szCs w:val="32"/>
        </w:rPr>
        <w:t>指在除基本支出之外的支出，主要用于完成特定的工作任务和事业发展目标。</w:t>
      </w:r>
      <w:r>
        <w:rPr>
          <w:rFonts w:ascii="TimesNewRoman" w:hAnsi="TimesNewRoman" w:eastAsia="仿宋_GB2312" w:cs="TimesNewRoman"/>
          <w:sz w:val="32"/>
          <w:szCs w:val="32"/>
        </w:rPr>
        <w:br w:type="textWrapping"/>
      </w:r>
      <w:r>
        <w:rPr>
          <w:rFonts w:ascii="楷体_GB2312" w:hAnsi="TimesNewRoman" w:eastAsia="楷体_GB2312" w:cs="TimesNewRoman"/>
          <w:kern w:val="2"/>
          <w:sz w:val="32"/>
          <w:szCs w:val="32"/>
        </w:rPr>
        <w:t xml:space="preserve">    十、机关运行经费:</w:t>
      </w:r>
      <w:r>
        <w:rPr>
          <w:rFonts w:ascii="TimesNewRoman" w:hAnsi="TimesNewRoman" w:eastAsia="仿宋_GB2312" w:cs="TimesNewRoman"/>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6E0C8CB1">
      <w:pPr>
        <w:pStyle w:val="3"/>
        <w:spacing w:beforeAutospacing="0" w:afterAutospacing="0" w:line="600" w:lineRule="exact"/>
        <w:ind w:firstLine="480" w:firstLineChars="150"/>
        <w:jc w:val="both"/>
        <w:rPr>
          <w:rFonts w:hint="eastAsia" w:ascii="仿宋_GB2312" w:hAnsi="Times New Roman" w:eastAsia="仿宋_GB2312" w:cs="宋体"/>
          <w:sz w:val="28"/>
          <w:szCs w:val="28"/>
          <w:u w:val="thick"/>
          <w:lang w:eastAsia="zh-CN"/>
        </w:rPr>
      </w:pPr>
      <w:r>
        <w:rPr>
          <w:rFonts w:hint="eastAsia" w:ascii="仿宋_GB2312" w:hAnsi="仿宋" w:eastAsia="仿宋_GB2312"/>
          <w:bCs/>
          <w:sz w:val="32"/>
          <w:szCs w:val="32"/>
        </w:rPr>
        <w:pict>
          <v:shape id="_x0000_s1026" o:spid="_x0000_s1026" o:spt="75" type="#_x0000_t75" style="position:absolute;left:0pt;margin-left:20pt;margin-top:38.25pt;height:75pt;width:80.95pt;z-index:-251657216;mso-width-relative:page;mso-height-relative:page;" o:ole="t" filled="f" o:preferrelative="t" stroked="f" coordsize="21600,21600">
            <v:path/>
            <v:fill on="f" focussize="0,0"/>
            <v:stroke on="f"/>
            <v:imagedata r:id="rId7" o:title=""/>
            <o:lock v:ext="edit" aspectratio="t"/>
          </v:shape>
          <o:OLEObject Type="Embed" ProgID="Excel.Sheet.8" ShapeID="_x0000_s1026" DrawAspect="Icon" ObjectID="_1468075725" r:id="rId6">
            <o:LockedField>false</o:LockedField>
          </o:OLEObject>
        </w:pict>
      </w:r>
      <w:r>
        <w:rPr>
          <w:rFonts w:hint="eastAsia" w:ascii="仿宋_GB2312" w:hAnsi="Times New Roman" w:eastAsia="仿宋_GB2312"/>
          <w:kern w:val="2"/>
          <w:sz w:val="32"/>
          <w:szCs w:val="32"/>
        </w:rPr>
        <w:t>附表：</w:t>
      </w:r>
      <w:r>
        <w:rPr>
          <w:rFonts w:hint="eastAsia" w:ascii="仿宋_GB2312" w:hAnsi="仿宋" w:eastAsia="仿宋_GB2312"/>
          <w:bCs/>
          <w:color w:val="000000"/>
          <w:sz w:val="32"/>
          <w:szCs w:val="32"/>
        </w:rPr>
        <w:t>寿县妇女联合会</w:t>
      </w:r>
      <w:r>
        <w:rPr>
          <w:rFonts w:hint="eastAsia" w:ascii="仿宋_GB2312" w:hAnsi="仿宋" w:eastAsia="仿宋_GB2312"/>
          <w:bCs/>
          <w:sz w:val="32"/>
          <w:szCs w:val="32"/>
        </w:rPr>
        <w:t>2026年部门预算表</w:t>
      </w:r>
      <w:bookmarkStart w:id="0" w:name="_GoBack"/>
      <w:bookmarkEnd w:id="0"/>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Microsoft YaHei UI"/>
    <w:panose1 w:val="00000000000000000000"/>
    <w:charset w:val="86"/>
    <w:family w:val="script"/>
    <w:pitch w:val="default"/>
    <w:sig w:usb0="00000000" w:usb1="00000000" w:usb2="00000010" w:usb3="00000000" w:csb0="00040000" w:csb1="00000000"/>
  </w:font>
  <w:font w:name="Microsoft YaHei UI">
    <w:panose1 w:val="020B0503020204020204"/>
    <w:charset w:val="86"/>
    <w:family w:val="auto"/>
    <w:pitch w:val="default"/>
    <w:sig w:usb0="80000287" w:usb1="2ACF3C50" w:usb2="00000016" w:usb3="00000000" w:csb0="0004001F" w:csb1="00000000"/>
  </w:font>
  <w:font w:name="TimesNewRoman">
    <w:altName w:val="Arial"/>
    <w:panose1 w:val="00000000000000000000"/>
    <w:charset w:val="00"/>
    <w:family w:val="auto"/>
    <w:pitch w:val="default"/>
    <w:sig w:usb0="00000000" w:usb1="00000000" w:usb2="00000029" w:usb3="00000000" w:csb0="6000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16" w:usb3="00000000" w:csb0="6006009F" w:csb1="DFD70000"/>
  </w:font>
  <w:font w:name="楷体_GB2312">
    <w:panose1 w:val="02010609030101010101"/>
    <w:charset w:val="86"/>
    <w:family w:val="modern"/>
    <w:pitch w:val="default"/>
    <w:sig w:usb0="00000001" w:usb1="080E0000" w:usb2="00000000" w:usb3="00000000" w:csb0="00040000" w:csb1="00000000"/>
  </w:font>
  <w:font w:name="KSOF54AB9FF2">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E447B">
    <w:pPr>
      <w:pStyle w:val="2"/>
      <w:ind w:right="180"/>
      <w:jc w:val="right"/>
    </w:pPr>
    <w:r>
      <w:rPr>
        <w:rFonts w:hint="eastAsia" w:ascii="宋体" w:hAnsi="宋体"/>
        <w:sz w:val="28"/>
        <w:szCs w:val="28"/>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12</w:t>
    </w:r>
    <w:r>
      <w:rPr>
        <w:sz w:val="28"/>
        <w:szCs w:val="28"/>
      </w:rPr>
      <w:fldChar w:fldCharType="end"/>
    </w:r>
    <w:r>
      <w:rPr>
        <w:rFonts w:hint="eastAsia"/>
        <w:sz w:val="28"/>
        <w:szCs w:val="28"/>
      </w:rPr>
      <w:t xml:space="preserve"> </w:t>
    </w:r>
    <w:r>
      <w:rPr>
        <w:rFonts w:hint="eastAsia" w:ascii="宋体" w:hAnsi="宋体"/>
        <w:sz w:val="28"/>
        <w:szCs w:val="28"/>
      </w:rPr>
      <w:t xml:space="preserve">— </w:t>
    </w:r>
  </w:p>
  <w:p w14:paraId="0D9FA1CD">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7351B">
    <w:pPr>
      <w:pStyle w:val="2"/>
      <w:ind w:left="420" w:leftChars="200"/>
      <w:rPr>
        <w:rFonts w:ascii="宋体" w:hAnsi="宋体"/>
        <w:sz w:val="28"/>
        <w:szCs w:val="28"/>
      </w:rPr>
    </w:pPr>
    <w:r>
      <w:rPr>
        <w:rFonts w:hint="eastAsia" w:ascii="宋体" w:hAnsi="宋体"/>
        <w:sz w:val="28"/>
        <w:szCs w:val="28"/>
      </w:rPr>
      <w:t xml:space="preserve">— </w:t>
    </w: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ascii="宋体" w:hAnsi="宋体"/>
        <w:sz w:val="28"/>
        <w:szCs w:val="28"/>
        <w:lang w:val="zh-CN"/>
      </w:rPr>
      <w:t>10</w:t>
    </w:r>
    <w:r>
      <w:rPr>
        <w:rFonts w:hint="eastAsia" w:ascii="宋体" w:hAnsi="宋体"/>
        <w:sz w:val="28"/>
        <w:szCs w:val="28"/>
      </w:rPr>
      <w:fldChar w:fldCharType="end"/>
    </w:r>
    <w:r>
      <w:rPr>
        <w:rFonts w:hint="eastAsia" w:ascii="宋体" w:hAnsi="宋体"/>
        <w:sz w:val="28"/>
        <w:szCs w:val="28"/>
      </w:rPr>
      <w:t xml:space="preserve"> —</w:t>
    </w:r>
  </w:p>
  <w:p w14:paraId="38049ECB">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F68"/>
    <w:rsid w:val="00000E0B"/>
    <w:rsid w:val="00025CE1"/>
    <w:rsid w:val="00131DA3"/>
    <w:rsid w:val="001B1BBD"/>
    <w:rsid w:val="001E016F"/>
    <w:rsid w:val="002F6982"/>
    <w:rsid w:val="00304EAE"/>
    <w:rsid w:val="00343ECD"/>
    <w:rsid w:val="003C64AB"/>
    <w:rsid w:val="0044093B"/>
    <w:rsid w:val="004A453F"/>
    <w:rsid w:val="004B2E2A"/>
    <w:rsid w:val="0050687D"/>
    <w:rsid w:val="00576E8B"/>
    <w:rsid w:val="005E5E38"/>
    <w:rsid w:val="005E7968"/>
    <w:rsid w:val="00625C75"/>
    <w:rsid w:val="006576B0"/>
    <w:rsid w:val="006F6B3B"/>
    <w:rsid w:val="007B760D"/>
    <w:rsid w:val="0080321A"/>
    <w:rsid w:val="00827EEC"/>
    <w:rsid w:val="008C407D"/>
    <w:rsid w:val="008D6A45"/>
    <w:rsid w:val="00916FE0"/>
    <w:rsid w:val="00930CEC"/>
    <w:rsid w:val="00A42D8A"/>
    <w:rsid w:val="00A906BA"/>
    <w:rsid w:val="00AC5DBB"/>
    <w:rsid w:val="00AE197C"/>
    <w:rsid w:val="00AE3AEA"/>
    <w:rsid w:val="00AF0112"/>
    <w:rsid w:val="00B86B4E"/>
    <w:rsid w:val="00C06D60"/>
    <w:rsid w:val="00C23E34"/>
    <w:rsid w:val="00C80BBE"/>
    <w:rsid w:val="00CE5CB3"/>
    <w:rsid w:val="00D76908"/>
    <w:rsid w:val="00D94F68"/>
    <w:rsid w:val="00DD66EC"/>
    <w:rsid w:val="00E6018C"/>
    <w:rsid w:val="00E957F1"/>
    <w:rsid w:val="00F94CE6"/>
    <w:rsid w:val="00FA2205"/>
    <w:rsid w:val="00FC7615"/>
    <w:rsid w:val="04163152"/>
    <w:rsid w:val="231E0F38"/>
    <w:rsid w:val="41720C98"/>
    <w:rsid w:val="42986C94"/>
    <w:rsid w:val="4D6F2A8C"/>
    <w:rsid w:val="71010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5">
    <w:name w:val="Table Grid"/>
    <w:basedOn w:val="4"/>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Strong"/>
    <w:basedOn w:val="6"/>
    <w:qFormat/>
    <w:uiPriority w:val="0"/>
    <w:rPr>
      <w:b/>
      <w:bCs/>
    </w:rPr>
  </w:style>
  <w:style w:type="character" w:styleId="8">
    <w:name w:val="Hyperlink"/>
    <w:basedOn w:val="6"/>
    <w:semiHidden/>
    <w:unhideWhenUsed/>
    <w:qFormat/>
    <w:uiPriority w:val="99"/>
    <w:rPr>
      <w:color w:val="0000FF"/>
      <w:u w:val="single"/>
    </w:rPr>
  </w:style>
  <w:style w:type="character" w:customStyle="1" w:styleId="9">
    <w:name w:val="页脚 Char"/>
    <w:basedOn w:val="6"/>
    <w:link w:val="2"/>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5662</Words>
  <Characters>6292</Characters>
  <Lines>50</Lines>
  <Paragraphs>14</Paragraphs>
  <TotalTime>466</TotalTime>
  <ScaleCrop>false</ScaleCrop>
  <LinksUpToDate>false</LinksUpToDate>
  <CharactersWithSpaces>6424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2026-01-27T01:27:00Z</dcterms:created>
  <dc:creator>xb21cn</dc:creator>
  <cp:lastModifiedBy>石帅</cp:lastModifiedBy>
  <cp:lastPrinted>2026-02-02T07:51:00Z</cp:lastPrinted>
  <dcterms:modified xsi:type="dcterms:W3CDTF">2026-02-03T09:14:00Z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eyJoZGlkIjoiYjViZjE5ZjI0YTUzOTAzODcxNTcyZmQyOGI1NzM1NzkiLCJ1c2VySWQiOiIyNjYwNzE5NzcifQ==</vt:lpwstr>
  </property>
  <property fmtid="{D5CDD505-2E9C-101B-9397-08002B2CF9AE}" pid="3" name="KSOProductBuildVer">
    <vt:lpwstr>2052-12.1.0.24657</vt:lpwstr>
  </property>
  <property fmtid="{D5CDD505-2E9C-101B-9397-08002B2CF9AE}" pid="4" name="ICV">
    <vt:lpwstr>C4B7F9BE9E8F4EAC995B1717B906F206_12</vt:lpwstr>
  </property>
</Properties>
</file>