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十大名菜体验店和寿州十大名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体验店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行业规范》的通知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各餐饮</w:t>
      </w:r>
      <w:r>
        <w:rPr>
          <w:rFonts w:hint="eastAsia" w:ascii="仿宋_GB2312" w:eastAsia="仿宋_GB2312"/>
          <w:sz w:val="32"/>
          <w:szCs w:val="32"/>
          <w:lang w:eastAsia="zh-CN"/>
        </w:rPr>
        <w:t>、小吃</w:t>
      </w:r>
      <w:r>
        <w:rPr>
          <w:rFonts w:hint="eastAsia" w:ascii="仿宋_GB2312" w:eastAsia="仿宋_GB2312"/>
          <w:sz w:val="32"/>
          <w:szCs w:val="32"/>
        </w:rPr>
        <w:t>经营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为大力推动寿州</w:t>
      </w:r>
      <w:r>
        <w:rPr>
          <w:rFonts w:hint="eastAsia" w:ascii="仿宋_GB2312" w:eastAsia="仿宋_GB2312"/>
          <w:sz w:val="32"/>
          <w:szCs w:val="32"/>
          <w:lang w:eastAsia="zh-CN"/>
        </w:rPr>
        <w:t>国家</w:t>
      </w:r>
      <w:r>
        <w:rPr>
          <w:rFonts w:hint="eastAsia" w:ascii="仿宋_GB2312" w:eastAsia="仿宋_GB2312"/>
          <w:sz w:val="32"/>
          <w:szCs w:val="32"/>
        </w:rPr>
        <w:t>5A</w:t>
      </w:r>
      <w:r>
        <w:rPr>
          <w:rFonts w:hint="eastAsia" w:ascii="仿宋_GB2312" w:eastAsia="仿宋_GB2312"/>
          <w:sz w:val="32"/>
          <w:szCs w:val="32"/>
          <w:lang w:eastAsia="zh-CN"/>
        </w:rPr>
        <w:t>级旅游</w:t>
      </w:r>
      <w:r>
        <w:rPr>
          <w:rFonts w:hint="eastAsia" w:ascii="仿宋_GB2312" w:eastAsia="仿宋_GB2312"/>
          <w:sz w:val="32"/>
          <w:szCs w:val="32"/>
        </w:rPr>
        <w:t>景区建设，打造富有寿县地方特色的</w:t>
      </w:r>
      <w:r>
        <w:rPr>
          <w:rFonts w:hint="eastAsia" w:ascii="仿宋_GB2312" w:hAnsi="Calibri" w:eastAsia="仿宋_GB2312" w:cs="仿宋_GB2312"/>
          <w:sz w:val="32"/>
          <w:szCs w:val="32"/>
        </w:rPr>
        <w:t>优质餐饮品牌，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客满意度和体验感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推动寿县旅游业高质量发展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现将《寿州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名菜</w:t>
      </w:r>
      <w:r>
        <w:rPr>
          <w:rFonts w:hint="eastAsia" w:ascii="仿宋_GB2312" w:eastAsia="仿宋_GB2312"/>
          <w:sz w:val="32"/>
          <w:szCs w:val="32"/>
          <w:lang w:eastAsia="zh-CN"/>
        </w:rPr>
        <w:t>体验店和寿州十大</w:t>
      </w:r>
      <w:r>
        <w:rPr>
          <w:rFonts w:hint="eastAsia" w:ascii="仿宋_GB2312" w:eastAsia="仿宋_GB2312"/>
          <w:sz w:val="32"/>
          <w:szCs w:val="32"/>
        </w:rPr>
        <w:t>名小吃</w:t>
      </w:r>
      <w:r>
        <w:rPr>
          <w:rFonts w:hint="eastAsia" w:ascii="仿宋_GB2312" w:eastAsia="仿宋_GB2312"/>
          <w:sz w:val="32"/>
          <w:szCs w:val="32"/>
          <w:lang w:eastAsia="zh-CN"/>
        </w:rPr>
        <w:t>体验店</w:t>
      </w:r>
      <w:r>
        <w:rPr>
          <w:rFonts w:hint="eastAsia" w:ascii="仿宋_GB2312" w:eastAsia="仿宋_GB2312"/>
          <w:sz w:val="32"/>
          <w:szCs w:val="32"/>
        </w:rPr>
        <w:t>行业规范》印发给你们，请认真贯彻落实。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体验店和寿州十大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名小吃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体验店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行业规范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第一条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经营者须严格按照法律、法规和规章制度的有关规定从事经营活动，建立健全各项制度，积极贯彻国家和行业有关经营管理、产品、服务等方面的标准。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>美食必须特色鲜明、口味突出，应为寿县传统名菜、名小吃。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第三条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经营者制作、销售的食品须符合食品安全要求，明码标价，在醒目位置摆放、张贴节约用餐、文明用餐标识。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第四条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经营场所须悬挂的门头匾额应美观大方，符合城市户外广告和招牌设施技术标准规定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经营环境整洁卫生，设施设备清洁环保，有防蝇、防鼠虫、防潮设施。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第五条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经营者有营业执照、食品经营许可证(或小餐饮信息公示卡)、从业人员健康证等相关证件，且在有效期内。从业人员在工作期间着</w:t>
      </w:r>
      <w:r>
        <w:rPr>
          <w:rFonts w:hint="eastAsia" w:ascii="仿宋_GB2312" w:eastAsia="仿宋_GB2312"/>
          <w:sz w:val="32"/>
          <w:szCs w:val="32"/>
          <w:lang w:eastAsia="zh-CN"/>
        </w:rPr>
        <w:t>统一</w:t>
      </w:r>
      <w:r>
        <w:rPr>
          <w:rFonts w:hint="eastAsia" w:ascii="仿宋_GB2312" w:eastAsia="仿宋_GB2312"/>
          <w:sz w:val="32"/>
          <w:szCs w:val="32"/>
        </w:rPr>
        <w:t>工作服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第六条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经营者厨房内初加工、烹调、服务等区域分布合理规范，并按操作规程运行。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第七条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经营者须配齐垃圾桶、洗刷、消毒等设施，配备消毒柜。贮存、运输和装卸食品的容器、包装、工具必须安全无害，保持清洁，防止食品污染，不得使用对人体有害的油漆桶等容器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第八条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提供外送服务的餐饮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经营者，须建立健全相应的服务流程，并明示提供外送服务的时间、外送范围以及收费标准。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第九条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经营者规范安装使用油烟污染处理设施和油水分离装置，不得随意处置餐厨废弃物。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经营房屋结构坚固安全、布局合理，有与经营规模、接待能力相适应的加工、就餐、库房等场地，应按照建筑实际情况设置消防设施，安装燃气报警装置，配备灭火器材。</w:t>
      </w: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BAD10D7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