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_GB2312" w:hAnsi="华文中宋" w:eastAsia="仿宋_GB2312" w:cs="华文中宋"/>
          <w:b/>
          <w:sz w:val="32"/>
          <w:szCs w:val="32"/>
        </w:rPr>
      </w:pPr>
    </w:p>
    <w:p>
      <w:pPr>
        <w:adjustRightInd w:val="0"/>
        <w:snapToGrid w:val="0"/>
        <w:spacing w:line="360" w:lineRule="auto"/>
        <w:jc w:val="center"/>
        <w:rPr>
          <w:rFonts w:ascii="仿宋_GB2312" w:hAnsi="华文中宋" w:eastAsia="仿宋_GB2312" w:cs="华文中宋"/>
          <w:b/>
          <w:sz w:val="32"/>
          <w:szCs w:val="32"/>
        </w:rPr>
      </w:pPr>
    </w:p>
    <w:p>
      <w:pPr>
        <w:adjustRightInd w:val="0"/>
        <w:snapToGrid w:val="0"/>
        <w:spacing w:line="360" w:lineRule="auto"/>
        <w:jc w:val="center"/>
        <w:rPr>
          <w:rFonts w:ascii="方正小标宋简体" w:hAnsi="方正小标宋简体" w:eastAsia="方正小标宋简体" w:cs="华文中宋"/>
          <w:b/>
          <w:sz w:val="44"/>
          <w:szCs w:val="44"/>
        </w:rPr>
      </w:pPr>
      <w:r>
        <w:rPr>
          <w:rFonts w:hint="eastAsia" w:ascii="方正小标宋简体" w:hAnsi="方正小标宋简体" w:eastAsia="方正小标宋简体" w:cs="华文中宋"/>
          <w:b/>
          <w:sz w:val="44"/>
          <w:szCs w:val="44"/>
        </w:rPr>
        <w:t>寿县政协办公室2023年部门预算</w:t>
      </w: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360" w:lineRule="auto"/>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2023年1月</w:t>
      </w:r>
    </w:p>
    <w:p>
      <w:pPr>
        <w:pStyle w:val="6"/>
        <w:adjustRightInd w:val="0"/>
        <w:snapToGrid w:val="0"/>
        <w:spacing w:before="0" w:beforeAutospacing="0" w:after="0" w:afterAutospacing="0" w:line="360" w:lineRule="auto"/>
        <w:jc w:val="center"/>
        <w:rPr>
          <w:rFonts w:ascii="仿宋_GB2312" w:hAnsi="黑体" w:eastAsia="仿宋_GB2312"/>
          <w:bCs/>
          <w:sz w:val="32"/>
          <w:szCs w:val="32"/>
        </w:rPr>
      </w:pPr>
    </w:p>
    <w:p>
      <w:pPr>
        <w:pStyle w:val="6"/>
        <w:adjustRightInd w:val="0"/>
        <w:snapToGrid w:val="0"/>
        <w:spacing w:before="0" w:beforeAutospacing="0" w:after="0" w:afterAutospacing="0" w:line="500" w:lineRule="exact"/>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目 录</w:t>
      </w:r>
    </w:p>
    <w:p>
      <w:pPr>
        <w:pStyle w:val="6"/>
        <w:adjustRightInd w:val="0"/>
        <w:snapToGrid w:val="0"/>
        <w:spacing w:before="0" w:beforeAutospacing="0" w:after="0" w:afterAutospacing="0" w:line="500" w:lineRule="exact"/>
        <w:jc w:val="center"/>
        <w:rPr>
          <w:rFonts w:ascii="仿宋_GB2312" w:hAnsi="黑体" w:eastAsia="仿宋_GB2312"/>
          <w:bCs/>
          <w:sz w:val="32"/>
          <w:szCs w:val="32"/>
        </w:rPr>
      </w:pPr>
    </w:p>
    <w:p>
      <w:pPr>
        <w:pStyle w:val="6"/>
        <w:adjustRightInd w:val="0"/>
        <w:snapToGrid w:val="0"/>
        <w:spacing w:before="0" w:beforeAutospacing="0" w:after="0" w:afterAutospacing="0" w:line="58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第一部分 部门概况</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1.主要职责</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2.部门预算单位构成</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3.2023年度主要工作任务</w:t>
      </w:r>
    </w:p>
    <w:p>
      <w:pPr>
        <w:pStyle w:val="6"/>
        <w:adjustRightInd w:val="0"/>
        <w:snapToGrid w:val="0"/>
        <w:spacing w:before="0" w:beforeAutospacing="0" w:after="0" w:afterAutospacing="0" w:line="58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 2023年部门预算表</w:t>
      </w:r>
    </w:p>
    <w:p>
      <w:pPr>
        <w:pStyle w:val="6"/>
        <w:adjustRightInd w:val="0"/>
        <w:snapToGrid w:val="0"/>
        <w:spacing w:before="0" w:beforeAutospacing="0" w:after="0" w:afterAutospacing="0" w:line="58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1.2023年财政拨款收支预算总表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2.2023年一般公共预算支出预算表</w:t>
      </w:r>
    </w:p>
    <w:p>
      <w:pPr>
        <w:pStyle w:val="6"/>
        <w:adjustRightInd w:val="0"/>
        <w:snapToGrid w:val="0"/>
        <w:spacing w:before="0" w:beforeAutospacing="0" w:after="0" w:afterAutospacing="0" w:line="58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3.2023年一般公共预算基本支出预算表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4.2023年政府性基金预算收支预算表</w:t>
      </w:r>
    </w:p>
    <w:p>
      <w:pPr>
        <w:pStyle w:val="6"/>
        <w:adjustRightInd w:val="0"/>
        <w:snapToGrid w:val="0"/>
        <w:spacing w:before="0" w:beforeAutospacing="0" w:after="0" w:afterAutospacing="0" w:line="58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5.2023年国有资本经营预算收支预算表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6.2023年收支预算总表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7.2023年收入预算总表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8.2023年支出预算总表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 2023年项目支出表(不含涉密项目)</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 2023年政府采购支出表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 2023年政府购买服务支出表</w:t>
      </w:r>
    </w:p>
    <w:p>
      <w:pPr>
        <w:pStyle w:val="6"/>
        <w:adjustRightInd w:val="0"/>
        <w:snapToGrid w:val="0"/>
        <w:spacing w:before="0" w:beforeAutospacing="0" w:after="0" w:afterAutospacing="0" w:line="58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 2023年部门预算情况说明</w:t>
      </w:r>
    </w:p>
    <w:p>
      <w:pPr>
        <w:pStyle w:val="6"/>
        <w:adjustRightInd w:val="0"/>
        <w:snapToGrid w:val="0"/>
        <w:spacing w:before="0" w:beforeAutospacing="0" w:after="0" w:afterAutospacing="0" w:line="58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1.关于2023年财政拨款收支预算总体情况说明</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2.关于2023年一般公共预算财政拨款情况说明</w:t>
      </w:r>
    </w:p>
    <w:p>
      <w:pPr>
        <w:pStyle w:val="6"/>
        <w:adjustRightInd w:val="0"/>
        <w:snapToGrid w:val="0"/>
        <w:spacing w:before="0" w:beforeAutospacing="0" w:after="0" w:afterAutospacing="0" w:line="58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3.关于2023年一般公共预算基本支出情况说明</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4.关于2023年政府性基金预算拨款情况说明</w:t>
      </w:r>
    </w:p>
    <w:p>
      <w:pPr>
        <w:pStyle w:val="6"/>
        <w:adjustRightInd w:val="0"/>
        <w:snapToGrid w:val="0"/>
        <w:spacing w:before="0" w:beforeAutospacing="0" w:after="0" w:afterAutospacing="0" w:line="58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5.关于2023年国有资本经营预算拨款情况说明</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6.关于2023年收支预算总体情况说明</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7.关于2023年收入预算情况说明</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8.关于2023年支出预算情况说明</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9.其他重要事项情况说明</w:t>
      </w:r>
    </w:p>
    <w:p>
      <w:pPr>
        <w:pStyle w:val="6"/>
        <w:adjustRightInd w:val="0"/>
        <w:snapToGrid w:val="0"/>
        <w:spacing w:before="0" w:beforeAutospacing="0" w:after="0" w:afterAutospacing="0" w:line="58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 名词解释</w:t>
      </w:r>
    </w:p>
    <w:p>
      <w:pPr>
        <w:pStyle w:val="6"/>
        <w:adjustRightInd w:val="0"/>
        <w:snapToGrid w:val="0"/>
        <w:spacing w:before="0" w:beforeAutospacing="0" w:after="0" w:afterAutospacing="0" w:line="580" w:lineRule="exact"/>
        <w:ind w:firstLine="643" w:firstLineChars="200"/>
        <w:rPr>
          <w:rFonts w:ascii="仿宋_GB2312" w:hAnsi="仿宋" w:eastAsia="仿宋_GB2312" w:cs="仿宋"/>
          <w:b/>
          <w:sz w:val="32"/>
          <w:szCs w:val="32"/>
        </w:rPr>
      </w:pPr>
    </w:p>
    <w:p>
      <w:pPr>
        <w:pStyle w:val="6"/>
        <w:adjustRightInd w:val="0"/>
        <w:snapToGrid w:val="0"/>
        <w:spacing w:before="0" w:beforeAutospacing="0" w:after="0" w:afterAutospacing="0" w:line="580" w:lineRule="exact"/>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第一部分 部门概况</w:t>
      </w:r>
    </w:p>
    <w:p>
      <w:pPr>
        <w:pStyle w:val="6"/>
        <w:adjustRightInd w:val="0"/>
        <w:snapToGrid w:val="0"/>
        <w:spacing w:before="0" w:beforeAutospacing="0" w:after="0" w:afterAutospacing="0" w:line="580" w:lineRule="exact"/>
        <w:ind w:firstLine="627" w:firstLineChars="196"/>
        <w:rPr>
          <w:rFonts w:ascii="黑体" w:hAnsi="黑体" w:eastAsia="黑体"/>
          <w:sz w:val="32"/>
          <w:szCs w:val="32"/>
        </w:rPr>
      </w:pPr>
      <w:r>
        <w:rPr>
          <w:rFonts w:hint="eastAsia" w:ascii="黑体" w:hAnsi="黑体" w:eastAsia="黑体"/>
          <w:bCs/>
          <w:sz w:val="32"/>
          <w:szCs w:val="32"/>
        </w:rPr>
        <w:t>一、主要职责</w:t>
      </w:r>
    </w:p>
    <w:p>
      <w:pPr>
        <w:snapToGrid w:val="0"/>
        <w:spacing w:line="580" w:lineRule="exact"/>
        <w:ind w:firstLine="480" w:firstLineChars="150"/>
        <w:jc w:val="left"/>
        <w:rPr>
          <w:rFonts w:ascii="华文仿宋" w:hAnsi="华文仿宋" w:eastAsia="华文仿宋"/>
          <w:color w:val="000000"/>
          <w:sz w:val="32"/>
          <w:szCs w:val="32"/>
        </w:rPr>
      </w:pPr>
      <w:r>
        <w:rPr>
          <w:rFonts w:ascii="华文仿宋" w:hAnsi="华文仿宋" w:eastAsia="华文仿宋"/>
          <w:color w:val="000000"/>
          <w:sz w:val="32"/>
          <w:szCs w:val="32"/>
        </w:rPr>
        <w:t>《中国人民政治协商会议章程》规定，政协全国委员会和地方委员会的主要职能是政治协商、民主监督和参政议政。主要是指对国家和地方的大政方针以及政治、经济、文化和社会生活中的重要问题在决策之前进行协商和就决策执行过程中的重要问题进行协商；对国家的宪法、法律和法规的实施，重大方针政策的贯彻执行，国家机关及其工作人员的工作，通过建议和批评进行监督；对一些关系国计民生或人民群众关心的问题，组织调查和研究，积极主动地向党政领导机关提出意见和建议，为改革开放社会主义现代化建设献计献策等。</w:t>
      </w:r>
    </w:p>
    <w:p>
      <w:pPr>
        <w:pStyle w:val="6"/>
        <w:adjustRightInd w:val="0"/>
        <w:snapToGrid w:val="0"/>
        <w:spacing w:before="0" w:beforeAutospacing="0" w:after="0" w:afterAutospacing="0" w:line="580" w:lineRule="exact"/>
        <w:ind w:firstLine="627" w:firstLineChars="196"/>
        <w:rPr>
          <w:rFonts w:ascii="仿宋_GB2312" w:eastAsia="仿宋_GB2312"/>
          <w:sz w:val="32"/>
          <w:szCs w:val="32"/>
        </w:rPr>
      </w:pPr>
      <w:r>
        <w:rPr>
          <w:rFonts w:hint="eastAsia" w:ascii="黑体" w:hAnsi="黑体" w:eastAsia="黑体"/>
          <w:bCs/>
          <w:sz w:val="32"/>
          <w:szCs w:val="32"/>
        </w:rPr>
        <w:t>二、部门预算单位构成</w:t>
      </w:r>
    </w:p>
    <w:p>
      <w:pPr>
        <w:pStyle w:val="6"/>
        <w:adjustRightInd w:val="0"/>
        <w:snapToGrid w:val="0"/>
        <w:spacing w:before="0" w:beforeAutospacing="0" w:after="0" w:afterAutospacing="0" w:line="580" w:lineRule="exact"/>
        <w:ind w:firstLine="627" w:firstLineChars="196"/>
        <w:rPr>
          <w:rFonts w:ascii="仿宋" w:hAnsi="仿宋" w:eastAsia="仿宋"/>
          <w:sz w:val="32"/>
          <w:szCs w:val="32"/>
        </w:rPr>
      </w:pPr>
      <w:r>
        <w:rPr>
          <w:rFonts w:hint="eastAsia" w:ascii="仿宋" w:hAnsi="仿宋" w:eastAsia="仿宋"/>
          <w:sz w:val="32"/>
          <w:szCs w:val="32"/>
        </w:rPr>
        <w:t>从预算单位构成看，寿县</w:t>
      </w:r>
      <w:r>
        <w:rPr>
          <w:rFonts w:hint="eastAsia" w:ascii="仿宋" w:hAnsi="仿宋" w:eastAsia="仿宋" w:cs="仿宋"/>
          <w:bCs/>
          <w:sz w:val="32"/>
          <w:szCs w:val="32"/>
        </w:rPr>
        <w:t>政协办公室</w:t>
      </w:r>
      <w:r>
        <w:rPr>
          <w:rFonts w:hint="eastAsia" w:ascii="仿宋" w:hAnsi="仿宋" w:eastAsia="仿宋"/>
          <w:sz w:val="32"/>
          <w:szCs w:val="32"/>
        </w:rPr>
        <w:t>2023年度部门预算仅包括本级预算，无其他下属单位预算。纳入部门预算编制范围的单位共1个，具体情况见下表。</w:t>
      </w:r>
    </w:p>
    <w:tbl>
      <w:tblPr>
        <w:tblStyle w:val="7"/>
        <w:tblW w:w="9000" w:type="dxa"/>
        <w:tblInd w:w="288" w:type="dxa"/>
        <w:shd w:val="clear" w:color="auto" w:fill="FFFFFF"/>
        <w:tblLayout w:type="fixed"/>
        <w:tblCellMar>
          <w:top w:w="0" w:type="dxa"/>
          <w:left w:w="0" w:type="dxa"/>
          <w:bottom w:w="0" w:type="dxa"/>
          <w:right w:w="0" w:type="dxa"/>
        </w:tblCellMar>
      </w:tblPr>
      <w:tblGrid>
        <w:gridCol w:w="900"/>
        <w:gridCol w:w="3600"/>
        <w:gridCol w:w="4500"/>
      </w:tblGrid>
      <w:tr>
        <w:tblPrEx>
          <w:shd w:val="clear" w:color="auto" w:fill="FFFFFF"/>
          <w:tblLayout w:type="fixed"/>
          <w:tblCellMar>
            <w:top w:w="0" w:type="dxa"/>
            <w:left w:w="0" w:type="dxa"/>
            <w:bottom w:w="0" w:type="dxa"/>
            <w:right w:w="0" w:type="dxa"/>
          </w:tblCellMar>
        </w:tblPrEx>
        <w:trPr>
          <w:trHeight w:val="643"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left"/>
              <w:rPr>
                <w:rFonts w:ascii="仿宋" w:hAnsi="仿宋" w:eastAsia="仿宋"/>
                <w:sz w:val="32"/>
                <w:szCs w:val="32"/>
              </w:rPr>
            </w:pPr>
            <w:r>
              <w:rPr>
                <w:rFonts w:hint="eastAsia" w:ascii="仿宋" w:hAnsi="仿宋" w:eastAsia="仿宋"/>
                <w:sz w:val="32"/>
                <w:szCs w:val="32"/>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left"/>
              <w:rPr>
                <w:rFonts w:ascii="仿宋" w:hAnsi="仿宋" w:eastAsia="仿宋"/>
                <w:sz w:val="32"/>
                <w:szCs w:val="32"/>
              </w:rPr>
            </w:pPr>
            <w:r>
              <w:rPr>
                <w:rFonts w:hint="eastAsia" w:ascii="仿宋" w:hAnsi="仿宋" w:eastAsia="仿宋"/>
                <w:sz w:val="32"/>
                <w:szCs w:val="32"/>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580" w:lineRule="exact"/>
              <w:jc w:val="left"/>
              <w:rPr>
                <w:rFonts w:ascii="仿宋" w:hAnsi="仿宋" w:eastAsia="仿宋"/>
                <w:sz w:val="32"/>
                <w:szCs w:val="32"/>
              </w:rPr>
            </w:pPr>
            <w:r>
              <w:rPr>
                <w:rFonts w:hint="eastAsia" w:ascii="仿宋" w:hAnsi="仿宋" w:eastAsia="仿宋"/>
                <w:sz w:val="32"/>
                <w:szCs w:val="32"/>
              </w:rPr>
              <w:t>单位性质</w:t>
            </w:r>
          </w:p>
        </w:tc>
      </w:tr>
      <w:tr>
        <w:tblPrEx>
          <w:shd w:val="clear" w:color="auto" w:fill="FFFFFF"/>
          <w:tblLayout w:type="fixed"/>
          <w:tblCellMar>
            <w:top w:w="0" w:type="dxa"/>
            <w:left w:w="0" w:type="dxa"/>
            <w:bottom w:w="0" w:type="dxa"/>
            <w:right w:w="0" w:type="dxa"/>
          </w:tblCellMar>
        </w:tblPrEx>
        <w:trPr>
          <w:trHeight w:val="668"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left"/>
              <w:rPr>
                <w:rFonts w:ascii="仿宋" w:hAnsi="仿宋" w:eastAsia="仿宋" w:cs="宋体"/>
                <w:sz w:val="32"/>
                <w:szCs w:val="32"/>
              </w:rPr>
            </w:pPr>
            <w:r>
              <w:rPr>
                <w:rFonts w:hint="eastAsia" w:ascii="仿宋" w:hAnsi="仿宋" w:eastAsia="仿宋"/>
                <w:sz w:val="32"/>
                <w:szCs w:val="32"/>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80" w:lineRule="exact"/>
              <w:jc w:val="left"/>
              <w:rPr>
                <w:rFonts w:ascii="仿宋" w:hAnsi="仿宋" w:eastAsia="仿宋"/>
                <w:sz w:val="32"/>
                <w:szCs w:val="32"/>
                <w:u w:val="single"/>
              </w:rPr>
            </w:pPr>
            <w:r>
              <w:rPr>
                <w:rFonts w:hint="eastAsia" w:ascii="仿宋" w:hAnsi="仿宋" w:eastAsia="仿宋" w:cs="仿宋"/>
                <w:bCs/>
                <w:sz w:val="32"/>
                <w:szCs w:val="32"/>
              </w:rPr>
              <w:t>寿县政协办公室本级</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580" w:lineRule="exact"/>
              <w:jc w:val="left"/>
              <w:rPr>
                <w:rFonts w:ascii="仿宋" w:hAnsi="仿宋" w:eastAsia="仿宋"/>
                <w:sz w:val="32"/>
                <w:szCs w:val="32"/>
                <w:u w:val="single"/>
              </w:rPr>
            </w:pPr>
            <w:r>
              <w:rPr>
                <w:rFonts w:hint="eastAsia" w:ascii="仿宋" w:hAnsi="仿宋" w:eastAsia="仿宋" w:cs="仿宋"/>
                <w:bCs/>
                <w:sz w:val="32"/>
                <w:szCs w:val="32"/>
              </w:rPr>
              <w:t>行政单位</w:t>
            </w:r>
          </w:p>
        </w:tc>
      </w:tr>
    </w:tbl>
    <w:p>
      <w:pPr>
        <w:pStyle w:val="6"/>
        <w:adjustRightInd w:val="0"/>
        <w:snapToGrid w:val="0"/>
        <w:spacing w:before="0" w:beforeAutospacing="0" w:after="0" w:afterAutospacing="0" w:line="580" w:lineRule="exact"/>
        <w:ind w:firstLine="627" w:firstLineChars="196"/>
        <w:rPr>
          <w:rFonts w:ascii="黑体" w:hAnsi="黑体" w:eastAsia="黑体"/>
          <w:bCs/>
          <w:sz w:val="32"/>
          <w:szCs w:val="32"/>
        </w:rPr>
      </w:pPr>
      <w:r>
        <w:rPr>
          <w:rFonts w:hint="eastAsia" w:ascii="黑体" w:hAnsi="黑体" w:eastAsia="黑体"/>
          <w:bCs/>
          <w:sz w:val="32"/>
          <w:szCs w:val="32"/>
        </w:rPr>
        <w:t>三、2023年度主要工作任务</w:t>
      </w:r>
    </w:p>
    <w:p>
      <w:pPr>
        <w:pStyle w:val="6"/>
        <w:widowControl w:val="0"/>
        <w:shd w:val="clear" w:color="auto" w:fill="FFFFFF"/>
        <w:snapToGrid w:val="0"/>
        <w:spacing w:before="0" w:beforeAutospacing="0" w:after="0" w:afterAutospacing="0" w:line="580" w:lineRule="exact"/>
        <w:ind w:firstLine="627" w:firstLineChars="196"/>
        <w:rPr>
          <w:rFonts w:hint="eastAsia" w:ascii="仿宋" w:hAnsi="仿宋" w:eastAsia="仿宋"/>
          <w:sz w:val="32"/>
          <w:szCs w:val="32"/>
        </w:rPr>
      </w:pPr>
      <w:r>
        <w:rPr>
          <w:rFonts w:hint="eastAsia" w:ascii="仿宋" w:hAnsi="仿宋" w:eastAsia="仿宋"/>
          <w:sz w:val="32"/>
          <w:szCs w:val="32"/>
        </w:rPr>
        <w:t>2023年主要工作任务是:</w:t>
      </w:r>
      <w:r>
        <w:rPr>
          <w:rFonts w:ascii="仿宋" w:hAnsi="仿宋" w:eastAsia="仿宋"/>
          <w:sz w:val="32"/>
          <w:szCs w:val="32"/>
        </w:rPr>
        <w:t>以习近平新时代中国特色社会主义思想为指导，深入学习贯彻中共二十大和二十届一中全会精神，及时跟进学习习近平总书记最新重要讲话精神</w:t>
      </w:r>
      <w:bookmarkStart w:id="0" w:name="_GoBack"/>
      <w:bookmarkEnd w:id="0"/>
      <w:r>
        <w:rPr>
          <w:rFonts w:ascii="仿宋" w:hAnsi="仿宋" w:eastAsia="仿宋"/>
          <w:sz w:val="32"/>
          <w:szCs w:val="32"/>
        </w:rPr>
        <w:t>。围绕中共寿县县委十五届三次全会作出的战略部署，践行全过程人民民主，牢牢把握团结和民主两大主题，充分发挥专门协商机构作用，不断加强思想政治引领、广泛凝聚共识，为奋力谱写现代化美好寿县建设新篇章作出新贡献。</w:t>
      </w:r>
    </w:p>
    <w:p>
      <w:pPr>
        <w:pStyle w:val="6"/>
        <w:widowControl w:val="0"/>
        <w:shd w:val="clear" w:color="auto" w:fill="FFFFFF"/>
        <w:snapToGrid w:val="0"/>
        <w:spacing w:before="0" w:beforeAutospacing="0" w:after="0" w:afterAutospacing="0" w:line="580" w:lineRule="exact"/>
        <w:ind w:firstLine="627" w:firstLineChars="196"/>
        <w:rPr>
          <w:rFonts w:hint="eastAsia" w:ascii="仿宋" w:hAnsi="仿宋" w:eastAsia="仿宋"/>
          <w:sz w:val="32"/>
          <w:szCs w:val="32"/>
        </w:rPr>
      </w:pPr>
      <w:r>
        <w:rPr>
          <w:rFonts w:ascii="仿宋" w:hAnsi="仿宋" w:eastAsia="仿宋"/>
          <w:sz w:val="32"/>
          <w:szCs w:val="32"/>
        </w:rPr>
        <w:t>（一）把牢前进方向，在提高政治站位上达到新高度</w:t>
      </w:r>
    </w:p>
    <w:p>
      <w:pPr>
        <w:pStyle w:val="6"/>
        <w:widowControl w:val="0"/>
        <w:shd w:val="clear" w:color="auto" w:fill="FFFFFF"/>
        <w:snapToGrid w:val="0"/>
        <w:spacing w:before="0" w:beforeAutospacing="0" w:after="0" w:afterAutospacing="0" w:line="580" w:lineRule="exact"/>
        <w:ind w:firstLine="627" w:firstLineChars="196"/>
        <w:rPr>
          <w:rFonts w:ascii="仿宋" w:hAnsi="仿宋" w:eastAsia="仿宋"/>
          <w:sz w:val="32"/>
          <w:szCs w:val="32"/>
        </w:rPr>
      </w:pPr>
      <w:r>
        <w:rPr>
          <w:rFonts w:ascii="仿宋" w:hAnsi="仿宋" w:eastAsia="仿宋"/>
          <w:sz w:val="32"/>
          <w:szCs w:val="32"/>
        </w:rPr>
        <w:t>（二）服务中心大局，在推动高质量发展上谋求新作为</w:t>
      </w:r>
    </w:p>
    <w:p>
      <w:pPr>
        <w:pStyle w:val="6"/>
        <w:widowControl w:val="0"/>
        <w:shd w:val="clear" w:color="auto" w:fill="FFFFFF"/>
        <w:snapToGrid w:val="0"/>
        <w:spacing w:before="0" w:beforeAutospacing="0" w:after="0" w:afterAutospacing="0" w:line="580" w:lineRule="exact"/>
        <w:ind w:firstLine="640" w:firstLineChars="200"/>
        <w:rPr>
          <w:rFonts w:hint="eastAsia" w:ascii="仿宋" w:hAnsi="仿宋" w:eastAsia="仿宋"/>
          <w:sz w:val="32"/>
          <w:szCs w:val="32"/>
        </w:rPr>
      </w:pPr>
      <w:r>
        <w:rPr>
          <w:rFonts w:ascii="仿宋" w:hAnsi="仿宋" w:eastAsia="仿宋"/>
          <w:sz w:val="32"/>
          <w:szCs w:val="32"/>
        </w:rPr>
        <w:t>（三）加强政治引领，在广泛凝聚共识上取得新成效</w:t>
      </w:r>
    </w:p>
    <w:p>
      <w:pPr>
        <w:snapToGrid w:val="0"/>
        <w:spacing w:line="580" w:lineRule="exact"/>
        <w:ind w:firstLine="640" w:firstLineChars="200"/>
        <w:jc w:val="left"/>
        <w:rPr>
          <w:rFonts w:hint="eastAsia" w:ascii="仿宋" w:hAnsi="仿宋" w:eastAsia="仿宋" w:cs="宋体"/>
          <w:kern w:val="0"/>
          <w:sz w:val="32"/>
          <w:szCs w:val="32"/>
        </w:rPr>
      </w:pPr>
      <w:r>
        <w:rPr>
          <w:rFonts w:ascii="仿宋" w:hAnsi="仿宋" w:eastAsia="仿宋" w:cs="宋体"/>
          <w:kern w:val="0"/>
          <w:sz w:val="32"/>
          <w:szCs w:val="32"/>
        </w:rPr>
        <w:t>（四）坚持守正创新，在打造特色工作上迈出新步伐</w:t>
      </w:r>
    </w:p>
    <w:p>
      <w:pPr>
        <w:snapToGrid w:val="0"/>
        <w:spacing w:line="580" w:lineRule="exact"/>
        <w:ind w:firstLine="640" w:firstLineChars="200"/>
        <w:jc w:val="left"/>
        <w:rPr>
          <w:rFonts w:hint="eastAsia" w:ascii="仿宋" w:hAnsi="仿宋" w:eastAsia="仿宋" w:cs="宋体"/>
          <w:kern w:val="0"/>
          <w:sz w:val="32"/>
          <w:szCs w:val="32"/>
        </w:rPr>
      </w:pPr>
      <w:r>
        <w:rPr>
          <w:rFonts w:ascii="仿宋" w:hAnsi="仿宋" w:eastAsia="仿宋" w:cs="宋体"/>
          <w:kern w:val="0"/>
          <w:sz w:val="32"/>
          <w:szCs w:val="32"/>
        </w:rPr>
        <w:t>（五）夯实自身建设，在提升履职能力上展现新风貌</w:t>
      </w:r>
    </w:p>
    <w:p>
      <w:pPr>
        <w:pStyle w:val="6"/>
        <w:adjustRightInd w:val="0"/>
        <w:snapToGrid w:val="0"/>
        <w:spacing w:before="0" w:beforeAutospacing="0" w:after="0" w:afterAutospacing="0" w:line="580" w:lineRule="exact"/>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第二部分 2023年部门预算表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1.2023年收支总表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2.2023年收入总表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3.2023年支出总表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4.2023年财政拨款收支总表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5.2023年一般公共预算支出表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6.2023年一般公共预算基本支出表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7.2023年政府性基金预算支出表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8.2023年国有资本经营预算支出预算表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9.2023年项目支出表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10.2023年政府采购支出表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11.2023年政府购买服务支出表</w:t>
      </w:r>
    </w:p>
    <w:p>
      <w:pPr>
        <w:pStyle w:val="6"/>
        <w:adjustRightInd w:val="0"/>
        <w:snapToGrid w:val="0"/>
        <w:spacing w:before="0" w:beforeAutospacing="0" w:after="0" w:afterAutospacing="0"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共11张表，具体内容祥见附表</w:t>
      </w:r>
    </w:p>
    <w:p>
      <w:pPr>
        <w:pStyle w:val="6"/>
        <w:adjustRightInd w:val="0"/>
        <w:snapToGrid w:val="0"/>
        <w:spacing w:before="0" w:beforeAutospacing="0" w:after="0" w:afterAutospacing="0" w:line="580" w:lineRule="exact"/>
        <w:ind w:firstLine="787" w:firstLineChars="245"/>
        <w:rPr>
          <w:rFonts w:ascii="仿宋_GB2312" w:hAnsi="黑体" w:eastAsia="仿宋_GB2312"/>
          <w:b/>
          <w:bCs/>
          <w:color w:val="FF0000"/>
          <w:sz w:val="32"/>
          <w:szCs w:val="32"/>
        </w:rPr>
      </w:pPr>
    </w:p>
    <w:p>
      <w:pPr>
        <w:pStyle w:val="6"/>
        <w:adjustRightInd w:val="0"/>
        <w:snapToGrid w:val="0"/>
        <w:spacing w:before="0" w:beforeAutospacing="0" w:after="0" w:afterAutospacing="0" w:line="580" w:lineRule="exact"/>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第三部分 2023年部门预算情况说明</w:t>
      </w:r>
    </w:p>
    <w:p>
      <w:pPr>
        <w:pStyle w:val="6"/>
        <w:adjustRightInd w:val="0"/>
        <w:snapToGrid w:val="0"/>
        <w:spacing w:before="0" w:beforeAutospacing="0" w:after="0" w:afterAutospacing="0" w:line="580" w:lineRule="exact"/>
        <w:ind w:firstLine="640" w:firstLineChars="200"/>
        <w:rPr>
          <w:rFonts w:ascii="黑体" w:hAnsi="黑体" w:eastAsia="黑体"/>
          <w:bCs/>
          <w:sz w:val="32"/>
          <w:szCs w:val="32"/>
        </w:rPr>
      </w:pPr>
      <w:r>
        <w:rPr>
          <w:rFonts w:hint="eastAsia" w:ascii="黑体" w:hAnsi="黑体" w:eastAsia="黑体"/>
          <w:bCs/>
          <w:sz w:val="32"/>
          <w:szCs w:val="32"/>
        </w:rPr>
        <w:t>一、关于2023年财政拨款收支预算总体情况说明</w:t>
      </w:r>
    </w:p>
    <w:p>
      <w:pPr>
        <w:pStyle w:val="6"/>
        <w:adjustRightInd w:val="0"/>
        <w:snapToGrid w:val="0"/>
        <w:spacing w:before="0" w:beforeAutospacing="0" w:after="0" w:afterAutospacing="0" w:line="580" w:lineRule="exact"/>
        <w:ind w:firstLine="640" w:firstLineChars="200"/>
        <w:rPr>
          <w:rFonts w:ascii="仿宋" w:hAnsi="仿宋" w:eastAsia="仿宋" w:cs="Times New Roman"/>
          <w:kern w:val="2"/>
          <w:sz w:val="32"/>
          <w:szCs w:val="32"/>
        </w:rPr>
      </w:pPr>
      <w:r>
        <w:rPr>
          <w:rFonts w:hint="eastAsia" w:ascii="仿宋" w:hAnsi="仿宋" w:eastAsia="仿宋"/>
          <w:sz w:val="32"/>
          <w:szCs w:val="32"/>
        </w:rPr>
        <w:t>寿县政协办公室</w:t>
      </w:r>
      <w:r>
        <w:rPr>
          <w:rFonts w:hint="eastAsia" w:ascii="仿宋" w:hAnsi="仿宋" w:eastAsia="仿宋" w:cs="Times New Roman"/>
          <w:kern w:val="2"/>
          <w:sz w:val="32"/>
          <w:szCs w:val="32"/>
        </w:rPr>
        <w:t>2023年财政拨款收支预算</w:t>
      </w:r>
      <w:r>
        <w:rPr>
          <w:rFonts w:hint="eastAsia" w:ascii="仿宋" w:hAnsi="仿宋" w:eastAsia="仿宋"/>
          <w:sz w:val="32"/>
          <w:szCs w:val="32"/>
        </w:rPr>
        <w:t>644.83</w:t>
      </w:r>
      <w:r>
        <w:rPr>
          <w:rFonts w:hint="eastAsia" w:ascii="仿宋" w:hAnsi="仿宋" w:eastAsia="仿宋" w:cs="Times New Roman"/>
          <w:kern w:val="2"/>
          <w:sz w:val="32"/>
          <w:szCs w:val="32"/>
        </w:rPr>
        <w:t>万元。收入按资金来源分为：一般公共预算拨款644.83万元、政府性基金预算拨款0万元、国有资本经营预算拨款0万元；按资金年度分为：当年财政拨款收入644.83万元，上年结转0万元。支出按功能分类分为：一般公共服务支出519.45万元，占80.56%；社会保障和就业支出65.2万元，占10.11%；卫生健康支出27.8万元，占4.31%；住房保障支出32.39万元，占5.02%。</w:t>
      </w:r>
    </w:p>
    <w:p>
      <w:pPr>
        <w:pStyle w:val="6"/>
        <w:adjustRightInd w:val="0"/>
        <w:snapToGrid w:val="0"/>
        <w:spacing w:before="0" w:beforeAutospacing="0" w:after="0" w:afterAutospacing="0" w:line="580" w:lineRule="exact"/>
        <w:ind w:firstLine="640" w:firstLineChars="200"/>
        <w:rPr>
          <w:rFonts w:ascii="黑体" w:hAnsi="黑体" w:eastAsia="黑体" w:cs="Times New Roman"/>
          <w:kern w:val="2"/>
          <w:sz w:val="32"/>
          <w:szCs w:val="32"/>
        </w:rPr>
      </w:pPr>
      <w:r>
        <w:rPr>
          <w:rFonts w:hint="eastAsia" w:ascii="黑体" w:hAnsi="黑体" w:eastAsia="黑体" w:cs="Times New Roman"/>
          <w:kern w:val="2"/>
          <w:sz w:val="32"/>
          <w:szCs w:val="32"/>
        </w:rPr>
        <w:t>二、关于2023年一般公共预算拨款情况说明</w:t>
      </w:r>
    </w:p>
    <w:p>
      <w:pPr>
        <w:pStyle w:val="6"/>
        <w:adjustRightInd w:val="0"/>
        <w:snapToGrid w:val="0"/>
        <w:spacing w:before="0" w:beforeAutospacing="0" w:after="0" w:afterAutospacing="0" w:line="580" w:lineRule="exact"/>
        <w:ind w:firstLine="630" w:firstLineChars="196"/>
        <w:rPr>
          <w:rFonts w:ascii="仿宋_GB2312" w:hAnsi="仿宋" w:eastAsia="仿宋_GB2312" w:cs="Times New Roman"/>
          <w:b/>
          <w:kern w:val="2"/>
          <w:sz w:val="32"/>
          <w:szCs w:val="32"/>
        </w:rPr>
      </w:pPr>
      <w:r>
        <w:rPr>
          <w:rFonts w:hint="eastAsia" w:ascii="仿宋_GB2312" w:hAnsi="仿宋" w:eastAsia="仿宋_GB2312" w:cs="Times New Roman"/>
          <w:b/>
          <w:kern w:val="2"/>
          <w:sz w:val="32"/>
          <w:szCs w:val="32"/>
        </w:rPr>
        <w:t>（一）一般公共预算拨款规模变化情况</w:t>
      </w:r>
    </w:p>
    <w:p>
      <w:pPr>
        <w:pStyle w:val="6"/>
        <w:widowControl w:val="0"/>
        <w:adjustRightInd w:val="0"/>
        <w:snapToGrid w:val="0"/>
        <w:spacing w:before="0" w:beforeAutospacing="0" w:after="0" w:afterAutospacing="0" w:line="580" w:lineRule="exact"/>
        <w:ind w:firstLine="627" w:firstLineChars="196"/>
        <w:rPr>
          <w:rFonts w:ascii="华文仿宋" w:hAnsi="华文仿宋" w:eastAsia="华文仿宋"/>
          <w:color w:val="000000"/>
          <w:sz w:val="32"/>
          <w:szCs w:val="32"/>
        </w:rPr>
      </w:pPr>
      <w:r>
        <w:rPr>
          <w:rFonts w:hint="eastAsia" w:ascii="华文仿宋" w:hAnsi="华文仿宋" w:eastAsia="华文仿宋" w:cs="Times New Roman"/>
          <w:kern w:val="2"/>
          <w:sz w:val="32"/>
          <w:szCs w:val="32"/>
        </w:rPr>
        <w:t>寿县政协办公室2023年一般公共预算拨款</w:t>
      </w:r>
      <w:r>
        <w:rPr>
          <w:rFonts w:hint="eastAsia" w:ascii="华文仿宋" w:hAnsi="华文仿宋" w:eastAsia="华文仿宋"/>
          <w:sz w:val="32"/>
          <w:szCs w:val="32"/>
        </w:rPr>
        <w:t>644.83</w:t>
      </w:r>
      <w:r>
        <w:rPr>
          <w:rFonts w:hint="eastAsia" w:ascii="华文仿宋" w:hAnsi="华文仿宋" w:eastAsia="华文仿宋" w:cs="Times New Roman"/>
          <w:kern w:val="2"/>
          <w:sz w:val="32"/>
          <w:szCs w:val="32"/>
        </w:rPr>
        <w:t>万元，比2022年预算拨款增加97.12万元，增长17.73%，</w:t>
      </w:r>
      <w:r>
        <w:rPr>
          <w:rFonts w:hint="eastAsia" w:ascii="华文仿宋" w:hAnsi="华文仿宋" w:eastAsia="华文仿宋"/>
          <w:sz w:val="32"/>
          <w:szCs w:val="32"/>
        </w:rPr>
        <w:t>增长的</w:t>
      </w:r>
      <w:r>
        <w:rPr>
          <w:rFonts w:hint="eastAsia" w:ascii="华文仿宋" w:hAnsi="华文仿宋" w:eastAsia="华文仿宋" w:cs="Times New Roman"/>
          <w:kern w:val="2"/>
          <w:sz w:val="32"/>
          <w:szCs w:val="32"/>
        </w:rPr>
        <w:t>主要原因是在职基础绩效工资今年纳入了预算、同时本年度有人员增加。</w:t>
      </w:r>
    </w:p>
    <w:p>
      <w:pPr>
        <w:pStyle w:val="6"/>
        <w:adjustRightInd w:val="0"/>
        <w:snapToGrid w:val="0"/>
        <w:spacing w:before="0" w:beforeAutospacing="0" w:after="0" w:afterAutospacing="0" w:line="580" w:lineRule="exact"/>
        <w:ind w:firstLine="630" w:firstLineChars="196"/>
        <w:rPr>
          <w:rFonts w:ascii="仿宋_GB2312" w:hAnsi="仿宋" w:eastAsia="仿宋_GB2312" w:cs="Times New Roman"/>
          <w:b/>
          <w:kern w:val="2"/>
          <w:sz w:val="32"/>
          <w:szCs w:val="32"/>
        </w:rPr>
      </w:pPr>
      <w:r>
        <w:rPr>
          <w:rFonts w:hint="eastAsia" w:ascii="仿宋_GB2312" w:hAnsi="仿宋" w:eastAsia="仿宋_GB2312" w:cs="Times New Roman"/>
          <w:b/>
          <w:kern w:val="2"/>
          <w:sz w:val="32"/>
          <w:szCs w:val="32"/>
        </w:rPr>
        <w:t>（二）一般公共预算拨款结构情况</w:t>
      </w:r>
    </w:p>
    <w:p>
      <w:pPr>
        <w:pStyle w:val="6"/>
        <w:adjustRightInd w:val="0"/>
        <w:snapToGrid w:val="0"/>
        <w:spacing w:before="0" w:beforeAutospacing="0" w:after="0" w:afterAutospacing="0" w:line="58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一般公共服务支出519.45万元，占80.56%；社会保障和就业支出65.2万元，占10.11%；卫生健康支出27.8万元，占4.31%；住房保障支出32.39万元，占5.02%。</w:t>
      </w:r>
    </w:p>
    <w:p>
      <w:pPr>
        <w:adjustRightInd w:val="0"/>
        <w:snapToGrid w:val="0"/>
        <w:spacing w:line="580" w:lineRule="exact"/>
        <w:ind w:firstLine="643" w:firstLineChars="200"/>
        <w:jc w:val="left"/>
        <w:rPr>
          <w:rFonts w:ascii="仿宋_GB2312" w:hAnsi="仿宋" w:eastAsia="仿宋_GB2312"/>
          <w:b/>
          <w:sz w:val="32"/>
          <w:szCs w:val="32"/>
        </w:rPr>
      </w:pPr>
      <w:r>
        <w:rPr>
          <w:rFonts w:hint="eastAsia" w:ascii="仿宋_GB2312" w:hAnsi="仿宋" w:eastAsia="仿宋_GB2312"/>
          <w:b/>
          <w:sz w:val="32"/>
          <w:szCs w:val="32"/>
        </w:rPr>
        <w:t>（三）一般公共预算拨款具体使用情况</w:t>
      </w:r>
    </w:p>
    <w:p>
      <w:pPr>
        <w:pStyle w:val="6"/>
        <w:widowControl w:val="0"/>
        <w:adjustRightInd w:val="0"/>
        <w:snapToGrid w:val="0"/>
        <w:spacing w:before="0" w:beforeAutospacing="0" w:after="0" w:afterAutospacing="0" w:line="580" w:lineRule="exact"/>
        <w:ind w:firstLine="630" w:firstLineChars="196"/>
        <w:rPr>
          <w:rFonts w:asciiTheme="minorEastAsia" w:hAnsiTheme="minorEastAsia" w:eastAsiaTheme="minorEastAsia"/>
          <w:color w:val="000000"/>
          <w:sz w:val="32"/>
          <w:szCs w:val="32"/>
        </w:rPr>
      </w:pPr>
      <w:r>
        <w:rPr>
          <w:rFonts w:hint="eastAsia" w:ascii="仿宋_GB2312" w:hAnsi="仿宋" w:eastAsia="仿宋_GB2312"/>
          <w:b/>
          <w:sz w:val="32"/>
          <w:szCs w:val="32"/>
        </w:rPr>
        <w:t>1.一般公共服务支出（类）政协事务（款）行政运行机关服务、委员视察（项）</w:t>
      </w:r>
      <w:r>
        <w:rPr>
          <w:rFonts w:hint="eastAsia" w:ascii="仿宋" w:hAnsi="仿宋" w:eastAsia="仿宋" w:cs="Times New Roman"/>
          <w:kern w:val="2"/>
          <w:sz w:val="32"/>
          <w:szCs w:val="32"/>
        </w:rPr>
        <w:t>2023年预算519.45万元，比2022年预算增加71.23万元，增长15.89%，增长的主要原因是</w:t>
      </w:r>
      <w:r>
        <w:rPr>
          <w:rFonts w:hint="eastAsia" w:ascii="华文仿宋" w:hAnsi="华文仿宋" w:eastAsia="华文仿宋" w:cs="Times New Roman"/>
          <w:kern w:val="2"/>
          <w:sz w:val="32"/>
          <w:szCs w:val="32"/>
        </w:rPr>
        <w:t>在职基础绩效工资今年纳入了预算、同时本年度有人员增加</w:t>
      </w:r>
      <w:r>
        <w:rPr>
          <w:rFonts w:hint="eastAsia" w:ascii="仿宋" w:hAnsi="仿宋" w:eastAsia="仿宋" w:cs="Times New Roman"/>
          <w:kern w:val="2"/>
          <w:sz w:val="32"/>
          <w:szCs w:val="32"/>
        </w:rPr>
        <w:t>。</w:t>
      </w:r>
    </w:p>
    <w:p>
      <w:pPr>
        <w:pStyle w:val="6"/>
        <w:adjustRightInd w:val="0"/>
        <w:snapToGrid w:val="0"/>
        <w:spacing w:before="0" w:beforeAutospacing="0" w:after="0" w:afterAutospacing="0" w:line="580" w:lineRule="exact"/>
        <w:ind w:firstLine="630" w:firstLineChars="196"/>
        <w:rPr>
          <w:rFonts w:ascii="仿宋" w:hAnsi="仿宋" w:eastAsia="仿宋" w:cs="Times New Roman"/>
          <w:kern w:val="2"/>
          <w:sz w:val="32"/>
          <w:szCs w:val="32"/>
        </w:rPr>
      </w:pPr>
      <w:r>
        <w:rPr>
          <w:rFonts w:hint="eastAsia" w:ascii="仿宋_GB2312" w:hAnsi="仿宋" w:eastAsia="仿宋_GB2312"/>
          <w:b/>
          <w:sz w:val="32"/>
          <w:szCs w:val="32"/>
        </w:rPr>
        <w:t>2.社会保障和就业支出（类）行政事业单位养老支出、其他社会保障和就业支出（款）行政单位离退休、机关事业单位基本养老保险缴费、其他社会保障和就业支出（项）</w:t>
      </w:r>
      <w:r>
        <w:rPr>
          <w:rFonts w:hint="eastAsia" w:asciiTheme="minorEastAsia" w:hAnsiTheme="minorEastAsia" w:eastAsiaTheme="minorEastAsia"/>
          <w:sz w:val="32"/>
          <w:szCs w:val="32"/>
        </w:rPr>
        <w:t>2</w:t>
      </w:r>
      <w:r>
        <w:rPr>
          <w:rFonts w:hint="eastAsia" w:ascii="仿宋" w:hAnsi="仿宋" w:eastAsia="仿宋" w:cs="Times New Roman"/>
          <w:kern w:val="2"/>
          <w:sz w:val="32"/>
          <w:szCs w:val="32"/>
        </w:rPr>
        <w:t>023年预算65.2万元，比2022年预算增加21.57万元，增长39.41%，增长的主要原因是2023年职业年金缴费纳入了预算和人员增加。</w:t>
      </w:r>
    </w:p>
    <w:p>
      <w:pPr>
        <w:adjustRightInd w:val="0"/>
        <w:snapToGrid w:val="0"/>
        <w:spacing w:line="580" w:lineRule="exact"/>
        <w:ind w:firstLine="643" w:firstLineChars="200"/>
        <w:jc w:val="left"/>
        <w:rPr>
          <w:rFonts w:ascii="仿宋" w:hAnsi="仿宋" w:eastAsia="仿宋"/>
          <w:sz w:val="32"/>
          <w:szCs w:val="32"/>
        </w:rPr>
      </w:pPr>
      <w:r>
        <w:rPr>
          <w:rFonts w:hint="eastAsia" w:ascii="仿宋_GB2312" w:hAnsi="仿宋" w:eastAsia="仿宋_GB2312"/>
          <w:b/>
          <w:sz w:val="32"/>
          <w:szCs w:val="32"/>
        </w:rPr>
        <w:t xml:space="preserve">3.卫生健康支出（类）行政事业单位医疗（款）行政单位医疗、公务员医疗补助（项） </w:t>
      </w:r>
      <w:r>
        <w:rPr>
          <w:rFonts w:hint="eastAsia" w:asciiTheme="minorEastAsia" w:hAnsiTheme="minorEastAsia" w:eastAsiaTheme="minorEastAsia"/>
          <w:sz w:val="32"/>
          <w:szCs w:val="32"/>
        </w:rPr>
        <w:t>2</w:t>
      </w:r>
      <w:r>
        <w:rPr>
          <w:rFonts w:hint="eastAsia" w:ascii="仿宋" w:hAnsi="仿宋" w:eastAsia="仿宋"/>
          <w:sz w:val="32"/>
          <w:szCs w:val="32"/>
        </w:rPr>
        <w:t>023年预算27.8万元，比2022年预算增加2.18万元，增长8.5%，增长的主要原因是医保缴费基数调整和人员增加。</w:t>
      </w:r>
    </w:p>
    <w:p>
      <w:pPr>
        <w:adjustRightInd w:val="0"/>
        <w:snapToGrid w:val="0"/>
        <w:spacing w:line="580" w:lineRule="exact"/>
        <w:ind w:firstLine="643" w:firstLineChars="200"/>
        <w:jc w:val="left"/>
        <w:rPr>
          <w:rFonts w:asciiTheme="minorEastAsia" w:hAnsiTheme="minorEastAsia" w:eastAsiaTheme="minorEastAsia"/>
          <w:sz w:val="32"/>
          <w:szCs w:val="32"/>
        </w:rPr>
      </w:pPr>
      <w:r>
        <w:rPr>
          <w:rFonts w:hint="eastAsia" w:ascii="仿宋_GB2312" w:hAnsi="仿宋" w:eastAsia="仿宋_GB2312"/>
          <w:b/>
          <w:sz w:val="32"/>
          <w:szCs w:val="32"/>
        </w:rPr>
        <w:t>4.住房保障支出（类）住房改革支出（款）住房公积金（项）</w:t>
      </w:r>
      <w:r>
        <w:rPr>
          <w:rFonts w:hint="eastAsia" w:ascii="仿宋" w:hAnsi="仿宋" w:eastAsia="仿宋"/>
          <w:sz w:val="32"/>
          <w:szCs w:val="32"/>
        </w:rPr>
        <w:t>2023年预算32.39万元，比2022年预算增加12.15万元，增长60.02%，增长的主要原因公积金缴费基数调整和人员增加。</w:t>
      </w:r>
    </w:p>
    <w:p>
      <w:pPr>
        <w:pStyle w:val="6"/>
        <w:adjustRightInd w:val="0"/>
        <w:snapToGrid w:val="0"/>
        <w:spacing w:before="0" w:beforeAutospacing="0" w:after="0" w:afterAutospacing="0" w:line="580" w:lineRule="exact"/>
        <w:ind w:firstLine="640" w:firstLineChars="200"/>
        <w:rPr>
          <w:rFonts w:ascii="黑体" w:hAnsi="黑体" w:eastAsia="黑体"/>
          <w:sz w:val="32"/>
          <w:szCs w:val="32"/>
        </w:rPr>
      </w:pPr>
      <w:r>
        <w:rPr>
          <w:rFonts w:hint="eastAsia" w:ascii="黑体" w:hAnsi="黑体" w:eastAsia="黑体" w:cs="Times New Roman"/>
          <w:kern w:val="2"/>
          <w:sz w:val="32"/>
          <w:szCs w:val="32"/>
        </w:rPr>
        <w:t>三、关于2023年一般公共预算基本支出情况说明</w:t>
      </w:r>
    </w:p>
    <w:p>
      <w:pPr>
        <w:pStyle w:val="6"/>
        <w:adjustRightInd w:val="0"/>
        <w:snapToGrid w:val="0"/>
        <w:spacing w:before="0" w:beforeAutospacing="0" w:after="0" w:afterAutospacing="0" w:line="58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寿县政协办公室2023年一般公共预算基本支出451.15万元，其中：工资福利支出374.9万元，主要包括：基本工资、津贴补贴、绩效工资、机关事业单位基本养老保险缴费、职业年金缴费、职工基本医疗保险缴费、住房公积金、医疗费、其他工资福利支出等。商品和服务支出57.35万元，主要包括：办公费、印刷费、咨询费、手续费、水费、电费、邮电费、物业管理费、差旅费、维修（护）费、租赁费、会议费、培训费、劳务费、委托业务给、工会经费、福利费、其他交通费、其他商品和服务支出等。对个人和家庭的补助17.25万元，主要包括：离休费、生活补助、救济费、医疗费补助、助学金、奖励金、个人生产补贴、其他对个人和家庭的补助。资本性支出1.65万元，主要包括办公设备购置。</w:t>
      </w:r>
    </w:p>
    <w:p>
      <w:pPr>
        <w:pStyle w:val="6"/>
        <w:adjustRightInd w:val="0"/>
        <w:snapToGrid w:val="0"/>
        <w:spacing w:before="0" w:beforeAutospacing="0" w:after="0" w:afterAutospacing="0" w:line="580" w:lineRule="exact"/>
        <w:ind w:firstLine="640" w:firstLineChars="200"/>
        <w:rPr>
          <w:rFonts w:ascii="黑体" w:hAnsi="黑体" w:eastAsia="黑体"/>
          <w:sz w:val="32"/>
          <w:szCs w:val="32"/>
        </w:rPr>
      </w:pPr>
      <w:r>
        <w:rPr>
          <w:rFonts w:hint="eastAsia" w:ascii="黑体" w:hAnsi="黑体" w:eastAsia="黑体"/>
          <w:sz w:val="32"/>
          <w:szCs w:val="32"/>
        </w:rPr>
        <w:t>四、关于2023年政府性基金预算拨款情况说明</w:t>
      </w:r>
    </w:p>
    <w:p>
      <w:pPr>
        <w:pStyle w:val="6"/>
        <w:adjustRightInd w:val="0"/>
        <w:snapToGrid w:val="0"/>
        <w:spacing w:before="0" w:beforeAutospacing="0" w:after="0" w:afterAutospacing="0" w:line="58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寿县政协办公室2023年没有政府性基金预算拨款收入，也没有使用政府性基金预算拨款安排的支出。</w:t>
      </w:r>
    </w:p>
    <w:p>
      <w:pPr>
        <w:pStyle w:val="6"/>
        <w:adjustRightInd w:val="0"/>
        <w:snapToGrid w:val="0"/>
        <w:spacing w:before="0" w:beforeAutospacing="0" w:after="0" w:afterAutospacing="0" w:line="580" w:lineRule="exact"/>
        <w:ind w:firstLine="640" w:firstLineChars="200"/>
        <w:rPr>
          <w:rFonts w:ascii="黑体" w:hAnsi="黑体" w:eastAsia="黑体"/>
          <w:sz w:val="32"/>
          <w:szCs w:val="32"/>
        </w:rPr>
      </w:pPr>
      <w:r>
        <w:rPr>
          <w:rFonts w:hint="eastAsia" w:ascii="黑体" w:hAnsi="黑体" w:eastAsia="黑体"/>
          <w:sz w:val="32"/>
          <w:szCs w:val="32"/>
        </w:rPr>
        <w:t>五、关于2023年国有资本经营预算拨款情况说明</w:t>
      </w:r>
    </w:p>
    <w:p>
      <w:pPr>
        <w:pStyle w:val="6"/>
        <w:adjustRightInd w:val="0"/>
        <w:snapToGrid w:val="0"/>
        <w:spacing w:before="0" w:beforeAutospacing="0" w:after="0" w:afterAutospacing="0" w:line="58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寿县政协办公室2023年没有国有资本经营预算拨款收入，也没有使用国有资本经营预算拨款安排的支出。</w:t>
      </w:r>
    </w:p>
    <w:p>
      <w:pPr>
        <w:pStyle w:val="6"/>
        <w:adjustRightInd w:val="0"/>
        <w:snapToGrid w:val="0"/>
        <w:spacing w:before="0" w:beforeAutospacing="0" w:after="0" w:afterAutospacing="0" w:line="580" w:lineRule="exact"/>
        <w:ind w:firstLine="640" w:firstLineChars="200"/>
        <w:rPr>
          <w:rFonts w:ascii="黑体" w:hAnsi="黑体" w:eastAsia="黑体"/>
          <w:sz w:val="32"/>
          <w:szCs w:val="32"/>
        </w:rPr>
      </w:pPr>
      <w:r>
        <w:rPr>
          <w:rFonts w:hint="eastAsia" w:ascii="黑体" w:hAnsi="黑体" w:eastAsia="黑体"/>
          <w:sz w:val="32"/>
          <w:szCs w:val="32"/>
        </w:rPr>
        <w:t>六、关于2023年收支预算总体情况说明</w:t>
      </w:r>
    </w:p>
    <w:p>
      <w:pPr>
        <w:pStyle w:val="6"/>
        <w:adjustRightInd w:val="0"/>
        <w:snapToGrid w:val="0"/>
        <w:spacing w:before="0" w:beforeAutospacing="0" w:after="0" w:afterAutospacing="0" w:line="58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按照综合预算的原则，寿县政协办公室所有收入和支出均纳入部门预算管理。寿县政协办公室2023年收支总预算644.83万元，收入全部是一般公共预算拨款收入，支出包括：一般公共服务、社会保障和就业支出、卫生健康支出、住房保障支出。</w:t>
      </w:r>
    </w:p>
    <w:p>
      <w:pPr>
        <w:pStyle w:val="6"/>
        <w:adjustRightInd w:val="0"/>
        <w:snapToGrid w:val="0"/>
        <w:spacing w:before="0" w:beforeAutospacing="0" w:after="0" w:afterAutospacing="0" w:line="580" w:lineRule="exact"/>
        <w:ind w:firstLine="627" w:firstLineChars="196"/>
        <w:rPr>
          <w:rFonts w:ascii="黑体" w:hAnsi="黑体" w:eastAsia="黑体"/>
          <w:sz w:val="32"/>
          <w:szCs w:val="32"/>
        </w:rPr>
      </w:pPr>
      <w:r>
        <w:rPr>
          <w:rFonts w:hint="eastAsia" w:ascii="黑体" w:hAnsi="黑体" w:eastAsia="黑体"/>
          <w:sz w:val="32"/>
          <w:szCs w:val="32"/>
        </w:rPr>
        <w:t>七、关于2023年收入预算情况说明</w:t>
      </w:r>
    </w:p>
    <w:p>
      <w:pPr>
        <w:pStyle w:val="6"/>
        <w:adjustRightInd w:val="0"/>
        <w:snapToGrid w:val="0"/>
        <w:spacing w:before="0" w:beforeAutospacing="0" w:after="0" w:afterAutospacing="0" w:line="58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寿县政协办公室2023年收入预算644.83万元，其中：一般公共预算拨款收入644.83万元，占100%，比2022年预算拨款增加97.12万元，增长17.73%，增长的主要原因</w:t>
      </w:r>
      <w:r>
        <w:rPr>
          <w:rFonts w:hint="eastAsia" w:ascii="华文仿宋" w:hAnsi="华文仿宋" w:eastAsia="华文仿宋" w:cs="Times New Roman"/>
          <w:kern w:val="2"/>
          <w:sz w:val="32"/>
          <w:szCs w:val="32"/>
        </w:rPr>
        <w:t>是在职基础绩效工资今年纳入了预算、同时本年度有人员增加。</w:t>
      </w:r>
    </w:p>
    <w:p>
      <w:pPr>
        <w:pStyle w:val="6"/>
        <w:adjustRightInd w:val="0"/>
        <w:snapToGrid w:val="0"/>
        <w:spacing w:before="0" w:beforeAutospacing="0" w:after="0" w:afterAutospacing="0" w:line="580" w:lineRule="exact"/>
        <w:ind w:firstLine="640" w:firstLineChars="200"/>
        <w:rPr>
          <w:rFonts w:ascii="黑体" w:hAnsi="黑体" w:eastAsia="黑体"/>
          <w:sz w:val="32"/>
          <w:szCs w:val="32"/>
        </w:rPr>
      </w:pPr>
      <w:r>
        <w:rPr>
          <w:rFonts w:hint="eastAsia" w:ascii="黑体" w:hAnsi="黑体" w:eastAsia="黑体"/>
          <w:sz w:val="32"/>
          <w:szCs w:val="32"/>
        </w:rPr>
        <w:t>八、关于2023年支出预算情况说明</w:t>
      </w:r>
    </w:p>
    <w:p>
      <w:pPr>
        <w:pStyle w:val="6"/>
        <w:widowControl w:val="0"/>
        <w:adjustRightInd w:val="0"/>
        <w:snapToGrid w:val="0"/>
        <w:spacing w:before="0" w:beforeAutospacing="0" w:after="0" w:afterAutospacing="0" w:line="580" w:lineRule="exact"/>
        <w:ind w:firstLine="627" w:firstLineChars="196"/>
        <w:rPr>
          <w:rFonts w:ascii="仿宋" w:hAnsi="仿宋" w:eastAsia="仿宋" w:cs="Times New Roman"/>
          <w:kern w:val="2"/>
          <w:sz w:val="32"/>
          <w:szCs w:val="32"/>
        </w:rPr>
      </w:pPr>
      <w:r>
        <w:rPr>
          <w:rFonts w:hint="eastAsia" w:ascii="仿宋" w:hAnsi="仿宋" w:eastAsia="仿宋" w:cs="Times New Roman"/>
          <w:kern w:val="2"/>
          <w:sz w:val="32"/>
          <w:szCs w:val="32"/>
        </w:rPr>
        <w:t>寿县政协办公室2023年支出预算644.83万元，比2022年预算拨款增加97.12万元，增长17.73%，增长的主要原因是原非部门预算的县政协委员履职补贴支出今年纳入了预算。</w:t>
      </w:r>
    </w:p>
    <w:p>
      <w:pPr>
        <w:adjustRightInd w:val="0"/>
        <w:snapToGrid w:val="0"/>
        <w:spacing w:line="580" w:lineRule="exact"/>
        <w:ind w:firstLine="640" w:firstLineChars="200"/>
        <w:jc w:val="left"/>
        <w:rPr>
          <w:rFonts w:ascii="仿宋" w:hAnsi="仿宋" w:eastAsia="仿宋"/>
          <w:sz w:val="32"/>
          <w:szCs w:val="32"/>
        </w:rPr>
      </w:pPr>
      <w:r>
        <w:rPr>
          <w:rFonts w:hint="eastAsia" w:ascii="仿宋" w:hAnsi="仿宋" w:eastAsia="仿宋"/>
          <w:sz w:val="32"/>
          <w:szCs w:val="32"/>
        </w:rPr>
        <w:t>其中，基本支出451.15万元，占69.96%，主要用于保障机构日常运转、完成日常工作任务等；项目支出193.68万元，占30.04%，主要用于政协事务。</w:t>
      </w:r>
    </w:p>
    <w:p>
      <w:pPr>
        <w:adjustRightInd w:val="0"/>
        <w:snapToGrid w:val="0"/>
        <w:spacing w:line="580" w:lineRule="exact"/>
        <w:ind w:firstLine="640" w:firstLineChars="200"/>
        <w:jc w:val="left"/>
        <w:rPr>
          <w:rFonts w:ascii="黑体" w:hAnsi="黑体" w:eastAsia="黑体"/>
          <w:sz w:val="32"/>
          <w:szCs w:val="32"/>
        </w:rPr>
      </w:pPr>
      <w:r>
        <w:rPr>
          <w:rFonts w:hint="eastAsia" w:ascii="黑体" w:hAnsi="黑体" w:eastAsia="黑体"/>
          <w:sz w:val="32"/>
          <w:szCs w:val="32"/>
        </w:rPr>
        <w:t>九、其他重要事项情况说明</w:t>
      </w:r>
    </w:p>
    <w:p>
      <w:pPr>
        <w:pStyle w:val="6"/>
        <w:widowControl w:val="0"/>
        <w:adjustRightInd w:val="0"/>
        <w:snapToGrid w:val="0"/>
        <w:spacing w:before="0" w:beforeAutospacing="0" w:after="0" w:afterAutospacing="0" w:line="580" w:lineRule="exact"/>
        <w:ind w:firstLine="627" w:firstLineChars="196"/>
        <w:rPr>
          <w:rFonts w:ascii="仿宋" w:hAnsi="仿宋" w:eastAsia="仿宋" w:cs="Times New Roman"/>
          <w:kern w:val="2"/>
          <w:sz w:val="32"/>
          <w:szCs w:val="32"/>
        </w:rPr>
      </w:pPr>
      <w:r>
        <w:rPr>
          <w:rFonts w:hint="eastAsia" w:ascii="仿宋" w:hAnsi="仿宋" w:eastAsia="仿宋" w:cs="Times New Roman"/>
          <w:kern w:val="2"/>
          <w:sz w:val="32"/>
          <w:szCs w:val="32"/>
        </w:rPr>
        <w:t>寿县政协办公室无需要说明的重点项目。</w:t>
      </w:r>
    </w:p>
    <w:p>
      <w:pPr>
        <w:adjustRightInd w:val="0"/>
        <w:snapToGrid w:val="0"/>
        <w:spacing w:line="580" w:lineRule="exact"/>
        <w:ind w:firstLine="643" w:firstLineChars="200"/>
        <w:jc w:val="left"/>
        <w:rPr>
          <w:rFonts w:ascii="仿宋_GB2312" w:hAnsi="楷体" w:eastAsia="仿宋_GB2312"/>
          <w:b/>
          <w:sz w:val="32"/>
          <w:szCs w:val="32"/>
        </w:rPr>
      </w:pPr>
      <w:r>
        <w:rPr>
          <w:rFonts w:hint="eastAsia" w:ascii="仿宋_GB2312" w:hAnsi="楷体" w:eastAsia="仿宋_GB2312"/>
          <w:b/>
          <w:sz w:val="32"/>
          <w:szCs w:val="32"/>
        </w:rPr>
        <w:t>（二）机关运行经费。</w:t>
      </w:r>
    </w:p>
    <w:p>
      <w:pPr>
        <w:pStyle w:val="6"/>
        <w:widowControl w:val="0"/>
        <w:adjustRightInd w:val="0"/>
        <w:snapToGrid w:val="0"/>
        <w:spacing w:before="0" w:beforeAutospacing="0" w:after="0" w:afterAutospacing="0" w:line="580" w:lineRule="exact"/>
        <w:ind w:firstLine="627" w:firstLineChars="196"/>
        <w:rPr>
          <w:rFonts w:ascii="仿宋" w:hAnsi="仿宋" w:eastAsia="仿宋" w:cs="Times New Roman"/>
          <w:kern w:val="2"/>
          <w:sz w:val="32"/>
          <w:szCs w:val="32"/>
        </w:rPr>
      </w:pPr>
      <w:r>
        <w:rPr>
          <w:rFonts w:hint="eastAsia" w:ascii="仿宋" w:hAnsi="仿宋" w:eastAsia="仿宋" w:cs="Times New Roman"/>
          <w:kern w:val="2"/>
          <w:sz w:val="32"/>
          <w:szCs w:val="32"/>
        </w:rPr>
        <w:t>寿县政协办公室2023年机关运行经费财政拨款预算250.44万元，比2022年预算减少27.08万元，下降9.76%，下降原因主要是厉行节约、压缩开支。</w:t>
      </w:r>
    </w:p>
    <w:p>
      <w:pPr>
        <w:adjustRightInd w:val="0"/>
        <w:snapToGrid w:val="0"/>
        <w:spacing w:line="580" w:lineRule="exact"/>
        <w:ind w:firstLine="643" w:firstLineChars="200"/>
        <w:jc w:val="left"/>
        <w:rPr>
          <w:rFonts w:ascii="仿宋_GB2312" w:hAnsi="楷体" w:eastAsia="仿宋_GB2312"/>
          <w:b/>
          <w:sz w:val="32"/>
          <w:szCs w:val="32"/>
        </w:rPr>
      </w:pPr>
      <w:r>
        <w:rPr>
          <w:rFonts w:hint="eastAsia" w:ascii="仿宋_GB2312" w:hAnsi="楷体" w:eastAsia="仿宋_GB2312"/>
          <w:b/>
          <w:sz w:val="32"/>
          <w:szCs w:val="32"/>
        </w:rPr>
        <w:t>（三）政府采购情况。</w:t>
      </w:r>
    </w:p>
    <w:p>
      <w:pPr>
        <w:pStyle w:val="6"/>
        <w:widowControl w:val="0"/>
        <w:adjustRightInd w:val="0"/>
        <w:snapToGrid w:val="0"/>
        <w:spacing w:before="0" w:beforeAutospacing="0" w:after="0" w:afterAutospacing="0" w:line="580" w:lineRule="exact"/>
        <w:ind w:firstLine="627" w:firstLineChars="196"/>
        <w:rPr>
          <w:rFonts w:ascii="仿宋" w:hAnsi="仿宋" w:eastAsia="仿宋" w:cs="Times New Roman"/>
          <w:kern w:val="2"/>
          <w:sz w:val="32"/>
          <w:szCs w:val="32"/>
        </w:rPr>
      </w:pPr>
      <w:r>
        <w:rPr>
          <w:rFonts w:hint="eastAsia" w:ascii="仿宋" w:hAnsi="仿宋" w:eastAsia="仿宋" w:cs="Times New Roman"/>
          <w:kern w:val="2"/>
          <w:sz w:val="32"/>
          <w:szCs w:val="32"/>
        </w:rPr>
        <w:t>寿县政协办公室2023年政府采购预算总额1.65万元。其中：政府采购货物预算1.65万元。</w:t>
      </w:r>
    </w:p>
    <w:p>
      <w:pPr>
        <w:adjustRightInd w:val="0"/>
        <w:snapToGrid w:val="0"/>
        <w:spacing w:line="580" w:lineRule="exact"/>
        <w:ind w:firstLine="643" w:firstLineChars="200"/>
        <w:jc w:val="left"/>
        <w:rPr>
          <w:rFonts w:ascii="仿宋_GB2312" w:hAnsi="楷体" w:eastAsia="仿宋_GB2312"/>
          <w:b/>
          <w:sz w:val="32"/>
          <w:szCs w:val="32"/>
        </w:rPr>
      </w:pPr>
      <w:r>
        <w:rPr>
          <w:rFonts w:hint="eastAsia" w:ascii="仿宋_GB2312" w:hAnsi="楷体" w:eastAsia="仿宋_GB2312"/>
          <w:b/>
          <w:sz w:val="32"/>
          <w:szCs w:val="32"/>
        </w:rPr>
        <w:t>（四）政府购买服务情况。</w:t>
      </w:r>
    </w:p>
    <w:p>
      <w:pPr>
        <w:pStyle w:val="6"/>
        <w:widowControl w:val="0"/>
        <w:adjustRightInd w:val="0"/>
        <w:snapToGrid w:val="0"/>
        <w:spacing w:before="0" w:beforeAutospacing="0" w:after="0" w:afterAutospacing="0" w:line="580" w:lineRule="exact"/>
        <w:ind w:firstLine="627" w:firstLineChars="196"/>
        <w:rPr>
          <w:rFonts w:ascii="仿宋" w:hAnsi="仿宋" w:eastAsia="仿宋" w:cs="Times New Roman"/>
          <w:kern w:val="2"/>
          <w:sz w:val="32"/>
          <w:szCs w:val="32"/>
        </w:rPr>
      </w:pPr>
      <w:r>
        <w:rPr>
          <w:rFonts w:hint="eastAsia" w:ascii="仿宋" w:hAnsi="仿宋" w:eastAsia="仿宋" w:cs="Times New Roman"/>
          <w:kern w:val="2"/>
          <w:sz w:val="32"/>
          <w:szCs w:val="32"/>
        </w:rPr>
        <w:t>寿县政协办公室2023年无政府购买服务预算。</w:t>
      </w:r>
    </w:p>
    <w:p>
      <w:pPr>
        <w:adjustRightInd w:val="0"/>
        <w:snapToGrid w:val="0"/>
        <w:spacing w:line="580" w:lineRule="exact"/>
        <w:ind w:firstLine="643" w:firstLineChars="200"/>
        <w:jc w:val="left"/>
        <w:rPr>
          <w:rFonts w:ascii="仿宋_GB2312" w:hAnsi="楷体" w:eastAsia="仿宋_GB2312"/>
          <w:b/>
          <w:sz w:val="32"/>
          <w:szCs w:val="32"/>
        </w:rPr>
      </w:pPr>
      <w:r>
        <w:rPr>
          <w:rFonts w:hint="eastAsia" w:ascii="仿宋_GB2312" w:hAnsi="楷体" w:eastAsia="仿宋_GB2312"/>
          <w:b/>
          <w:sz w:val="32"/>
          <w:szCs w:val="32"/>
        </w:rPr>
        <w:t>（五）国有资产占有使用情况。</w:t>
      </w:r>
    </w:p>
    <w:p>
      <w:pPr>
        <w:pStyle w:val="6"/>
        <w:widowControl w:val="0"/>
        <w:adjustRightInd w:val="0"/>
        <w:snapToGrid w:val="0"/>
        <w:spacing w:before="0" w:beforeAutospacing="0" w:after="0" w:afterAutospacing="0" w:line="580" w:lineRule="exact"/>
        <w:ind w:firstLine="627" w:firstLineChars="196"/>
        <w:rPr>
          <w:rFonts w:ascii="仿宋" w:hAnsi="仿宋" w:eastAsia="仿宋" w:cs="Times New Roman"/>
          <w:kern w:val="2"/>
          <w:sz w:val="32"/>
          <w:szCs w:val="32"/>
        </w:rPr>
      </w:pPr>
      <w:r>
        <w:rPr>
          <w:rFonts w:hint="eastAsia" w:ascii="仿宋" w:hAnsi="仿宋" w:eastAsia="仿宋" w:cs="Times New Roman"/>
          <w:kern w:val="2"/>
          <w:sz w:val="32"/>
          <w:szCs w:val="32"/>
        </w:rPr>
        <w:t>截至2022年12月31日，寿县政协办公室共有车辆0辆；单位价值50万元以上的通用设备0台（套）；单位价值100万元以上的专用设备0台（套）。</w:t>
      </w:r>
    </w:p>
    <w:p>
      <w:pPr>
        <w:pStyle w:val="6"/>
        <w:widowControl w:val="0"/>
        <w:adjustRightInd w:val="0"/>
        <w:snapToGrid w:val="0"/>
        <w:spacing w:before="0" w:beforeAutospacing="0" w:after="0" w:afterAutospacing="0" w:line="580" w:lineRule="exact"/>
        <w:ind w:firstLine="627" w:firstLineChars="196"/>
        <w:rPr>
          <w:rFonts w:ascii="仿宋" w:hAnsi="仿宋" w:eastAsia="仿宋" w:cs="Times New Roman"/>
          <w:kern w:val="2"/>
          <w:sz w:val="32"/>
          <w:szCs w:val="32"/>
        </w:rPr>
      </w:pPr>
      <w:r>
        <w:rPr>
          <w:rFonts w:hint="eastAsia" w:ascii="仿宋" w:hAnsi="仿宋" w:eastAsia="仿宋" w:cs="Times New Roman"/>
          <w:kern w:val="2"/>
          <w:sz w:val="32"/>
          <w:szCs w:val="32"/>
        </w:rPr>
        <w:t>2023年部门预算安排购置公务用车0辆，购置费0万元；安排购置单位价值50万元以上的通用设备0台（套），购置费0万元；安排购置单位价值100万元以上专用设备0台（套），购置费0万元。</w:t>
      </w:r>
    </w:p>
    <w:p>
      <w:pPr>
        <w:adjustRightInd w:val="0"/>
        <w:snapToGrid w:val="0"/>
        <w:spacing w:line="580" w:lineRule="exact"/>
        <w:ind w:firstLine="643" w:firstLineChars="200"/>
        <w:jc w:val="left"/>
        <w:rPr>
          <w:rFonts w:ascii="仿宋_GB2312" w:hAnsi="楷体" w:eastAsia="仿宋_GB2312"/>
          <w:b/>
          <w:sz w:val="32"/>
          <w:szCs w:val="32"/>
        </w:rPr>
      </w:pPr>
      <w:r>
        <w:rPr>
          <w:rFonts w:hint="eastAsia" w:ascii="仿宋_GB2312" w:hAnsi="楷体" w:eastAsia="仿宋_GB2312"/>
          <w:b/>
          <w:sz w:val="32"/>
          <w:szCs w:val="32"/>
        </w:rPr>
        <w:t>（六）预算绩效目标设置情况。</w:t>
      </w:r>
    </w:p>
    <w:p>
      <w:pPr>
        <w:pStyle w:val="6"/>
        <w:widowControl w:val="0"/>
        <w:adjustRightInd w:val="0"/>
        <w:snapToGrid w:val="0"/>
        <w:spacing w:before="0" w:beforeAutospacing="0" w:after="0" w:afterAutospacing="0" w:line="580" w:lineRule="exact"/>
        <w:ind w:firstLine="627" w:firstLineChars="196"/>
        <w:rPr>
          <w:rFonts w:ascii="仿宋" w:hAnsi="仿宋" w:eastAsia="仿宋" w:cs="Times New Roman"/>
          <w:kern w:val="2"/>
          <w:sz w:val="32"/>
          <w:szCs w:val="32"/>
        </w:rPr>
      </w:pPr>
      <w:r>
        <w:rPr>
          <w:rFonts w:hint="eastAsia" w:ascii="仿宋" w:hAnsi="仿宋" w:eastAsia="仿宋" w:cs="Times New Roman"/>
          <w:kern w:val="2"/>
          <w:sz w:val="32"/>
          <w:szCs w:val="32"/>
        </w:rPr>
        <w:t>2023年，寿县政协办公室1个项目实行了绩效目标管理，涉及一般公共预算当年财政拨款193.68万元。</w:t>
      </w:r>
    </w:p>
    <w:p>
      <w:pPr>
        <w:adjustRightInd w:val="0"/>
        <w:snapToGrid w:val="0"/>
        <w:spacing w:line="580" w:lineRule="exact"/>
        <w:ind w:firstLine="640" w:firstLineChars="200"/>
        <w:jc w:val="left"/>
        <w:rPr>
          <w:rFonts w:ascii="仿宋_GB2312" w:eastAsia="仿宋_GB2312" w:cs="宋体"/>
          <w:sz w:val="32"/>
          <w:szCs w:val="32"/>
        </w:rPr>
      </w:pPr>
      <w:r>
        <w:rPr>
          <w:rFonts w:hint="eastAsia" w:ascii="仿宋_GB2312" w:hAnsi="楷体" w:eastAsia="仿宋_GB2312"/>
          <w:sz w:val="32"/>
          <w:szCs w:val="32"/>
        </w:rPr>
        <w:t xml:space="preserve">                    </w:t>
      </w:r>
    </w:p>
    <w:p>
      <w:pPr>
        <w:adjustRightInd w:val="0"/>
        <w:snapToGrid w:val="0"/>
        <w:spacing w:line="580" w:lineRule="exact"/>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第四部分 名词解释</w:t>
      </w:r>
    </w:p>
    <w:p>
      <w:pPr>
        <w:adjustRightInd w:val="0"/>
        <w:snapToGrid w:val="0"/>
        <w:spacing w:line="580" w:lineRule="exact"/>
        <w:ind w:firstLine="643" w:firstLineChars="200"/>
        <w:jc w:val="left"/>
        <w:rPr>
          <w:rFonts w:ascii="仿宋" w:hAnsi="仿宋" w:eastAsia="仿宋"/>
          <w:sz w:val="32"/>
          <w:szCs w:val="32"/>
        </w:rPr>
      </w:pPr>
      <w:r>
        <w:rPr>
          <w:rFonts w:hint="eastAsia" w:asciiTheme="minorEastAsia" w:hAnsiTheme="minorEastAsia" w:eastAsiaTheme="minorEastAsia"/>
          <w:b/>
          <w:sz w:val="32"/>
          <w:szCs w:val="32"/>
        </w:rPr>
        <w:t>一、财政拨款收入：</w:t>
      </w:r>
      <w:r>
        <w:rPr>
          <w:rFonts w:hint="eastAsia" w:ascii="仿宋" w:hAnsi="仿宋" w:eastAsia="仿宋"/>
          <w:sz w:val="32"/>
          <w:szCs w:val="32"/>
        </w:rPr>
        <w:t>指县财政当年拨付的资金，主要包括一般公共预算拨款收入、政府性基金预算拨款收入、国有资本经营预算拨款收入。</w:t>
      </w:r>
    </w:p>
    <w:p>
      <w:pPr>
        <w:pStyle w:val="6"/>
        <w:adjustRightInd w:val="0"/>
        <w:snapToGrid w:val="0"/>
        <w:spacing w:before="0" w:beforeAutospacing="0" w:after="0" w:afterAutospacing="0" w:line="580" w:lineRule="exact"/>
        <w:ind w:firstLine="630" w:firstLineChars="196"/>
        <w:rPr>
          <w:rFonts w:cs="Times New Roman" w:asciiTheme="minorEastAsia" w:hAnsiTheme="minorEastAsia" w:eastAsiaTheme="minorEastAsia"/>
          <w:kern w:val="2"/>
          <w:sz w:val="32"/>
          <w:szCs w:val="32"/>
        </w:rPr>
      </w:pPr>
      <w:r>
        <w:rPr>
          <w:rFonts w:hint="eastAsia" w:asciiTheme="minorEastAsia" w:hAnsiTheme="minorEastAsia" w:eastAsiaTheme="minorEastAsia"/>
          <w:b/>
          <w:sz w:val="32"/>
          <w:szCs w:val="32"/>
        </w:rPr>
        <w:t>二、财政专户管理非税收入：</w:t>
      </w:r>
      <w:r>
        <w:rPr>
          <w:rFonts w:hint="eastAsia" w:ascii="仿宋" w:hAnsi="仿宋" w:eastAsia="仿宋" w:cs="Times New Roman"/>
          <w:kern w:val="2"/>
          <w:sz w:val="32"/>
          <w:szCs w:val="32"/>
        </w:rPr>
        <w:t>指按照非税收入管理相关规定，纳入财政专户管理的教育收费等。</w:t>
      </w:r>
    </w:p>
    <w:p>
      <w:pPr>
        <w:pStyle w:val="6"/>
        <w:adjustRightInd w:val="0"/>
        <w:snapToGrid w:val="0"/>
        <w:spacing w:before="0" w:beforeAutospacing="0" w:after="0" w:afterAutospacing="0" w:line="580" w:lineRule="exact"/>
        <w:ind w:firstLine="630" w:firstLineChars="196"/>
        <w:rPr>
          <w:rFonts w:ascii="仿宋" w:hAnsi="仿宋" w:eastAsia="仿宋" w:cs="Times New Roman"/>
          <w:kern w:val="2"/>
          <w:sz w:val="32"/>
          <w:szCs w:val="32"/>
        </w:rPr>
      </w:pPr>
      <w:r>
        <w:rPr>
          <w:rFonts w:hint="eastAsia" w:asciiTheme="minorEastAsia" w:hAnsiTheme="minorEastAsia" w:eastAsiaTheme="minorEastAsia"/>
          <w:b/>
          <w:sz w:val="32"/>
          <w:szCs w:val="32"/>
        </w:rPr>
        <w:t>三、其他收入：</w:t>
      </w:r>
      <w:r>
        <w:rPr>
          <w:rFonts w:hint="eastAsia" w:ascii="仿宋" w:hAnsi="仿宋" w:eastAsia="仿宋" w:cs="Times New Roman"/>
          <w:kern w:val="2"/>
          <w:sz w:val="32"/>
          <w:szCs w:val="32"/>
        </w:rPr>
        <w:t>指除了财政拨款收入、财政专户管理非税收入等以外的收入。</w:t>
      </w:r>
    </w:p>
    <w:p>
      <w:pPr>
        <w:pStyle w:val="6"/>
        <w:adjustRightInd w:val="0"/>
        <w:snapToGrid w:val="0"/>
        <w:spacing w:before="0" w:beforeAutospacing="0" w:after="0" w:afterAutospacing="0" w:line="580" w:lineRule="exact"/>
        <w:ind w:firstLine="630" w:firstLineChars="196"/>
        <w:rPr>
          <w:rFonts w:ascii="仿宋" w:hAnsi="仿宋" w:eastAsia="仿宋" w:cs="Times New Roman"/>
          <w:kern w:val="2"/>
          <w:sz w:val="32"/>
          <w:szCs w:val="32"/>
        </w:rPr>
      </w:pPr>
      <w:r>
        <w:rPr>
          <w:rFonts w:hint="eastAsia" w:asciiTheme="minorEastAsia" w:hAnsiTheme="minorEastAsia" w:eastAsiaTheme="minorEastAsia"/>
          <w:b/>
          <w:sz w:val="32"/>
          <w:szCs w:val="32"/>
        </w:rPr>
        <w:t>四、上年结转：</w:t>
      </w:r>
      <w:r>
        <w:rPr>
          <w:rFonts w:hint="eastAsia" w:cs="Times New Roman" w:asciiTheme="minorEastAsia" w:hAnsiTheme="minorEastAsia" w:eastAsiaTheme="minorEastAsia"/>
          <w:kern w:val="2"/>
          <w:sz w:val="32"/>
          <w:szCs w:val="32"/>
        </w:rPr>
        <w:t>指</w:t>
      </w:r>
      <w:r>
        <w:rPr>
          <w:rFonts w:hint="eastAsia" w:ascii="仿宋" w:hAnsi="仿宋" w:eastAsia="仿宋" w:cs="Times New Roman"/>
          <w:kern w:val="2"/>
          <w:sz w:val="32"/>
          <w:szCs w:val="32"/>
        </w:rPr>
        <w:t>以前年度安排、结转到本年仍按原用途继续使用的资金。</w:t>
      </w:r>
    </w:p>
    <w:p>
      <w:pPr>
        <w:pStyle w:val="6"/>
        <w:adjustRightInd w:val="0"/>
        <w:snapToGrid w:val="0"/>
        <w:spacing w:before="0" w:beforeAutospacing="0" w:after="0" w:afterAutospacing="0" w:line="580" w:lineRule="exact"/>
        <w:ind w:firstLine="630" w:firstLineChars="196"/>
        <w:rPr>
          <w:rFonts w:cs="Times New Roman" w:asciiTheme="minorEastAsia" w:hAnsiTheme="minorEastAsia" w:eastAsiaTheme="minorEastAsia"/>
          <w:kern w:val="2"/>
          <w:sz w:val="32"/>
          <w:szCs w:val="32"/>
        </w:rPr>
      </w:pPr>
      <w:r>
        <w:rPr>
          <w:rFonts w:hint="eastAsia" w:asciiTheme="minorEastAsia" w:hAnsiTheme="minorEastAsia" w:eastAsiaTheme="minorEastAsia"/>
          <w:b/>
          <w:sz w:val="32"/>
          <w:szCs w:val="32"/>
        </w:rPr>
        <w:t>五、结转下年：</w:t>
      </w:r>
      <w:r>
        <w:rPr>
          <w:rFonts w:hint="eastAsia" w:ascii="仿宋" w:hAnsi="仿宋" w:eastAsia="仿宋" w:cs="Times New Roman"/>
          <w:kern w:val="2"/>
          <w:sz w:val="32"/>
          <w:szCs w:val="32"/>
        </w:rPr>
        <w:t>指以前年度预算安排、因客观条件发生变化无法按原计划实施，需以后年度按原用途继续使用的资金。</w:t>
      </w:r>
    </w:p>
    <w:p>
      <w:pPr>
        <w:pStyle w:val="6"/>
        <w:adjustRightInd w:val="0"/>
        <w:snapToGrid w:val="0"/>
        <w:spacing w:before="0" w:beforeAutospacing="0" w:after="0" w:afterAutospacing="0" w:line="580" w:lineRule="exact"/>
        <w:ind w:firstLine="630" w:firstLineChars="196"/>
        <w:rPr>
          <w:rFonts w:ascii="仿宋" w:hAnsi="仿宋" w:eastAsia="仿宋" w:cs="Times New Roman"/>
          <w:kern w:val="2"/>
          <w:sz w:val="32"/>
          <w:szCs w:val="32"/>
        </w:rPr>
      </w:pPr>
      <w:r>
        <w:rPr>
          <w:rFonts w:hint="eastAsia" w:asciiTheme="minorEastAsia" w:hAnsiTheme="minorEastAsia" w:eastAsiaTheme="minorEastAsia"/>
          <w:b/>
          <w:sz w:val="32"/>
          <w:szCs w:val="32"/>
        </w:rPr>
        <w:t>六、基本支出：</w:t>
      </w:r>
      <w:r>
        <w:rPr>
          <w:rFonts w:hint="eastAsia" w:ascii="仿宋" w:hAnsi="仿宋" w:eastAsia="仿宋" w:cs="Times New Roman"/>
          <w:kern w:val="2"/>
          <w:sz w:val="32"/>
          <w:szCs w:val="32"/>
        </w:rPr>
        <w:t>指为保障机构正常运转、完成日常工作任务而发生的人员支出和公用支出。</w:t>
      </w:r>
    </w:p>
    <w:p>
      <w:pPr>
        <w:pStyle w:val="6"/>
        <w:snapToGrid w:val="0"/>
        <w:spacing w:before="0" w:beforeAutospacing="0" w:after="0" w:afterAutospacing="0" w:line="580" w:lineRule="exact"/>
        <w:ind w:firstLine="630" w:firstLineChars="196"/>
        <w:rPr>
          <w:rFonts w:ascii="仿宋" w:hAnsi="仿宋" w:eastAsia="仿宋" w:cs="Times New Roman"/>
          <w:kern w:val="2"/>
          <w:sz w:val="32"/>
          <w:szCs w:val="32"/>
        </w:rPr>
      </w:pPr>
      <w:r>
        <w:rPr>
          <w:rFonts w:hint="eastAsia" w:asciiTheme="minorEastAsia" w:hAnsiTheme="minorEastAsia" w:eastAsiaTheme="minorEastAsia"/>
          <w:b/>
          <w:sz w:val="32"/>
          <w:szCs w:val="32"/>
        </w:rPr>
        <w:t>七、项目支出：</w:t>
      </w:r>
      <w:r>
        <w:rPr>
          <w:rFonts w:hint="eastAsia" w:ascii="仿宋" w:hAnsi="仿宋" w:eastAsia="仿宋" w:cs="Times New Roman"/>
          <w:kern w:val="2"/>
          <w:sz w:val="32"/>
          <w:szCs w:val="32"/>
        </w:rPr>
        <w:t>指在基本支出之外为完成特定工作任务和事业发展目标所发生的支出。</w:t>
      </w:r>
      <w:r>
        <w:rPr>
          <w:rFonts w:hint="eastAsia" w:asciiTheme="minorEastAsia" w:hAnsiTheme="minorEastAsia" w:eastAsiaTheme="minorEastAsia"/>
          <w:sz w:val="32"/>
          <w:szCs w:val="32"/>
        </w:rPr>
        <w:br w:type="textWrapping"/>
      </w:r>
      <w:r>
        <w:rPr>
          <w:rFonts w:hint="eastAsia" w:asciiTheme="minorEastAsia" w:hAnsiTheme="minorEastAsia" w:eastAsiaTheme="minorEastAsia"/>
          <w:sz w:val="32"/>
          <w:szCs w:val="32"/>
        </w:rPr>
        <w:t xml:space="preserve">   </w:t>
      </w:r>
      <w:r>
        <w:rPr>
          <w:rFonts w:hint="eastAsia" w:asciiTheme="minorEastAsia" w:hAnsiTheme="minorEastAsia" w:eastAsiaTheme="minorEastAsia"/>
          <w:b/>
          <w:sz w:val="32"/>
          <w:szCs w:val="32"/>
        </w:rPr>
        <w:t xml:space="preserve"> 八、“三公”经费：</w:t>
      </w:r>
      <w:r>
        <w:rPr>
          <w:rFonts w:hint="eastAsia" w:ascii="仿宋" w:hAnsi="仿宋" w:eastAsia="仿宋" w:cs="Times New Roman"/>
          <w:kern w:val="2"/>
          <w:sz w:val="32"/>
          <w:szCs w:val="32"/>
        </w:rPr>
        <w:t>纳入财政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pPr>
        <w:pStyle w:val="6"/>
        <w:snapToGrid w:val="0"/>
        <w:spacing w:before="0" w:beforeAutospacing="0" w:after="0" w:afterAutospacing="0" w:line="580" w:lineRule="exact"/>
        <w:ind w:firstLine="540" w:firstLineChars="168"/>
        <w:rPr>
          <w:rFonts w:ascii="仿宋" w:hAnsi="仿宋" w:eastAsia="仿宋" w:cs="Times New Roman"/>
          <w:kern w:val="2"/>
          <w:sz w:val="32"/>
          <w:szCs w:val="32"/>
        </w:rPr>
      </w:pPr>
      <w:r>
        <w:rPr>
          <w:rFonts w:hint="eastAsia" w:cs="Arial" w:asciiTheme="minorEastAsia" w:hAnsiTheme="minorEastAsia" w:eastAsiaTheme="minorEastAsia"/>
          <w:b/>
          <w:color w:val="333333"/>
          <w:sz w:val="32"/>
          <w:szCs w:val="32"/>
          <w:shd w:val="clear" w:color="auto" w:fill="FFFFFF"/>
        </w:rPr>
        <w:t>九、支出功能分类科目:</w:t>
      </w:r>
      <w:r>
        <w:rPr>
          <w:rFonts w:hint="eastAsia" w:ascii="仿宋" w:hAnsi="仿宋" w:eastAsia="仿宋" w:cs="Times New Roman"/>
          <w:kern w:val="2"/>
          <w:sz w:val="32"/>
          <w:szCs w:val="32"/>
        </w:rPr>
        <w:t>主要反映政府活动的不同功能和政策目标，具体设类、款、项三级。</w:t>
      </w:r>
    </w:p>
    <w:p>
      <w:pPr>
        <w:pStyle w:val="6"/>
        <w:snapToGrid w:val="0"/>
        <w:spacing w:before="0" w:beforeAutospacing="0" w:after="0" w:afterAutospacing="0" w:line="580" w:lineRule="exact"/>
        <w:ind w:firstLine="540" w:firstLineChars="168"/>
        <w:rPr>
          <w:rFonts w:ascii="仿宋" w:hAnsi="仿宋" w:eastAsia="仿宋" w:cs="Times New Roman"/>
          <w:kern w:val="2"/>
          <w:sz w:val="32"/>
          <w:szCs w:val="32"/>
        </w:rPr>
      </w:pPr>
      <w:r>
        <w:rPr>
          <w:rFonts w:hint="eastAsia" w:cs="Arial" w:asciiTheme="minorEastAsia" w:hAnsiTheme="minorEastAsia" w:eastAsiaTheme="minorEastAsia"/>
          <w:b/>
          <w:color w:val="333333"/>
          <w:sz w:val="32"/>
          <w:szCs w:val="32"/>
          <w:shd w:val="clear" w:color="auto" w:fill="FFFFFF"/>
        </w:rPr>
        <w:t>十、支出经济分类科目：</w:t>
      </w:r>
      <w:r>
        <w:rPr>
          <w:rFonts w:hint="eastAsia" w:ascii="仿宋" w:hAnsi="仿宋" w:eastAsia="仿宋" w:cs="Times New Roman"/>
          <w:kern w:val="2"/>
          <w:sz w:val="32"/>
          <w:szCs w:val="32"/>
        </w:rPr>
        <w:t>是指政府支出按经济性质和具体用途所作的一种分类科目，具体设类、款两级。</w:t>
      </w:r>
    </w:p>
    <w:p>
      <w:pPr>
        <w:pStyle w:val="6"/>
        <w:snapToGrid w:val="0"/>
        <w:spacing w:before="0" w:beforeAutospacing="0" w:after="0" w:afterAutospacing="0" w:line="580" w:lineRule="exact"/>
        <w:ind w:firstLine="643" w:firstLineChars="200"/>
        <w:rPr>
          <w:rFonts w:ascii="仿宋" w:hAnsi="仿宋" w:eastAsia="仿宋" w:cs="Times New Roman"/>
          <w:kern w:val="2"/>
          <w:sz w:val="32"/>
          <w:szCs w:val="32"/>
        </w:rPr>
      </w:pPr>
      <w:r>
        <w:rPr>
          <w:rFonts w:hint="eastAsia" w:cs="Arial" w:asciiTheme="minorEastAsia" w:hAnsiTheme="minorEastAsia" w:eastAsiaTheme="minorEastAsia"/>
          <w:b/>
          <w:color w:val="333333"/>
          <w:sz w:val="32"/>
          <w:szCs w:val="32"/>
          <w:shd w:val="clear" w:color="auto" w:fill="FFFFFF"/>
        </w:rPr>
        <w:t>十一、机关运行经费:</w:t>
      </w:r>
      <w:r>
        <w:rPr>
          <w:rFonts w:hint="eastAsia" w:ascii="仿宋" w:hAnsi="仿宋" w:eastAsia="仿宋" w:cs="Times New Roman"/>
          <w:kern w:val="2"/>
          <w:sz w:val="32"/>
          <w:szCs w:val="32"/>
        </w:rPr>
        <w:t>指为保障行政单位（包括参照公务员法管理的事业单位）运行，用于购买货物和服务的各项资金。机关运行经费为财政拨款中以下支出内容办公费、印刷费、邮电费、差旅费、因公出国（境）费用、租赁费、会议费、培训费、公务接待费、福利费、日常维修（护）费、专用材料费、办公设备购置、办公用房水费、电费、取暖费、物业管理费，公务用车购置、公务用车运行维护费等。</w:t>
      </w:r>
    </w:p>
    <w:p>
      <w:pPr>
        <w:pStyle w:val="6"/>
        <w:snapToGrid w:val="0"/>
        <w:spacing w:before="0" w:beforeAutospacing="0" w:after="0" w:afterAutospacing="0" w:line="580" w:lineRule="exact"/>
        <w:ind w:firstLine="480" w:firstLineChars="150"/>
        <w:rPr>
          <w:rFonts w:asciiTheme="minorEastAsia" w:hAnsiTheme="minorEastAsia" w:eastAsiaTheme="minorEastAsia"/>
          <w:kern w:val="2"/>
          <w:sz w:val="32"/>
          <w:szCs w:val="32"/>
        </w:rPr>
      </w:pPr>
    </w:p>
    <w:p>
      <w:pPr>
        <w:pStyle w:val="6"/>
        <w:snapToGrid w:val="0"/>
        <w:spacing w:before="0" w:beforeAutospacing="0" w:after="0" w:afterAutospacing="0" w:line="580" w:lineRule="exact"/>
        <w:ind w:firstLine="480" w:firstLineChars="150"/>
        <w:rPr>
          <w:rFonts w:asciiTheme="minorEastAsia" w:hAnsiTheme="minorEastAsia" w:eastAsiaTheme="minorEastAsia"/>
          <w:kern w:val="2"/>
          <w:sz w:val="32"/>
          <w:szCs w:val="32"/>
        </w:rPr>
      </w:pPr>
      <w:r>
        <w:rPr>
          <w:rFonts w:hint="eastAsia" w:asciiTheme="minorEastAsia" w:hAnsiTheme="minorEastAsia" w:eastAsiaTheme="minorEastAsia"/>
          <w:kern w:val="2"/>
          <w:sz w:val="32"/>
          <w:szCs w:val="32"/>
        </w:rPr>
        <w:t>附表：</w:t>
      </w:r>
      <w:r>
        <w:rPr>
          <w:rFonts w:hint="eastAsia" w:asciiTheme="minorEastAsia" w:hAnsiTheme="minorEastAsia" w:eastAsiaTheme="minorEastAsia"/>
          <w:bCs/>
          <w:color w:val="000000"/>
          <w:sz w:val="32"/>
          <w:szCs w:val="32"/>
        </w:rPr>
        <w:t>寿县政协办公室</w:t>
      </w:r>
      <w:r>
        <w:rPr>
          <w:rFonts w:hint="eastAsia" w:asciiTheme="minorEastAsia" w:hAnsiTheme="minorEastAsia" w:eastAsiaTheme="minorEastAsia"/>
          <w:bCs/>
          <w:sz w:val="32"/>
          <w:szCs w:val="32"/>
        </w:rPr>
        <w:t>2023年部门预算表</w:t>
      </w:r>
    </w:p>
    <w:sectPr>
      <w:footerReference r:id="rId3" w:type="default"/>
      <w:pgSz w:w="11906" w:h="16838"/>
      <w:pgMar w:top="1440" w:right="141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微软雅黑"/>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3</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EF3"/>
    <w:rsid w:val="00001C4D"/>
    <w:rsid w:val="00003A55"/>
    <w:rsid w:val="00004F0D"/>
    <w:rsid w:val="0000665B"/>
    <w:rsid w:val="0001185F"/>
    <w:rsid w:val="00020DE5"/>
    <w:rsid w:val="0002245A"/>
    <w:rsid w:val="000235D0"/>
    <w:rsid w:val="0002496B"/>
    <w:rsid w:val="0004172E"/>
    <w:rsid w:val="00041A3C"/>
    <w:rsid w:val="00044A17"/>
    <w:rsid w:val="00044AF5"/>
    <w:rsid w:val="0004504D"/>
    <w:rsid w:val="00046C78"/>
    <w:rsid w:val="0005172D"/>
    <w:rsid w:val="00054C28"/>
    <w:rsid w:val="00066783"/>
    <w:rsid w:val="00066E8F"/>
    <w:rsid w:val="0007222A"/>
    <w:rsid w:val="000767EB"/>
    <w:rsid w:val="00076D39"/>
    <w:rsid w:val="00080FA1"/>
    <w:rsid w:val="00086201"/>
    <w:rsid w:val="000876F2"/>
    <w:rsid w:val="000900BD"/>
    <w:rsid w:val="00091AAC"/>
    <w:rsid w:val="000922BD"/>
    <w:rsid w:val="000A2B6B"/>
    <w:rsid w:val="000A3109"/>
    <w:rsid w:val="000A440A"/>
    <w:rsid w:val="000A494F"/>
    <w:rsid w:val="000A5B80"/>
    <w:rsid w:val="000A7793"/>
    <w:rsid w:val="000B102E"/>
    <w:rsid w:val="000B7C34"/>
    <w:rsid w:val="000C751B"/>
    <w:rsid w:val="000D0688"/>
    <w:rsid w:val="000D56C5"/>
    <w:rsid w:val="000E208B"/>
    <w:rsid w:val="000E4F06"/>
    <w:rsid w:val="000F01D6"/>
    <w:rsid w:val="000F560D"/>
    <w:rsid w:val="000F591D"/>
    <w:rsid w:val="000F678E"/>
    <w:rsid w:val="001003FB"/>
    <w:rsid w:val="00101A9A"/>
    <w:rsid w:val="00102014"/>
    <w:rsid w:val="00103721"/>
    <w:rsid w:val="001055D0"/>
    <w:rsid w:val="001119B2"/>
    <w:rsid w:val="00112450"/>
    <w:rsid w:val="00112D2B"/>
    <w:rsid w:val="00116634"/>
    <w:rsid w:val="00120CF9"/>
    <w:rsid w:val="001221A2"/>
    <w:rsid w:val="001231FE"/>
    <w:rsid w:val="001278AA"/>
    <w:rsid w:val="00130820"/>
    <w:rsid w:val="00130975"/>
    <w:rsid w:val="00132B96"/>
    <w:rsid w:val="001431FA"/>
    <w:rsid w:val="00144CED"/>
    <w:rsid w:val="00153162"/>
    <w:rsid w:val="00153F41"/>
    <w:rsid w:val="00154DD9"/>
    <w:rsid w:val="00154EB8"/>
    <w:rsid w:val="0015647F"/>
    <w:rsid w:val="001576E5"/>
    <w:rsid w:val="00165ECB"/>
    <w:rsid w:val="001748CD"/>
    <w:rsid w:val="0017717F"/>
    <w:rsid w:val="001822C2"/>
    <w:rsid w:val="001852B4"/>
    <w:rsid w:val="0018592E"/>
    <w:rsid w:val="00194180"/>
    <w:rsid w:val="00196579"/>
    <w:rsid w:val="001A022B"/>
    <w:rsid w:val="001A1297"/>
    <w:rsid w:val="001A252D"/>
    <w:rsid w:val="001B3434"/>
    <w:rsid w:val="001C0BD2"/>
    <w:rsid w:val="001C0F29"/>
    <w:rsid w:val="001D029A"/>
    <w:rsid w:val="001D2191"/>
    <w:rsid w:val="001D513F"/>
    <w:rsid w:val="001D561C"/>
    <w:rsid w:val="001D69F4"/>
    <w:rsid w:val="001D7312"/>
    <w:rsid w:val="001D73EC"/>
    <w:rsid w:val="001E36E2"/>
    <w:rsid w:val="001E46D7"/>
    <w:rsid w:val="001F0790"/>
    <w:rsid w:val="001F07F0"/>
    <w:rsid w:val="001F32D7"/>
    <w:rsid w:val="001F37B1"/>
    <w:rsid w:val="001F5422"/>
    <w:rsid w:val="0020030E"/>
    <w:rsid w:val="00201BB6"/>
    <w:rsid w:val="00204AF2"/>
    <w:rsid w:val="00204EFF"/>
    <w:rsid w:val="00210E2A"/>
    <w:rsid w:val="00212A5F"/>
    <w:rsid w:val="00213575"/>
    <w:rsid w:val="002161FA"/>
    <w:rsid w:val="00216582"/>
    <w:rsid w:val="00216F14"/>
    <w:rsid w:val="00223037"/>
    <w:rsid w:val="00223DD6"/>
    <w:rsid w:val="00232957"/>
    <w:rsid w:val="0023587C"/>
    <w:rsid w:val="00235E7C"/>
    <w:rsid w:val="00240354"/>
    <w:rsid w:val="00241D6B"/>
    <w:rsid w:val="0024264B"/>
    <w:rsid w:val="00244ADF"/>
    <w:rsid w:val="00262483"/>
    <w:rsid w:val="00263FFD"/>
    <w:rsid w:val="00264952"/>
    <w:rsid w:val="00264F08"/>
    <w:rsid w:val="00265181"/>
    <w:rsid w:val="00266F6F"/>
    <w:rsid w:val="00271BD2"/>
    <w:rsid w:val="002731B1"/>
    <w:rsid w:val="00274682"/>
    <w:rsid w:val="00275175"/>
    <w:rsid w:val="00277138"/>
    <w:rsid w:val="002809D9"/>
    <w:rsid w:val="00281B96"/>
    <w:rsid w:val="002822B7"/>
    <w:rsid w:val="002843F3"/>
    <w:rsid w:val="00284AD1"/>
    <w:rsid w:val="00284B1C"/>
    <w:rsid w:val="002912FF"/>
    <w:rsid w:val="0029292C"/>
    <w:rsid w:val="002A0119"/>
    <w:rsid w:val="002A15BD"/>
    <w:rsid w:val="002A201D"/>
    <w:rsid w:val="002A2BA9"/>
    <w:rsid w:val="002A4CEA"/>
    <w:rsid w:val="002A6E39"/>
    <w:rsid w:val="002B2296"/>
    <w:rsid w:val="002B4F53"/>
    <w:rsid w:val="002B4FEF"/>
    <w:rsid w:val="002C451D"/>
    <w:rsid w:val="002D1FE7"/>
    <w:rsid w:val="002D3774"/>
    <w:rsid w:val="002D3CBA"/>
    <w:rsid w:val="002D43CF"/>
    <w:rsid w:val="002D5BA6"/>
    <w:rsid w:val="002E5F07"/>
    <w:rsid w:val="002E6EE7"/>
    <w:rsid w:val="002F50BC"/>
    <w:rsid w:val="002F6B5C"/>
    <w:rsid w:val="00300844"/>
    <w:rsid w:val="00303152"/>
    <w:rsid w:val="00306434"/>
    <w:rsid w:val="00312897"/>
    <w:rsid w:val="00315AC7"/>
    <w:rsid w:val="003202A5"/>
    <w:rsid w:val="003222E1"/>
    <w:rsid w:val="00322E4D"/>
    <w:rsid w:val="00323501"/>
    <w:rsid w:val="0033096E"/>
    <w:rsid w:val="00336AE6"/>
    <w:rsid w:val="0034241B"/>
    <w:rsid w:val="00344196"/>
    <w:rsid w:val="0034469C"/>
    <w:rsid w:val="0034526F"/>
    <w:rsid w:val="003479E4"/>
    <w:rsid w:val="003607C5"/>
    <w:rsid w:val="003613BE"/>
    <w:rsid w:val="00361D0B"/>
    <w:rsid w:val="00364339"/>
    <w:rsid w:val="003708B2"/>
    <w:rsid w:val="0037368D"/>
    <w:rsid w:val="00374A95"/>
    <w:rsid w:val="003764C5"/>
    <w:rsid w:val="00376B6E"/>
    <w:rsid w:val="003853BB"/>
    <w:rsid w:val="003872E9"/>
    <w:rsid w:val="00387A5C"/>
    <w:rsid w:val="00392333"/>
    <w:rsid w:val="00394026"/>
    <w:rsid w:val="00396026"/>
    <w:rsid w:val="00397065"/>
    <w:rsid w:val="003A1262"/>
    <w:rsid w:val="003A3AB3"/>
    <w:rsid w:val="003B59A4"/>
    <w:rsid w:val="003B70C8"/>
    <w:rsid w:val="003B742B"/>
    <w:rsid w:val="003C11AF"/>
    <w:rsid w:val="003C18FB"/>
    <w:rsid w:val="003C1D28"/>
    <w:rsid w:val="003C3C10"/>
    <w:rsid w:val="003C5996"/>
    <w:rsid w:val="003C60DA"/>
    <w:rsid w:val="003C69BD"/>
    <w:rsid w:val="003D1D2A"/>
    <w:rsid w:val="003D2A66"/>
    <w:rsid w:val="003D5C34"/>
    <w:rsid w:val="003D7E92"/>
    <w:rsid w:val="003E20CD"/>
    <w:rsid w:val="003E43F8"/>
    <w:rsid w:val="003E4E65"/>
    <w:rsid w:val="003E6CE9"/>
    <w:rsid w:val="003F17B8"/>
    <w:rsid w:val="003F2586"/>
    <w:rsid w:val="003F369E"/>
    <w:rsid w:val="003F48A6"/>
    <w:rsid w:val="003F4E12"/>
    <w:rsid w:val="003F6420"/>
    <w:rsid w:val="003F736F"/>
    <w:rsid w:val="003F7A4E"/>
    <w:rsid w:val="003F7F66"/>
    <w:rsid w:val="0040046F"/>
    <w:rsid w:val="00405697"/>
    <w:rsid w:val="004074D7"/>
    <w:rsid w:val="00414C62"/>
    <w:rsid w:val="00416F0B"/>
    <w:rsid w:val="00417956"/>
    <w:rsid w:val="004205EB"/>
    <w:rsid w:val="00421510"/>
    <w:rsid w:val="00422A81"/>
    <w:rsid w:val="004271C2"/>
    <w:rsid w:val="00427398"/>
    <w:rsid w:val="0043251E"/>
    <w:rsid w:val="004348D5"/>
    <w:rsid w:val="00443AD4"/>
    <w:rsid w:val="00446019"/>
    <w:rsid w:val="00456891"/>
    <w:rsid w:val="00457E1E"/>
    <w:rsid w:val="00464B12"/>
    <w:rsid w:val="00465648"/>
    <w:rsid w:val="00465890"/>
    <w:rsid w:val="004720A3"/>
    <w:rsid w:val="00476387"/>
    <w:rsid w:val="00477601"/>
    <w:rsid w:val="00477896"/>
    <w:rsid w:val="00481181"/>
    <w:rsid w:val="0048209E"/>
    <w:rsid w:val="00486114"/>
    <w:rsid w:val="004869A4"/>
    <w:rsid w:val="0048782D"/>
    <w:rsid w:val="00492545"/>
    <w:rsid w:val="00492E81"/>
    <w:rsid w:val="004A0464"/>
    <w:rsid w:val="004A17BF"/>
    <w:rsid w:val="004A34C0"/>
    <w:rsid w:val="004A4E47"/>
    <w:rsid w:val="004A63C3"/>
    <w:rsid w:val="004B18F7"/>
    <w:rsid w:val="004B45C1"/>
    <w:rsid w:val="004C2D13"/>
    <w:rsid w:val="004C39F8"/>
    <w:rsid w:val="004D16C1"/>
    <w:rsid w:val="004D4377"/>
    <w:rsid w:val="004D5AFE"/>
    <w:rsid w:val="004E5D79"/>
    <w:rsid w:val="004F2B8B"/>
    <w:rsid w:val="004F6506"/>
    <w:rsid w:val="005035AE"/>
    <w:rsid w:val="00505B42"/>
    <w:rsid w:val="005073A2"/>
    <w:rsid w:val="00511848"/>
    <w:rsid w:val="00513252"/>
    <w:rsid w:val="00515E34"/>
    <w:rsid w:val="00517A1B"/>
    <w:rsid w:val="0052036E"/>
    <w:rsid w:val="0052098F"/>
    <w:rsid w:val="00520F09"/>
    <w:rsid w:val="005254AD"/>
    <w:rsid w:val="00527460"/>
    <w:rsid w:val="00530BC3"/>
    <w:rsid w:val="00532451"/>
    <w:rsid w:val="00536194"/>
    <w:rsid w:val="00536A8C"/>
    <w:rsid w:val="005404B7"/>
    <w:rsid w:val="005422A6"/>
    <w:rsid w:val="00542C85"/>
    <w:rsid w:val="00543AF0"/>
    <w:rsid w:val="00545495"/>
    <w:rsid w:val="005560DF"/>
    <w:rsid w:val="005566B5"/>
    <w:rsid w:val="00556ACC"/>
    <w:rsid w:val="005672DB"/>
    <w:rsid w:val="00567AC7"/>
    <w:rsid w:val="00570085"/>
    <w:rsid w:val="005720A0"/>
    <w:rsid w:val="00573536"/>
    <w:rsid w:val="005738ED"/>
    <w:rsid w:val="005749F4"/>
    <w:rsid w:val="005851C2"/>
    <w:rsid w:val="0059103C"/>
    <w:rsid w:val="005A0A22"/>
    <w:rsid w:val="005B0ECF"/>
    <w:rsid w:val="005B4458"/>
    <w:rsid w:val="005B68B7"/>
    <w:rsid w:val="005C28DE"/>
    <w:rsid w:val="005C2D46"/>
    <w:rsid w:val="005C542F"/>
    <w:rsid w:val="005C66FF"/>
    <w:rsid w:val="005D141D"/>
    <w:rsid w:val="005D1F22"/>
    <w:rsid w:val="005D384F"/>
    <w:rsid w:val="005D617F"/>
    <w:rsid w:val="005D7F46"/>
    <w:rsid w:val="005E0697"/>
    <w:rsid w:val="005E39D1"/>
    <w:rsid w:val="005F42CE"/>
    <w:rsid w:val="005F43C4"/>
    <w:rsid w:val="005F67C0"/>
    <w:rsid w:val="005F7E38"/>
    <w:rsid w:val="006056A7"/>
    <w:rsid w:val="00612140"/>
    <w:rsid w:val="00613EE8"/>
    <w:rsid w:val="00614EC4"/>
    <w:rsid w:val="00615C41"/>
    <w:rsid w:val="00616DE7"/>
    <w:rsid w:val="00620E62"/>
    <w:rsid w:val="00622F70"/>
    <w:rsid w:val="0062426F"/>
    <w:rsid w:val="006308F5"/>
    <w:rsid w:val="00631013"/>
    <w:rsid w:val="00633459"/>
    <w:rsid w:val="00634A98"/>
    <w:rsid w:val="006374E0"/>
    <w:rsid w:val="006376DB"/>
    <w:rsid w:val="00645436"/>
    <w:rsid w:val="006456B8"/>
    <w:rsid w:val="0064594E"/>
    <w:rsid w:val="00654F07"/>
    <w:rsid w:val="00656BF5"/>
    <w:rsid w:val="00657A31"/>
    <w:rsid w:val="00660201"/>
    <w:rsid w:val="00664AC7"/>
    <w:rsid w:val="0066794A"/>
    <w:rsid w:val="00670DCE"/>
    <w:rsid w:val="00671243"/>
    <w:rsid w:val="00680702"/>
    <w:rsid w:val="0068587E"/>
    <w:rsid w:val="0068788C"/>
    <w:rsid w:val="00696430"/>
    <w:rsid w:val="006A0FCD"/>
    <w:rsid w:val="006A288D"/>
    <w:rsid w:val="006A49EE"/>
    <w:rsid w:val="006A54A2"/>
    <w:rsid w:val="006A59F4"/>
    <w:rsid w:val="006A65C8"/>
    <w:rsid w:val="006B04A0"/>
    <w:rsid w:val="006B309C"/>
    <w:rsid w:val="006B5BB8"/>
    <w:rsid w:val="006C0606"/>
    <w:rsid w:val="006C0D39"/>
    <w:rsid w:val="006C208D"/>
    <w:rsid w:val="006C5CA9"/>
    <w:rsid w:val="006D7F79"/>
    <w:rsid w:val="006E2E5E"/>
    <w:rsid w:val="006F077B"/>
    <w:rsid w:val="007028CE"/>
    <w:rsid w:val="00707041"/>
    <w:rsid w:val="00710708"/>
    <w:rsid w:val="00710E1F"/>
    <w:rsid w:val="007110A4"/>
    <w:rsid w:val="00714275"/>
    <w:rsid w:val="00715743"/>
    <w:rsid w:val="0071575A"/>
    <w:rsid w:val="00716783"/>
    <w:rsid w:val="007220E1"/>
    <w:rsid w:val="00725A67"/>
    <w:rsid w:val="00727AAB"/>
    <w:rsid w:val="00732B18"/>
    <w:rsid w:val="0073588B"/>
    <w:rsid w:val="007361AD"/>
    <w:rsid w:val="00740224"/>
    <w:rsid w:val="0074079B"/>
    <w:rsid w:val="00741687"/>
    <w:rsid w:val="0074378C"/>
    <w:rsid w:val="007456AE"/>
    <w:rsid w:val="0074635D"/>
    <w:rsid w:val="00746CE0"/>
    <w:rsid w:val="007507F4"/>
    <w:rsid w:val="00753AFD"/>
    <w:rsid w:val="00755B89"/>
    <w:rsid w:val="00755C84"/>
    <w:rsid w:val="00763351"/>
    <w:rsid w:val="007711B0"/>
    <w:rsid w:val="00771958"/>
    <w:rsid w:val="00776EE1"/>
    <w:rsid w:val="00787632"/>
    <w:rsid w:val="00795B9A"/>
    <w:rsid w:val="007A0D9E"/>
    <w:rsid w:val="007A65E2"/>
    <w:rsid w:val="007B1B53"/>
    <w:rsid w:val="007B3A89"/>
    <w:rsid w:val="007B71F4"/>
    <w:rsid w:val="007B76CC"/>
    <w:rsid w:val="007C06FB"/>
    <w:rsid w:val="007C24BB"/>
    <w:rsid w:val="007C719C"/>
    <w:rsid w:val="007E78AE"/>
    <w:rsid w:val="007E795C"/>
    <w:rsid w:val="007F514E"/>
    <w:rsid w:val="008274B3"/>
    <w:rsid w:val="008277DE"/>
    <w:rsid w:val="00831FAA"/>
    <w:rsid w:val="00837C89"/>
    <w:rsid w:val="0084029F"/>
    <w:rsid w:val="00850039"/>
    <w:rsid w:val="00850D77"/>
    <w:rsid w:val="008553E8"/>
    <w:rsid w:val="00855475"/>
    <w:rsid w:val="008619C0"/>
    <w:rsid w:val="008671E1"/>
    <w:rsid w:val="00870B98"/>
    <w:rsid w:val="00873BAD"/>
    <w:rsid w:val="00874923"/>
    <w:rsid w:val="00876DCB"/>
    <w:rsid w:val="00877781"/>
    <w:rsid w:val="00880749"/>
    <w:rsid w:val="0088165C"/>
    <w:rsid w:val="00884EF3"/>
    <w:rsid w:val="00884F63"/>
    <w:rsid w:val="00887E4C"/>
    <w:rsid w:val="008938B9"/>
    <w:rsid w:val="00896448"/>
    <w:rsid w:val="008A35EB"/>
    <w:rsid w:val="008A5956"/>
    <w:rsid w:val="008B096B"/>
    <w:rsid w:val="008B0EC5"/>
    <w:rsid w:val="008B6CBB"/>
    <w:rsid w:val="008C29C4"/>
    <w:rsid w:val="008C4CF4"/>
    <w:rsid w:val="008C576D"/>
    <w:rsid w:val="008C7933"/>
    <w:rsid w:val="008D0B29"/>
    <w:rsid w:val="008D2E27"/>
    <w:rsid w:val="008D4556"/>
    <w:rsid w:val="008D7118"/>
    <w:rsid w:val="008E2EAA"/>
    <w:rsid w:val="008E3B53"/>
    <w:rsid w:val="008E6387"/>
    <w:rsid w:val="008F088B"/>
    <w:rsid w:val="008F1453"/>
    <w:rsid w:val="008F429C"/>
    <w:rsid w:val="008F430F"/>
    <w:rsid w:val="009004CD"/>
    <w:rsid w:val="009014F5"/>
    <w:rsid w:val="0090196E"/>
    <w:rsid w:val="00901EC3"/>
    <w:rsid w:val="0090208D"/>
    <w:rsid w:val="0091270C"/>
    <w:rsid w:val="00912832"/>
    <w:rsid w:val="00913636"/>
    <w:rsid w:val="0091481C"/>
    <w:rsid w:val="0091660C"/>
    <w:rsid w:val="0092492B"/>
    <w:rsid w:val="0092511F"/>
    <w:rsid w:val="0092634C"/>
    <w:rsid w:val="009340C8"/>
    <w:rsid w:val="00934132"/>
    <w:rsid w:val="0094235B"/>
    <w:rsid w:val="00946992"/>
    <w:rsid w:val="00952F19"/>
    <w:rsid w:val="009531FE"/>
    <w:rsid w:val="00954BA6"/>
    <w:rsid w:val="00956354"/>
    <w:rsid w:val="009636BD"/>
    <w:rsid w:val="00966E69"/>
    <w:rsid w:val="00971CE5"/>
    <w:rsid w:val="00972438"/>
    <w:rsid w:val="0097393E"/>
    <w:rsid w:val="0097584C"/>
    <w:rsid w:val="009772DC"/>
    <w:rsid w:val="0098072D"/>
    <w:rsid w:val="00984D8B"/>
    <w:rsid w:val="0098740D"/>
    <w:rsid w:val="00994F0E"/>
    <w:rsid w:val="00996EB5"/>
    <w:rsid w:val="009A1924"/>
    <w:rsid w:val="009A2AC0"/>
    <w:rsid w:val="009A46F9"/>
    <w:rsid w:val="009A4818"/>
    <w:rsid w:val="009B052D"/>
    <w:rsid w:val="009B63C8"/>
    <w:rsid w:val="009C2A87"/>
    <w:rsid w:val="009C493D"/>
    <w:rsid w:val="009C7E66"/>
    <w:rsid w:val="009D6311"/>
    <w:rsid w:val="009D6373"/>
    <w:rsid w:val="009E1D5C"/>
    <w:rsid w:val="009E2DE8"/>
    <w:rsid w:val="009E4817"/>
    <w:rsid w:val="009E4968"/>
    <w:rsid w:val="009F0CB4"/>
    <w:rsid w:val="00A012BA"/>
    <w:rsid w:val="00A01DE6"/>
    <w:rsid w:val="00A04B86"/>
    <w:rsid w:val="00A054BC"/>
    <w:rsid w:val="00A067BC"/>
    <w:rsid w:val="00A0692F"/>
    <w:rsid w:val="00A07986"/>
    <w:rsid w:val="00A07B94"/>
    <w:rsid w:val="00A101B6"/>
    <w:rsid w:val="00A10362"/>
    <w:rsid w:val="00A14C1B"/>
    <w:rsid w:val="00A22990"/>
    <w:rsid w:val="00A32618"/>
    <w:rsid w:val="00A33E37"/>
    <w:rsid w:val="00A3675B"/>
    <w:rsid w:val="00A411E7"/>
    <w:rsid w:val="00A45394"/>
    <w:rsid w:val="00A50CB9"/>
    <w:rsid w:val="00A519AE"/>
    <w:rsid w:val="00A60F6F"/>
    <w:rsid w:val="00A635B6"/>
    <w:rsid w:val="00A637EB"/>
    <w:rsid w:val="00A6402E"/>
    <w:rsid w:val="00A643D4"/>
    <w:rsid w:val="00A64936"/>
    <w:rsid w:val="00A655D0"/>
    <w:rsid w:val="00A661BA"/>
    <w:rsid w:val="00A666E6"/>
    <w:rsid w:val="00A80281"/>
    <w:rsid w:val="00A813B4"/>
    <w:rsid w:val="00A83F2A"/>
    <w:rsid w:val="00A91B46"/>
    <w:rsid w:val="00A96C2F"/>
    <w:rsid w:val="00AA2F3F"/>
    <w:rsid w:val="00AA6510"/>
    <w:rsid w:val="00AB18BA"/>
    <w:rsid w:val="00AB3162"/>
    <w:rsid w:val="00AB3DC4"/>
    <w:rsid w:val="00AC4555"/>
    <w:rsid w:val="00AC7D74"/>
    <w:rsid w:val="00AD022C"/>
    <w:rsid w:val="00AD303C"/>
    <w:rsid w:val="00AD4670"/>
    <w:rsid w:val="00AD48C7"/>
    <w:rsid w:val="00AD6FC7"/>
    <w:rsid w:val="00AE423C"/>
    <w:rsid w:val="00AE59A2"/>
    <w:rsid w:val="00AE6D7A"/>
    <w:rsid w:val="00AE6D95"/>
    <w:rsid w:val="00AF11AD"/>
    <w:rsid w:val="00AF35B1"/>
    <w:rsid w:val="00AF79A3"/>
    <w:rsid w:val="00AF7E02"/>
    <w:rsid w:val="00B022DB"/>
    <w:rsid w:val="00B02744"/>
    <w:rsid w:val="00B0426C"/>
    <w:rsid w:val="00B121B4"/>
    <w:rsid w:val="00B122F7"/>
    <w:rsid w:val="00B133EB"/>
    <w:rsid w:val="00B1516E"/>
    <w:rsid w:val="00B160C4"/>
    <w:rsid w:val="00B20BA8"/>
    <w:rsid w:val="00B20F47"/>
    <w:rsid w:val="00B222C0"/>
    <w:rsid w:val="00B32A12"/>
    <w:rsid w:val="00B32CDF"/>
    <w:rsid w:val="00B346B9"/>
    <w:rsid w:val="00B34ACF"/>
    <w:rsid w:val="00B41180"/>
    <w:rsid w:val="00B421CD"/>
    <w:rsid w:val="00B43BD6"/>
    <w:rsid w:val="00B451F6"/>
    <w:rsid w:val="00B47F29"/>
    <w:rsid w:val="00B505B3"/>
    <w:rsid w:val="00B55D61"/>
    <w:rsid w:val="00B613F4"/>
    <w:rsid w:val="00B62D55"/>
    <w:rsid w:val="00B6658E"/>
    <w:rsid w:val="00B67C2F"/>
    <w:rsid w:val="00B71D99"/>
    <w:rsid w:val="00B73B33"/>
    <w:rsid w:val="00B73BA8"/>
    <w:rsid w:val="00B74799"/>
    <w:rsid w:val="00B833E6"/>
    <w:rsid w:val="00B84ACD"/>
    <w:rsid w:val="00B92470"/>
    <w:rsid w:val="00B93AC4"/>
    <w:rsid w:val="00B951A4"/>
    <w:rsid w:val="00B95691"/>
    <w:rsid w:val="00BA5EAE"/>
    <w:rsid w:val="00BA698B"/>
    <w:rsid w:val="00BB08AD"/>
    <w:rsid w:val="00BB790A"/>
    <w:rsid w:val="00BB7D79"/>
    <w:rsid w:val="00BC11BF"/>
    <w:rsid w:val="00BC4E44"/>
    <w:rsid w:val="00BC5748"/>
    <w:rsid w:val="00BC73C5"/>
    <w:rsid w:val="00BC76E7"/>
    <w:rsid w:val="00BD5856"/>
    <w:rsid w:val="00BD7B2E"/>
    <w:rsid w:val="00BE7EE3"/>
    <w:rsid w:val="00BF19D4"/>
    <w:rsid w:val="00BF1A11"/>
    <w:rsid w:val="00BF31A2"/>
    <w:rsid w:val="00BF3884"/>
    <w:rsid w:val="00BF5F40"/>
    <w:rsid w:val="00BF6887"/>
    <w:rsid w:val="00C00534"/>
    <w:rsid w:val="00C00A7D"/>
    <w:rsid w:val="00C0101E"/>
    <w:rsid w:val="00C01050"/>
    <w:rsid w:val="00C0278A"/>
    <w:rsid w:val="00C04464"/>
    <w:rsid w:val="00C07C17"/>
    <w:rsid w:val="00C101A5"/>
    <w:rsid w:val="00C130C1"/>
    <w:rsid w:val="00C21019"/>
    <w:rsid w:val="00C26F63"/>
    <w:rsid w:val="00C31BA6"/>
    <w:rsid w:val="00C339D0"/>
    <w:rsid w:val="00C33E51"/>
    <w:rsid w:val="00C33EBC"/>
    <w:rsid w:val="00C359C1"/>
    <w:rsid w:val="00C36363"/>
    <w:rsid w:val="00C36618"/>
    <w:rsid w:val="00C36EB0"/>
    <w:rsid w:val="00C40B80"/>
    <w:rsid w:val="00C431B1"/>
    <w:rsid w:val="00C4788B"/>
    <w:rsid w:val="00C47F0E"/>
    <w:rsid w:val="00C50415"/>
    <w:rsid w:val="00C52432"/>
    <w:rsid w:val="00C54FF6"/>
    <w:rsid w:val="00C5684C"/>
    <w:rsid w:val="00C5738B"/>
    <w:rsid w:val="00C607EA"/>
    <w:rsid w:val="00C6175F"/>
    <w:rsid w:val="00C6189A"/>
    <w:rsid w:val="00C73941"/>
    <w:rsid w:val="00C76AC9"/>
    <w:rsid w:val="00C80099"/>
    <w:rsid w:val="00C8284A"/>
    <w:rsid w:val="00C82F44"/>
    <w:rsid w:val="00C84238"/>
    <w:rsid w:val="00C85201"/>
    <w:rsid w:val="00C85E37"/>
    <w:rsid w:val="00C956E8"/>
    <w:rsid w:val="00C95E76"/>
    <w:rsid w:val="00C96A16"/>
    <w:rsid w:val="00C96B2A"/>
    <w:rsid w:val="00CA0519"/>
    <w:rsid w:val="00CA0830"/>
    <w:rsid w:val="00CA0DAB"/>
    <w:rsid w:val="00CA5E16"/>
    <w:rsid w:val="00CA632A"/>
    <w:rsid w:val="00CB0AD1"/>
    <w:rsid w:val="00CB28A4"/>
    <w:rsid w:val="00CB770B"/>
    <w:rsid w:val="00CC30D2"/>
    <w:rsid w:val="00CC3738"/>
    <w:rsid w:val="00CC43B8"/>
    <w:rsid w:val="00CC5AE2"/>
    <w:rsid w:val="00CE0C13"/>
    <w:rsid w:val="00CE15C2"/>
    <w:rsid w:val="00CE486A"/>
    <w:rsid w:val="00CE4FAE"/>
    <w:rsid w:val="00CF5990"/>
    <w:rsid w:val="00CF70F3"/>
    <w:rsid w:val="00D03EA1"/>
    <w:rsid w:val="00D075AC"/>
    <w:rsid w:val="00D078E9"/>
    <w:rsid w:val="00D1401D"/>
    <w:rsid w:val="00D170D2"/>
    <w:rsid w:val="00D1757B"/>
    <w:rsid w:val="00D251D8"/>
    <w:rsid w:val="00D27203"/>
    <w:rsid w:val="00D27256"/>
    <w:rsid w:val="00D274BD"/>
    <w:rsid w:val="00D37795"/>
    <w:rsid w:val="00D40487"/>
    <w:rsid w:val="00D41B2F"/>
    <w:rsid w:val="00D42C98"/>
    <w:rsid w:val="00D42D34"/>
    <w:rsid w:val="00D45982"/>
    <w:rsid w:val="00D46408"/>
    <w:rsid w:val="00D5339B"/>
    <w:rsid w:val="00D53DD9"/>
    <w:rsid w:val="00D53F07"/>
    <w:rsid w:val="00D60F41"/>
    <w:rsid w:val="00D6170A"/>
    <w:rsid w:val="00D61843"/>
    <w:rsid w:val="00D62DAF"/>
    <w:rsid w:val="00D6754B"/>
    <w:rsid w:val="00D7721D"/>
    <w:rsid w:val="00D773A8"/>
    <w:rsid w:val="00D84005"/>
    <w:rsid w:val="00D84594"/>
    <w:rsid w:val="00D90837"/>
    <w:rsid w:val="00D93D87"/>
    <w:rsid w:val="00DA10CB"/>
    <w:rsid w:val="00DB3194"/>
    <w:rsid w:val="00DB5900"/>
    <w:rsid w:val="00DB7C3C"/>
    <w:rsid w:val="00DC5B60"/>
    <w:rsid w:val="00DD27E8"/>
    <w:rsid w:val="00DD53A1"/>
    <w:rsid w:val="00DD6113"/>
    <w:rsid w:val="00DD6909"/>
    <w:rsid w:val="00DE2AB7"/>
    <w:rsid w:val="00DF03C1"/>
    <w:rsid w:val="00DF76BC"/>
    <w:rsid w:val="00E0276C"/>
    <w:rsid w:val="00E05F0B"/>
    <w:rsid w:val="00E05FB7"/>
    <w:rsid w:val="00E1479A"/>
    <w:rsid w:val="00E15132"/>
    <w:rsid w:val="00E1520F"/>
    <w:rsid w:val="00E17CAB"/>
    <w:rsid w:val="00E208A8"/>
    <w:rsid w:val="00E2266D"/>
    <w:rsid w:val="00E30532"/>
    <w:rsid w:val="00E335B2"/>
    <w:rsid w:val="00E36BA2"/>
    <w:rsid w:val="00E379A2"/>
    <w:rsid w:val="00E548F8"/>
    <w:rsid w:val="00E56542"/>
    <w:rsid w:val="00E6028D"/>
    <w:rsid w:val="00E615FA"/>
    <w:rsid w:val="00E7553A"/>
    <w:rsid w:val="00E76927"/>
    <w:rsid w:val="00E817E9"/>
    <w:rsid w:val="00E81888"/>
    <w:rsid w:val="00E81B96"/>
    <w:rsid w:val="00E91D5F"/>
    <w:rsid w:val="00E929E3"/>
    <w:rsid w:val="00E957C9"/>
    <w:rsid w:val="00E97020"/>
    <w:rsid w:val="00EA0180"/>
    <w:rsid w:val="00EA0C02"/>
    <w:rsid w:val="00EA2965"/>
    <w:rsid w:val="00EA6CBA"/>
    <w:rsid w:val="00EB0CE3"/>
    <w:rsid w:val="00EC3187"/>
    <w:rsid w:val="00EC4FE9"/>
    <w:rsid w:val="00ED307F"/>
    <w:rsid w:val="00ED414E"/>
    <w:rsid w:val="00EE32E9"/>
    <w:rsid w:val="00EE482B"/>
    <w:rsid w:val="00EE7924"/>
    <w:rsid w:val="00EE7E9C"/>
    <w:rsid w:val="00EF19F7"/>
    <w:rsid w:val="00EF4421"/>
    <w:rsid w:val="00EF44B3"/>
    <w:rsid w:val="00EF459A"/>
    <w:rsid w:val="00EF56E9"/>
    <w:rsid w:val="00F00150"/>
    <w:rsid w:val="00F00DEB"/>
    <w:rsid w:val="00F00E14"/>
    <w:rsid w:val="00F0139E"/>
    <w:rsid w:val="00F03C25"/>
    <w:rsid w:val="00F051CA"/>
    <w:rsid w:val="00F0626F"/>
    <w:rsid w:val="00F06647"/>
    <w:rsid w:val="00F143AE"/>
    <w:rsid w:val="00F24679"/>
    <w:rsid w:val="00F33052"/>
    <w:rsid w:val="00F33190"/>
    <w:rsid w:val="00F34855"/>
    <w:rsid w:val="00F35CFB"/>
    <w:rsid w:val="00F4131B"/>
    <w:rsid w:val="00F4165F"/>
    <w:rsid w:val="00F42834"/>
    <w:rsid w:val="00F4338B"/>
    <w:rsid w:val="00F45824"/>
    <w:rsid w:val="00F57D7D"/>
    <w:rsid w:val="00F6132D"/>
    <w:rsid w:val="00F616E4"/>
    <w:rsid w:val="00F6277C"/>
    <w:rsid w:val="00F62E7A"/>
    <w:rsid w:val="00F662EC"/>
    <w:rsid w:val="00F85055"/>
    <w:rsid w:val="00F859B3"/>
    <w:rsid w:val="00F85E23"/>
    <w:rsid w:val="00F8649C"/>
    <w:rsid w:val="00F86876"/>
    <w:rsid w:val="00F9141A"/>
    <w:rsid w:val="00F91ABE"/>
    <w:rsid w:val="00FA0AEA"/>
    <w:rsid w:val="00FA1852"/>
    <w:rsid w:val="00FA3A2F"/>
    <w:rsid w:val="00FA4039"/>
    <w:rsid w:val="00FA4ECF"/>
    <w:rsid w:val="00FA4F06"/>
    <w:rsid w:val="00FB28D6"/>
    <w:rsid w:val="00FC5CAD"/>
    <w:rsid w:val="00FC6C4B"/>
    <w:rsid w:val="00FD2F5D"/>
    <w:rsid w:val="00FD7647"/>
    <w:rsid w:val="00FE4839"/>
    <w:rsid w:val="00FF0413"/>
    <w:rsid w:val="00FF6961"/>
    <w:rsid w:val="08A71940"/>
    <w:rsid w:val="0D18335F"/>
    <w:rsid w:val="0F4D5D3B"/>
    <w:rsid w:val="149D2DE5"/>
    <w:rsid w:val="16515577"/>
    <w:rsid w:val="2483194D"/>
    <w:rsid w:val="274D6682"/>
    <w:rsid w:val="28B82A64"/>
    <w:rsid w:val="45171F5F"/>
    <w:rsid w:val="4DE2243D"/>
    <w:rsid w:val="51D620DD"/>
    <w:rsid w:val="52C94A44"/>
    <w:rsid w:val="547A6A60"/>
    <w:rsid w:val="556F4099"/>
    <w:rsid w:val="5A5E709D"/>
    <w:rsid w:val="619A4C7D"/>
    <w:rsid w:val="660712E0"/>
    <w:rsid w:val="6B9923BB"/>
    <w:rsid w:val="6E7365C0"/>
    <w:rsid w:val="6F656122"/>
    <w:rsid w:val="77874AC8"/>
    <w:rsid w:val="7FCC112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697</Words>
  <Characters>3975</Characters>
  <Lines>33</Lines>
  <Paragraphs>9</Paragraphs>
  <TotalTime>104</TotalTime>
  <ScaleCrop>false</ScaleCrop>
  <LinksUpToDate>false</LinksUpToDate>
  <CharactersWithSpaces>4663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2023-01-04T15:08:00Z</dcterms:created>
  <dc:creator>微软用户</dc:creator>
  <cp:lastModifiedBy>李海静</cp:lastModifiedBy>
  <cp:lastPrinted>2019-01-15T08:53:00Z</cp:lastPrinted>
  <dcterms:modified xsi:type="dcterms:W3CDTF">2025-10-14T07:50:07Z</dcterms:modified>
  <dc:title>安徽省财政厅2015年部门预算</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