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>
      <w:pPr>
        <w:widowControl/>
        <w:shd w:val="clear" w:color="auto" w:fill="FFFFFF"/>
        <w:spacing w:before="100" w:beforeAutospacing="1" w:after="100" w:afterAutospacing="1" w:line="600" w:lineRule="atLeast"/>
        <w:ind w:firstLine="1192" w:firstLineChars="331"/>
        <w:jc w:val="left"/>
        <w:rPr>
          <w:rFonts w:ascii="宋体" w:eastAsia="宋体" w:hAnsi="宋体" w:cs="宋体"/>
          <w:b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666666"/>
          <w:kern w:val="0"/>
          <w:sz w:val="36"/>
          <w:szCs w:val="36"/>
        </w:rPr>
        <w:t>20</w:t>
      </w:r>
      <w:r>
        <w:rPr>
          <w:rFonts w:ascii="宋体" w:eastAsia="宋体" w:hAnsi="宋体" w:cs="宋体"/>
          <w:b/>
          <w:color w:val="666666"/>
          <w:kern w:val="0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color w:val="666666"/>
          <w:kern w:val="0"/>
          <w:sz w:val="36"/>
          <w:szCs w:val="36"/>
        </w:rPr>
        <w:t>1</w:t>
      </w:r>
      <w:r>
        <w:rPr>
          <w:rFonts w:ascii="方正小标宋_GBK" w:eastAsia="宋体" w:hAnsi="方正小标宋_GBK" w:cs="宋体"/>
          <w:b/>
          <w:color w:val="666666"/>
          <w:kern w:val="0"/>
          <w:sz w:val="36"/>
          <w:szCs w:val="36"/>
        </w:rPr>
        <w:t>年部门整体支出绩效目标表编报说明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27"/>
        <w:jc w:val="left"/>
        <w:rPr>
          <w:rFonts w:ascii="华文仿宋" w:eastAsia="华文仿宋" w:hAnsi="华文仿宋" w:cs="宋体"/>
          <w:b/>
          <w:color w:val="666666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color w:val="666666"/>
          <w:kern w:val="0"/>
          <w:sz w:val="32"/>
          <w:szCs w:val="32"/>
        </w:rPr>
        <w:t>一、基本信息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/>
          <w:color w:val="666666"/>
          <w:kern w:val="0"/>
          <w:sz w:val="24"/>
          <w:szCs w:val="24"/>
        </w:rPr>
      </w:pPr>
      <w:r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、填报单位（盖章）：中共寿县县委老干部局。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>2</w:t>
      </w: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、年度预算申请：部门年度预算资金总额：237.82万元，按收入性质分：一般公共预算:237.82万元；按支出性质分：基本支出:99.52万元，项目支出：138.3。237.82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 xml:space="preserve"> 3</w:t>
      </w: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、部门职能职责概述：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（1）</w:t>
      </w: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贯彻落实</w:t>
      </w: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党的老干部工作方针政策，研究制定或参与制定全县老干部工作的具体规定和细则，并组织实施。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 w:firstLineChars="20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（2）督促检查全县老干部政治待遇和生活待遇的落实，参与离休干部离休费和医疗费保障机制的建立和完善工作。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 w:firstLineChars="20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（3）指导全县离退休干部党建工作，引导离退休干部发挥独特优势，统筹指导离退休干部开展为党和人民事业增添正能量活动，为全县的改革、发展和稳定继续发挥作用。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 w:firstLineChars="20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（4）围绕党的中心工作，积极开展调查研究，及时掌握老干部工作的信息和动态，及时向县委、县政府提出政策性建议。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（5）总结和宣传老干部发挥正能量作用的先进典型和老干部工作经验，推动各项方针政策的顺利贯彻执行。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（6）协助关工委做好关心下一代工作。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（7）协助做好老年大学的管理和协调工作，协助县老教委指导协调全县老年教育工作。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（8）抓好县直及乡镇老干部工作队伍的自身建设。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9）指导和协调全县老干部活动室等基础设施的建设和管理工作。负责老干部易地安置工作，外地来寿老干部接待工作，老干部来信来访工作，离休干部荣誉证审报发放工作，护理补助费的审批工作，困难离退休干部及离休干部遗属帮扶救济工作，县（处）以上老干部逝世后的登报审批工作，老干部宣传、统计、信息（库）建设和走访、慰问等工作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（10）完成县委交办的其他任务。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 w:firstLineChars="200"/>
        <w:jc w:val="left"/>
        <w:rPr>
          <w:rFonts w:ascii="华文仿宋" w:eastAsia="华文仿宋" w:hAnsi="华文仿宋" w:cs="宋体"/>
          <w:b/>
          <w:color w:val="666666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b/>
          <w:color w:val="666666"/>
          <w:kern w:val="0"/>
          <w:sz w:val="32"/>
          <w:szCs w:val="32"/>
        </w:rPr>
        <w:t>二、整体绩效目标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27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  <w:lang w:eastAsia="zh-CN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目标1：依托离退休干部党支部，采取多种形式，组织离退休干部党员深入学习习近平新时代中国特色社会主义思想</w:t>
      </w: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27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目标2：扎实推进离退休干部党组织建设。组织引导各离退休支部争创</w:t>
      </w:r>
      <w:bookmarkStart w:id="0" w:name="_GoBack"/>
      <w:bookmarkEnd w:id="0"/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“五好”党支部、“五星”党支部，充分发挥离退休干部党支部战斗堡垒作用。加强离退休干部党支部标准化建设，继续推进乡镇离退休干部党支部活动室、老干部活动室、老年学校三室共享共用。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27"/>
        <w:jc w:val="left"/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目标3：严格落实老干部政治、生活待遇。不断改善离休干部看病就医环境。继续做好关心下一代和老年教育、老年大学工作。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27"/>
        <w:jc w:val="left"/>
        <w:rPr>
          <w:rFonts w:ascii="华文仿宋" w:eastAsia="华文仿宋" w:hAnsi="华文仿宋" w:cs="宋体"/>
          <w:b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color w:val="666666"/>
          <w:kern w:val="0"/>
          <w:sz w:val="32"/>
          <w:szCs w:val="32"/>
        </w:rPr>
        <w:t>三、部门整体支出年度绩效指标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 w:cs="宋体"/>
          <w:color w:val="666666"/>
          <w:kern w:val="0"/>
          <w:sz w:val="32"/>
          <w:szCs w:val="32"/>
        </w:rPr>
      </w:pPr>
      <w:r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>1</w:t>
      </w: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、产出指标： （1）县老年大学聘用教师20人，招收学生770人，维护教学楼5500平方，一学年1376课时，设置班级43个，丰富县中老年人精神文化生活。2020年县老年大学积极开展提升工程建设。（2）关工委慰问特困、困境家庭的贫困儿童；资助贫困大学生举办第十一届“党是阳光•我是苗”少幼儿书画大赛。开展“科技点亮未来”、“生态道德教育进校园”等活动。（3）落实重要节日走访慰问、护理费提标、特殊困难离退休干部及离休干部遗属帮扶等生活待遇制度。（4）完成县委交办的其他任务。</w:t>
      </w:r>
    </w:p>
    <w:p>
      <w:pPr>
        <w:widowControl/>
        <w:shd w:val="clear" w:color="auto" w:fill="FFFFFF"/>
        <w:spacing w:before="100" w:beforeAutospacing="1" w:after="100" w:afterAutospacing="1" w:line="520" w:lineRule="exact"/>
        <w:ind w:firstLine="640"/>
        <w:jc w:val="left"/>
        <w:rPr>
          <w:rFonts w:ascii="华文仿宋" w:eastAsia="华文仿宋" w:hAnsi="华文仿宋"/>
        </w:rPr>
      </w:pPr>
      <w:r>
        <w:rPr>
          <w:rFonts w:ascii="华文仿宋" w:eastAsia="华文仿宋" w:hAnsi="华文仿宋" w:cs="宋体"/>
          <w:color w:val="666666"/>
          <w:kern w:val="0"/>
          <w:sz w:val="32"/>
          <w:szCs w:val="32"/>
        </w:rPr>
        <w:t>2</w:t>
      </w:r>
      <w:r>
        <w:rPr>
          <w:rFonts w:ascii="华文仿宋" w:eastAsia="华文仿宋" w:hAnsi="华文仿宋" w:cs="宋体" w:hint="eastAsia"/>
          <w:color w:val="666666"/>
          <w:kern w:val="0"/>
          <w:sz w:val="32"/>
          <w:szCs w:val="32"/>
        </w:rPr>
        <w:t>、效益指标：（1）认真落实“两项待遇”，提高精准服务水平。（2）组织“五教”活动，关心下一代工作营造良好社会氛围。（3）优化老年大学办学环境，提高办学质量。（4）提高中老年人生活质量，丰富中老年人精神生活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24"/>
    <w:rsid w:val="000E7390"/>
    <w:rsid w:val="00374B06"/>
    <w:rsid w:val="003935D7"/>
    <w:rsid w:val="00526237"/>
    <w:rsid w:val="005C6E19"/>
    <w:rsid w:val="005D4DA5"/>
    <w:rsid w:val="005F6349"/>
    <w:rsid w:val="00654463"/>
    <w:rsid w:val="006C70FB"/>
    <w:rsid w:val="007330A0"/>
    <w:rsid w:val="00740C75"/>
    <w:rsid w:val="007F5999"/>
    <w:rsid w:val="00845D32"/>
    <w:rsid w:val="008E03B6"/>
    <w:rsid w:val="00943D2E"/>
    <w:rsid w:val="009A3624"/>
    <w:rsid w:val="009D2E98"/>
    <w:rsid w:val="00A1436C"/>
    <w:rsid w:val="00A65ACB"/>
    <w:rsid w:val="00A82F67"/>
    <w:rsid w:val="00CB17F1"/>
    <w:rsid w:val="00D51C01"/>
    <w:rsid w:val="00FE731F"/>
    <w:rsid w:val="26122F0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9D1C5-8640-4FD7-93EC-D88F67B06F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李海静</cp:lastModifiedBy>
  <cp:revision>2</cp:revision>
  <dcterms:created xsi:type="dcterms:W3CDTF">2021-01-07T02:16:00Z</dcterms:created>
  <dcterms:modified xsi:type="dcterms:W3CDTF">2025-03-06T12:03:28Z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