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E8696">
      <w:pPr>
        <w:jc w:val="center"/>
        <w:rPr>
          <w:color w:val="000000"/>
        </w:rPr>
      </w:pPr>
    </w:p>
    <w:p w14:paraId="4FDA865D">
      <w:pPr>
        <w:spacing w:line="20" w:lineRule="exact"/>
        <w:rPr>
          <w:color w:val="000000"/>
        </w:rPr>
      </w:pPr>
    </w:p>
    <w:p w14:paraId="0E6C0E74">
      <w:pPr>
        <w:spacing w:line="560" w:lineRule="exact"/>
        <w:jc w:val="center"/>
        <w:rPr>
          <w:rFonts w:ascii="方正小标宋_GBK" w:hAnsi="TimesNewRoman" w:eastAsia="方正小标宋_GBK" w:cs="TimesNewRoman"/>
          <w:sz w:val="44"/>
          <w:szCs w:val="44"/>
        </w:rPr>
      </w:pPr>
    </w:p>
    <w:p w14:paraId="1A0F3E81">
      <w:pPr>
        <w:spacing w:line="560" w:lineRule="exact"/>
        <w:jc w:val="center"/>
        <w:rPr>
          <w:rFonts w:ascii="方正小标宋_GBK" w:hAnsi="TimesNewRoman" w:eastAsia="方正小标宋_GBK" w:cs="TimesNewRoman"/>
          <w:sz w:val="44"/>
          <w:szCs w:val="44"/>
        </w:rPr>
      </w:pPr>
    </w:p>
    <w:p w14:paraId="42ADBDC5">
      <w:pPr>
        <w:spacing w:line="560" w:lineRule="exact"/>
        <w:jc w:val="center"/>
        <w:rPr>
          <w:rFonts w:ascii="方正小标宋_GBK" w:hAnsi="TimesNewRoman" w:eastAsia="方正小标宋_GBK" w:cs="TimesNewRoman"/>
          <w:sz w:val="44"/>
          <w:szCs w:val="44"/>
        </w:rPr>
      </w:pPr>
    </w:p>
    <w:p w14:paraId="3EE3A76C">
      <w:pPr>
        <w:spacing w:line="560" w:lineRule="exact"/>
        <w:jc w:val="center"/>
        <w:rPr>
          <w:rFonts w:ascii="方正小标宋_GBK" w:hAnsi="TimesNewRoman" w:eastAsia="方正小标宋_GBK" w:cs="TimesNewRoman"/>
          <w:sz w:val="44"/>
          <w:szCs w:val="44"/>
        </w:rPr>
      </w:pPr>
    </w:p>
    <w:p w14:paraId="3CF27F30">
      <w:pPr>
        <w:spacing w:line="560" w:lineRule="exact"/>
        <w:jc w:val="center"/>
        <w:rPr>
          <w:rFonts w:ascii="方正小标宋简体" w:hAnsi="方正小标宋简体" w:eastAsia="方正小标宋简体" w:cs="TimesNewRoman"/>
          <w:b/>
          <w:sz w:val="44"/>
          <w:szCs w:val="44"/>
        </w:rPr>
      </w:pPr>
      <w:r>
        <w:rPr>
          <w:rFonts w:hint="eastAsia" w:ascii="方正小标宋简体" w:hAnsi="方正小标宋简体" w:eastAsia="方正小标宋简体" w:cs="TimesNewRoman"/>
          <w:b/>
          <w:sz w:val="44"/>
          <w:szCs w:val="44"/>
        </w:rPr>
        <w:t>寿县信访局2025年部门预算</w:t>
      </w:r>
    </w:p>
    <w:p w14:paraId="7BFD2463">
      <w:pPr>
        <w:pStyle w:val="15"/>
        <w:adjustRightInd w:val="0"/>
        <w:snapToGrid w:val="0"/>
        <w:spacing w:line="560" w:lineRule="exact"/>
        <w:jc w:val="center"/>
        <w:outlineLvl w:val="0"/>
        <w:rPr>
          <w:rFonts w:ascii="方正小标宋简体" w:hAnsi="方正小标宋简体" w:eastAsia="方正小标宋简体" w:cs="TimesNewRoman"/>
          <w:sz w:val="32"/>
          <w:szCs w:val="32"/>
        </w:rPr>
      </w:pPr>
    </w:p>
    <w:p w14:paraId="59E14513">
      <w:pPr>
        <w:pStyle w:val="15"/>
        <w:adjustRightInd w:val="0"/>
        <w:snapToGrid w:val="0"/>
        <w:spacing w:line="560" w:lineRule="exact"/>
        <w:jc w:val="center"/>
        <w:rPr>
          <w:rFonts w:ascii="仿宋_GB2312" w:hAnsi="TimesNewRoman" w:eastAsia="仿宋_GB2312" w:cs="TimesNewRoman"/>
          <w:bCs/>
          <w:sz w:val="32"/>
          <w:szCs w:val="32"/>
        </w:rPr>
      </w:pPr>
    </w:p>
    <w:p w14:paraId="7BC5C26B">
      <w:pPr>
        <w:pStyle w:val="15"/>
        <w:adjustRightInd w:val="0"/>
        <w:snapToGrid w:val="0"/>
        <w:spacing w:line="560" w:lineRule="exact"/>
        <w:jc w:val="center"/>
        <w:rPr>
          <w:rFonts w:ascii="仿宋_GB2312" w:hAnsi="TimesNewRoman" w:eastAsia="仿宋_GB2312" w:cs="TimesNewRoman"/>
          <w:bCs/>
          <w:sz w:val="32"/>
          <w:szCs w:val="32"/>
        </w:rPr>
      </w:pPr>
    </w:p>
    <w:p w14:paraId="33DA630C">
      <w:pPr>
        <w:pStyle w:val="15"/>
        <w:adjustRightInd w:val="0"/>
        <w:snapToGrid w:val="0"/>
        <w:spacing w:line="560" w:lineRule="exact"/>
        <w:jc w:val="center"/>
        <w:rPr>
          <w:rFonts w:ascii="仿宋_GB2312" w:hAnsi="TimesNewRoman" w:eastAsia="仿宋_GB2312" w:cs="TimesNewRoman"/>
          <w:bCs/>
          <w:sz w:val="32"/>
          <w:szCs w:val="32"/>
        </w:rPr>
      </w:pPr>
    </w:p>
    <w:p w14:paraId="04C05C79">
      <w:pPr>
        <w:pStyle w:val="15"/>
        <w:adjustRightInd w:val="0"/>
        <w:snapToGrid w:val="0"/>
        <w:spacing w:line="560" w:lineRule="exact"/>
        <w:jc w:val="center"/>
        <w:rPr>
          <w:rFonts w:ascii="仿宋_GB2312" w:hAnsi="TimesNewRoman" w:eastAsia="仿宋_GB2312" w:cs="TimesNewRoman"/>
          <w:bCs/>
          <w:sz w:val="32"/>
          <w:szCs w:val="32"/>
        </w:rPr>
      </w:pPr>
    </w:p>
    <w:p w14:paraId="461991D3">
      <w:pPr>
        <w:pStyle w:val="15"/>
        <w:adjustRightInd w:val="0"/>
        <w:snapToGrid w:val="0"/>
        <w:spacing w:line="560" w:lineRule="exact"/>
        <w:jc w:val="center"/>
        <w:rPr>
          <w:rFonts w:ascii="仿宋_GB2312" w:hAnsi="TimesNewRoman" w:eastAsia="仿宋_GB2312" w:cs="TimesNewRoman"/>
          <w:bCs/>
          <w:sz w:val="32"/>
          <w:szCs w:val="32"/>
        </w:rPr>
      </w:pPr>
    </w:p>
    <w:p w14:paraId="6121E31F">
      <w:pPr>
        <w:pStyle w:val="15"/>
        <w:adjustRightInd w:val="0"/>
        <w:snapToGrid w:val="0"/>
        <w:spacing w:line="560" w:lineRule="exact"/>
        <w:jc w:val="center"/>
        <w:rPr>
          <w:rFonts w:ascii="仿宋_GB2312" w:hAnsi="TimesNewRoman" w:eastAsia="仿宋_GB2312" w:cs="TimesNewRoman"/>
          <w:bCs/>
          <w:sz w:val="32"/>
          <w:szCs w:val="32"/>
        </w:rPr>
      </w:pPr>
    </w:p>
    <w:p w14:paraId="5ECD209A">
      <w:pPr>
        <w:pStyle w:val="15"/>
        <w:adjustRightInd w:val="0"/>
        <w:snapToGrid w:val="0"/>
        <w:spacing w:line="560" w:lineRule="exact"/>
        <w:jc w:val="center"/>
        <w:rPr>
          <w:rFonts w:ascii="仿宋_GB2312" w:hAnsi="TimesNewRoman" w:eastAsia="仿宋_GB2312" w:cs="TimesNewRoman"/>
          <w:bCs/>
          <w:sz w:val="32"/>
          <w:szCs w:val="32"/>
        </w:rPr>
      </w:pPr>
    </w:p>
    <w:p w14:paraId="1097DF85">
      <w:pPr>
        <w:pStyle w:val="15"/>
        <w:adjustRightInd w:val="0"/>
        <w:snapToGrid w:val="0"/>
        <w:spacing w:line="560" w:lineRule="exact"/>
        <w:rPr>
          <w:rFonts w:ascii="方正小标宋_GBK" w:hAnsi="TimesNewRoman" w:eastAsia="方正小标宋_GBK" w:cs="TimesNewRoman"/>
          <w:b/>
          <w:bCs/>
          <w:sz w:val="36"/>
          <w:szCs w:val="36"/>
        </w:rPr>
      </w:pPr>
      <w:r>
        <w:rPr>
          <w:rFonts w:hint="eastAsia" w:ascii="仿宋_GB2312" w:hAnsi="TimesNewRoman" w:eastAsia="仿宋_GB2312" w:cs="TimesNewRoman"/>
          <w:bCs/>
          <w:sz w:val="32"/>
          <w:szCs w:val="32"/>
        </w:rPr>
        <w:t xml:space="preserve">                        </w:t>
      </w:r>
      <w:r>
        <w:rPr>
          <w:rFonts w:hint="eastAsia" w:ascii="仿宋_GB2312" w:hAnsi="TimesNewRoman" w:eastAsia="仿宋_GB2312" w:cs="TimesNewRoman"/>
          <w:b/>
          <w:bCs/>
          <w:sz w:val="36"/>
          <w:szCs w:val="36"/>
        </w:rPr>
        <w:t xml:space="preserve"> 2025年1月</w:t>
      </w:r>
    </w:p>
    <w:p w14:paraId="532915A8">
      <w:pPr>
        <w:pStyle w:val="15"/>
        <w:adjustRightInd w:val="0"/>
        <w:snapToGrid w:val="0"/>
        <w:spacing w:line="560" w:lineRule="exact"/>
        <w:jc w:val="center"/>
        <w:rPr>
          <w:rFonts w:ascii="方正小标宋_GBK" w:hAnsi="TimesNewRoman" w:eastAsia="方正小标宋_GBK" w:cs="TimesNewRoman"/>
          <w:bCs/>
          <w:sz w:val="44"/>
          <w:szCs w:val="44"/>
        </w:rPr>
      </w:pPr>
    </w:p>
    <w:p w14:paraId="4BE552AE">
      <w:pPr>
        <w:pStyle w:val="15"/>
        <w:adjustRightInd w:val="0"/>
        <w:snapToGrid w:val="0"/>
        <w:spacing w:line="560" w:lineRule="exact"/>
        <w:jc w:val="center"/>
        <w:rPr>
          <w:rFonts w:ascii="方正小标宋_GBK" w:hAnsi="TimesNewRoman" w:eastAsia="方正小标宋_GBK" w:cs="TimesNewRoman"/>
          <w:bCs/>
          <w:sz w:val="44"/>
          <w:szCs w:val="44"/>
        </w:rPr>
      </w:pPr>
    </w:p>
    <w:p w14:paraId="66070A55">
      <w:pPr>
        <w:pStyle w:val="15"/>
        <w:adjustRightInd w:val="0"/>
        <w:snapToGrid w:val="0"/>
        <w:spacing w:line="560" w:lineRule="exact"/>
        <w:jc w:val="center"/>
        <w:rPr>
          <w:rFonts w:ascii="方正小标宋_GBK" w:hAnsi="TimesNewRoman" w:eastAsia="方正小标宋_GBK" w:cs="TimesNewRoman"/>
          <w:bCs/>
          <w:sz w:val="44"/>
          <w:szCs w:val="44"/>
        </w:rPr>
      </w:pPr>
    </w:p>
    <w:p w14:paraId="0AD74DB2">
      <w:pPr>
        <w:pStyle w:val="15"/>
        <w:adjustRightInd w:val="0"/>
        <w:snapToGrid w:val="0"/>
        <w:spacing w:line="560" w:lineRule="exact"/>
        <w:jc w:val="center"/>
        <w:rPr>
          <w:rFonts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55083ACA">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290F63F1">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w:t>
      </w:r>
      <w:r>
        <w:rPr>
          <w:rFonts w:hint="eastAsia" w:ascii="黑体" w:hAnsi="黑体" w:eastAsia="黑体" w:cs="TimesNewRoman"/>
          <w:sz w:val="32"/>
          <w:szCs w:val="32"/>
        </w:rPr>
        <w:t>分 部门</w:t>
      </w:r>
      <w:r>
        <w:rPr>
          <w:rFonts w:ascii="黑体" w:hAnsi="黑体" w:eastAsia="黑体" w:cs="TimesNewRoman"/>
          <w:sz w:val="32"/>
          <w:szCs w:val="32"/>
        </w:rPr>
        <w:t>概况</w:t>
      </w:r>
    </w:p>
    <w:p w14:paraId="635D0AF7">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714E4D26">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2.部门预算构成</w:t>
      </w:r>
    </w:p>
    <w:p w14:paraId="643A8FBD">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3.2025年度主要工作任务</w:t>
      </w:r>
    </w:p>
    <w:p w14:paraId="76A96DF1">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2025</w:t>
      </w:r>
      <w:r>
        <w:rPr>
          <w:rFonts w:ascii="黑体" w:hAnsi="黑体" w:eastAsia="黑体" w:cs="TimesNewRoman"/>
          <w:sz w:val="32"/>
          <w:szCs w:val="32"/>
        </w:rPr>
        <w:t>年部门预算情况说明</w:t>
      </w:r>
    </w:p>
    <w:p w14:paraId="7DA026DF">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年收支总表的说明</w:t>
      </w:r>
    </w:p>
    <w:p w14:paraId="1CA2AD9D">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年收入总表的说明</w:t>
      </w:r>
    </w:p>
    <w:p w14:paraId="5595CE65">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年支出总表的说明</w:t>
      </w:r>
    </w:p>
    <w:p w14:paraId="5E308D2D">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年财政拨款收支总表的说明</w:t>
      </w:r>
    </w:p>
    <w:p w14:paraId="07FF7FF8">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年一般公共预算支出表的说明</w:t>
      </w:r>
    </w:p>
    <w:p w14:paraId="75608708">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年一般公共预算基本支出表的说明</w:t>
      </w:r>
    </w:p>
    <w:p w14:paraId="588186CC">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年政府性基金预算支出表的说明</w:t>
      </w:r>
    </w:p>
    <w:p w14:paraId="65E4FDEC">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年国有资本经营预算支出表的说明</w:t>
      </w:r>
    </w:p>
    <w:p w14:paraId="4CEA9A8A">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年项目支出表的说明</w:t>
      </w:r>
    </w:p>
    <w:p w14:paraId="208EB006">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年政府采购支出表的说明</w:t>
      </w:r>
    </w:p>
    <w:p w14:paraId="475345F7">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年政府购买服务支出表的说明</w:t>
      </w:r>
    </w:p>
    <w:p w14:paraId="7E1402E8">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12.关于2025年一般公共预算“三公”经费支出情况说明</w:t>
      </w:r>
    </w:p>
    <w:p w14:paraId="6D0BDB09">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rPr>
        <w:t>3</w:t>
      </w:r>
      <w:r>
        <w:rPr>
          <w:rFonts w:ascii="仿宋_GB2312" w:hAnsi="TimesNewRoman" w:eastAsia="仿宋_GB2312" w:cs="TimesNewRoman"/>
          <w:bCs/>
          <w:sz w:val="32"/>
          <w:szCs w:val="32"/>
        </w:rPr>
        <w:t>.其他重要事项情况说明</w:t>
      </w:r>
    </w:p>
    <w:p w14:paraId="298EE2DB">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54D97EAA">
      <w:pPr>
        <w:pStyle w:val="1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14:paraId="0E2CCE21">
      <w:pPr>
        <w:pStyle w:val="15"/>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33680B67">
      <w:pPr>
        <w:pStyle w:val="15"/>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hint="eastAsia" w:ascii="TimesNewRoman" w:hAnsi="TimesNewRoman" w:eastAsia="黑体" w:cs="TimesNewRoman"/>
          <w:bCs/>
          <w:sz w:val="36"/>
          <w:szCs w:val="36"/>
        </w:rPr>
        <w:t>部门</w:t>
      </w:r>
      <w:r>
        <w:rPr>
          <w:rFonts w:ascii="TimesNewRoman" w:hAnsi="TimesNewRoman" w:eastAsia="黑体" w:cs="TimesNewRoman"/>
          <w:bCs/>
          <w:sz w:val="36"/>
          <w:szCs w:val="36"/>
        </w:rPr>
        <w:t>概况</w:t>
      </w:r>
    </w:p>
    <w:p w14:paraId="55FDE219">
      <w:pPr>
        <w:pStyle w:val="15"/>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14:paraId="70480295">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33FF08B4">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负责处理县内外群众给县委、县政府的来信，接待群众来访，保证信访渠道畅通；及时、准确地向县委、县政府领导同志反映来信来访中提出的重要建议、意见和问题；综合分析信访信息，开展调查研究，提出制定有关政策的建议。</w:t>
      </w:r>
    </w:p>
    <w:p w14:paraId="69AC63DA">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2.承办县委、县政府和县委办、政府办领导同志交办的信访事项，督促领导同志有关批件的落实情况；向乡镇和部门交办信访事项，督促重要信访事项的处理和落实。</w:t>
      </w:r>
    </w:p>
    <w:p w14:paraId="24D1F27E">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3.承办全国、省、市“两会”等重大会议和重要节点期间的信访维稳工作。</w:t>
      </w:r>
    </w:p>
    <w:p w14:paraId="00E00B28">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4.协调跨乡镇、部门的重要信访问题；协调处理群众集体越级上访和异常、突发信访事件。</w:t>
      </w:r>
    </w:p>
    <w:p w14:paraId="115A1DE8">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5.指导全县信访业务工作；研究、起草有关信访工作的规定和办法；总结推广乡镇、部门信访工作的经验，提出改进和加强信访工作的意见和建议。</w:t>
      </w:r>
    </w:p>
    <w:p w14:paraId="42ADE599">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6.了解并掌握信访工作队伍建设情况，组织信访干部的培训。</w:t>
      </w:r>
    </w:p>
    <w:p w14:paraId="79F1C0E1">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7.负责信访工作的宣传和信息传递；加强县区间信访工作经验交流。</w:t>
      </w:r>
    </w:p>
    <w:p w14:paraId="7AF76020">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8.负责信访事项复查复核工作。</w:t>
      </w:r>
    </w:p>
    <w:p w14:paraId="2B11F373">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9.负责群众来访接待工作。</w:t>
      </w:r>
    </w:p>
    <w:p w14:paraId="604D3915">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10.承办县委、县政府领导交办的其它事项。</w:t>
      </w:r>
    </w:p>
    <w:p w14:paraId="17971D09">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ascii="楷体_GB2312" w:hAnsi="TimesNewRoman" w:eastAsia="楷体_GB2312" w:cs="TimesNewRoman"/>
          <w:b/>
          <w:bCs/>
          <w:sz w:val="32"/>
          <w:szCs w:val="32"/>
        </w:rPr>
        <w:t>部门预算构成</w:t>
      </w:r>
    </w:p>
    <w:p w14:paraId="005FACAA">
      <w:pPr>
        <w:pStyle w:val="15"/>
        <w:adjustRightInd w:val="0"/>
        <w:snapToGrid w:val="0"/>
        <w:spacing w:beforeAutospacing="0" w:afterAutospacing="0" w:line="600" w:lineRule="exact"/>
        <w:ind w:left="430" w:firstLine="627" w:firstLineChars="196"/>
        <w:jc w:val="both"/>
        <w:rPr>
          <w:rFonts w:ascii="仿宋" w:hAnsi="仿宋" w:eastAsia="仿宋"/>
          <w:sz w:val="32"/>
          <w:szCs w:val="32"/>
        </w:rPr>
      </w:pPr>
      <w:r>
        <w:rPr>
          <w:rFonts w:hint="eastAsia" w:ascii="仿宋" w:hAnsi="仿宋" w:eastAsia="仿宋"/>
          <w:sz w:val="32"/>
          <w:szCs w:val="32"/>
        </w:rPr>
        <w:t>从预算单位构成看，</w:t>
      </w:r>
      <w:r>
        <w:rPr>
          <w:rFonts w:hint="eastAsia" w:ascii="仿宋" w:hAnsi="仿宋" w:eastAsia="仿宋" w:cs="仿宋"/>
          <w:bCs/>
          <w:sz w:val="32"/>
          <w:szCs w:val="32"/>
        </w:rPr>
        <w:t>寿县信访局</w:t>
      </w:r>
      <w:r>
        <w:rPr>
          <w:rFonts w:hint="eastAsia" w:ascii="仿宋" w:hAnsi="仿宋" w:eastAsia="仿宋"/>
          <w:sz w:val="32"/>
          <w:szCs w:val="32"/>
        </w:rPr>
        <w:t>2025年度部门预算仅包括本级预算，</w:t>
      </w:r>
      <w:r>
        <w:rPr>
          <w:rFonts w:hint="eastAsia" w:ascii="仿宋_GB2312" w:hAnsi="仿宋" w:eastAsia="仿宋_GB2312"/>
          <w:sz w:val="32"/>
          <w:szCs w:val="32"/>
        </w:rPr>
        <w:t>无其他下属单位预算</w:t>
      </w:r>
      <w:r>
        <w:rPr>
          <w:rFonts w:hint="eastAsia" w:ascii="仿宋" w:hAnsi="仿宋" w:eastAsia="仿宋"/>
          <w:sz w:val="32"/>
          <w:szCs w:val="32"/>
        </w:rPr>
        <w:t>，具体情况见下表。</w:t>
      </w:r>
    </w:p>
    <w:tbl>
      <w:tblPr>
        <w:tblStyle w:val="18"/>
        <w:tblW w:w="8467" w:type="dxa"/>
        <w:tblInd w:w="288" w:type="dxa"/>
        <w:shd w:val="clear" w:color="auto" w:fill="FFFFFF"/>
        <w:tblLayout w:type="fixed"/>
        <w:tblCellMar>
          <w:top w:w="0" w:type="dxa"/>
          <w:left w:w="0" w:type="dxa"/>
          <w:bottom w:w="0" w:type="dxa"/>
          <w:right w:w="0" w:type="dxa"/>
        </w:tblCellMar>
      </w:tblPr>
      <w:tblGrid>
        <w:gridCol w:w="900"/>
        <w:gridCol w:w="3600"/>
        <w:gridCol w:w="3967"/>
      </w:tblGrid>
      <w:tr w14:paraId="43EBDF41">
        <w:tblPrEx>
          <w:shd w:val="clear" w:color="auto" w:fill="FFFFFF"/>
          <w:tblCellMar>
            <w:top w:w="0" w:type="dxa"/>
            <w:left w:w="0" w:type="dxa"/>
            <w:bottom w:w="0" w:type="dxa"/>
            <w:right w:w="0" w:type="dxa"/>
          </w:tblCellMar>
        </w:tblPrEx>
        <w:trPr>
          <w:trHeight w:val="624" w:hRule="exact"/>
        </w:trPr>
        <w:tc>
          <w:tcPr>
            <w:tcW w:w="90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CF2015F">
            <w:pPr>
              <w:adjustRightInd w:val="0"/>
              <w:snapToGrid w:val="0"/>
              <w:spacing w:line="600" w:lineRule="exact"/>
              <w:jc w:val="center"/>
              <w:rPr>
                <w:rFonts w:ascii="仿宋_GB2312" w:hAnsi="宋体" w:eastAsia="仿宋_GB2312"/>
                <w:sz w:val="32"/>
                <w:szCs w:val="32"/>
              </w:rPr>
            </w:pPr>
            <w:r>
              <w:rPr>
                <w:rFonts w:hint="eastAsia" w:ascii="仿宋_GB2312" w:hAnsi="宋体" w:eastAsia="仿宋_GB2312"/>
                <w:sz w:val="32"/>
                <w:szCs w:val="32"/>
              </w:rPr>
              <w:t>序号</w:t>
            </w:r>
          </w:p>
        </w:tc>
        <w:tc>
          <w:tcPr>
            <w:tcW w:w="360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3ED47557">
            <w:pPr>
              <w:adjustRightInd w:val="0"/>
              <w:snapToGrid w:val="0"/>
              <w:spacing w:line="600" w:lineRule="exact"/>
              <w:jc w:val="center"/>
              <w:rPr>
                <w:rFonts w:ascii="仿宋_GB2312" w:hAnsi="宋体" w:eastAsia="仿宋_GB2312"/>
                <w:sz w:val="32"/>
                <w:szCs w:val="32"/>
              </w:rPr>
            </w:pPr>
            <w:r>
              <w:rPr>
                <w:rFonts w:hint="eastAsia" w:ascii="仿宋_GB2312" w:hAnsi="宋体" w:eastAsia="仿宋_GB2312"/>
                <w:sz w:val="32"/>
                <w:szCs w:val="32"/>
              </w:rPr>
              <w:t>单位名称</w:t>
            </w:r>
          </w:p>
        </w:tc>
        <w:tc>
          <w:tcPr>
            <w:tcW w:w="3967" w:type="dxa"/>
            <w:tcBorders>
              <w:top w:val="single" w:color="auto" w:sz="8" w:space="0"/>
              <w:left w:val="nil"/>
              <w:bottom w:val="single" w:color="auto" w:sz="8" w:space="0"/>
              <w:right w:val="single" w:color="auto" w:sz="8" w:space="0"/>
            </w:tcBorders>
            <w:shd w:val="clear" w:color="auto" w:fill="FFFFFF"/>
          </w:tcPr>
          <w:p w14:paraId="47C2E81B">
            <w:pPr>
              <w:adjustRightInd w:val="0"/>
              <w:snapToGrid w:val="0"/>
              <w:spacing w:line="600" w:lineRule="exact"/>
              <w:jc w:val="center"/>
              <w:rPr>
                <w:rFonts w:ascii="仿宋_GB2312" w:hAnsi="宋体" w:eastAsia="仿宋_GB2312"/>
                <w:sz w:val="32"/>
                <w:szCs w:val="32"/>
              </w:rPr>
            </w:pPr>
            <w:r>
              <w:rPr>
                <w:rFonts w:hint="eastAsia" w:ascii="仿宋_GB2312" w:hAnsi="宋体" w:eastAsia="仿宋_GB2312"/>
                <w:sz w:val="32"/>
                <w:szCs w:val="32"/>
              </w:rPr>
              <w:t>单位性质</w:t>
            </w:r>
          </w:p>
        </w:tc>
      </w:tr>
      <w:tr w14:paraId="5FFDC13F">
        <w:tblPrEx>
          <w:tblCellMar>
            <w:top w:w="0" w:type="dxa"/>
            <w:left w:w="0" w:type="dxa"/>
            <w:bottom w:w="0" w:type="dxa"/>
            <w:right w:w="0" w:type="dxa"/>
          </w:tblCellMar>
        </w:tblPrEx>
        <w:trPr>
          <w:trHeight w:val="801" w:hRule="exact"/>
        </w:trPr>
        <w:tc>
          <w:tcPr>
            <w:tcW w:w="90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33FAABF">
            <w:pPr>
              <w:adjustRightInd w:val="0"/>
              <w:snapToGrid w:val="0"/>
              <w:spacing w:line="600" w:lineRule="exact"/>
              <w:jc w:val="center"/>
              <w:rPr>
                <w:rFonts w:ascii="仿宋_GB2312" w:hAnsi="宋体" w:eastAsia="仿宋_GB2312" w:cs="宋体"/>
                <w:sz w:val="32"/>
                <w:szCs w:val="32"/>
              </w:rPr>
            </w:pPr>
            <w:r>
              <w:rPr>
                <w:rFonts w:hint="eastAsia" w:ascii="仿宋_GB2312" w:hAnsi="宋体" w:eastAsia="仿宋_GB2312"/>
                <w:sz w:val="32"/>
                <w:szCs w:val="32"/>
              </w:rPr>
              <w:t>1</w:t>
            </w:r>
          </w:p>
        </w:tc>
        <w:tc>
          <w:tcPr>
            <w:tcW w:w="36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53785809">
            <w:pPr>
              <w:adjustRightInd w:val="0"/>
              <w:snapToGrid w:val="0"/>
              <w:spacing w:line="600" w:lineRule="exact"/>
              <w:rPr>
                <w:rFonts w:ascii="仿宋_GB2312" w:hAnsi="宋体" w:eastAsia="仿宋_GB2312"/>
                <w:sz w:val="32"/>
                <w:szCs w:val="32"/>
                <w:u w:val="single"/>
              </w:rPr>
            </w:pPr>
            <w:r>
              <w:rPr>
                <w:rFonts w:hint="eastAsia" w:ascii="仿宋_GB2312" w:hAnsi="仿宋" w:eastAsia="仿宋_GB2312" w:cs="仿宋"/>
                <w:bCs/>
                <w:sz w:val="32"/>
                <w:szCs w:val="32"/>
              </w:rPr>
              <w:t>寿县信访局</w:t>
            </w:r>
          </w:p>
        </w:tc>
        <w:tc>
          <w:tcPr>
            <w:tcW w:w="3967" w:type="dxa"/>
            <w:tcBorders>
              <w:top w:val="nil"/>
              <w:left w:val="nil"/>
              <w:bottom w:val="single" w:color="auto" w:sz="8" w:space="0"/>
              <w:right w:val="single" w:color="auto" w:sz="8" w:space="0"/>
            </w:tcBorders>
            <w:shd w:val="clear" w:color="auto" w:fill="FFFFFF"/>
          </w:tcPr>
          <w:p w14:paraId="4F79383E">
            <w:pPr>
              <w:adjustRightInd w:val="0"/>
              <w:snapToGrid w:val="0"/>
              <w:spacing w:line="600" w:lineRule="exact"/>
              <w:jc w:val="center"/>
              <w:rPr>
                <w:rFonts w:ascii="仿宋_GB2312" w:hAnsi="宋体" w:eastAsia="仿宋_GB2312"/>
                <w:sz w:val="32"/>
                <w:szCs w:val="32"/>
                <w:u w:val="single"/>
              </w:rPr>
            </w:pPr>
            <w:r>
              <w:rPr>
                <w:rFonts w:hint="eastAsia" w:ascii="仿宋_GB2312" w:hAnsi="仿宋" w:eastAsia="仿宋_GB2312" w:cs="仿宋"/>
                <w:bCs/>
                <w:sz w:val="32"/>
                <w:szCs w:val="32"/>
              </w:rPr>
              <w:t>行政单位</w:t>
            </w:r>
          </w:p>
        </w:tc>
      </w:tr>
    </w:tbl>
    <w:p w14:paraId="7B725EAD">
      <w:pPr>
        <w:pStyle w:val="15"/>
        <w:adjustRightInd w:val="0"/>
        <w:snapToGrid w:val="0"/>
        <w:spacing w:beforeAutospacing="0" w:afterAutospacing="0" w:line="600" w:lineRule="exact"/>
        <w:ind w:firstLine="627" w:firstLineChars="196"/>
        <w:rPr>
          <w:rFonts w:ascii="黑体" w:hAnsi="黑体" w:eastAsia="黑体"/>
          <w:bCs/>
          <w:sz w:val="32"/>
          <w:szCs w:val="32"/>
        </w:rPr>
      </w:pPr>
    </w:p>
    <w:p w14:paraId="2EB9E69D">
      <w:pPr>
        <w:pStyle w:val="15"/>
        <w:topLinePunct/>
        <w:adjustRightInd w:val="0"/>
        <w:snapToGrid w:val="0"/>
        <w:spacing w:beforeAutospacing="0" w:afterAutospacing="0" w:line="580" w:lineRule="exact"/>
        <w:ind w:firstLine="640"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三、2025年度主要工作任务</w:t>
      </w:r>
    </w:p>
    <w:p w14:paraId="57E653C8">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sz w:val="32"/>
          <w:szCs w:val="32"/>
        </w:rPr>
        <w:t>（</w:t>
      </w:r>
      <w:r>
        <w:rPr>
          <w:rFonts w:hint="eastAsia" w:ascii="仿宋" w:hAnsi="仿宋" w:eastAsia="仿宋"/>
          <w:color w:val="000000"/>
          <w:sz w:val="32"/>
          <w:szCs w:val="32"/>
        </w:rPr>
        <w:t>一）</w:t>
      </w:r>
      <w:bookmarkStart w:id="0" w:name="_GoBack"/>
      <w:bookmarkEnd w:id="0"/>
      <w:r>
        <w:rPr>
          <w:rFonts w:hint="eastAsia" w:ascii="仿宋" w:hAnsi="仿宋" w:eastAsia="仿宋"/>
          <w:color w:val="000000"/>
          <w:sz w:val="32"/>
          <w:szCs w:val="32"/>
        </w:rPr>
        <w:t>坚决贯彻落实县委县政府决策部署，全面落实《信访工作条例》，以打通“路线图”为关键，以坚持再坚持的定力，把信访工作法治化不断推向深入、取得更大成效。</w:t>
      </w:r>
    </w:p>
    <w:p w14:paraId="52579D1D">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（二）要增强政治自觉，深化源头治理，注重程序推进，强化实质解决，确保群众的每一项诉求都有人办理，群众的每一项诉求都依法推进。</w:t>
      </w:r>
    </w:p>
    <w:p w14:paraId="75DBC830">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（三）要改进通报、督办工作，压实职能部门责任，坚决纠治“应受理而不受理、应办理而不办理、应追责而不追责、应查处而不查处”问题。</w:t>
      </w:r>
    </w:p>
    <w:p w14:paraId="3F9B658F">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（四）要发挥联席会议机制作用，加强组织领导，强化难点攻坚，更好维护群众合法权益，更好维护社会安全稳定。</w:t>
      </w:r>
    </w:p>
    <w:p w14:paraId="0A81DC2C">
      <w:pPr>
        <w:pStyle w:val="15"/>
        <w:shd w:val="clear" w:color="auto" w:fill="FFFFFF"/>
        <w:spacing w:beforeAutospacing="0" w:afterAutospacing="0"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（五）要强化干部队伍建设：一是加强政治思想建设；二是着力提升能力素质；三是强化党风廉政建设。</w:t>
      </w:r>
    </w:p>
    <w:p w14:paraId="1EAFD86D"/>
    <w:p w14:paraId="000D9103">
      <w:pPr>
        <w:pStyle w:val="15"/>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rPr>
        <w:t>2025</w:t>
      </w:r>
      <w:r>
        <w:rPr>
          <w:rFonts w:ascii="TimesNewRoman" w:hAnsi="TimesNewRoman" w:eastAsia="黑体" w:cs="TimesNewRoman"/>
          <w:bCs/>
          <w:sz w:val="36"/>
          <w:szCs w:val="36"/>
        </w:rPr>
        <w:t>年部门预算情况说明</w:t>
      </w:r>
    </w:p>
    <w:p w14:paraId="3E25DA37">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p>
    <w:p w14:paraId="37CD31E1">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一、关于2025年收支总表的说明</w:t>
      </w:r>
    </w:p>
    <w:p w14:paraId="3C6BA812">
      <w:pPr>
        <w:pStyle w:val="15"/>
        <w:adjustRightInd w:val="0"/>
        <w:snapToGrid w:val="0"/>
        <w:spacing w:beforeAutospacing="0" w:afterAutospacing="0" w:line="600" w:lineRule="exact"/>
        <w:ind w:firstLine="627" w:firstLineChars="196"/>
        <w:jc w:val="both"/>
        <w:rPr>
          <w:rFonts w:ascii="仿宋_GB2312" w:hAnsi="仿宋" w:eastAsia="仿宋_GB2312"/>
          <w:sz w:val="32"/>
          <w:szCs w:val="32"/>
        </w:rPr>
      </w:pPr>
      <w:r>
        <w:rPr>
          <w:rFonts w:hint="eastAsia" w:ascii="仿宋_GB2312" w:hAnsi="仿宋" w:eastAsia="仿宋_GB2312"/>
          <w:sz w:val="32"/>
          <w:szCs w:val="32"/>
        </w:rPr>
        <w:t>按照综合预算的原则，</w:t>
      </w:r>
      <w:r>
        <w:rPr>
          <w:rFonts w:hint="eastAsia" w:ascii="仿宋_GB2312" w:hAnsi="仿宋" w:eastAsia="仿宋_GB2312"/>
          <w:kern w:val="2"/>
          <w:sz w:val="32"/>
          <w:szCs w:val="32"/>
        </w:rPr>
        <w:t>寿县信访局</w:t>
      </w:r>
      <w:r>
        <w:rPr>
          <w:rFonts w:hint="eastAsia" w:ascii="仿宋_GB2312" w:hAnsi="仿宋" w:eastAsia="仿宋_GB2312"/>
          <w:sz w:val="32"/>
          <w:szCs w:val="32"/>
        </w:rPr>
        <w:t>所有收入和支出均纳入部门预算管理。</w:t>
      </w:r>
      <w:r>
        <w:rPr>
          <w:rFonts w:hint="eastAsia" w:ascii="仿宋_GB2312" w:hAnsi="仿宋" w:eastAsia="仿宋_GB2312"/>
          <w:kern w:val="2"/>
          <w:sz w:val="32"/>
          <w:szCs w:val="32"/>
        </w:rPr>
        <w:t>寿县信访局</w:t>
      </w:r>
      <w:r>
        <w:rPr>
          <w:rFonts w:hint="eastAsia" w:ascii="仿宋_GB2312" w:hAnsi="仿宋" w:eastAsia="仿宋_GB2312"/>
          <w:sz w:val="32"/>
          <w:szCs w:val="32"/>
        </w:rPr>
        <w:t>2025年收支总预算341.53万元，收入仅包括一般公共预算拨款收入341.53万元，支出包括：一般公共服务支出297.34万元,占87.06%;</w:t>
      </w:r>
      <w:r>
        <w:rPr>
          <w:rFonts w:hint="eastAsia" w:ascii="仿宋_GB2312" w:hAnsi="仿宋" w:eastAsia="仿宋_GB2312"/>
          <w:kern w:val="2"/>
          <w:sz w:val="32"/>
          <w:szCs w:val="32"/>
        </w:rPr>
        <w:t>社会保障和就业支出24.37万元，占7.14%；卫生健康支出7.79万元，占2.28%；住房保障支出12.04万元，占3.52%</w:t>
      </w:r>
      <w:r>
        <w:rPr>
          <w:rFonts w:hint="eastAsia" w:ascii="仿宋_GB2312" w:hAnsi="仿宋" w:eastAsia="仿宋_GB2312"/>
          <w:sz w:val="32"/>
          <w:szCs w:val="32"/>
        </w:rPr>
        <w:t>。</w:t>
      </w:r>
    </w:p>
    <w:p w14:paraId="76057DF5">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二、关于2025年收入总表的说明</w:t>
      </w:r>
    </w:p>
    <w:p w14:paraId="64674FF1">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寿县信访局2025年收入预算341.53万元，其中，本年收入341.53万元。</w:t>
      </w:r>
    </w:p>
    <w:p w14:paraId="0FDBA509">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本年收入341.53万元，仅包括：一般公共预算拨款收入341.53万元，占100%，比2024年预算增加22万元，增长6.89%，增长原因主要是工资福利的增加及社保缴费的增加。</w:t>
      </w:r>
    </w:p>
    <w:p w14:paraId="790DA3DC">
      <w:pPr>
        <w:adjustRightInd w:val="0"/>
        <w:snapToGrid w:val="0"/>
        <w:spacing w:line="600" w:lineRule="exact"/>
        <w:ind w:firstLine="640" w:firstLineChars="200"/>
        <w:rPr>
          <w:rFonts w:ascii="楷体_GB2312" w:hAnsi="TimesNewRoman" w:eastAsia="楷体_GB2312" w:cs="TimesNewRoman"/>
          <w:b/>
          <w:sz w:val="32"/>
          <w:szCs w:val="32"/>
        </w:rPr>
      </w:pPr>
      <w:r>
        <w:rPr>
          <w:rFonts w:hint="eastAsia" w:ascii="楷体_GB2312" w:hAnsi="TimesNewRoman" w:eastAsia="楷体_GB2312" w:cs="TimesNewRoman"/>
          <w:b/>
          <w:sz w:val="32"/>
          <w:szCs w:val="32"/>
        </w:rPr>
        <w:t>三、关于2025年支出总表的说明</w:t>
      </w:r>
    </w:p>
    <w:p w14:paraId="19E81AE9">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寿县信访局2025年支出预算341.53万元，比2024年预算增加22万元，增长6.89%，增长原因主要是工资福利的增加及社保缴费的增加。其中，基本支出175.01万元，占51.24%，主要用于保障机构日常运转、完成日常工作任务等;</w:t>
      </w:r>
      <w:r>
        <w:rPr>
          <w:rFonts w:hint="eastAsia" w:ascii="仿宋_GB2312" w:hAnsi="TimesNewRoman" w:eastAsia="仿宋_GB2312" w:cs="TimesNewRoman"/>
          <w:sz w:val="32"/>
          <w:szCs w:val="32"/>
        </w:rPr>
        <w:t xml:space="preserve"> 项目支出166.52万元，占48.76%，</w:t>
      </w:r>
      <w:r>
        <w:rPr>
          <w:rFonts w:hint="eastAsia" w:ascii="仿宋_GB2312" w:hAnsi="仿宋" w:eastAsia="仿宋_GB2312"/>
          <w:sz w:val="32"/>
          <w:szCs w:val="32"/>
        </w:rPr>
        <w:t>主要用于信访救助、驻京维稳等支出。</w:t>
      </w:r>
    </w:p>
    <w:p w14:paraId="5715468A">
      <w:pPr>
        <w:adjustRightInd w:val="0"/>
        <w:snapToGrid w:val="0"/>
        <w:spacing w:line="600" w:lineRule="exact"/>
        <w:ind w:firstLine="640" w:firstLineChars="200"/>
        <w:rPr>
          <w:rFonts w:ascii="楷体_GB2312" w:hAnsi="TimesNewRoman" w:eastAsia="楷体_GB2312" w:cs="TimesNewRoman"/>
          <w:b/>
          <w:sz w:val="32"/>
          <w:szCs w:val="32"/>
        </w:rPr>
      </w:pPr>
      <w:r>
        <w:rPr>
          <w:rFonts w:hint="eastAsia" w:ascii="楷体_GB2312" w:hAnsi="TimesNewRoman" w:eastAsia="楷体_GB2312" w:cs="TimesNewRoman"/>
          <w:b/>
          <w:sz w:val="32"/>
          <w:szCs w:val="32"/>
        </w:rPr>
        <w:t>四、关于2025年财政拨款收支总表的说明</w:t>
      </w:r>
    </w:p>
    <w:p w14:paraId="01CD5074">
      <w:pPr>
        <w:pStyle w:val="15"/>
        <w:adjustRightInd w:val="0"/>
        <w:snapToGrid w:val="0"/>
        <w:spacing w:beforeAutospacing="0" w:afterAutospacing="0" w:line="600" w:lineRule="exact"/>
        <w:ind w:firstLine="627" w:firstLineChars="196"/>
        <w:jc w:val="both"/>
        <w:rPr>
          <w:rFonts w:ascii="仿宋_GB2312" w:hAnsi="仿宋" w:eastAsia="仿宋_GB2312"/>
          <w:sz w:val="32"/>
          <w:szCs w:val="32"/>
        </w:rPr>
      </w:pPr>
      <w:r>
        <w:rPr>
          <w:rFonts w:hint="eastAsia" w:ascii="仿宋_GB2312" w:hAnsi="仿宋" w:eastAsia="仿宋_GB2312"/>
          <w:kern w:val="2"/>
          <w:sz w:val="32"/>
          <w:szCs w:val="32"/>
        </w:rPr>
        <w:t>寿县信访局2025年财政拨款收支预算341.53万元。收入按资金来源分为：一般公共预算拨款341.53万元。按资金年度可分为：本年财政拨款收入341.53万元。支出按功能分类分为：</w:t>
      </w:r>
      <w:r>
        <w:rPr>
          <w:rFonts w:hint="eastAsia" w:ascii="仿宋_GB2312" w:hAnsi="仿宋" w:eastAsia="仿宋_GB2312"/>
          <w:sz w:val="32"/>
          <w:szCs w:val="32"/>
        </w:rPr>
        <w:t>一般公共服务支出297.34万元,占87.06%;</w:t>
      </w:r>
      <w:r>
        <w:rPr>
          <w:rFonts w:hint="eastAsia" w:ascii="仿宋_GB2312" w:hAnsi="仿宋" w:eastAsia="仿宋_GB2312"/>
          <w:kern w:val="2"/>
          <w:sz w:val="32"/>
          <w:szCs w:val="32"/>
        </w:rPr>
        <w:t>社会保障和就业支出24.37万元，占7.14%；卫生健康支出7.79万元，占2.28%；住房保障支出12.04万元，占3.52%</w:t>
      </w:r>
      <w:r>
        <w:rPr>
          <w:rFonts w:hint="eastAsia" w:ascii="仿宋_GB2312" w:hAnsi="仿宋" w:eastAsia="仿宋_GB2312"/>
          <w:sz w:val="32"/>
          <w:szCs w:val="32"/>
        </w:rPr>
        <w:t>。</w:t>
      </w:r>
    </w:p>
    <w:p w14:paraId="7D604D86">
      <w:pPr>
        <w:pStyle w:val="15"/>
        <w:adjustRightInd w:val="0"/>
        <w:snapToGrid w:val="0"/>
        <w:spacing w:beforeAutospacing="0" w:afterAutospacing="0" w:line="600" w:lineRule="exact"/>
        <w:ind w:firstLine="627" w:firstLineChars="196"/>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五、关于2025年一般公共预算支出表的说明</w:t>
      </w:r>
    </w:p>
    <w:p w14:paraId="4D23A25C">
      <w:pPr>
        <w:pStyle w:val="15"/>
        <w:topLinePunct/>
        <w:adjustRightInd w:val="0"/>
        <w:snapToGrid w:val="0"/>
        <w:spacing w:beforeAutospacing="0" w:afterAutospacing="0" w:line="580" w:lineRule="exact"/>
        <w:ind w:firstLine="627" w:firstLineChars="196"/>
        <w:jc w:val="both"/>
        <w:rPr>
          <w:rFonts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79208B0B">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寿县信访局2025年一般公共预算支出341.53万元，比2024年预算增加22万元，增长6.89%，增长原因主要是工资福利的增加及社保缴费的增加。</w:t>
      </w:r>
    </w:p>
    <w:p w14:paraId="6F78764B">
      <w:pPr>
        <w:adjustRightInd w:val="0"/>
        <w:snapToGrid w:val="0"/>
        <w:spacing w:line="60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6E74E9E2">
      <w:pPr>
        <w:pStyle w:val="15"/>
        <w:adjustRightInd w:val="0"/>
        <w:snapToGrid w:val="0"/>
        <w:spacing w:beforeAutospacing="0" w:afterAutospacing="0" w:line="600" w:lineRule="exact"/>
        <w:ind w:firstLine="627" w:firstLineChars="196"/>
        <w:jc w:val="both"/>
        <w:rPr>
          <w:rFonts w:ascii="仿宋_GB2312" w:hAnsi="仿宋" w:eastAsia="仿宋_GB2312"/>
          <w:sz w:val="32"/>
          <w:szCs w:val="32"/>
        </w:rPr>
      </w:pPr>
      <w:r>
        <w:rPr>
          <w:rFonts w:hint="eastAsia" w:ascii="仿宋_GB2312" w:hAnsi="仿宋" w:eastAsia="仿宋_GB2312"/>
          <w:sz w:val="32"/>
          <w:szCs w:val="32"/>
        </w:rPr>
        <w:t>一般公共服务支出297.34万元,占87.06%;</w:t>
      </w:r>
      <w:r>
        <w:rPr>
          <w:rFonts w:hint="eastAsia" w:ascii="仿宋_GB2312" w:hAnsi="仿宋" w:eastAsia="仿宋_GB2312"/>
          <w:kern w:val="2"/>
          <w:sz w:val="32"/>
          <w:szCs w:val="32"/>
        </w:rPr>
        <w:t>社会保障和就业支出24.37万元，占7.14%；卫生健康支出7.79万元，占2.28%；住房保障支出12.04万元，占3.52%</w:t>
      </w:r>
      <w:r>
        <w:rPr>
          <w:rFonts w:hint="eastAsia" w:ascii="仿宋_GB2312" w:hAnsi="仿宋" w:eastAsia="仿宋_GB2312"/>
          <w:sz w:val="32"/>
          <w:szCs w:val="32"/>
        </w:rPr>
        <w:t>。</w:t>
      </w:r>
    </w:p>
    <w:p w14:paraId="0133A2A3">
      <w:pPr>
        <w:topLinePunct/>
        <w:adjustRightInd w:val="0"/>
        <w:snapToGrid w:val="0"/>
        <w:spacing w:line="58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6EBB7B3E">
      <w:pPr>
        <w:adjustRightInd w:val="0"/>
        <w:snapToGrid w:val="0"/>
        <w:spacing w:line="600" w:lineRule="exact"/>
        <w:ind w:firstLine="640" w:firstLineChars="200"/>
        <w:jc w:val="left"/>
        <w:rPr>
          <w:rFonts w:ascii="仿宋_GB2312" w:hAnsi="仿宋" w:eastAsia="仿宋_GB2312"/>
          <w:sz w:val="32"/>
          <w:szCs w:val="32"/>
        </w:rPr>
      </w:pPr>
      <w:r>
        <w:rPr>
          <w:rFonts w:hint="eastAsia" w:ascii="仿宋_GB2312" w:hAnsi="仿宋" w:eastAsia="仿宋_GB2312"/>
          <w:b/>
          <w:sz w:val="32"/>
          <w:szCs w:val="32"/>
        </w:rPr>
        <w:t>1. 一般公共服务支出（类）信访事务（款）、一般行政管理事务、机关服务、信访业务、其他信访事务支出（项）</w:t>
      </w:r>
      <w:r>
        <w:rPr>
          <w:rFonts w:hint="eastAsia" w:ascii="仿宋_GB2312" w:hAnsi="仿宋" w:eastAsia="仿宋_GB2312"/>
          <w:sz w:val="32"/>
          <w:szCs w:val="32"/>
        </w:rPr>
        <w:t>2025年预算297.34万元，比2024年预算增加13.26万元，增长4.67%，增长的主要原因是工资福利的增加和信访业务的增加。</w:t>
      </w:r>
    </w:p>
    <w:p w14:paraId="7BAF37A6">
      <w:pPr>
        <w:adjustRightInd w:val="0"/>
        <w:snapToGrid w:val="0"/>
        <w:spacing w:line="600" w:lineRule="exact"/>
        <w:ind w:firstLine="640" w:firstLineChars="200"/>
        <w:jc w:val="left"/>
        <w:rPr>
          <w:rFonts w:ascii="仿宋_GB2312" w:hAnsi="仿宋" w:eastAsia="仿宋_GB2312"/>
          <w:sz w:val="32"/>
          <w:szCs w:val="32"/>
        </w:rPr>
      </w:pPr>
      <w:r>
        <w:rPr>
          <w:rFonts w:hint="eastAsia" w:ascii="仿宋_GB2312" w:hAnsi="仿宋" w:eastAsia="仿宋_GB2312"/>
          <w:b/>
          <w:sz w:val="32"/>
          <w:szCs w:val="32"/>
        </w:rPr>
        <w:t>2.社会保障和就业支出（类）行政事业单位养老支出、其他社会保障和就业支出（款）机关事业单位基本养老保险缴费支出、机关事业单位职业年金缴费支出、其他社会保障和就业支出（项）</w:t>
      </w:r>
      <w:r>
        <w:rPr>
          <w:rFonts w:hint="eastAsia" w:ascii="仿宋_GB2312" w:hAnsi="仿宋" w:eastAsia="仿宋_GB2312"/>
          <w:sz w:val="32"/>
          <w:szCs w:val="32"/>
        </w:rPr>
        <w:t>2025年预算24.37万元，比2024年预算增加0.74万元，增长3.13%，增长的主要原因是特岗人员经费纳入了预算。</w:t>
      </w:r>
    </w:p>
    <w:p w14:paraId="33FD503E">
      <w:pPr>
        <w:pStyle w:val="15"/>
        <w:adjustRightInd w:val="0"/>
        <w:snapToGrid w:val="0"/>
        <w:spacing w:beforeAutospacing="0" w:afterAutospacing="0" w:line="600" w:lineRule="exact"/>
        <w:ind w:firstLine="640" w:firstLineChars="200"/>
        <w:rPr>
          <w:rFonts w:ascii="仿宋_GB2312" w:hAnsi="仿宋" w:eastAsia="仿宋_GB2312"/>
          <w:sz w:val="32"/>
          <w:szCs w:val="32"/>
        </w:rPr>
      </w:pPr>
      <w:r>
        <w:rPr>
          <w:rFonts w:hint="eastAsia" w:ascii="仿宋_GB2312" w:hAnsi="仿宋" w:eastAsia="仿宋_GB2312"/>
          <w:b/>
          <w:sz w:val="32"/>
          <w:szCs w:val="32"/>
        </w:rPr>
        <w:t>2.卫生健康支出（类）行政事业单位医疗（款）事业单位医疗（项）</w:t>
      </w:r>
      <w:r>
        <w:rPr>
          <w:rFonts w:hint="eastAsia" w:ascii="仿宋_GB2312" w:hAnsi="仿宋" w:eastAsia="仿宋_GB2312"/>
          <w:sz w:val="32"/>
          <w:szCs w:val="32"/>
        </w:rPr>
        <w:t>2025年预算7.79万元，比2024年预算增加7.79万元，增长100%，主要原因是2024年未安排预算。</w:t>
      </w:r>
    </w:p>
    <w:p w14:paraId="5F1774D7">
      <w:pPr>
        <w:pStyle w:val="15"/>
        <w:adjustRightInd w:val="0"/>
        <w:snapToGrid w:val="0"/>
        <w:spacing w:beforeAutospacing="0" w:afterAutospacing="0" w:line="600" w:lineRule="exact"/>
        <w:ind w:firstLine="640" w:firstLineChars="200"/>
        <w:rPr>
          <w:rFonts w:ascii="仿宋_GB2312" w:hAnsi="仿宋" w:eastAsia="仿宋_GB2312"/>
          <w:sz w:val="32"/>
          <w:szCs w:val="32"/>
        </w:rPr>
      </w:pPr>
      <w:r>
        <w:rPr>
          <w:rFonts w:hint="eastAsia" w:ascii="仿宋_GB2312" w:hAnsi="仿宋" w:eastAsia="仿宋_GB2312"/>
          <w:b/>
          <w:sz w:val="32"/>
          <w:szCs w:val="32"/>
        </w:rPr>
        <w:t>4.住房保障支出（类）住房改革支出（款）住房公积金（项）</w:t>
      </w:r>
      <w:r>
        <w:rPr>
          <w:rFonts w:hint="eastAsia" w:ascii="仿宋_GB2312" w:hAnsi="仿宋" w:eastAsia="仿宋_GB2312"/>
          <w:sz w:val="32"/>
          <w:szCs w:val="32"/>
        </w:rPr>
        <w:t>2025年预算12.04万元，比2024年预算增加0.22万元，增长1.86%，主要原因是公积金缴费基数增加。</w:t>
      </w:r>
    </w:p>
    <w:p w14:paraId="12EE612E">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六、关于2025年一般公共预算基本支出表的说明</w:t>
      </w:r>
    </w:p>
    <w:p w14:paraId="0FD1CF54">
      <w:pPr>
        <w:ind w:firstLine="640" w:firstLineChars="200"/>
        <w:rPr>
          <w:rFonts w:ascii="仿宋_GB2312" w:hAnsi="仿宋" w:eastAsia="仿宋_GB2312"/>
          <w:sz w:val="32"/>
          <w:szCs w:val="32"/>
        </w:rPr>
      </w:pPr>
      <w:r>
        <w:rPr>
          <w:rFonts w:hint="eastAsia" w:ascii="仿宋_GB2312" w:hAnsi="仿宋" w:eastAsia="仿宋_GB2312"/>
          <w:sz w:val="32"/>
          <w:szCs w:val="32"/>
        </w:rPr>
        <w:t>寿县信访局2025年一般公共预算基本支出175.01万元，其中，人员经费159.21万元，公用经费15.8万元。</w:t>
      </w:r>
    </w:p>
    <w:p w14:paraId="0AEB9E7F">
      <w:pPr>
        <w:ind w:firstLine="640" w:firstLineChars="200"/>
        <w:rPr>
          <w:rFonts w:ascii="仿宋_GB2312" w:hAnsi="仿宋" w:eastAsia="仿宋_GB2312"/>
          <w:sz w:val="32"/>
          <w:szCs w:val="32"/>
        </w:rPr>
      </w:pPr>
      <w:r>
        <w:rPr>
          <w:rFonts w:hint="eastAsia" w:ascii="仿宋_GB2312" w:hAnsi="仿宋" w:eastAsia="仿宋_GB2312"/>
          <w:sz w:val="32"/>
          <w:szCs w:val="32"/>
        </w:rPr>
        <w:t>（一）人员经费159.21万元，主要包括:基本工资、津贴补贴、奖金、伙食补助费、机关事业单位基本养老保险费、职业年金缴费、职工基本医疗保险缴费、公务员医疗补助缴费、其他社会保障缴费、住房公积金、其他工资福利支出、生活补助、救济费、医疗费补助、奖励金、对其他个人和家庭的补助支出。</w:t>
      </w:r>
    </w:p>
    <w:p w14:paraId="48805EFE">
      <w:pPr>
        <w:ind w:firstLine="640" w:firstLineChars="200"/>
        <w:rPr>
          <w:rFonts w:ascii="仿宋_GB2312" w:hAnsi="仿宋" w:eastAsia="仿宋_GB2312"/>
          <w:sz w:val="32"/>
          <w:szCs w:val="32"/>
        </w:rPr>
      </w:pPr>
      <w:r>
        <w:rPr>
          <w:rFonts w:hint="eastAsia" w:ascii="仿宋_GB2312" w:hAnsi="仿宋" w:eastAsia="仿宋_GB2312"/>
          <w:sz w:val="32"/>
          <w:szCs w:val="32"/>
        </w:rPr>
        <w:t>（二）公用经费15.8万元，主要包括：办公费、印刷费、水费、电费、邮电费、物业管理费、差旅费、维修（护）费、租赁费、会议费、培训费、公务接待费、劳务费、委托业务费、工会经费、福利费、其他交通费用、其他商品服务支出、办公设备购置、信息网络及软件购置更新等。</w:t>
      </w:r>
    </w:p>
    <w:p w14:paraId="273D6CBA">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七、关于2025年政府性基金预算支出表的说明</w:t>
      </w:r>
    </w:p>
    <w:p w14:paraId="7C9F18D9">
      <w:pPr>
        <w:pStyle w:val="15"/>
        <w:adjustRightInd w:val="0"/>
        <w:snapToGrid w:val="0"/>
        <w:spacing w:beforeAutospacing="0" w:afterAutospacing="0" w:line="600" w:lineRule="exact"/>
        <w:ind w:firstLine="640" w:firstLineChars="200"/>
        <w:rPr>
          <w:rFonts w:ascii="仿宋" w:hAnsi="仿宋" w:eastAsia="仿宋"/>
          <w:sz w:val="32"/>
          <w:szCs w:val="32"/>
        </w:rPr>
      </w:pPr>
      <w:r>
        <w:rPr>
          <w:rFonts w:hint="eastAsia" w:ascii="仿宋" w:hAnsi="仿宋" w:eastAsia="仿宋"/>
          <w:kern w:val="2"/>
          <w:sz w:val="32"/>
          <w:szCs w:val="32"/>
        </w:rPr>
        <w:t>寿县信访局</w:t>
      </w:r>
      <w:r>
        <w:rPr>
          <w:rFonts w:hint="eastAsia" w:ascii="仿宋" w:hAnsi="仿宋" w:eastAsia="仿宋"/>
          <w:sz w:val="32"/>
          <w:szCs w:val="32"/>
        </w:rPr>
        <w:t>2025年没有政府性基金预算拨款收入，也没有使用政府性基金预算拨款安排的支出。</w:t>
      </w:r>
    </w:p>
    <w:p w14:paraId="3817C223">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八、关于2025年国有资本经营预算支出表的说明</w:t>
      </w:r>
    </w:p>
    <w:p w14:paraId="34880E6C">
      <w:pPr>
        <w:pStyle w:val="15"/>
        <w:adjustRightInd w:val="0"/>
        <w:snapToGrid w:val="0"/>
        <w:spacing w:beforeAutospacing="0" w:afterAutospacing="0" w:line="600" w:lineRule="exact"/>
        <w:ind w:firstLine="640" w:firstLineChars="200"/>
        <w:rPr>
          <w:rFonts w:ascii="仿宋" w:hAnsi="仿宋" w:eastAsia="仿宋"/>
          <w:sz w:val="32"/>
          <w:szCs w:val="32"/>
        </w:rPr>
      </w:pPr>
      <w:r>
        <w:rPr>
          <w:rFonts w:hint="eastAsia" w:ascii="仿宋" w:hAnsi="仿宋" w:eastAsia="仿宋"/>
          <w:kern w:val="2"/>
          <w:sz w:val="32"/>
          <w:szCs w:val="32"/>
        </w:rPr>
        <w:t>寿县信访局</w:t>
      </w:r>
      <w:r>
        <w:rPr>
          <w:rFonts w:hint="eastAsia" w:ascii="仿宋" w:hAnsi="仿宋" w:eastAsia="仿宋"/>
          <w:sz w:val="32"/>
          <w:szCs w:val="32"/>
        </w:rPr>
        <w:t>2025年没有国有资本经营预算拨款收入，也没有使用国有资本经营预算拨款安排的支出。</w:t>
      </w:r>
    </w:p>
    <w:p w14:paraId="6F4C74B1">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九、关于2025年项目支出表的说明</w:t>
      </w:r>
    </w:p>
    <w:p w14:paraId="773CCC97">
      <w:pPr>
        <w:pStyle w:val="15"/>
        <w:topLinePunct/>
        <w:adjustRightInd w:val="0"/>
        <w:snapToGrid w:val="0"/>
        <w:spacing w:beforeAutospacing="0" w:afterAutospacing="0" w:line="580" w:lineRule="exact"/>
        <w:ind w:firstLine="640" w:firstLineChars="200"/>
        <w:jc w:val="both"/>
        <w:rPr>
          <w:rFonts w:ascii="仿宋_GB2312" w:hAnsi="TimesNewRoman" w:eastAsia="仿宋_GB2312" w:cs="TimesNewRoman"/>
          <w:sz w:val="32"/>
          <w:szCs w:val="32"/>
        </w:rPr>
      </w:pPr>
      <w:r>
        <w:rPr>
          <w:rFonts w:hint="eastAsia" w:ascii="仿宋_GB2312" w:hAnsi="TimesNewRoman" w:eastAsia="仿宋_GB2312" w:cs="TimesNewRoman"/>
          <w:sz w:val="32"/>
          <w:szCs w:val="32"/>
        </w:rPr>
        <w:t>寿县信访局2025年预算共安排项目支出166.52万元，比2024年预算增加15.65万元，增长10.37%，增长的原因主要是</w:t>
      </w:r>
      <w:r>
        <w:rPr>
          <w:rFonts w:hint="eastAsia" w:ascii="仿宋_GB2312" w:hAnsi="仿宋" w:eastAsia="仿宋_GB2312"/>
          <w:sz w:val="32"/>
          <w:szCs w:val="32"/>
        </w:rPr>
        <w:t>信访救助经费增加</w:t>
      </w:r>
      <w:r>
        <w:rPr>
          <w:rFonts w:hint="eastAsia" w:ascii="仿宋_GB2312" w:hAnsi="TimesNewRoman" w:eastAsia="仿宋_GB2312" w:cs="TimesNewRoman"/>
          <w:sz w:val="32"/>
          <w:szCs w:val="32"/>
        </w:rPr>
        <w:t>。主要包括：本年财政拨款安排166.52万元（其中，一般公共预算拨款安排166.52万元）。</w:t>
      </w:r>
    </w:p>
    <w:p w14:paraId="5C5A9D3A">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十、关于2025年政府采购支出表的说明</w:t>
      </w:r>
    </w:p>
    <w:p w14:paraId="691B5A52">
      <w:pPr>
        <w:pStyle w:val="15"/>
        <w:topLinePunct/>
        <w:adjustRightInd w:val="0"/>
        <w:snapToGrid w:val="0"/>
        <w:spacing w:beforeAutospacing="0" w:afterAutospacing="0" w:line="580" w:lineRule="exact"/>
        <w:ind w:firstLine="640" w:firstLineChars="200"/>
        <w:jc w:val="both"/>
        <w:rPr>
          <w:rFonts w:ascii="仿宋_GB2312" w:hAnsi="TimesNewRoman" w:eastAsia="仿宋_GB2312" w:cs="TimesNewRoman"/>
          <w:sz w:val="32"/>
          <w:szCs w:val="32"/>
        </w:rPr>
      </w:pPr>
      <w:r>
        <w:rPr>
          <w:rFonts w:hint="eastAsia" w:ascii="仿宋" w:hAnsi="仿宋" w:eastAsia="仿宋"/>
          <w:kern w:val="2"/>
          <w:sz w:val="32"/>
          <w:szCs w:val="32"/>
        </w:rPr>
        <w:t>寿县信访局</w:t>
      </w:r>
      <w:r>
        <w:rPr>
          <w:rFonts w:hint="eastAsia" w:ascii="仿宋_GB2312" w:hAnsi="TimesNewRoman" w:eastAsia="仿宋_GB2312" w:cs="TimesNewRoman"/>
          <w:sz w:val="32"/>
          <w:szCs w:val="32"/>
        </w:rPr>
        <w:t>2025年预算安排政府采购支出4万元，比2024年减少2万元,下降33.33%,下降的主要原因是本年办公设备购置需求减少。其中，一般公共预算安排4万元，占100%。</w:t>
      </w:r>
    </w:p>
    <w:p w14:paraId="0F7DA1EE">
      <w:pPr>
        <w:pStyle w:val="15"/>
        <w:adjustRightInd w:val="0"/>
        <w:snapToGrid w:val="0"/>
        <w:spacing w:beforeAutospacing="0" w:afterAutospacing="0" w:line="600" w:lineRule="exact"/>
        <w:ind w:firstLine="640" w:firstLineChars="200"/>
        <w:outlineLvl w:val="0"/>
        <w:rPr>
          <w:rFonts w:ascii="楷体_GB2312" w:hAnsi="TimesNewRoman" w:eastAsia="楷体_GB2312" w:cs="TimesNewRoman"/>
          <w:b/>
          <w:sz w:val="32"/>
          <w:szCs w:val="32"/>
        </w:rPr>
      </w:pPr>
      <w:r>
        <w:rPr>
          <w:rFonts w:hint="eastAsia" w:ascii="楷体_GB2312" w:hAnsi="TimesNewRoman" w:eastAsia="楷体_GB2312" w:cs="TimesNewRoman"/>
          <w:b/>
          <w:sz w:val="32"/>
          <w:szCs w:val="32"/>
        </w:rPr>
        <w:t>十一、关于2025年政府购买服务支出表的说明</w:t>
      </w:r>
    </w:p>
    <w:p w14:paraId="3831B660">
      <w:pPr>
        <w:pStyle w:val="15"/>
        <w:adjustRightInd w:val="0"/>
        <w:snapToGrid w:val="0"/>
        <w:spacing w:beforeAutospacing="0" w:afterAutospacing="0" w:line="600" w:lineRule="exact"/>
        <w:ind w:firstLine="640" w:firstLineChars="200"/>
        <w:outlineLvl w:val="0"/>
        <w:rPr>
          <w:rFonts w:ascii="仿宋_GB2312" w:hAnsi="仿宋" w:eastAsia="仿宋_GB2312"/>
          <w:sz w:val="32"/>
          <w:szCs w:val="32"/>
        </w:rPr>
      </w:pPr>
      <w:r>
        <w:rPr>
          <w:rFonts w:hint="eastAsia" w:ascii="仿宋" w:hAnsi="仿宋" w:eastAsia="仿宋"/>
          <w:kern w:val="2"/>
          <w:sz w:val="32"/>
          <w:szCs w:val="32"/>
        </w:rPr>
        <w:t>寿县信访局</w:t>
      </w:r>
      <w:r>
        <w:rPr>
          <w:rFonts w:hint="eastAsia" w:ascii="仿宋_GB2312" w:hAnsi="仿宋" w:eastAsia="仿宋_GB2312"/>
          <w:sz w:val="32"/>
          <w:szCs w:val="32"/>
        </w:rPr>
        <w:t>2025年预算没有安排政府购买服务支出。</w:t>
      </w:r>
    </w:p>
    <w:p w14:paraId="304B608C">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十二、关于2025</w:t>
      </w:r>
      <w:r>
        <w:rPr>
          <w:rFonts w:ascii="楷体_GB2312" w:hAnsi="TimesNewRoman" w:eastAsia="楷体_GB2312" w:cs="TimesNewRoman"/>
          <w:b/>
          <w:sz w:val="32"/>
          <w:szCs w:val="32"/>
        </w:rPr>
        <w:t>年一般公共预算“三公”经费支出情况说明</w:t>
      </w:r>
    </w:p>
    <w:p w14:paraId="78941070">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 w:hAnsi="仿宋" w:eastAsia="仿宋"/>
          <w:sz w:val="32"/>
          <w:szCs w:val="32"/>
        </w:rPr>
        <w:t>寿县信访局</w:t>
      </w:r>
      <w:r>
        <w:rPr>
          <w:rFonts w:hint="eastAsia" w:ascii="仿宋_GB2312" w:hAnsi="TimesNewRoman" w:eastAsia="仿宋_GB2312" w:cs="TimesNewRoman"/>
          <w:kern w:val="0"/>
          <w:sz w:val="32"/>
          <w:szCs w:val="32"/>
        </w:rPr>
        <w:t>2025</w:t>
      </w:r>
      <w:r>
        <w:rPr>
          <w:rFonts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rPr>
        <w:t>7.5</w:t>
      </w:r>
      <w:r>
        <w:rPr>
          <w:rFonts w:ascii="仿宋_GB2312" w:hAnsi="TimesNewRoman" w:eastAsia="仿宋_GB2312" w:cs="TimesNewRoman"/>
          <w:kern w:val="0"/>
          <w:sz w:val="32"/>
          <w:szCs w:val="32"/>
        </w:rPr>
        <w:t>万元，</w:t>
      </w:r>
      <w:r>
        <w:rPr>
          <w:rFonts w:hint="eastAsia" w:ascii="仿宋" w:hAnsi="仿宋" w:eastAsia="仿宋"/>
          <w:color w:val="000000"/>
          <w:sz w:val="32"/>
          <w:szCs w:val="32"/>
        </w:rPr>
        <w:t>比2024年预算减少0.5万元，下降6.25%</w:t>
      </w:r>
      <w:r>
        <w:rPr>
          <w:rFonts w:hint="eastAsia" w:ascii="仿宋" w:hAnsi="仿宋" w:eastAsia="仿宋"/>
          <w:sz w:val="32"/>
          <w:szCs w:val="32"/>
        </w:rPr>
        <w:t>。</w:t>
      </w:r>
      <w:r>
        <w:rPr>
          <w:rFonts w:ascii="仿宋_GB2312" w:hAnsi="TimesNewRoman" w:eastAsia="仿宋_GB2312" w:cs="TimesNewRoman"/>
          <w:kern w:val="0"/>
          <w:sz w:val="32"/>
          <w:szCs w:val="32"/>
        </w:rPr>
        <w:t>其中：因公出国（境）费支出预算</w:t>
      </w:r>
      <w:r>
        <w:rPr>
          <w:rFonts w:hint="eastAsia" w:ascii="仿宋_GB2312" w:hAnsi="TimesNewRoman" w:eastAsia="仿宋_GB2312" w:cs="TimesNewRoman"/>
          <w:kern w:val="0"/>
          <w:sz w:val="32"/>
          <w:szCs w:val="32"/>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rPr>
        <w:t>7.5</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rPr>
        <w:t>0</w:t>
      </w:r>
      <w:r>
        <w:rPr>
          <w:rFonts w:ascii="仿宋_GB2312" w:hAnsi="TimesNewRoman" w:eastAsia="仿宋_GB2312" w:cs="TimesNewRoman"/>
          <w:kern w:val="0"/>
          <w:sz w:val="32"/>
          <w:szCs w:val="32"/>
        </w:rPr>
        <w:t>万元。具体情况如下：</w:t>
      </w:r>
    </w:p>
    <w:p w14:paraId="6DE0F351">
      <w:pPr>
        <w:pStyle w:val="15"/>
        <w:adjustRightInd w:val="0"/>
        <w:snapToGrid w:val="0"/>
        <w:spacing w:beforeAutospacing="0" w:afterAutospacing="0" w:line="560" w:lineRule="exact"/>
        <w:ind w:firstLine="640" w:firstLineChars="200"/>
        <w:rPr>
          <w:rFonts w:ascii="仿宋_GB2312" w:hAnsi="TimesNewRoman" w:eastAsia="仿宋_GB2312" w:cs="TimesNewRoman"/>
          <w:sz w:val="32"/>
          <w:szCs w:val="32"/>
        </w:rPr>
      </w:pPr>
      <w:r>
        <w:rPr>
          <w:rFonts w:ascii="仿宋_GB2312" w:hAnsi="TimesNewRoman" w:eastAsia="仿宋_GB2312" w:cs="TimesNewRoman"/>
          <w:sz w:val="32"/>
          <w:szCs w:val="32"/>
        </w:rPr>
        <w:t>（一）因公出国（境）费支</w:t>
      </w:r>
      <w:r>
        <w:rPr>
          <w:rFonts w:ascii="TimesNewRoman" w:hAnsi="TimesNewRoman" w:eastAsia="仿宋_GB2312" w:cs="TimesNewRoman"/>
          <w:sz w:val="32"/>
          <w:szCs w:val="32"/>
        </w:rPr>
        <w:t>出预算</w:t>
      </w:r>
      <w:r>
        <w:rPr>
          <w:rFonts w:hint="eastAsia" w:ascii="TimesNewRoman" w:hAnsi="TimesNewRoman" w:eastAsia="仿宋_GB2312" w:cs="TimesNewRoman"/>
          <w:sz w:val="32"/>
          <w:szCs w:val="32"/>
        </w:rPr>
        <w:t>0</w:t>
      </w:r>
      <w:r>
        <w:rPr>
          <w:rFonts w:ascii="TimesNewRoman" w:hAnsi="TimesNewRoman" w:eastAsia="仿宋_GB2312" w:cs="TimesNewRoman"/>
          <w:sz w:val="32"/>
          <w:szCs w:val="32"/>
        </w:rPr>
        <w:t>万元,</w:t>
      </w:r>
      <w:r>
        <w:rPr>
          <w:rFonts w:ascii="仿宋_GB2312" w:hAnsi="TimesNewRoman" w:eastAsia="仿宋_GB2312" w:cs="TimesNewRoman"/>
          <w:sz w:val="32"/>
          <w:szCs w:val="32"/>
        </w:rPr>
        <w:t xml:space="preserve"> </w:t>
      </w:r>
      <w:r>
        <w:rPr>
          <w:rFonts w:hint="eastAsia" w:ascii="仿宋_GB2312" w:hAnsi="TimesNewRoman" w:eastAsia="仿宋_GB2312" w:cs="TimesNewRoman"/>
          <w:sz w:val="32"/>
          <w:szCs w:val="32"/>
        </w:rPr>
        <w:t>与2024</w:t>
      </w:r>
      <w:r>
        <w:rPr>
          <w:rFonts w:ascii="仿宋_GB2312" w:hAnsi="TimesNewRoman" w:eastAsia="仿宋_GB2312" w:cs="TimesNewRoman"/>
          <w:sz w:val="32"/>
          <w:szCs w:val="32"/>
        </w:rPr>
        <w:t>年预算</w:t>
      </w:r>
      <w:r>
        <w:rPr>
          <w:rFonts w:hint="eastAsia" w:ascii="仿宋_GB2312" w:hAnsi="TimesNewRoman" w:eastAsia="仿宋_GB2312" w:cs="TimesNewRoman"/>
          <w:sz w:val="32"/>
          <w:szCs w:val="32"/>
        </w:rPr>
        <w:t>持平。</w:t>
      </w:r>
    </w:p>
    <w:p w14:paraId="12709097">
      <w:pPr>
        <w:pStyle w:val="15"/>
        <w:adjustRightInd w:val="0"/>
        <w:snapToGrid w:val="0"/>
        <w:spacing w:beforeAutospacing="0" w:afterAutospacing="0" w:line="560" w:lineRule="exact"/>
        <w:ind w:firstLine="640" w:firstLineChars="200"/>
        <w:rPr>
          <w:rFonts w:ascii="仿宋_GB2312" w:hAnsi="TimesNewRoman" w:eastAsia="仿宋_GB2312" w:cs="TimesNewRoman"/>
          <w:sz w:val="32"/>
          <w:szCs w:val="32"/>
        </w:rPr>
      </w:pPr>
      <w:r>
        <w:rPr>
          <w:rFonts w:ascii="仿宋_GB2312" w:hAnsi="TimesNewRoman" w:eastAsia="仿宋_GB2312" w:cs="TimesNewRoman"/>
          <w:sz w:val="32"/>
          <w:szCs w:val="32"/>
        </w:rPr>
        <w:t>（二）公务用车购置及运行费支出预算</w:t>
      </w:r>
      <w:r>
        <w:rPr>
          <w:rFonts w:hint="eastAsia" w:ascii="仿宋_GB2312" w:hAnsi="TimesNewRoman" w:eastAsia="仿宋_GB2312" w:cs="TimesNewRoman"/>
          <w:sz w:val="32"/>
          <w:szCs w:val="32"/>
        </w:rPr>
        <w:t>0</w:t>
      </w:r>
      <w:r>
        <w:rPr>
          <w:rFonts w:ascii="仿宋_GB2312" w:hAnsi="TimesNewRoman" w:eastAsia="仿宋_GB2312" w:cs="TimesNewRoman"/>
          <w:sz w:val="32"/>
          <w:szCs w:val="32"/>
        </w:rPr>
        <w:t>万元，</w:t>
      </w:r>
      <w:r>
        <w:rPr>
          <w:rFonts w:hint="eastAsia" w:ascii="仿宋_GB2312" w:hAnsi="TimesNewRoman" w:eastAsia="仿宋_GB2312" w:cs="TimesNewRoman"/>
          <w:sz w:val="32"/>
          <w:szCs w:val="32"/>
        </w:rPr>
        <w:t>与2024年</w:t>
      </w:r>
      <w:r>
        <w:rPr>
          <w:rFonts w:ascii="TimesNewRoman" w:hAnsi="TimesNewRoman" w:eastAsia="仿宋_GB2312" w:cs="TimesNewRoman"/>
          <w:sz w:val="32"/>
          <w:szCs w:val="32"/>
        </w:rPr>
        <w:t>预算</w:t>
      </w:r>
      <w:r>
        <w:rPr>
          <w:rFonts w:hint="eastAsia" w:ascii="TimesNewRoman" w:hAnsi="TimesNewRoman" w:eastAsia="仿宋_GB2312" w:cs="TimesNewRoman"/>
          <w:sz w:val="32"/>
          <w:szCs w:val="32"/>
        </w:rPr>
        <w:t>持平。</w:t>
      </w:r>
    </w:p>
    <w:p w14:paraId="27C60D05">
      <w:pPr>
        <w:pStyle w:val="15"/>
        <w:spacing w:beforeAutospacing="0" w:afterAutospacing="0" w:line="520" w:lineRule="exact"/>
        <w:ind w:firstLine="480" w:firstLineChars="150"/>
        <w:jc w:val="both"/>
        <w:rPr>
          <w:rFonts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 w:hAnsi="仿宋" w:eastAsia="仿宋"/>
          <w:color w:val="000000"/>
          <w:sz w:val="32"/>
          <w:szCs w:val="32"/>
        </w:rPr>
        <w:t>支出预算7.5万元，比2024年预算减少0.5万元，下降6.25%</w:t>
      </w:r>
      <w:r>
        <w:rPr>
          <w:rFonts w:hint="eastAsia" w:ascii="仿宋" w:hAnsi="仿宋" w:eastAsia="仿宋"/>
          <w:sz w:val="32"/>
          <w:szCs w:val="32"/>
        </w:rPr>
        <w:t>。该项经费</w:t>
      </w:r>
      <w:r>
        <w:rPr>
          <w:rFonts w:hint="eastAsia" w:ascii="仿宋" w:hAnsi="仿宋" w:eastAsia="仿宋"/>
          <w:color w:val="000000"/>
          <w:sz w:val="32"/>
          <w:szCs w:val="32"/>
        </w:rPr>
        <w:t>主要用于信访维稳、招商等公务往来支出。</w:t>
      </w:r>
      <w:r>
        <w:rPr>
          <w:rFonts w:hint="eastAsia" w:ascii="仿宋_GB2312" w:hAnsi="TimesNewRoman" w:eastAsia="仿宋_GB2312" w:cs="TimesNewRoman"/>
          <w:sz w:val="32"/>
          <w:szCs w:val="32"/>
        </w:rPr>
        <w:t>经费使用严格执行《党政机关厉行节约反对浪费条例》</w:t>
      </w:r>
      <w:r>
        <w:rPr>
          <w:rFonts w:hint="eastAsia" w:ascii="仿宋_GB2312" w:hAnsi="仿宋" w:eastAsia="仿宋_GB2312"/>
          <w:color w:val="000000"/>
          <w:sz w:val="32"/>
          <w:szCs w:val="32"/>
        </w:rPr>
        <w:t>（中发〔2013〕13号）</w:t>
      </w:r>
      <w:r>
        <w:rPr>
          <w:rFonts w:hint="eastAsia" w:ascii="仿宋_GB2312" w:hAnsi="TimesNewRoman" w:eastAsia="仿宋_GB2312" w:cs="TimesNewRoman"/>
          <w:sz w:val="32"/>
          <w:szCs w:val="32"/>
        </w:rPr>
        <w:t>和</w:t>
      </w:r>
      <w:r>
        <w:rPr>
          <w:rFonts w:hint="eastAsia" w:ascii="仿宋_GB2312" w:hAnsi="仿宋" w:eastAsia="仿宋_GB2312"/>
          <w:color w:val="000000"/>
          <w:sz w:val="32"/>
          <w:szCs w:val="32"/>
        </w:rPr>
        <w:t>《寿县党政机关公务接待管理规定</w:t>
      </w:r>
      <w:r>
        <w:rPr>
          <w:rFonts w:hint="eastAsia" w:ascii="仿宋_GB2312" w:hAnsi="TimesNewRoman" w:eastAsia="仿宋_GB2312" w:cs="TimesNewRoman"/>
          <w:sz w:val="32"/>
          <w:szCs w:val="32"/>
        </w:rPr>
        <w:t>》</w:t>
      </w:r>
      <w:r>
        <w:rPr>
          <w:rFonts w:hint="eastAsia" w:ascii="仿宋_GB2312" w:hAnsi="仿宋" w:eastAsia="仿宋_GB2312"/>
          <w:color w:val="000000"/>
          <w:sz w:val="32"/>
          <w:szCs w:val="32"/>
        </w:rPr>
        <w:t>（寿办发〔2015〕2号）规定。</w:t>
      </w:r>
    </w:p>
    <w:p w14:paraId="0521E6F4">
      <w:pPr>
        <w:pStyle w:val="15"/>
        <w:topLinePunct/>
        <w:adjustRightInd w:val="0"/>
        <w:snapToGrid w:val="0"/>
        <w:spacing w:beforeAutospacing="0" w:afterAutospacing="0" w:line="56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670CFC83">
      <w:pPr>
        <w:topLinePunct/>
        <w:adjustRightInd w:val="0"/>
        <w:snapToGrid w:val="0"/>
        <w:spacing w:line="56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353CB656">
      <w:pPr>
        <w:adjustRightInd w:val="0"/>
        <w:snapToGrid w:val="0"/>
        <w:spacing w:line="580" w:lineRule="exact"/>
        <w:ind w:firstLine="640" w:firstLineChars="200"/>
        <w:jc w:val="left"/>
        <w:rPr>
          <w:rFonts w:ascii="仿宋" w:hAnsi="仿宋" w:eastAsia="仿宋"/>
          <w:b/>
          <w:sz w:val="32"/>
          <w:szCs w:val="32"/>
        </w:rPr>
      </w:pPr>
      <w:r>
        <w:rPr>
          <w:rFonts w:hint="eastAsia" w:ascii="仿宋_GB2312" w:hAnsi="TimesNewRoman" w:eastAsia="仿宋_GB2312" w:cs="TimesNewRoman"/>
          <w:b/>
          <w:sz w:val="32"/>
          <w:szCs w:val="32"/>
        </w:rPr>
        <w:t xml:space="preserve"> </w:t>
      </w:r>
      <w:r>
        <w:rPr>
          <w:rFonts w:hint="eastAsia" w:ascii="仿宋" w:hAnsi="仿宋" w:eastAsia="仿宋"/>
          <w:b/>
          <w:sz w:val="32"/>
          <w:szCs w:val="32"/>
        </w:rPr>
        <w:t>1.“信访安全保障工作经费”项目。</w:t>
      </w:r>
    </w:p>
    <w:p w14:paraId="3EA52EAE">
      <w:pPr>
        <w:ind w:firstLine="640" w:firstLineChars="200"/>
        <w:rPr>
          <w:rFonts w:ascii="仿宋" w:hAnsi="仿宋" w:eastAsia="仿宋"/>
          <w:sz w:val="32"/>
          <w:szCs w:val="32"/>
        </w:rPr>
      </w:pPr>
      <w:r>
        <w:rPr>
          <w:rFonts w:hint="eastAsia" w:ascii="仿宋" w:hAnsi="仿宋" w:eastAsia="仿宋"/>
          <w:sz w:val="32"/>
          <w:szCs w:val="32"/>
        </w:rPr>
        <w:t>（1）项目概述。按照工作职能，保障机关正常运转，完成县委、县政府交办的各项工作任务。大力推广信访工作法治化，开展好群众来访、来信（网信）、复查、信访信息等方面业务，不断提升工作效能。及时就地解决信访问题、化解突出矛盾，广泛汇集社情民意，有力维护群众合法权益，促进社会和谐稳定。</w:t>
      </w:r>
    </w:p>
    <w:p w14:paraId="51140C94">
      <w:pPr>
        <w:ind w:firstLine="480" w:firstLineChars="150"/>
        <w:rPr>
          <w:rFonts w:ascii="仿宋" w:hAnsi="仿宋" w:eastAsia="仿宋"/>
          <w:sz w:val="32"/>
          <w:szCs w:val="32"/>
        </w:rPr>
      </w:pPr>
      <w:r>
        <w:rPr>
          <w:rFonts w:hint="eastAsia" w:ascii="仿宋" w:hAnsi="仿宋" w:eastAsia="仿宋"/>
          <w:sz w:val="32"/>
          <w:szCs w:val="32"/>
        </w:rPr>
        <w:t>（2）立项依据。贯彻落实《信访工作条例》和《安徽省信访条例》。</w:t>
      </w:r>
    </w:p>
    <w:p w14:paraId="0745BE18">
      <w:pPr>
        <w:adjustRightInd w:val="0"/>
        <w:snapToGrid w:val="0"/>
        <w:spacing w:line="580" w:lineRule="exact"/>
        <w:ind w:firstLine="640" w:firstLineChars="200"/>
        <w:jc w:val="left"/>
        <w:rPr>
          <w:rFonts w:ascii="仿宋" w:hAnsi="仿宋" w:eastAsia="仿宋"/>
          <w:sz w:val="32"/>
          <w:szCs w:val="32"/>
        </w:rPr>
      </w:pPr>
      <w:r>
        <w:rPr>
          <w:rFonts w:hint="eastAsia" w:ascii="仿宋" w:hAnsi="仿宋" w:eastAsia="仿宋"/>
          <w:sz w:val="32"/>
          <w:szCs w:val="32"/>
        </w:rPr>
        <w:t>（3）实施主体。实施主体为寿县信访局。</w:t>
      </w:r>
      <w:r>
        <w:rPr>
          <w:rFonts w:ascii="仿宋" w:hAnsi="仿宋" w:eastAsia="仿宋"/>
          <w:sz w:val="32"/>
          <w:szCs w:val="32"/>
        </w:rPr>
        <w:t xml:space="preserve"> </w:t>
      </w:r>
    </w:p>
    <w:p w14:paraId="54F29BE5">
      <w:pPr>
        <w:adjustRightInd w:val="0"/>
        <w:snapToGrid w:val="0"/>
        <w:spacing w:line="580" w:lineRule="exact"/>
        <w:ind w:firstLine="640" w:firstLineChars="200"/>
        <w:jc w:val="left"/>
        <w:rPr>
          <w:rFonts w:ascii="仿宋" w:hAnsi="仿宋" w:eastAsia="仿宋"/>
          <w:sz w:val="32"/>
          <w:szCs w:val="32"/>
        </w:rPr>
      </w:pPr>
      <w:r>
        <w:rPr>
          <w:rFonts w:hint="eastAsia" w:ascii="仿宋" w:hAnsi="仿宋" w:eastAsia="仿宋"/>
          <w:sz w:val="32"/>
          <w:szCs w:val="32"/>
        </w:rPr>
        <w:t>（4）起止时间。起止时间为2025年1月1日至12月31日。</w:t>
      </w:r>
    </w:p>
    <w:p w14:paraId="2BF2CAC8">
      <w:pPr>
        <w:ind w:firstLine="640" w:firstLineChars="200"/>
        <w:rPr>
          <w:rFonts w:ascii="仿宋" w:hAnsi="仿宋" w:eastAsia="仿宋"/>
          <w:sz w:val="32"/>
          <w:szCs w:val="32"/>
        </w:rPr>
      </w:pPr>
      <w:r>
        <w:rPr>
          <w:rFonts w:hint="eastAsia" w:ascii="仿宋" w:hAnsi="仿宋" w:eastAsia="仿宋"/>
          <w:sz w:val="32"/>
          <w:szCs w:val="32"/>
        </w:rPr>
        <w:t>（5）项目内容。信访工作是党和政府了解社情民意、为民办实事的重要窗口。充分发挥信访工作了解民情、集中民智、维护民利、凝聚民心的作用，坚持以人民为中心的发展思想，将依法及时就地解决好群众合理诉求作为“我为群众办实事”的重要内容。增强为民服务意识，始终把信访群众生活冷暖放在心上，用心解决信访群众关切的信访问题，既要把事情处理好，矛盾化解好；也要把政策解释好，思想转化好，切实解决好群众反映的信访问题，做到让信访群众事心双解、案结事了，增强信访群众的获得感、幸福感和安全感。切实把矛盾化解在基层，把问题解决在一线，为高质量发展营造和谐稳定的社会环境。</w:t>
      </w:r>
    </w:p>
    <w:p w14:paraId="52E0AA5B">
      <w:pPr>
        <w:ind w:firstLine="640" w:firstLineChars="200"/>
        <w:rPr>
          <w:rFonts w:ascii="仿宋" w:hAnsi="仿宋" w:eastAsia="仿宋"/>
          <w:sz w:val="32"/>
          <w:szCs w:val="32"/>
        </w:rPr>
      </w:pPr>
      <w:r>
        <w:rPr>
          <w:rFonts w:hint="eastAsia" w:ascii="仿宋" w:hAnsi="仿宋" w:eastAsia="仿宋"/>
          <w:sz w:val="32"/>
          <w:szCs w:val="32"/>
        </w:rPr>
        <w:t>（6）年度预算安排。安排预算资金133万元。</w:t>
      </w:r>
    </w:p>
    <w:p w14:paraId="67AFD95A">
      <w:pPr>
        <w:ind w:firstLine="640" w:firstLineChars="200"/>
        <w:rPr>
          <w:rFonts w:ascii="仿宋" w:hAnsi="仿宋" w:eastAsia="仿宋"/>
          <w:sz w:val="32"/>
          <w:szCs w:val="32"/>
        </w:rPr>
      </w:pPr>
      <w:r>
        <w:rPr>
          <w:rFonts w:hint="eastAsia" w:ascii="仿宋" w:hAnsi="仿宋" w:eastAsia="仿宋"/>
          <w:sz w:val="32"/>
          <w:szCs w:val="32"/>
        </w:rPr>
        <w:t>（7）绩效目标。2025年度，我局将深入贯彻落实习近平总书记关于加强和改进人民信访工作的重要思想，坚持以人民为中心，坚决扛起“为民解难、为党分忧”的政治责任，进一步夯实信访业务规范化基础，大力推广信访工作法治化，推进信访工作高质量发展，力争实现来访、来信和网上投诉及时受理率、按期办结率、群众满意率进一步提高。严格按照“三到位”工作要求，以“事要解决、怨要纾解”为目标，</w:t>
      </w:r>
      <w:r>
        <w:rPr>
          <w:rFonts w:hint="eastAsia" w:ascii="仿宋" w:hAnsi="仿宋" w:eastAsia="仿宋"/>
          <w:color w:val="000000" w:themeColor="text1"/>
          <w:sz w:val="32"/>
          <w:szCs w:val="32"/>
        </w:rPr>
        <w:t>采取“落实开门接访、重视初信初访、开展多元化解、加强约访回访”等多种手段，认真开展“最多跑一地”和“最多交一回”工作，打通服务群众的“最后一公里”。</w:t>
      </w:r>
      <w:r>
        <w:rPr>
          <w:rFonts w:hint="eastAsia" w:ascii="仿宋" w:hAnsi="仿宋" w:eastAsia="仿宋"/>
          <w:sz w:val="32"/>
          <w:szCs w:val="32"/>
        </w:rPr>
        <w:t>全力化解信访突出问题，着力攻坚一批“钉子案”“骨头案”，千方百计解决好群众的操心事、烦心事、揪心事，有效维护群众合法权益，进一步提升群众满意度。</w:t>
      </w:r>
    </w:p>
    <w:p w14:paraId="271D0859">
      <w:pPr>
        <w:adjustRightInd w:val="0"/>
        <w:snapToGrid w:val="0"/>
        <w:spacing w:line="580" w:lineRule="exact"/>
        <w:ind w:firstLine="640" w:firstLineChars="200"/>
        <w:jc w:val="left"/>
        <w:rPr>
          <w:rFonts w:asciiTheme="minorEastAsia" w:hAnsiTheme="minorEastAsia" w:eastAsiaTheme="minorEastAsia"/>
          <w:sz w:val="32"/>
          <w:szCs w:val="32"/>
        </w:rPr>
      </w:pPr>
    </w:p>
    <w:p w14:paraId="26B0A68F">
      <w:pPr>
        <w:adjustRightInd w:val="0"/>
        <w:snapToGrid w:val="0"/>
        <w:spacing w:line="580" w:lineRule="exact"/>
        <w:ind w:firstLine="640" w:firstLineChars="200"/>
        <w:jc w:val="left"/>
        <w:rPr>
          <w:rFonts w:asciiTheme="minorEastAsia" w:hAnsiTheme="minorEastAsia" w:eastAsiaTheme="minorEastAsia"/>
          <w:sz w:val="32"/>
          <w:szCs w:val="32"/>
        </w:rPr>
      </w:pPr>
    </w:p>
    <w:p w14:paraId="09667551">
      <w:pPr>
        <w:adjustRightInd w:val="0"/>
        <w:snapToGrid w:val="0"/>
        <w:spacing w:line="580" w:lineRule="exact"/>
        <w:jc w:val="left"/>
        <w:rPr>
          <w:rFonts w:asciiTheme="minorEastAsia" w:hAnsiTheme="minorEastAsia" w:eastAsiaTheme="minorEastAsia"/>
          <w:sz w:val="32"/>
          <w:szCs w:val="32"/>
        </w:rPr>
      </w:pPr>
    </w:p>
    <w:tbl>
      <w:tblPr>
        <w:tblStyle w:val="18"/>
        <w:tblW w:w="9460" w:type="dxa"/>
        <w:tblInd w:w="93" w:type="dxa"/>
        <w:tblLayout w:type="autofit"/>
        <w:tblCellMar>
          <w:top w:w="0" w:type="dxa"/>
          <w:left w:w="108" w:type="dxa"/>
          <w:bottom w:w="0" w:type="dxa"/>
          <w:right w:w="108" w:type="dxa"/>
        </w:tblCellMar>
      </w:tblPr>
      <w:tblGrid>
        <w:gridCol w:w="1020"/>
        <w:gridCol w:w="1020"/>
        <w:gridCol w:w="1020"/>
        <w:gridCol w:w="1240"/>
        <w:gridCol w:w="1240"/>
        <w:gridCol w:w="1960"/>
        <w:gridCol w:w="1960"/>
      </w:tblGrid>
      <w:tr w14:paraId="4AAE562A">
        <w:tblPrEx>
          <w:tblCellMar>
            <w:top w:w="0" w:type="dxa"/>
            <w:left w:w="108" w:type="dxa"/>
            <w:bottom w:w="0" w:type="dxa"/>
            <w:right w:w="108" w:type="dxa"/>
          </w:tblCellMar>
        </w:tblPrEx>
        <w:trPr>
          <w:trHeight w:val="375" w:hRule="atLeast"/>
        </w:trPr>
        <w:tc>
          <w:tcPr>
            <w:tcW w:w="9460" w:type="dxa"/>
            <w:gridSpan w:val="7"/>
            <w:tcBorders>
              <w:top w:val="nil"/>
              <w:left w:val="nil"/>
              <w:bottom w:val="nil"/>
              <w:right w:val="nil"/>
            </w:tcBorders>
            <w:shd w:val="clear" w:color="auto" w:fill="auto"/>
            <w:vAlign w:val="center"/>
          </w:tcPr>
          <w:p w14:paraId="7C893D31">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项目支出绩效目标表</w:t>
            </w:r>
          </w:p>
        </w:tc>
      </w:tr>
      <w:tr w14:paraId="68BD4469">
        <w:tblPrEx>
          <w:tblCellMar>
            <w:top w:w="0" w:type="dxa"/>
            <w:left w:w="108" w:type="dxa"/>
            <w:bottom w:w="0" w:type="dxa"/>
            <w:right w:w="108" w:type="dxa"/>
          </w:tblCellMar>
        </w:tblPrEx>
        <w:trPr>
          <w:trHeight w:val="300" w:hRule="atLeast"/>
        </w:trPr>
        <w:tc>
          <w:tcPr>
            <w:tcW w:w="9460" w:type="dxa"/>
            <w:gridSpan w:val="7"/>
            <w:tcBorders>
              <w:top w:val="nil"/>
              <w:left w:val="nil"/>
              <w:bottom w:val="single" w:color="auto" w:sz="8" w:space="0"/>
              <w:right w:val="nil"/>
            </w:tcBorders>
            <w:shd w:val="clear" w:color="auto" w:fill="auto"/>
            <w:vAlign w:val="center"/>
          </w:tcPr>
          <w:p w14:paraId="0BCD95A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（2025年度）                                </w:t>
            </w:r>
          </w:p>
        </w:tc>
      </w:tr>
      <w:tr w14:paraId="3FDDEEB4">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43051581">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6400" w:type="dxa"/>
            <w:gridSpan w:val="4"/>
            <w:tcBorders>
              <w:top w:val="single" w:color="auto" w:sz="8" w:space="0"/>
              <w:left w:val="nil"/>
              <w:bottom w:val="single" w:color="auto" w:sz="8" w:space="0"/>
              <w:right w:val="single" w:color="auto" w:sz="8" w:space="0"/>
            </w:tcBorders>
            <w:shd w:val="clear" w:color="auto" w:fill="auto"/>
            <w:vAlign w:val="center"/>
          </w:tcPr>
          <w:p w14:paraId="792B76AE">
            <w:pPr>
              <w:widowControl/>
              <w:jc w:val="center"/>
              <w:rPr>
                <w:rFonts w:ascii="宋体" w:hAnsi="宋体" w:cs="宋体"/>
                <w:color w:val="000000"/>
                <w:kern w:val="0"/>
                <w:sz w:val="20"/>
                <w:szCs w:val="20"/>
              </w:rPr>
            </w:pPr>
            <w:r>
              <w:rPr>
                <w:rFonts w:hint="eastAsia" w:ascii="宋体" w:hAnsi="宋体" w:cs="宋体"/>
                <w:color w:val="000000"/>
                <w:kern w:val="0"/>
                <w:sz w:val="20"/>
                <w:szCs w:val="20"/>
              </w:rPr>
              <w:t>信访工作经费</w:t>
            </w:r>
          </w:p>
        </w:tc>
      </w:tr>
      <w:tr w14:paraId="4B8EDCCF">
        <w:tblPrEx>
          <w:tblCellMar>
            <w:top w:w="0" w:type="dxa"/>
            <w:left w:w="108" w:type="dxa"/>
            <w:bottom w:w="0" w:type="dxa"/>
            <w:right w:w="108" w:type="dxa"/>
          </w:tblCellMar>
        </w:tblPrEx>
        <w:trPr>
          <w:trHeight w:val="435"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140EFFB4">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主管部门及代码</w:t>
            </w:r>
          </w:p>
        </w:tc>
        <w:tc>
          <w:tcPr>
            <w:tcW w:w="2480" w:type="dxa"/>
            <w:gridSpan w:val="2"/>
            <w:tcBorders>
              <w:top w:val="nil"/>
              <w:left w:val="nil"/>
              <w:bottom w:val="single" w:color="auto" w:sz="8" w:space="0"/>
              <w:right w:val="single" w:color="auto" w:sz="8" w:space="0"/>
            </w:tcBorders>
            <w:shd w:val="clear" w:color="auto" w:fill="auto"/>
            <w:vAlign w:val="center"/>
          </w:tcPr>
          <w:p w14:paraId="795D9312">
            <w:pPr>
              <w:widowControl/>
              <w:jc w:val="center"/>
              <w:rPr>
                <w:rFonts w:ascii="宋体" w:hAnsi="宋体" w:cs="宋体"/>
                <w:color w:val="000000"/>
                <w:kern w:val="0"/>
                <w:sz w:val="20"/>
                <w:szCs w:val="20"/>
              </w:rPr>
            </w:pPr>
            <w:r>
              <w:rPr>
                <w:rFonts w:hint="eastAsia" w:ascii="宋体" w:hAnsi="宋体" w:cs="宋体"/>
                <w:color w:val="000000"/>
                <w:kern w:val="0"/>
                <w:sz w:val="20"/>
                <w:szCs w:val="20"/>
              </w:rPr>
              <w:t>115001</w:t>
            </w:r>
          </w:p>
        </w:tc>
        <w:tc>
          <w:tcPr>
            <w:tcW w:w="1960" w:type="dxa"/>
            <w:tcBorders>
              <w:top w:val="nil"/>
              <w:left w:val="nil"/>
              <w:bottom w:val="single" w:color="auto" w:sz="8" w:space="0"/>
              <w:right w:val="single" w:color="auto" w:sz="8" w:space="0"/>
            </w:tcBorders>
            <w:shd w:val="clear" w:color="auto" w:fill="auto"/>
            <w:vAlign w:val="center"/>
          </w:tcPr>
          <w:p w14:paraId="5CA95B89">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960" w:type="dxa"/>
            <w:tcBorders>
              <w:top w:val="nil"/>
              <w:left w:val="nil"/>
              <w:bottom w:val="single" w:color="auto" w:sz="8" w:space="0"/>
              <w:right w:val="single" w:color="auto" w:sz="8" w:space="0"/>
            </w:tcBorders>
            <w:shd w:val="clear" w:color="auto" w:fill="auto"/>
            <w:vAlign w:val="center"/>
          </w:tcPr>
          <w:p w14:paraId="21141028">
            <w:pPr>
              <w:widowControl/>
              <w:jc w:val="center"/>
              <w:rPr>
                <w:rFonts w:ascii="宋体" w:hAnsi="宋体" w:cs="宋体"/>
                <w:color w:val="000000"/>
                <w:kern w:val="0"/>
                <w:sz w:val="20"/>
                <w:szCs w:val="20"/>
              </w:rPr>
            </w:pPr>
            <w:r>
              <w:rPr>
                <w:rFonts w:hint="eastAsia" w:ascii="宋体" w:hAnsi="宋体" w:cs="宋体"/>
                <w:color w:val="000000"/>
                <w:kern w:val="0"/>
                <w:sz w:val="20"/>
                <w:szCs w:val="20"/>
              </w:rPr>
              <w:t>寿县信访局</w:t>
            </w:r>
          </w:p>
        </w:tc>
      </w:tr>
      <w:tr w14:paraId="107DB7E2">
        <w:tblPrEx>
          <w:tblCellMar>
            <w:top w:w="0" w:type="dxa"/>
            <w:left w:w="108" w:type="dxa"/>
            <w:bottom w:w="0" w:type="dxa"/>
            <w:right w:w="108" w:type="dxa"/>
          </w:tblCellMar>
        </w:tblPrEx>
        <w:trPr>
          <w:trHeight w:val="435"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12338A8E">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项目来源</w:t>
            </w:r>
          </w:p>
        </w:tc>
        <w:tc>
          <w:tcPr>
            <w:tcW w:w="2480" w:type="dxa"/>
            <w:gridSpan w:val="2"/>
            <w:tcBorders>
              <w:top w:val="nil"/>
              <w:left w:val="nil"/>
              <w:bottom w:val="single" w:color="auto" w:sz="8" w:space="0"/>
              <w:right w:val="single" w:color="auto" w:sz="8" w:space="0"/>
            </w:tcBorders>
            <w:shd w:val="clear" w:color="auto" w:fill="auto"/>
            <w:vAlign w:val="center"/>
          </w:tcPr>
          <w:p w14:paraId="7DB03FD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960" w:type="dxa"/>
            <w:tcBorders>
              <w:top w:val="nil"/>
              <w:left w:val="nil"/>
              <w:bottom w:val="single" w:color="auto" w:sz="8" w:space="0"/>
              <w:right w:val="single" w:color="auto" w:sz="8" w:space="0"/>
            </w:tcBorders>
            <w:shd w:val="clear" w:color="auto" w:fill="auto"/>
            <w:vAlign w:val="center"/>
          </w:tcPr>
          <w:p w14:paraId="5CC6202D">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项目期</w:t>
            </w:r>
          </w:p>
        </w:tc>
        <w:tc>
          <w:tcPr>
            <w:tcW w:w="1960" w:type="dxa"/>
            <w:tcBorders>
              <w:top w:val="nil"/>
              <w:left w:val="nil"/>
              <w:bottom w:val="single" w:color="auto" w:sz="8" w:space="0"/>
              <w:right w:val="single" w:color="auto" w:sz="8" w:space="0"/>
            </w:tcBorders>
            <w:shd w:val="clear" w:color="auto" w:fill="auto"/>
            <w:vAlign w:val="center"/>
          </w:tcPr>
          <w:p w14:paraId="2BEA36EE">
            <w:pPr>
              <w:widowControl/>
              <w:jc w:val="center"/>
              <w:rPr>
                <w:rFonts w:ascii="宋体" w:hAnsi="宋体" w:cs="宋体"/>
                <w:color w:val="000000"/>
                <w:kern w:val="0"/>
                <w:sz w:val="20"/>
                <w:szCs w:val="20"/>
              </w:rPr>
            </w:pPr>
            <w:r>
              <w:rPr>
                <w:rFonts w:hint="eastAsia" w:ascii="宋体" w:hAnsi="宋体" w:cs="宋体"/>
                <w:color w:val="000000"/>
                <w:kern w:val="0"/>
                <w:sz w:val="20"/>
                <w:szCs w:val="20"/>
              </w:rPr>
              <w:t>2025年</w:t>
            </w:r>
          </w:p>
        </w:tc>
      </w:tr>
      <w:tr w14:paraId="0C9EAC3D">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vAlign w:val="center"/>
          </w:tcPr>
          <w:p w14:paraId="2B7924B9">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tc>
        <w:tc>
          <w:tcPr>
            <w:tcW w:w="2480" w:type="dxa"/>
            <w:gridSpan w:val="2"/>
            <w:tcBorders>
              <w:top w:val="nil"/>
              <w:left w:val="nil"/>
              <w:bottom w:val="single" w:color="auto" w:sz="8" w:space="0"/>
              <w:right w:val="single" w:color="auto" w:sz="8" w:space="0"/>
            </w:tcBorders>
            <w:shd w:val="clear" w:color="auto" w:fill="auto"/>
            <w:vAlign w:val="center"/>
          </w:tcPr>
          <w:p w14:paraId="734A55C9">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年度资金总额：</w:t>
            </w:r>
          </w:p>
        </w:tc>
        <w:tc>
          <w:tcPr>
            <w:tcW w:w="3920" w:type="dxa"/>
            <w:gridSpan w:val="2"/>
            <w:tcBorders>
              <w:top w:val="nil"/>
              <w:left w:val="nil"/>
              <w:bottom w:val="single" w:color="auto" w:sz="8" w:space="0"/>
              <w:right w:val="single" w:color="auto" w:sz="8" w:space="0"/>
            </w:tcBorders>
            <w:shd w:val="clear" w:color="auto" w:fill="auto"/>
            <w:vAlign w:val="center"/>
          </w:tcPr>
          <w:p w14:paraId="5DE73EA9">
            <w:pPr>
              <w:widowControl/>
              <w:jc w:val="right"/>
              <w:rPr>
                <w:rFonts w:ascii="宋体" w:hAnsi="宋体" w:cs="宋体"/>
                <w:color w:val="000000"/>
                <w:kern w:val="0"/>
                <w:sz w:val="20"/>
                <w:szCs w:val="20"/>
              </w:rPr>
            </w:pPr>
            <w:r>
              <w:rPr>
                <w:rFonts w:hint="eastAsia" w:ascii="宋体" w:hAnsi="宋体" w:cs="宋体"/>
                <w:color w:val="000000"/>
                <w:kern w:val="0"/>
                <w:sz w:val="20"/>
                <w:szCs w:val="20"/>
              </w:rPr>
              <w:t>133</w:t>
            </w:r>
          </w:p>
        </w:tc>
      </w:tr>
      <w:tr w14:paraId="5D75D9CB">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vAlign w:val="center"/>
          </w:tcPr>
          <w:p w14:paraId="0A1D6A69">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2480" w:type="dxa"/>
            <w:gridSpan w:val="2"/>
            <w:tcBorders>
              <w:top w:val="nil"/>
              <w:left w:val="nil"/>
              <w:bottom w:val="single" w:color="auto" w:sz="8" w:space="0"/>
              <w:right w:val="single" w:color="auto" w:sz="8" w:space="0"/>
            </w:tcBorders>
            <w:shd w:val="clear" w:color="auto" w:fill="auto"/>
            <w:vAlign w:val="center"/>
          </w:tcPr>
          <w:p w14:paraId="50CF875D">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其中：财政拨款</w:t>
            </w:r>
          </w:p>
        </w:tc>
        <w:tc>
          <w:tcPr>
            <w:tcW w:w="3920" w:type="dxa"/>
            <w:gridSpan w:val="2"/>
            <w:tcBorders>
              <w:top w:val="nil"/>
              <w:left w:val="nil"/>
              <w:bottom w:val="single" w:color="auto" w:sz="8" w:space="0"/>
              <w:right w:val="single" w:color="auto" w:sz="8" w:space="0"/>
            </w:tcBorders>
            <w:shd w:val="clear" w:color="auto" w:fill="auto"/>
            <w:vAlign w:val="center"/>
          </w:tcPr>
          <w:p w14:paraId="4767F493">
            <w:pPr>
              <w:widowControl/>
              <w:jc w:val="right"/>
              <w:rPr>
                <w:rFonts w:ascii="宋体" w:hAnsi="宋体" w:cs="宋体"/>
                <w:color w:val="000000"/>
                <w:kern w:val="0"/>
                <w:sz w:val="20"/>
                <w:szCs w:val="20"/>
              </w:rPr>
            </w:pPr>
            <w:r>
              <w:rPr>
                <w:rFonts w:hint="eastAsia" w:ascii="宋体" w:hAnsi="宋体" w:cs="宋体"/>
                <w:color w:val="000000"/>
                <w:kern w:val="0"/>
                <w:sz w:val="20"/>
                <w:szCs w:val="20"/>
              </w:rPr>
              <w:t>133</w:t>
            </w:r>
          </w:p>
        </w:tc>
      </w:tr>
      <w:tr w14:paraId="3FD9FE51">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noWrap/>
            <w:vAlign w:val="center"/>
          </w:tcPr>
          <w:p w14:paraId="58D430D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480" w:type="dxa"/>
            <w:gridSpan w:val="2"/>
            <w:tcBorders>
              <w:top w:val="nil"/>
              <w:left w:val="nil"/>
              <w:bottom w:val="single" w:color="auto" w:sz="8" w:space="0"/>
              <w:right w:val="single" w:color="auto" w:sz="8" w:space="0"/>
            </w:tcBorders>
            <w:shd w:val="clear" w:color="auto" w:fill="auto"/>
            <w:vAlign w:val="center"/>
          </w:tcPr>
          <w:p w14:paraId="36C19361">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上年结转</w:t>
            </w:r>
          </w:p>
        </w:tc>
        <w:tc>
          <w:tcPr>
            <w:tcW w:w="3920" w:type="dxa"/>
            <w:gridSpan w:val="2"/>
            <w:tcBorders>
              <w:top w:val="nil"/>
              <w:left w:val="nil"/>
              <w:bottom w:val="single" w:color="auto" w:sz="8" w:space="0"/>
              <w:right w:val="single" w:color="auto" w:sz="8" w:space="0"/>
            </w:tcBorders>
            <w:shd w:val="clear" w:color="auto" w:fill="auto"/>
            <w:vAlign w:val="center"/>
          </w:tcPr>
          <w:p w14:paraId="38C71AC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5833477">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single" w:color="auto" w:sz="8" w:space="0"/>
              <w:right w:val="single" w:color="000000" w:sz="8" w:space="0"/>
            </w:tcBorders>
            <w:shd w:val="clear" w:color="auto" w:fill="auto"/>
            <w:noWrap/>
            <w:vAlign w:val="center"/>
          </w:tcPr>
          <w:p w14:paraId="73EE417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480" w:type="dxa"/>
            <w:gridSpan w:val="2"/>
            <w:tcBorders>
              <w:top w:val="nil"/>
              <w:left w:val="nil"/>
              <w:bottom w:val="single" w:color="auto" w:sz="8" w:space="0"/>
              <w:right w:val="single" w:color="auto" w:sz="8" w:space="0"/>
            </w:tcBorders>
            <w:shd w:val="clear" w:color="auto" w:fill="auto"/>
            <w:vAlign w:val="center"/>
          </w:tcPr>
          <w:p w14:paraId="7DF7C2F5">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3920" w:type="dxa"/>
            <w:gridSpan w:val="2"/>
            <w:tcBorders>
              <w:top w:val="nil"/>
              <w:left w:val="nil"/>
              <w:bottom w:val="single" w:color="auto" w:sz="8" w:space="0"/>
              <w:right w:val="single" w:color="auto" w:sz="8" w:space="0"/>
            </w:tcBorders>
            <w:shd w:val="clear" w:color="auto" w:fill="auto"/>
            <w:vAlign w:val="center"/>
          </w:tcPr>
          <w:p w14:paraId="67E625AA">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r>
      <w:tr w14:paraId="416272D7">
        <w:tblPrEx>
          <w:tblCellMar>
            <w:top w:w="0" w:type="dxa"/>
            <w:left w:w="108" w:type="dxa"/>
            <w:bottom w:w="0" w:type="dxa"/>
            <w:right w:w="108" w:type="dxa"/>
          </w:tblCellMar>
        </w:tblPrEx>
        <w:trPr>
          <w:trHeight w:val="300" w:hRule="atLeast"/>
        </w:trPr>
        <w:tc>
          <w:tcPr>
            <w:tcW w:w="1020" w:type="dxa"/>
            <w:tcBorders>
              <w:top w:val="nil"/>
              <w:left w:val="single" w:color="auto" w:sz="8" w:space="0"/>
              <w:bottom w:val="nil"/>
              <w:right w:val="single" w:color="auto" w:sz="8" w:space="0"/>
            </w:tcBorders>
            <w:shd w:val="clear" w:color="auto" w:fill="auto"/>
            <w:vAlign w:val="center"/>
          </w:tcPr>
          <w:p w14:paraId="54B869A4">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8440" w:type="dxa"/>
            <w:gridSpan w:val="6"/>
            <w:vMerge w:val="restart"/>
            <w:tcBorders>
              <w:top w:val="nil"/>
              <w:left w:val="single" w:color="auto" w:sz="8" w:space="0"/>
              <w:bottom w:val="single" w:color="auto" w:sz="8" w:space="0"/>
              <w:right w:val="single" w:color="auto" w:sz="8" w:space="0"/>
            </w:tcBorders>
            <w:shd w:val="clear" w:color="auto" w:fill="auto"/>
            <w:vAlign w:val="center"/>
          </w:tcPr>
          <w:p w14:paraId="4BCECA30">
            <w:pPr>
              <w:widowControl/>
              <w:jc w:val="left"/>
              <w:rPr>
                <w:rFonts w:ascii="宋体" w:hAnsi="宋体" w:cs="宋体"/>
                <w:color w:val="000000"/>
                <w:kern w:val="0"/>
                <w:sz w:val="20"/>
                <w:szCs w:val="20"/>
              </w:rPr>
            </w:pPr>
            <w:r>
              <w:rPr>
                <w:rFonts w:hint="eastAsia" w:ascii="宋体" w:hAnsi="宋体" w:cs="宋体"/>
                <w:color w:val="000000"/>
                <w:kern w:val="0"/>
                <w:sz w:val="20"/>
                <w:szCs w:val="20"/>
              </w:rPr>
              <w:t>大力推广信访工作法治化，及时就地解决信访问题、化解突出矛盾，广泛汇集社情民意，有力维护群众合法权益，促进社会和谐稳定。</w:t>
            </w:r>
          </w:p>
        </w:tc>
      </w:tr>
      <w:tr w14:paraId="12D91F12">
        <w:tblPrEx>
          <w:tblCellMar>
            <w:top w:w="0" w:type="dxa"/>
            <w:left w:w="108" w:type="dxa"/>
            <w:bottom w:w="0" w:type="dxa"/>
            <w:right w:w="108" w:type="dxa"/>
          </w:tblCellMar>
        </w:tblPrEx>
        <w:trPr>
          <w:trHeight w:val="270" w:hRule="atLeast"/>
        </w:trPr>
        <w:tc>
          <w:tcPr>
            <w:tcW w:w="1020" w:type="dxa"/>
            <w:tcBorders>
              <w:top w:val="nil"/>
              <w:left w:val="single" w:color="auto" w:sz="8" w:space="0"/>
              <w:bottom w:val="single" w:color="auto" w:sz="8" w:space="0"/>
              <w:right w:val="single" w:color="auto" w:sz="8" w:space="0"/>
            </w:tcBorders>
            <w:shd w:val="clear" w:color="auto" w:fill="auto"/>
            <w:vAlign w:val="center"/>
          </w:tcPr>
          <w:p w14:paraId="6EE59F37">
            <w:pPr>
              <w:widowControl/>
              <w:jc w:val="center"/>
              <w:rPr>
                <w:rFonts w:ascii="宋体" w:hAnsi="宋体" w:cs="宋体"/>
                <w:color w:val="000000"/>
                <w:kern w:val="0"/>
                <w:sz w:val="20"/>
                <w:szCs w:val="20"/>
              </w:rPr>
            </w:pPr>
            <w:r>
              <w:rPr>
                <w:rFonts w:hint="eastAsia" w:ascii="宋体" w:hAnsi="宋体" w:cs="宋体"/>
                <w:color w:val="000000"/>
                <w:kern w:val="0"/>
                <w:sz w:val="20"/>
                <w:szCs w:val="20"/>
              </w:rPr>
              <w:t>目标</w:t>
            </w:r>
          </w:p>
        </w:tc>
        <w:tc>
          <w:tcPr>
            <w:tcW w:w="8440" w:type="dxa"/>
            <w:gridSpan w:val="6"/>
            <w:vMerge w:val="continue"/>
            <w:tcBorders>
              <w:top w:val="nil"/>
              <w:left w:val="single" w:color="auto" w:sz="8" w:space="0"/>
              <w:bottom w:val="single" w:color="auto" w:sz="8" w:space="0"/>
              <w:right w:val="single" w:color="auto" w:sz="8" w:space="0"/>
            </w:tcBorders>
            <w:vAlign w:val="center"/>
          </w:tcPr>
          <w:p w14:paraId="72307903">
            <w:pPr>
              <w:widowControl/>
              <w:jc w:val="left"/>
              <w:rPr>
                <w:rFonts w:ascii="宋体" w:hAnsi="宋体" w:cs="宋体"/>
                <w:color w:val="000000"/>
                <w:kern w:val="0"/>
                <w:sz w:val="20"/>
                <w:szCs w:val="20"/>
              </w:rPr>
            </w:pPr>
          </w:p>
        </w:tc>
      </w:tr>
      <w:tr w14:paraId="14A4BA34">
        <w:tblPrEx>
          <w:tblCellMar>
            <w:top w:w="0" w:type="dxa"/>
            <w:left w:w="108" w:type="dxa"/>
            <w:bottom w:w="0" w:type="dxa"/>
            <w:right w:w="108" w:type="dxa"/>
          </w:tblCellMar>
        </w:tblPrEx>
        <w:trPr>
          <w:trHeight w:val="300" w:hRule="atLeast"/>
        </w:trPr>
        <w:tc>
          <w:tcPr>
            <w:tcW w:w="1020" w:type="dxa"/>
            <w:tcBorders>
              <w:top w:val="nil"/>
              <w:left w:val="single" w:color="auto" w:sz="8" w:space="0"/>
              <w:bottom w:val="nil"/>
              <w:right w:val="single" w:color="auto" w:sz="8" w:space="0"/>
            </w:tcBorders>
            <w:shd w:val="clear" w:color="auto" w:fill="auto"/>
            <w:vAlign w:val="center"/>
          </w:tcPr>
          <w:p w14:paraId="15AD182A">
            <w:pPr>
              <w:widowControl/>
              <w:jc w:val="center"/>
              <w:rPr>
                <w:rFonts w:ascii="宋体" w:hAnsi="宋体" w:cs="宋体"/>
                <w:color w:val="000000"/>
                <w:kern w:val="0"/>
                <w:sz w:val="20"/>
                <w:szCs w:val="20"/>
              </w:rPr>
            </w:pPr>
            <w:r>
              <w:rPr>
                <w:rFonts w:hint="eastAsia" w:ascii="宋体" w:hAnsi="宋体" w:cs="宋体"/>
                <w:color w:val="000000"/>
                <w:kern w:val="0"/>
                <w:sz w:val="20"/>
                <w:szCs w:val="20"/>
              </w:rPr>
              <w:t>绩</w:t>
            </w:r>
          </w:p>
        </w:tc>
        <w:tc>
          <w:tcPr>
            <w:tcW w:w="1020" w:type="dxa"/>
            <w:tcBorders>
              <w:top w:val="nil"/>
              <w:left w:val="nil"/>
              <w:bottom w:val="nil"/>
              <w:right w:val="single" w:color="auto" w:sz="8" w:space="0"/>
            </w:tcBorders>
            <w:shd w:val="clear" w:color="auto" w:fill="auto"/>
            <w:vAlign w:val="center"/>
          </w:tcPr>
          <w:p w14:paraId="455CD1DC">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c>
          <w:tcPr>
            <w:tcW w:w="2260"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794FA9F1">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40" w:type="dxa"/>
            <w:vMerge w:val="restart"/>
            <w:tcBorders>
              <w:top w:val="nil"/>
              <w:left w:val="single" w:color="auto" w:sz="8" w:space="0"/>
              <w:bottom w:val="single" w:color="auto" w:sz="8" w:space="0"/>
              <w:right w:val="single" w:color="auto" w:sz="8" w:space="0"/>
            </w:tcBorders>
            <w:shd w:val="clear" w:color="auto" w:fill="auto"/>
            <w:vAlign w:val="center"/>
          </w:tcPr>
          <w:p w14:paraId="29B8FD7B">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3920"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41398988">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r>
      <w:tr w14:paraId="1977AC2A">
        <w:tblPrEx>
          <w:tblCellMar>
            <w:top w:w="0" w:type="dxa"/>
            <w:left w:w="108" w:type="dxa"/>
            <w:bottom w:w="0" w:type="dxa"/>
            <w:right w:w="108" w:type="dxa"/>
          </w:tblCellMar>
        </w:tblPrEx>
        <w:trPr>
          <w:trHeight w:val="285" w:hRule="atLeast"/>
        </w:trPr>
        <w:tc>
          <w:tcPr>
            <w:tcW w:w="1020" w:type="dxa"/>
            <w:tcBorders>
              <w:top w:val="nil"/>
              <w:left w:val="single" w:color="auto" w:sz="8" w:space="0"/>
              <w:bottom w:val="nil"/>
              <w:right w:val="single" w:color="auto" w:sz="8" w:space="0"/>
            </w:tcBorders>
            <w:shd w:val="clear" w:color="auto" w:fill="auto"/>
            <w:vAlign w:val="center"/>
          </w:tcPr>
          <w:p w14:paraId="74414B8E">
            <w:pPr>
              <w:widowControl/>
              <w:jc w:val="center"/>
              <w:rPr>
                <w:rFonts w:ascii="宋体" w:hAnsi="宋体" w:cs="宋体"/>
                <w:color w:val="000000"/>
                <w:kern w:val="0"/>
                <w:sz w:val="20"/>
                <w:szCs w:val="20"/>
              </w:rPr>
            </w:pPr>
            <w:r>
              <w:rPr>
                <w:rFonts w:hint="eastAsia" w:ascii="宋体" w:hAnsi="宋体" w:cs="宋体"/>
                <w:color w:val="000000"/>
                <w:kern w:val="0"/>
                <w:sz w:val="20"/>
                <w:szCs w:val="20"/>
              </w:rPr>
              <w:t>效</w:t>
            </w:r>
          </w:p>
        </w:tc>
        <w:tc>
          <w:tcPr>
            <w:tcW w:w="1020" w:type="dxa"/>
            <w:tcBorders>
              <w:top w:val="nil"/>
              <w:left w:val="nil"/>
              <w:bottom w:val="single" w:color="auto" w:sz="8" w:space="0"/>
              <w:right w:val="single" w:color="auto" w:sz="8" w:space="0"/>
            </w:tcBorders>
            <w:shd w:val="clear" w:color="auto" w:fill="auto"/>
            <w:vAlign w:val="center"/>
          </w:tcPr>
          <w:p w14:paraId="1700D9BB">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2260" w:type="dxa"/>
            <w:gridSpan w:val="2"/>
            <w:vMerge w:val="continue"/>
            <w:tcBorders>
              <w:top w:val="nil"/>
              <w:left w:val="nil"/>
              <w:bottom w:val="single" w:color="auto" w:sz="8" w:space="0"/>
              <w:right w:val="single" w:color="auto" w:sz="8" w:space="0"/>
            </w:tcBorders>
            <w:vAlign w:val="center"/>
          </w:tcPr>
          <w:p w14:paraId="20360C6F">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auto" w:sz="8" w:space="0"/>
              <w:right w:val="single" w:color="auto" w:sz="8" w:space="0"/>
            </w:tcBorders>
            <w:vAlign w:val="center"/>
          </w:tcPr>
          <w:p w14:paraId="132F1922">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auto" w:sz="8" w:space="0"/>
              <w:right w:val="single" w:color="auto" w:sz="8" w:space="0"/>
            </w:tcBorders>
            <w:vAlign w:val="center"/>
          </w:tcPr>
          <w:p w14:paraId="352CE64B">
            <w:pPr>
              <w:widowControl/>
              <w:jc w:val="left"/>
              <w:rPr>
                <w:rFonts w:ascii="宋体" w:hAnsi="宋体" w:cs="宋体"/>
                <w:color w:val="000000"/>
                <w:kern w:val="0"/>
                <w:sz w:val="20"/>
                <w:szCs w:val="20"/>
              </w:rPr>
            </w:pPr>
          </w:p>
        </w:tc>
      </w:tr>
      <w:tr w14:paraId="057CED95">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vAlign w:val="center"/>
          </w:tcPr>
          <w:p w14:paraId="6ABD0C7C">
            <w:pPr>
              <w:widowControl/>
              <w:jc w:val="center"/>
              <w:rPr>
                <w:rFonts w:ascii="宋体" w:hAnsi="宋体" w:cs="宋体"/>
                <w:color w:val="000000"/>
                <w:kern w:val="0"/>
                <w:sz w:val="20"/>
                <w:szCs w:val="20"/>
              </w:rPr>
            </w:pPr>
            <w:r>
              <w:rPr>
                <w:rFonts w:hint="eastAsia" w:ascii="宋体" w:hAnsi="宋体" w:cs="宋体"/>
                <w:color w:val="000000"/>
                <w:kern w:val="0"/>
                <w:sz w:val="20"/>
                <w:szCs w:val="20"/>
              </w:rPr>
              <w:t>指</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47F6E33C">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1192E2EA">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6548A161">
            <w:pPr>
              <w:widowControl/>
              <w:jc w:val="center"/>
              <w:rPr>
                <w:rFonts w:ascii="宋体" w:hAnsi="宋体" w:cs="宋体"/>
                <w:color w:val="000000"/>
                <w:kern w:val="0"/>
                <w:sz w:val="20"/>
                <w:szCs w:val="20"/>
              </w:rPr>
            </w:pPr>
            <w:r>
              <w:rPr>
                <w:rFonts w:hint="eastAsia" w:ascii="宋体" w:hAnsi="宋体" w:cs="宋体"/>
                <w:color w:val="000000"/>
                <w:kern w:val="0"/>
                <w:sz w:val="20"/>
                <w:szCs w:val="20"/>
              </w:rPr>
              <w:t>领导干部接待日</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54ABB2E6">
            <w:pPr>
              <w:widowControl/>
              <w:jc w:val="center"/>
              <w:rPr>
                <w:rFonts w:ascii="宋体" w:hAnsi="宋体" w:cs="宋体"/>
                <w:color w:val="000000"/>
                <w:kern w:val="0"/>
                <w:sz w:val="20"/>
                <w:szCs w:val="20"/>
              </w:rPr>
            </w:pPr>
            <w:r>
              <w:rPr>
                <w:rFonts w:hint="eastAsia" w:ascii="宋体" w:hAnsi="宋体" w:cs="宋体"/>
                <w:color w:val="000000"/>
                <w:kern w:val="0"/>
                <w:sz w:val="20"/>
                <w:szCs w:val="20"/>
              </w:rPr>
              <w:t>开展县党政领导接待日150次以上。</w:t>
            </w:r>
          </w:p>
        </w:tc>
      </w:tr>
      <w:tr w14:paraId="1915BCAA">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vAlign w:val="center"/>
          </w:tcPr>
          <w:p w14:paraId="08E074FC">
            <w:pPr>
              <w:widowControl/>
              <w:jc w:val="center"/>
              <w:rPr>
                <w:rFonts w:ascii="宋体" w:hAnsi="宋体" w:cs="宋体"/>
                <w:color w:val="000000"/>
                <w:kern w:val="0"/>
                <w:sz w:val="20"/>
                <w:szCs w:val="20"/>
              </w:rPr>
            </w:pPr>
            <w:r>
              <w:rPr>
                <w:rFonts w:hint="eastAsia" w:ascii="宋体" w:hAnsi="宋体" w:cs="宋体"/>
                <w:color w:val="000000"/>
                <w:kern w:val="0"/>
                <w:sz w:val="20"/>
                <w:szCs w:val="20"/>
              </w:rPr>
              <w:t>标</w:t>
            </w:r>
          </w:p>
        </w:tc>
        <w:tc>
          <w:tcPr>
            <w:tcW w:w="1020" w:type="dxa"/>
            <w:vMerge w:val="continue"/>
            <w:tcBorders>
              <w:top w:val="nil"/>
              <w:left w:val="single" w:color="auto" w:sz="8" w:space="0"/>
              <w:bottom w:val="single" w:color="auto" w:sz="8" w:space="0"/>
              <w:right w:val="single" w:color="auto" w:sz="8" w:space="0"/>
            </w:tcBorders>
            <w:vAlign w:val="center"/>
          </w:tcPr>
          <w:p w14:paraId="6D87703D">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3FE93B32">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5A8ADAB6">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49091BAF">
            <w:pPr>
              <w:widowControl/>
              <w:jc w:val="left"/>
              <w:rPr>
                <w:rFonts w:ascii="宋体" w:hAnsi="宋体" w:cs="宋体"/>
                <w:color w:val="000000"/>
                <w:kern w:val="0"/>
                <w:sz w:val="20"/>
                <w:szCs w:val="20"/>
              </w:rPr>
            </w:pPr>
          </w:p>
        </w:tc>
      </w:tr>
      <w:tr w14:paraId="54412BE1">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91D188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32E15DCB">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4F50E7E7">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45F3E8C3">
            <w:pPr>
              <w:widowControl/>
              <w:jc w:val="center"/>
              <w:rPr>
                <w:rFonts w:ascii="宋体" w:hAnsi="宋体" w:cs="宋体"/>
                <w:color w:val="000000"/>
                <w:kern w:val="0"/>
                <w:sz w:val="20"/>
                <w:szCs w:val="20"/>
              </w:rPr>
            </w:pPr>
            <w:r>
              <w:rPr>
                <w:rFonts w:hint="eastAsia" w:ascii="宋体" w:hAnsi="宋体" w:cs="宋体"/>
                <w:color w:val="000000"/>
                <w:kern w:val="0"/>
                <w:sz w:val="20"/>
                <w:szCs w:val="20"/>
              </w:rPr>
              <w:t>及时受理率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1FAE6025">
            <w:pPr>
              <w:widowControl/>
              <w:jc w:val="center"/>
              <w:rPr>
                <w:rFonts w:ascii="宋体" w:hAnsi="宋体" w:cs="宋体"/>
                <w:color w:val="000000"/>
                <w:kern w:val="0"/>
                <w:sz w:val="20"/>
                <w:szCs w:val="20"/>
              </w:rPr>
            </w:pPr>
            <w:r>
              <w:rPr>
                <w:rFonts w:hint="eastAsia" w:ascii="宋体" w:hAnsi="宋体" w:cs="宋体"/>
                <w:color w:val="000000"/>
                <w:kern w:val="0"/>
                <w:sz w:val="20"/>
                <w:szCs w:val="20"/>
              </w:rPr>
              <w:t>网、信、访、电等信访事项及时受理率均达到100%。</w:t>
            </w:r>
          </w:p>
        </w:tc>
      </w:tr>
      <w:tr w14:paraId="38477C33">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26D6520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3A2BB1AF">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07B8EA65">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62F9122B">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569CB749">
            <w:pPr>
              <w:widowControl/>
              <w:jc w:val="left"/>
              <w:rPr>
                <w:rFonts w:ascii="宋体" w:hAnsi="宋体" w:cs="宋体"/>
                <w:color w:val="000000"/>
                <w:kern w:val="0"/>
                <w:sz w:val="20"/>
                <w:szCs w:val="20"/>
              </w:rPr>
            </w:pPr>
          </w:p>
        </w:tc>
      </w:tr>
      <w:tr w14:paraId="71D624DF">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4CB622B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374FED47">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627ED07E">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2C50ACEB">
            <w:pPr>
              <w:widowControl/>
              <w:jc w:val="center"/>
              <w:rPr>
                <w:rFonts w:ascii="宋体" w:hAnsi="宋体" w:cs="宋体"/>
                <w:color w:val="000000"/>
                <w:kern w:val="0"/>
                <w:sz w:val="20"/>
                <w:szCs w:val="20"/>
              </w:rPr>
            </w:pPr>
            <w:r>
              <w:rPr>
                <w:rFonts w:hint="eastAsia" w:ascii="宋体" w:hAnsi="宋体" w:cs="宋体"/>
                <w:color w:val="000000"/>
                <w:kern w:val="0"/>
                <w:sz w:val="20"/>
                <w:szCs w:val="20"/>
              </w:rPr>
              <w:t>按期办结率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64543711">
            <w:pPr>
              <w:widowControl/>
              <w:jc w:val="center"/>
              <w:rPr>
                <w:rFonts w:ascii="宋体" w:hAnsi="宋体" w:cs="宋体"/>
                <w:color w:val="000000"/>
                <w:kern w:val="0"/>
                <w:sz w:val="20"/>
                <w:szCs w:val="20"/>
              </w:rPr>
            </w:pPr>
            <w:r>
              <w:rPr>
                <w:rFonts w:hint="eastAsia" w:ascii="宋体" w:hAnsi="宋体" w:cs="宋体"/>
                <w:color w:val="000000"/>
                <w:kern w:val="0"/>
                <w:sz w:val="20"/>
                <w:szCs w:val="20"/>
              </w:rPr>
              <w:t>网、信、访、电等信访事项按期办结率均达到100%。</w:t>
            </w:r>
          </w:p>
        </w:tc>
      </w:tr>
      <w:tr w14:paraId="36BF605F">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2D89DDF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7C384C8D">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0B1591C8">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3C43B7E0">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4236082D">
            <w:pPr>
              <w:widowControl/>
              <w:jc w:val="left"/>
              <w:rPr>
                <w:rFonts w:ascii="宋体" w:hAnsi="宋体" w:cs="宋体"/>
                <w:color w:val="000000"/>
                <w:kern w:val="0"/>
                <w:sz w:val="20"/>
                <w:szCs w:val="20"/>
              </w:rPr>
            </w:pPr>
          </w:p>
        </w:tc>
      </w:tr>
      <w:tr w14:paraId="365F1843">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709A188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2242FFE0">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25E3A722">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31501C96">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资金成本率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487D10BF">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资金成本率控制在100%以内。</w:t>
            </w:r>
          </w:p>
        </w:tc>
      </w:tr>
      <w:tr w14:paraId="08FA61AF">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4E8625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2F4D78D5">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263E443C">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08DB427C">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60007470">
            <w:pPr>
              <w:widowControl/>
              <w:jc w:val="left"/>
              <w:rPr>
                <w:rFonts w:ascii="宋体" w:hAnsi="宋体" w:cs="宋体"/>
                <w:color w:val="000000"/>
                <w:kern w:val="0"/>
                <w:sz w:val="20"/>
                <w:szCs w:val="20"/>
              </w:rPr>
            </w:pPr>
          </w:p>
        </w:tc>
      </w:tr>
      <w:tr w14:paraId="15C3767E">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2815428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4CD39311">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7466DC57">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53D5B394">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社会和谐稳定</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0CAB843F">
            <w:pPr>
              <w:widowControl/>
              <w:jc w:val="center"/>
              <w:rPr>
                <w:rFonts w:ascii="宋体" w:hAnsi="宋体" w:cs="宋体"/>
                <w:color w:val="000000"/>
                <w:kern w:val="0"/>
                <w:sz w:val="20"/>
                <w:szCs w:val="20"/>
              </w:rPr>
            </w:pPr>
            <w:r>
              <w:rPr>
                <w:rFonts w:hint="eastAsia" w:ascii="宋体" w:hAnsi="宋体" w:cs="宋体"/>
                <w:color w:val="000000"/>
                <w:kern w:val="0"/>
                <w:sz w:val="20"/>
                <w:szCs w:val="20"/>
              </w:rPr>
              <w:t>化解突出矛盾，维护信访群众的合法权益，促进社会和谐稳定。</w:t>
            </w:r>
          </w:p>
        </w:tc>
      </w:tr>
      <w:tr w14:paraId="4421707A">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45F5FC4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3DBFC42">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7EBB7CBA">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00269979">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46C38845">
            <w:pPr>
              <w:widowControl/>
              <w:jc w:val="left"/>
              <w:rPr>
                <w:rFonts w:ascii="宋体" w:hAnsi="宋体" w:cs="宋体"/>
                <w:color w:val="000000"/>
                <w:kern w:val="0"/>
                <w:sz w:val="20"/>
                <w:szCs w:val="20"/>
              </w:rPr>
            </w:pPr>
          </w:p>
        </w:tc>
      </w:tr>
      <w:tr w14:paraId="24E25BB4">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1D993EC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7082003">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13FE9359">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565E7CB8">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社会和谐稳定</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0DF04592">
            <w:pPr>
              <w:widowControl/>
              <w:jc w:val="center"/>
              <w:rPr>
                <w:rFonts w:ascii="宋体" w:hAnsi="宋体" w:cs="宋体"/>
                <w:color w:val="000000"/>
                <w:kern w:val="0"/>
                <w:sz w:val="20"/>
                <w:szCs w:val="20"/>
              </w:rPr>
            </w:pPr>
            <w:r>
              <w:rPr>
                <w:rFonts w:hint="eastAsia" w:ascii="宋体" w:hAnsi="宋体" w:cs="宋体"/>
                <w:color w:val="000000"/>
                <w:kern w:val="0"/>
                <w:sz w:val="20"/>
                <w:szCs w:val="20"/>
              </w:rPr>
              <w:t>化解突出矛盾，维护信访群众的合法权益，促进社会和谐稳定。</w:t>
            </w:r>
          </w:p>
        </w:tc>
      </w:tr>
      <w:tr w14:paraId="48DF9ED2">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61B71FB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C740ABC">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4CB71777">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7D4D2DCA">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3FB96283">
            <w:pPr>
              <w:widowControl/>
              <w:jc w:val="left"/>
              <w:rPr>
                <w:rFonts w:ascii="宋体" w:hAnsi="宋体" w:cs="宋体"/>
                <w:color w:val="000000"/>
                <w:kern w:val="0"/>
                <w:sz w:val="20"/>
                <w:szCs w:val="20"/>
              </w:rPr>
            </w:pPr>
          </w:p>
        </w:tc>
      </w:tr>
      <w:tr w14:paraId="1CEB79EC">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2091B89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428B36B8">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616E3F82">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6BF5BAAB">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社会和谐稳定</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5A172803">
            <w:pPr>
              <w:widowControl/>
              <w:jc w:val="center"/>
              <w:rPr>
                <w:rFonts w:ascii="宋体" w:hAnsi="宋体" w:cs="宋体"/>
                <w:color w:val="000000"/>
                <w:kern w:val="0"/>
                <w:sz w:val="20"/>
                <w:szCs w:val="20"/>
              </w:rPr>
            </w:pPr>
            <w:r>
              <w:rPr>
                <w:rFonts w:hint="eastAsia" w:ascii="宋体" w:hAnsi="宋体" w:cs="宋体"/>
                <w:color w:val="000000"/>
                <w:kern w:val="0"/>
                <w:sz w:val="20"/>
                <w:szCs w:val="20"/>
              </w:rPr>
              <w:t>依法合规解决信访群众反映的信访问题，不断提升工作水平。</w:t>
            </w:r>
          </w:p>
        </w:tc>
      </w:tr>
      <w:tr w14:paraId="12A817DB">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E465D3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714B2566">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6B1996CB">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449451C0">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60509AA1">
            <w:pPr>
              <w:widowControl/>
              <w:jc w:val="left"/>
              <w:rPr>
                <w:rFonts w:ascii="宋体" w:hAnsi="宋体" w:cs="宋体"/>
                <w:color w:val="000000"/>
                <w:kern w:val="0"/>
                <w:sz w:val="20"/>
                <w:szCs w:val="20"/>
              </w:rPr>
            </w:pPr>
          </w:p>
        </w:tc>
      </w:tr>
      <w:tr w14:paraId="56A8CF46">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2FEC995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66DCC211">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749F56F6">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4A8DB9BA">
            <w:pPr>
              <w:widowControl/>
              <w:jc w:val="center"/>
              <w:rPr>
                <w:rFonts w:ascii="宋体" w:hAnsi="宋体" w:cs="宋体"/>
                <w:color w:val="000000"/>
                <w:kern w:val="0"/>
                <w:sz w:val="20"/>
                <w:szCs w:val="20"/>
              </w:rPr>
            </w:pPr>
            <w:r>
              <w:rPr>
                <w:rFonts w:hint="eastAsia" w:ascii="宋体" w:hAnsi="宋体" w:cs="宋体"/>
                <w:color w:val="000000"/>
                <w:kern w:val="0"/>
                <w:sz w:val="20"/>
                <w:szCs w:val="20"/>
              </w:rPr>
              <w:t>信访群众满意度</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66B45AA8">
            <w:pPr>
              <w:widowControl/>
              <w:jc w:val="center"/>
              <w:rPr>
                <w:rFonts w:ascii="宋体" w:hAnsi="宋体" w:cs="宋体"/>
                <w:color w:val="000000"/>
                <w:kern w:val="0"/>
                <w:sz w:val="20"/>
                <w:szCs w:val="20"/>
              </w:rPr>
            </w:pPr>
            <w:r>
              <w:rPr>
                <w:rFonts w:hint="eastAsia" w:ascii="宋体" w:hAnsi="宋体" w:cs="宋体"/>
                <w:color w:val="000000"/>
                <w:kern w:val="0"/>
                <w:sz w:val="20"/>
                <w:szCs w:val="20"/>
              </w:rPr>
              <w:t>信访群众满意度达到100%。</w:t>
            </w:r>
          </w:p>
        </w:tc>
      </w:tr>
      <w:tr w14:paraId="6C2652BB">
        <w:tblPrEx>
          <w:tblCellMar>
            <w:top w:w="0" w:type="dxa"/>
            <w:left w:w="108" w:type="dxa"/>
            <w:bottom w:w="0" w:type="dxa"/>
            <w:right w:w="108" w:type="dxa"/>
          </w:tblCellMar>
        </w:tblPrEx>
        <w:trPr>
          <w:trHeight w:val="402" w:hRule="atLeast"/>
        </w:trPr>
        <w:tc>
          <w:tcPr>
            <w:tcW w:w="1020" w:type="dxa"/>
            <w:tcBorders>
              <w:top w:val="nil"/>
              <w:left w:val="single" w:color="auto" w:sz="8" w:space="0"/>
              <w:bottom w:val="single" w:color="auto" w:sz="8" w:space="0"/>
              <w:right w:val="single" w:color="auto" w:sz="8" w:space="0"/>
            </w:tcBorders>
            <w:shd w:val="clear" w:color="auto" w:fill="auto"/>
            <w:noWrap/>
            <w:vAlign w:val="center"/>
          </w:tcPr>
          <w:p w14:paraId="035DE53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7B45A6B">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3EBA62B9">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5068FD8A">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18B19C29">
            <w:pPr>
              <w:widowControl/>
              <w:jc w:val="left"/>
              <w:rPr>
                <w:rFonts w:ascii="宋体" w:hAnsi="宋体" w:cs="宋体"/>
                <w:color w:val="000000"/>
                <w:kern w:val="0"/>
                <w:sz w:val="20"/>
                <w:szCs w:val="20"/>
              </w:rPr>
            </w:pPr>
          </w:p>
        </w:tc>
      </w:tr>
    </w:tbl>
    <w:p w14:paraId="3080E3C7">
      <w:pPr>
        <w:adjustRightInd w:val="0"/>
        <w:snapToGrid w:val="0"/>
        <w:spacing w:line="580" w:lineRule="exact"/>
        <w:jc w:val="left"/>
        <w:rPr>
          <w:rFonts w:ascii="仿宋" w:hAnsi="仿宋" w:eastAsia="仿宋"/>
          <w:b/>
          <w:sz w:val="32"/>
          <w:szCs w:val="32"/>
        </w:rPr>
      </w:pPr>
    </w:p>
    <w:p w14:paraId="52F53625">
      <w:pPr>
        <w:adjustRightInd w:val="0"/>
        <w:snapToGrid w:val="0"/>
        <w:spacing w:line="580" w:lineRule="exact"/>
        <w:jc w:val="left"/>
        <w:rPr>
          <w:rFonts w:ascii="仿宋" w:hAnsi="仿宋" w:eastAsia="仿宋"/>
          <w:b/>
          <w:sz w:val="32"/>
          <w:szCs w:val="32"/>
        </w:rPr>
      </w:pPr>
      <w:r>
        <w:rPr>
          <w:rFonts w:hint="eastAsia" w:ascii="仿宋" w:hAnsi="仿宋" w:eastAsia="仿宋"/>
          <w:b/>
          <w:sz w:val="32"/>
          <w:szCs w:val="32"/>
        </w:rPr>
        <w:t>2.“淮南市政府驻北京联络处维稳一室工作经费”项目。</w:t>
      </w:r>
    </w:p>
    <w:p w14:paraId="2DBE826E">
      <w:pPr>
        <w:ind w:firstLine="640" w:firstLineChars="200"/>
        <w:rPr>
          <w:rFonts w:ascii="仿宋" w:hAnsi="仿宋" w:eastAsia="仿宋"/>
          <w:sz w:val="32"/>
          <w:szCs w:val="32"/>
        </w:rPr>
      </w:pPr>
      <w:r>
        <w:rPr>
          <w:rFonts w:hint="eastAsia" w:ascii="仿宋" w:hAnsi="仿宋" w:eastAsia="仿宋"/>
          <w:sz w:val="32"/>
          <w:szCs w:val="32"/>
        </w:rPr>
        <w:t>（1）项目概述。收集、整理并及时向县委、县政府报送重要的政务、经济、科技和商务等信息。</w:t>
      </w:r>
    </w:p>
    <w:p w14:paraId="6225D1E7">
      <w:pPr>
        <w:ind w:firstLine="640" w:firstLineChars="200"/>
        <w:rPr>
          <w:rFonts w:ascii="仿宋" w:hAnsi="仿宋" w:eastAsia="仿宋"/>
          <w:sz w:val="32"/>
          <w:szCs w:val="32"/>
        </w:rPr>
      </w:pPr>
      <w:r>
        <w:rPr>
          <w:rFonts w:hint="eastAsia" w:ascii="仿宋" w:hAnsi="仿宋" w:eastAsia="仿宋"/>
          <w:sz w:val="32"/>
          <w:szCs w:val="32"/>
        </w:rPr>
        <w:t>（2）立项依据。根据淮南市政府批复。</w:t>
      </w:r>
    </w:p>
    <w:p w14:paraId="7060AFEE">
      <w:pPr>
        <w:ind w:firstLine="640" w:firstLineChars="200"/>
        <w:rPr>
          <w:rFonts w:ascii="仿宋" w:hAnsi="仿宋" w:eastAsia="仿宋"/>
          <w:sz w:val="32"/>
          <w:szCs w:val="32"/>
        </w:rPr>
      </w:pPr>
      <w:r>
        <w:rPr>
          <w:rFonts w:hint="eastAsia" w:ascii="仿宋" w:hAnsi="仿宋" w:eastAsia="仿宋"/>
          <w:sz w:val="32"/>
          <w:szCs w:val="32"/>
        </w:rPr>
        <w:t>（3）实施主体。实施主体为淮南市政府驻北京联络处维稳一室，</w:t>
      </w:r>
      <w:r>
        <w:rPr>
          <w:rFonts w:ascii="仿宋" w:hAnsi="仿宋" w:eastAsia="仿宋"/>
          <w:sz w:val="32"/>
          <w:szCs w:val="32"/>
        </w:rPr>
        <w:t xml:space="preserve"> </w:t>
      </w:r>
    </w:p>
    <w:p w14:paraId="22480A3D">
      <w:pPr>
        <w:ind w:firstLine="640" w:firstLineChars="200"/>
        <w:rPr>
          <w:rFonts w:ascii="仿宋" w:hAnsi="仿宋" w:eastAsia="仿宋"/>
          <w:sz w:val="32"/>
          <w:szCs w:val="32"/>
        </w:rPr>
      </w:pPr>
      <w:r>
        <w:rPr>
          <w:rFonts w:hint="eastAsia" w:ascii="仿宋" w:hAnsi="仿宋" w:eastAsia="仿宋"/>
          <w:sz w:val="32"/>
          <w:szCs w:val="32"/>
        </w:rPr>
        <w:t>（4）起止时间。起止时间为 2025年1月1日至12月31日。</w:t>
      </w:r>
    </w:p>
    <w:p w14:paraId="2C9693E1">
      <w:pPr>
        <w:ind w:firstLine="640" w:firstLineChars="200"/>
        <w:rPr>
          <w:rFonts w:ascii="仿宋" w:hAnsi="仿宋" w:eastAsia="仿宋"/>
          <w:sz w:val="32"/>
          <w:szCs w:val="32"/>
        </w:rPr>
      </w:pPr>
      <w:r>
        <w:rPr>
          <w:rFonts w:hint="eastAsia" w:ascii="仿宋" w:hAnsi="仿宋" w:eastAsia="仿宋"/>
          <w:sz w:val="32"/>
          <w:szCs w:val="32"/>
        </w:rPr>
        <w:t>（5）项目内容。加强与有关机构的联络，协助做好为本县引进人才、技术、项目和资金等服务工作，加强与国家信访部门、北京有关部门的联系，协助劝返我县进京上访人员和处置有关事项。</w:t>
      </w:r>
    </w:p>
    <w:p w14:paraId="3BAE9A1D">
      <w:pPr>
        <w:ind w:firstLine="640" w:firstLineChars="200"/>
        <w:rPr>
          <w:rFonts w:ascii="仿宋" w:hAnsi="仿宋" w:eastAsia="仿宋"/>
          <w:sz w:val="32"/>
          <w:szCs w:val="32"/>
        </w:rPr>
      </w:pPr>
      <w:r>
        <w:rPr>
          <w:rFonts w:hint="eastAsia" w:ascii="仿宋" w:hAnsi="仿宋" w:eastAsia="仿宋"/>
          <w:sz w:val="32"/>
          <w:szCs w:val="32"/>
        </w:rPr>
        <w:t>（6）年度预算安排。安排预算资金33.52万元。</w:t>
      </w:r>
    </w:p>
    <w:p w14:paraId="544AD6BF">
      <w:pPr>
        <w:ind w:firstLine="640" w:firstLineChars="200"/>
        <w:rPr>
          <w:rFonts w:ascii="仿宋" w:hAnsi="仿宋" w:eastAsia="仿宋"/>
          <w:sz w:val="32"/>
          <w:szCs w:val="32"/>
        </w:rPr>
      </w:pPr>
      <w:r>
        <w:rPr>
          <w:rFonts w:hint="eastAsia" w:ascii="仿宋" w:hAnsi="仿宋" w:eastAsia="仿宋"/>
          <w:sz w:val="32"/>
          <w:szCs w:val="32"/>
        </w:rPr>
        <w:t>（7）绩效目标。加强与有关机构的联络，协助做好为本县引进人才、技术、项目和资金等服务工作，加强与国家信访部门、北京有关部门的联系，协助劝返和处置我县进京上访人员和有关事项。</w:t>
      </w:r>
    </w:p>
    <w:p w14:paraId="04485EF4">
      <w:pPr>
        <w:ind w:firstLine="640" w:firstLineChars="200"/>
        <w:rPr>
          <w:rFonts w:ascii="仿宋" w:hAnsi="仿宋" w:eastAsia="仿宋"/>
          <w:sz w:val="32"/>
          <w:szCs w:val="32"/>
        </w:rPr>
      </w:pPr>
    </w:p>
    <w:p w14:paraId="30A42FDF">
      <w:pPr>
        <w:ind w:firstLine="640" w:firstLineChars="200"/>
        <w:rPr>
          <w:rFonts w:ascii="仿宋_GB2312" w:eastAsia="仿宋_GB2312" w:hAnsiTheme="minorEastAsia"/>
          <w:sz w:val="32"/>
          <w:szCs w:val="32"/>
        </w:rPr>
      </w:pPr>
    </w:p>
    <w:p w14:paraId="688F7189">
      <w:pPr>
        <w:rPr>
          <w:sz w:val="32"/>
          <w:szCs w:val="32"/>
        </w:rPr>
      </w:pPr>
    </w:p>
    <w:tbl>
      <w:tblPr>
        <w:tblStyle w:val="18"/>
        <w:tblW w:w="9460" w:type="dxa"/>
        <w:tblInd w:w="93" w:type="dxa"/>
        <w:tblLayout w:type="autofit"/>
        <w:tblCellMar>
          <w:top w:w="0" w:type="dxa"/>
          <w:left w:w="108" w:type="dxa"/>
          <w:bottom w:w="0" w:type="dxa"/>
          <w:right w:w="108" w:type="dxa"/>
        </w:tblCellMar>
      </w:tblPr>
      <w:tblGrid>
        <w:gridCol w:w="1020"/>
        <w:gridCol w:w="1020"/>
        <w:gridCol w:w="1020"/>
        <w:gridCol w:w="1240"/>
        <w:gridCol w:w="1240"/>
        <w:gridCol w:w="1960"/>
        <w:gridCol w:w="1960"/>
      </w:tblGrid>
      <w:tr w14:paraId="0B57452A">
        <w:tblPrEx>
          <w:tblCellMar>
            <w:top w:w="0" w:type="dxa"/>
            <w:left w:w="108" w:type="dxa"/>
            <w:bottom w:w="0" w:type="dxa"/>
            <w:right w:w="108" w:type="dxa"/>
          </w:tblCellMar>
        </w:tblPrEx>
        <w:trPr>
          <w:trHeight w:val="375" w:hRule="atLeast"/>
        </w:trPr>
        <w:tc>
          <w:tcPr>
            <w:tcW w:w="9460" w:type="dxa"/>
            <w:gridSpan w:val="7"/>
            <w:tcBorders>
              <w:top w:val="nil"/>
              <w:left w:val="nil"/>
              <w:bottom w:val="nil"/>
              <w:right w:val="nil"/>
            </w:tcBorders>
            <w:shd w:val="clear" w:color="auto" w:fill="auto"/>
            <w:vAlign w:val="center"/>
          </w:tcPr>
          <w:p w14:paraId="6ED65096">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项目支出绩效目标表</w:t>
            </w:r>
          </w:p>
        </w:tc>
      </w:tr>
      <w:tr w14:paraId="17E5D2A0">
        <w:tblPrEx>
          <w:tblCellMar>
            <w:top w:w="0" w:type="dxa"/>
            <w:left w:w="108" w:type="dxa"/>
            <w:bottom w:w="0" w:type="dxa"/>
            <w:right w:w="108" w:type="dxa"/>
          </w:tblCellMar>
        </w:tblPrEx>
        <w:trPr>
          <w:trHeight w:val="300" w:hRule="atLeast"/>
        </w:trPr>
        <w:tc>
          <w:tcPr>
            <w:tcW w:w="9460" w:type="dxa"/>
            <w:gridSpan w:val="7"/>
            <w:tcBorders>
              <w:top w:val="nil"/>
              <w:left w:val="nil"/>
              <w:bottom w:val="single" w:color="auto" w:sz="8" w:space="0"/>
              <w:right w:val="nil"/>
            </w:tcBorders>
            <w:shd w:val="clear" w:color="auto" w:fill="auto"/>
            <w:vAlign w:val="center"/>
          </w:tcPr>
          <w:p w14:paraId="547691C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（2025年度）                                </w:t>
            </w:r>
          </w:p>
        </w:tc>
      </w:tr>
      <w:tr w14:paraId="7EF99A21">
        <w:tblPrEx>
          <w:tblCellMar>
            <w:top w:w="0" w:type="dxa"/>
            <w:left w:w="108" w:type="dxa"/>
            <w:bottom w:w="0" w:type="dxa"/>
            <w:right w:w="108" w:type="dxa"/>
          </w:tblCellMar>
        </w:tblPrEx>
        <w:trPr>
          <w:trHeight w:val="510"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238D3B23">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6400" w:type="dxa"/>
            <w:gridSpan w:val="4"/>
            <w:tcBorders>
              <w:top w:val="single" w:color="auto" w:sz="8" w:space="0"/>
              <w:left w:val="nil"/>
              <w:bottom w:val="single" w:color="auto" w:sz="8" w:space="0"/>
              <w:right w:val="single" w:color="auto" w:sz="8" w:space="0"/>
            </w:tcBorders>
            <w:shd w:val="clear" w:color="auto" w:fill="auto"/>
            <w:vAlign w:val="center"/>
          </w:tcPr>
          <w:p w14:paraId="0B57E1DC">
            <w:pPr>
              <w:widowControl/>
              <w:jc w:val="center"/>
              <w:rPr>
                <w:rFonts w:ascii="宋体" w:hAnsi="宋体" w:cs="宋体"/>
                <w:color w:val="000000"/>
                <w:kern w:val="0"/>
                <w:sz w:val="20"/>
                <w:szCs w:val="20"/>
              </w:rPr>
            </w:pPr>
            <w:r>
              <w:rPr>
                <w:rFonts w:hint="eastAsia" w:ascii="宋体" w:hAnsi="宋体" w:cs="宋体"/>
                <w:color w:val="000000"/>
                <w:kern w:val="0"/>
                <w:sz w:val="20"/>
                <w:szCs w:val="20"/>
              </w:rPr>
              <w:t>淮南市政府驻北京联络处维稳一室工作经费</w:t>
            </w:r>
          </w:p>
        </w:tc>
      </w:tr>
      <w:tr w14:paraId="0B3D719D">
        <w:tblPrEx>
          <w:tblCellMar>
            <w:top w:w="0" w:type="dxa"/>
            <w:left w:w="108" w:type="dxa"/>
            <w:bottom w:w="0" w:type="dxa"/>
            <w:right w:w="108" w:type="dxa"/>
          </w:tblCellMar>
        </w:tblPrEx>
        <w:trPr>
          <w:trHeight w:val="630"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09D75284">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主管部门及代码</w:t>
            </w:r>
          </w:p>
        </w:tc>
        <w:tc>
          <w:tcPr>
            <w:tcW w:w="2480" w:type="dxa"/>
            <w:gridSpan w:val="2"/>
            <w:tcBorders>
              <w:top w:val="nil"/>
              <w:left w:val="nil"/>
              <w:bottom w:val="single" w:color="auto" w:sz="8" w:space="0"/>
              <w:right w:val="single" w:color="auto" w:sz="8" w:space="0"/>
            </w:tcBorders>
            <w:shd w:val="clear" w:color="auto" w:fill="auto"/>
            <w:vAlign w:val="center"/>
          </w:tcPr>
          <w:p w14:paraId="507435AA">
            <w:pPr>
              <w:widowControl/>
              <w:jc w:val="center"/>
              <w:rPr>
                <w:rFonts w:ascii="宋体" w:hAnsi="宋体" w:cs="宋体"/>
                <w:color w:val="000000"/>
                <w:kern w:val="0"/>
                <w:sz w:val="20"/>
                <w:szCs w:val="20"/>
              </w:rPr>
            </w:pPr>
            <w:r>
              <w:rPr>
                <w:rFonts w:hint="eastAsia" w:ascii="宋体" w:hAnsi="宋体" w:cs="宋体"/>
                <w:color w:val="000000"/>
                <w:kern w:val="0"/>
                <w:sz w:val="20"/>
                <w:szCs w:val="20"/>
              </w:rPr>
              <w:t>寿县信访局  115001</w:t>
            </w:r>
          </w:p>
        </w:tc>
        <w:tc>
          <w:tcPr>
            <w:tcW w:w="1960" w:type="dxa"/>
            <w:tcBorders>
              <w:top w:val="nil"/>
              <w:left w:val="nil"/>
              <w:bottom w:val="single" w:color="auto" w:sz="8" w:space="0"/>
              <w:right w:val="single" w:color="auto" w:sz="8" w:space="0"/>
            </w:tcBorders>
            <w:shd w:val="clear" w:color="auto" w:fill="auto"/>
            <w:vAlign w:val="center"/>
          </w:tcPr>
          <w:p w14:paraId="13B65AF6">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960" w:type="dxa"/>
            <w:tcBorders>
              <w:top w:val="nil"/>
              <w:left w:val="nil"/>
              <w:bottom w:val="single" w:color="auto" w:sz="8" w:space="0"/>
              <w:right w:val="single" w:color="auto" w:sz="8" w:space="0"/>
            </w:tcBorders>
            <w:shd w:val="clear" w:color="auto" w:fill="auto"/>
            <w:vAlign w:val="center"/>
          </w:tcPr>
          <w:p w14:paraId="09EF98B6">
            <w:pPr>
              <w:widowControl/>
              <w:jc w:val="center"/>
              <w:rPr>
                <w:rFonts w:ascii="宋体" w:hAnsi="宋体" w:cs="宋体"/>
                <w:color w:val="000000"/>
                <w:kern w:val="0"/>
                <w:sz w:val="20"/>
                <w:szCs w:val="20"/>
              </w:rPr>
            </w:pPr>
            <w:r>
              <w:rPr>
                <w:rFonts w:hint="eastAsia" w:ascii="宋体" w:hAnsi="宋体" w:cs="宋体"/>
                <w:color w:val="000000"/>
                <w:kern w:val="0"/>
                <w:sz w:val="20"/>
                <w:szCs w:val="20"/>
              </w:rPr>
              <w:t>淮南市政府驻北京联络处维稳一室</w:t>
            </w:r>
          </w:p>
        </w:tc>
      </w:tr>
      <w:tr w14:paraId="7FEF330E">
        <w:tblPrEx>
          <w:tblCellMar>
            <w:top w:w="0" w:type="dxa"/>
            <w:left w:w="108" w:type="dxa"/>
            <w:bottom w:w="0" w:type="dxa"/>
            <w:right w:w="108" w:type="dxa"/>
          </w:tblCellMar>
        </w:tblPrEx>
        <w:trPr>
          <w:trHeight w:val="435"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0072F6AC">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项目来源</w:t>
            </w:r>
          </w:p>
        </w:tc>
        <w:tc>
          <w:tcPr>
            <w:tcW w:w="2480" w:type="dxa"/>
            <w:gridSpan w:val="2"/>
            <w:tcBorders>
              <w:top w:val="nil"/>
              <w:left w:val="nil"/>
              <w:bottom w:val="single" w:color="auto" w:sz="8" w:space="0"/>
              <w:right w:val="single" w:color="auto" w:sz="8" w:space="0"/>
            </w:tcBorders>
            <w:shd w:val="clear" w:color="auto" w:fill="auto"/>
            <w:vAlign w:val="center"/>
          </w:tcPr>
          <w:p w14:paraId="577C1F8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960" w:type="dxa"/>
            <w:tcBorders>
              <w:top w:val="nil"/>
              <w:left w:val="nil"/>
              <w:bottom w:val="single" w:color="auto" w:sz="8" w:space="0"/>
              <w:right w:val="single" w:color="auto" w:sz="8" w:space="0"/>
            </w:tcBorders>
            <w:shd w:val="clear" w:color="auto" w:fill="auto"/>
            <w:vAlign w:val="center"/>
          </w:tcPr>
          <w:p w14:paraId="7B3BC0F7">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项目期</w:t>
            </w:r>
          </w:p>
        </w:tc>
        <w:tc>
          <w:tcPr>
            <w:tcW w:w="1960" w:type="dxa"/>
            <w:tcBorders>
              <w:top w:val="nil"/>
              <w:left w:val="nil"/>
              <w:bottom w:val="single" w:color="auto" w:sz="8" w:space="0"/>
              <w:right w:val="single" w:color="auto" w:sz="8" w:space="0"/>
            </w:tcBorders>
            <w:shd w:val="clear" w:color="auto" w:fill="auto"/>
            <w:vAlign w:val="center"/>
          </w:tcPr>
          <w:p w14:paraId="2978C80F">
            <w:pPr>
              <w:widowControl/>
              <w:jc w:val="center"/>
              <w:rPr>
                <w:rFonts w:ascii="宋体" w:hAnsi="宋体" w:cs="宋体"/>
                <w:color w:val="000000"/>
                <w:kern w:val="0"/>
                <w:sz w:val="20"/>
                <w:szCs w:val="20"/>
              </w:rPr>
            </w:pPr>
            <w:r>
              <w:rPr>
                <w:rFonts w:hint="eastAsia" w:ascii="宋体" w:hAnsi="宋体" w:cs="宋体"/>
                <w:color w:val="000000"/>
                <w:kern w:val="0"/>
                <w:sz w:val="20"/>
                <w:szCs w:val="20"/>
              </w:rPr>
              <w:t>2025年</w:t>
            </w:r>
          </w:p>
        </w:tc>
      </w:tr>
      <w:tr w14:paraId="0E39D5A5">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vAlign w:val="center"/>
          </w:tcPr>
          <w:p w14:paraId="37B15764">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tc>
        <w:tc>
          <w:tcPr>
            <w:tcW w:w="2480" w:type="dxa"/>
            <w:gridSpan w:val="2"/>
            <w:tcBorders>
              <w:top w:val="nil"/>
              <w:left w:val="nil"/>
              <w:bottom w:val="single" w:color="auto" w:sz="8" w:space="0"/>
              <w:right w:val="single" w:color="auto" w:sz="8" w:space="0"/>
            </w:tcBorders>
            <w:shd w:val="clear" w:color="auto" w:fill="auto"/>
            <w:vAlign w:val="center"/>
          </w:tcPr>
          <w:p w14:paraId="18C6C3F9">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年度资金总额：</w:t>
            </w:r>
          </w:p>
        </w:tc>
        <w:tc>
          <w:tcPr>
            <w:tcW w:w="3920" w:type="dxa"/>
            <w:gridSpan w:val="2"/>
            <w:tcBorders>
              <w:top w:val="nil"/>
              <w:left w:val="nil"/>
              <w:bottom w:val="single" w:color="auto" w:sz="8" w:space="0"/>
              <w:right w:val="single" w:color="auto" w:sz="8" w:space="0"/>
            </w:tcBorders>
            <w:shd w:val="clear" w:color="auto" w:fill="auto"/>
            <w:vAlign w:val="center"/>
          </w:tcPr>
          <w:p w14:paraId="52539343">
            <w:pPr>
              <w:widowControl/>
              <w:jc w:val="right"/>
              <w:rPr>
                <w:rFonts w:ascii="宋体" w:hAnsi="宋体" w:cs="宋体"/>
                <w:color w:val="000000"/>
                <w:kern w:val="0"/>
                <w:sz w:val="20"/>
                <w:szCs w:val="20"/>
              </w:rPr>
            </w:pPr>
            <w:r>
              <w:rPr>
                <w:rFonts w:hint="eastAsia" w:ascii="宋体" w:hAnsi="宋体" w:cs="宋体"/>
                <w:color w:val="000000"/>
                <w:kern w:val="0"/>
                <w:sz w:val="20"/>
                <w:szCs w:val="20"/>
              </w:rPr>
              <w:t>33.52</w:t>
            </w:r>
          </w:p>
        </w:tc>
      </w:tr>
      <w:tr w14:paraId="213847A8">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vAlign w:val="center"/>
          </w:tcPr>
          <w:p w14:paraId="5166BAA4">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2480" w:type="dxa"/>
            <w:gridSpan w:val="2"/>
            <w:tcBorders>
              <w:top w:val="nil"/>
              <w:left w:val="nil"/>
              <w:bottom w:val="single" w:color="auto" w:sz="8" w:space="0"/>
              <w:right w:val="single" w:color="auto" w:sz="8" w:space="0"/>
            </w:tcBorders>
            <w:shd w:val="clear" w:color="auto" w:fill="auto"/>
            <w:vAlign w:val="center"/>
          </w:tcPr>
          <w:p w14:paraId="2A0F8F7B">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其中：财政拨款</w:t>
            </w:r>
          </w:p>
        </w:tc>
        <w:tc>
          <w:tcPr>
            <w:tcW w:w="3920" w:type="dxa"/>
            <w:gridSpan w:val="2"/>
            <w:tcBorders>
              <w:top w:val="nil"/>
              <w:left w:val="nil"/>
              <w:bottom w:val="single" w:color="auto" w:sz="8" w:space="0"/>
              <w:right w:val="single" w:color="auto" w:sz="8" w:space="0"/>
            </w:tcBorders>
            <w:shd w:val="clear" w:color="auto" w:fill="auto"/>
            <w:vAlign w:val="center"/>
          </w:tcPr>
          <w:p w14:paraId="2D0FECBB">
            <w:pPr>
              <w:widowControl/>
              <w:jc w:val="right"/>
              <w:rPr>
                <w:rFonts w:ascii="宋体" w:hAnsi="宋体" w:cs="宋体"/>
                <w:color w:val="000000"/>
                <w:kern w:val="0"/>
                <w:sz w:val="20"/>
                <w:szCs w:val="20"/>
              </w:rPr>
            </w:pPr>
            <w:r>
              <w:rPr>
                <w:rFonts w:hint="eastAsia" w:ascii="宋体" w:hAnsi="宋体" w:cs="宋体"/>
                <w:color w:val="000000"/>
                <w:kern w:val="0"/>
                <w:sz w:val="20"/>
                <w:szCs w:val="20"/>
              </w:rPr>
              <w:t>33.52</w:t>
            </w:r>
          </w:p>
        </w:tc>
      </w:tr>
      <w:tr w14:paraId="679AA0A2">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noWrap/>
            <w:vAlign w:val="center"/>
          </w:tcPr>
          <w:p w14:paraId="1F8A3BC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480" w:type="dxa"/>
            <w:gridSpan w:val="2"/>
            <w:tcBorders>
              <w:top w:val="nil"/>
              <w:left w:val="nil"/>
              <w:bottom w:val="single" w:color="auto" w:sz="8" w:space="0"/>
              <w:right w:val="single" w:color="auto" w:sz="8" w:space="0"/>
            </w:tcBorders>
            <w:shd w:val="clear" w:color="auto" w:fill="auto"/>
            <w:vAlign w:val="center"/>
          </w:tcPr>
          <w:p w14:paraId="25E1D5BA">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上年结转</w:t>
            </w:r>
          </w:p>
        </w:tc>
        <w:tc>
          <w:tcPr>
            <w:tcW w:w="3920" w:type="dxa"/>
            <w:gridSpan w:val="2"/>
            <w:tcBorders>
              <w:top w:val="nil"/>
              <w:left w:val="nil"/>
              <w:bottom w:val="single" w:color="auto" w:sz="8" w:space="0"/>
              <w:right w:val="single" w:color="auto" w:sz="8" w:space="0"/>
            </w:tcBorders>
            <w:shd w:val="clear" w:color="auto" w:fill="auto"/>
            <w:vAlign w:val="center"/>
          </w:tcPr>
          <w:p w14:paraId="2ECB974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35EA731">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single" w:color="auto" w:sz="8" w:space="0"/>
              <w:right w:val="single" w:color="000000" w:sz="8" w:space="0"/>
            </w:tcBorders>
            <w:shd w:val="clear" w:color="auto" w:fill="auto"/>
            <w:noWrap/>
            <w:vAlign w:val="center"/>
          </w:tcPr>
          <w:p w14:paraId="279EFA9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480" w:type="dxa"/>
            <w:gridSpan w:val="2"/>
            <w:tcBorders>
              <w:top w:val="nil"/>
              <w:left w:val="nil"/>
              <w:bottom w:val="single" w:color="auto" w:sz="8" w:space="0"/>
              <w:right w:val="single" w:color="auto" w:sz="8" w:space="0"/>
            </w:tcBorders>
            <w:shd w:val="clear" w:color="auto" w:fill="auto"/>
            <w:vAlign w:val="center"/>
          </w:tcPr>
          <w:p w14:paraId="5D7169FA">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3920" w:type="dxa"/>
            <w:gridSpan w:val="2"/>
            <w:tcBorders>
              <w:top w:val="nil"/>
              <w:left w:val="nil"/>
              <w:bottom w:val="single" w:color="auto" w:sz="8" w:space="0"/>
              <w:right w:val="single" w:color="auto" w:sz="8" w:space="0"/>
            </w:tcBorders>
            <w:shd w:val="clear" w:color="auto" w:fill="auto"/>
            <w:vAlign w:val="center"/>
          </w:tcPr>
          <w:p w14:paraId="0DA1029D">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r>
      <w:tr w14:paraId="416B56F6">
        <w:tblPrEx>
          <w:tblCellMar>
            <w:top w:w="0" w:type="dxa"/>
            <w:left w:w="108" w:type="dxa"/>
            <w:bottom w:w="0" w:type="dxa"/>
            <w:right w:w="108" w:type="dxa"/>
          </w:tblCellMar>
        </w:tblPrEx>
        <w:trPr>
          <w:trHeight w:val="300" w:hRule="atLeast"/>
        </w:trPr>
        <w:tc>
          <w:tcPr>
            <w:tcW w:w="1020" w:type="dxa"/>
            <w:tcBorders>
              <w:top w:val="nil"/>
              <w:left w:val="single" w:color="auto" w:sz="8" w:space="0"/>
              <w:bottom w:val="nil"/>
              <w:right w:val="single" w:color="auto" w:sz="8" w:space="0"/>
            </w:tcBorders>
            <w:shd w:val="clear" w:color="auto" w:fill="auto"/>
            <w:vAlign w:val="center"/>
          </w:tcPr>
          <w:p w14:paraId="1EC1A5DB">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8440" w:type="dxa"/>
            <w:gridSpan w:val="6"/>
            <w:vMerge w:val="restart"/>
            <w:tcBorders>
              <w:top w:val="nil"/>
              <w:left w:val="single" w:color="auto" w:sz="8" w:space="0"/>
              <w:bottom w:val="single" w:color="auto" w:sz="8" w:space="0"/>
              <w:right w:val="single" w:color="auto" w:sz="8" w:space="0"/>
            </w:tcBorders>
            <w:shd w:val="clear" w:color="auto" w:fill="auto"/>
            <w:vAlign w:val="center"/>
          </w:tcPr>
          <w:p w14:paraId="3AE7D5A5">
            <w:pPr>
              <w:widowControl/>
              <w:jc w:val="left"/>
              <w:rPr>
                <w:rFonts w:ascii="宋体" w:hAnsi="宋体" w:cs="宋体"/>
                <w:color w:val="000000"/>
                <w:kern w:val="0"/>
                <w:sz w:val="20"/>
                <w:szCs w:val="20"/>
              </w:rPr>
            </w:pPr>
            <w:r>
              <w:rPr>
                <w:rFonts w:hint="eastAsia" w:ascii="宋体" w:hAnsi="宋体" w:cs="宋体"/>
                <w:color w:val="000000"/>
                <w:kern w:val="0"/>
                <w:sz w:val="20"/>
                <w:szCs w:val="20"/>
              </w:rPr>
              <w:t>收集、整理并及时向县委、县政府报送重要的政务、经济、科技和商务等信息。加强与有关机构的联络，协助做好为本县引进人才、技术、项目和资金等服务工作，加强与国家信访部门、北京有关部门的联系，协助劝返我县进京上访人员和处置有关事项。</w:t>
            </w:r>
          </w:p>
        </w:tc>
      </w:tr>
      <w:tr w14:paraId="39C898EF">
        <w:tblPrEx>
          <w:tblCellMar>
            <w:top w:w="0" w:type="dxa"/>
            <w:left w:w="108" w:type="dxa"/>
            <w:bottom w:w="0" w:type="dxa"/>
            <w:right w:w="108" w:type="dxa"/>
          </w:tblCellMar>
        </w:tblPrEx>
        <w:trPr>
          <w:trHeight w:val="495" w:hRule="atLeast"/>
        </w:trPr>
        <w:tc>
          <w:tcPr>
            <w:tcW w:w="1020" w:type="dxa"/>
            <w:tcBorders>
              <w:top w:val="nil"/>
              <w:left w:val="single" w:color="auto" w:sz="8" w:space="0"/>
              <w:bottom w:val="single" w:color="auto" w:sz="8" w:space="0"/>
              <w:right w:val="single" w:color="auto" w:sz="8" w:space="0"/>
            </w:tcBorders>
            <w:shd w:val="clear" w:color="auto" w:fill="auto"/>
            <w:vAlign w:val="center"/>
          </w:tcPr>
          <w:p w14:paraId="21D0EFD1">
            <w:pPr>
              <w:widowControl/>
              <w:jc w:val="center"/>
              <w:rPr>
                <w:rFonts w:ascii="宋体" w:hAnsi="宋体" w:cs="宋体"/>
                <w:color w:val="000000"/>
                <w:kern w:val="0"/>
                <w:sz w:val="20"/>
                <w:szCs w:val="20"/>
              </w:rPr>
            </w:pPr>
            <w:r>
              <w:rPr>
                <w:rFonts w:hint="eastAsia" w:ascii="宋体" w:hAnsi="宋体" w:cs="宋体"/>
                <w:color w:val="000000"/>
                <w:kern w:val="0"/>
                <w:sz w:val="20"/>
                <w:szCs w:val="20"/>
              </w:rPr>
              <w:t>目标</w:t>
            </w:r>
          </w:p>
        </w:tc>
        <w:tc>
          <w:tcPr>
            <w:tcW w:w="8440" w:type="dxa"/>
            <w:gridSpan w:val="6"/>
            <w:vMerge w:val="continue"/>
            <w:tcBorders>
              <w:top w:val="nil"/>
              <w:left w:val="single" w:color="auto" w:sz="8" w:space="0"/>
              <w:bottom w:val="single" w:color="auto" w:sz="8" w:space="0"/>
              <w:right w:val="single" w:color="auto" w:sz="8" w:space="0"/>
            </w:tcBorders>
            <w:vAlign w:val="center"/>
          </w:tcPr>
          <w:p w14:paraId="56E31DC7">
            <w:pPr>
              <w:widowControl/>
              <w:jc w:val="left"/>
              <w:rPr>
                <w:rFonts w:ascii="宋体" w:hAnsi="宋体" w:cs="宋体"/>
                <w:color w:val="000000"/>
                <w:kern w:val="0"/>
                <w:sz w:val="20"/>
                <w:szCs w:val="20"/>
              </w:rPr>
            </w:pPr>
          </w:p>
        </w:tc>
      </w:tr>
      <w:tr w14:paraId="35619839">
        <w:tblPrEx>
          <w:tblCellMar>
            <w:top w:w="0" w:type="dxa"/>
            <w:left w:w="108" w:type="dxa"/>
            <w:bottom w:w="0" w:type="dxa"/>
            <w:right w:w="108" w:type="dxa"/>
          </w:tblCellMar>
        </w:tblPrEx>
        <w:trPr>
          <w:trHeight w:val="300" w:hRule="atLeast"/>
        </w:trPr>
        <w:tc>
          <w:tcPr>
            <w:tcW w:w="1020" w:type="dxa"/>
            <w:tcBorders>
              <w:top w:val="nil"/>
              <w:left w:val="single" w:color="auto" w:sz="8" w:space="0"/>
              <w:bottom w:val="nil"/>
              <w:right w:val="single" w:color="auto" w:sz="8" w:space="0"/>
            </w:tcBorders>
            <w:shd w:val="clear" w:color="auto" w:fill="auto"/>
            <w:vAlign w:val="center"/>
          </w:tcPr>
          <w:p w14:paraId="18D31C46">
            <w:pPr>
              <w:widowControl/>
              <w:jc w:val="center"/>
              <w:rPr>
                <w:rFonts w:ascii="宋体" w:hAnsi="宋体" w:cs="宋体"/>
                <w:color w:val="000000"/>
                <w:kern w:val="0"/>
                <w:sz w:val="20"/>
                <w:szCs w:val="20"/>
              </w:rPr>
            </w:pPr>
            <w:r>
              <w:rPr>
                <w:rFonts w:hint="eastAsia" w:ascii="宋体" w:hAnsi="宋体" w:cs="宋体"/>
                <w:color w:val="000000"/>
                <w:kern w:val="0"/>
                <w:sz w:val="20"/>
                <w:szCs w:val="20"/>
              </w:rPr>
              <w:t>绩</w:t>
            </w:r>
          </w:p>
        </w:tc>
        <w:tc>
          <w:tcPr>
            <w:tcW w:w="1020" w:type="dxa"/>
            <w:tcBorders>
              <w:top w:val="nil"/>
              <w:left w:val="nil"/>
              <w:bottom w:val="nil"/>
              <w:right w:val="single" w:color="auto" w:sz="8" w:space="0"/>
            </w:tcBorders>
            <w:shd w:val="clear" w:color="auto" w:fill="auto"/>
            <w:vAlign w:val="center"/>
          </w:tcPr>
          <w:p w14:paraId="06A71D49">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c>
          <w:tcPr>
            <w:tcW w:w="2260"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284A546B">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40" w:type="dxa"/>
            <w:vMerge w:val="restart"/>
            <w:tcBorders>
              <w:top w:val="nil"/>
              <w:left w:val="single" w:color="auto" w:sz="8" w:space="0"/>
              <w:bottom w:val="single" w:color="auto" w:sz="8" w:space="0"/>
              <w:right w:val="single" w:color="auto" w:sz="8" w:space="0"/>
            </w:tcBorders>
            <w:shd w:val="clear" w:color="auto" w:fill="auto"/>
            <w:vAlign w:val="center"/>
          </w:tcPr>
          <w:p w14:paraId="4377F131">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3920"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2018F8EF">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r>
      <w:tr w14:paraId="560CD52C">
        <w:tblPrEx>
          <w:tblCellMar>
            <w:top w:w="0" w:type="dxa"/>
            <w:left w:w="108" w:type="dxa"/>
            <w:bottom w:w="0" w:type="dxa"/>
            <w:right w:w="108" w:type="dxa"/>
          </w:tblCellMar>
        </w:tblPrEx>
        <w:trPr>
          <w:trHeight w:val="285" w:hRule="atLeast"/>
        </w:trPr>
        <w:tc>
          <w:tcPr>
            <w:tcW w:w="1020" w:type="dxa"/>
            <w:tcBorders>
              <w:top w:val="nil"/>
              <w:left w:val="single" w:color="auto" w:sz="8" w:space="0"/>
              <w:bottom w:val="nil"/>
              <w:right w:val="single" w:color="auto" w:sz="8" w:space="0"/>
            </w:tcBorders>
            <w:shd w:val="clear" w:color="auto" w:fill="auto"/>
            <w:vAlign w:val="center"/>
          </w:tcPr>
          <w:p w14:paraId="55A2778A">
            <w:pPr>
              <w:widowControl/>
              <w:jc w:val="center"/>
              <w:rPr>
                <w:rFonts w:ascii="宋体" w:hAnsi="宋体" w:cs="宋体"/>
                <w:color w:val="000000"/>
                <w:kern w:val="0"/>
                <w:sz w:val="20"/>
                <w:szCs w:val="20"/>
              </w:rPr>
            </w:pPr>
            <w:r>
              <w:rPr>
                <w:rFonts w:hint="eastAsia" w:ascii="宋体" w:hAnsi="宋体" w:cs="宋体"/>
                <w:color w:val="000000"/>
                <w:kern w:val="0"/>
                <w:sz w:val="20"/>
                <w:szCs w:val="20"/>
              </w:rPr>
              <w:t>效</w:t>
            </w:r>
          </w:p>
        </w:tc>
        <w:tc>
          <w:tcPr>
            <w:tcW w:w="1020" w:type="dxa"/>
            <w:tcBorders>
              <w:top w:val="nil"/>
              <w:left w:val="nil"/>
              <w:bottom w:val="single" w:color="auto" w:sz="8" w:space="0"/>
              <w:right w:val="single" w:color="auto" w:sz="8" w:space="0"/>
            </w:tcBorders>
            <w:shd w:val="clear" w:color="auto" w:fill="auto"/>
            <w:vAlign w:val="center"/>
          </w:tcPr>
          <w:p w14:paraId="3C8A43DF">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2260" w:type="dxa"/>
            <w:gridSpan w:val="2"/>
            <w:vMerge w:val="continue"/>
            <w:tcBorders>
              <w:top w:val="nil"/>
              <w:left w:val="nil"/>
              <w:bottom w:val="single" w:color="auto" w:sz="8" w:space="0"/>
              <w:right w:val="single" w:color="auto" w:sz="8" w:space="0"/>
            </w:tcBorders>
            <w:vAlign w:val="center"/>
          </w:tcPr>
          <w:p w14:paraId="63280098">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auto" w:sz="8" w:space="0"/>
              <w:right w:val="single" w:color="auto" w:sz="8" w:space="0"/>
            </w:tcBorders>
            <w:vAlign w:val="center"/>
          </w:tcPr>
          <w:p w14:paraId="7510E321">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auto" w:sz="8" w:space="0"/>
              <w:right w:val="single" w:color="auto" w:sz="8" w:space="0"/>
            </w:tcBorders>
            <w:vAlign w:val="center"/>
          </w:tcPr>
          <w:p w14:paraId="5CC2D889">
            <w:pPr>
              <w:widowControl/>
              <w:jc w:val="left"/>
              <w:rPr>
                <w:rFonts w:ascii="宋体" w:hAnsi="宋体" w:cs="宋体"/>
                <w:color w:val="000000"/>
                <w:kern w:val="0"/>
                <w:sz w:val="20"/>
                <w:szCs w:val="20"/>
              </w:rPr>
            </w:pPr>
          </w:p>
        </w:tc>
      </w:tr>
      <w:tr w14:paraId="5C440AC3">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vAlign w:val="center"/>
          </w:tcPr>
          <w:p w14:paraId="64E00197">
            <w:pPr>
              <w:widowControl/>
              <w:jc w:val="center"/>
              <w:rPr>
                <w:rFonts w:ascii="宋体" w:hAnsi="宋体" w:cs="宋体"/>
                <w:color w:val="000000"/>
                <w:kern w:val="0"/>
                <w:sz w:val="20"/>
                <w:szCs w:val="20"/>
              </w:rPr>
            </w:pPr>
            <w:r>
              <w:rPr>
                <w:rFonts w:hint="eastAsia" w:ascii="宋体" w:hAnsi="宋体" w:cs="宋体"/>
                <w:color w:val="000000"/>
                <w:kern w:val="0"/>
                <w:sz w:val="20"/>
                <w:szCs w:val="20"/>
              </w:rPr>
              <w:t>指</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6C4060C6">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18FF5E00">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44F6996C">
            <w:pPr>
              <w:widowControl/>
              <w:jc w:val="center"/>
              <w:rPr>
                <w:rFonts w:ascii="宋体" w:hAnsi="宋体" w:cs="宋体"/>
                <w:color w:val="000000"/>
                <w:kern w:val="0"/>
                <w:sz w:val="20"/>
                <w:szCs w:val="20"/>
              </w:rPr>
            </w:pPr>
            <w:r>
              <w:rPr>
                <w:rFonts w:hint="eastAsia" w:ascii="宋体" w:hAnsi="宋体" w:cs="宋体"/>
                <w:color w:val="000000"/>
                <w:kern w:val="0"/>
                <w:sz w:val="20"/>
                <w:szCs w:val="20"/>
              </w:rPr>
              <w:t>开展及时接劝返</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2C36C9A8">
            <w:pPr>
              <w:widowControl/>
              <w:jc w:val="center"/>
              <w:rPr>
                <w:rFonts w:ascii="宋体" w:hAnsi="宋体" w:cs="宋体"/>
                <w:color w:val="000000"/>
                <w:kern w:val="0"/>
                <w:sz w:val="20"/>
                <w:szCs w:val="20"/>
              </w:rPr>
            </w:pPr>
            <w:r>
              <w:rPr>
                <w:rFonts w:hint="eastAsia" w:ascii="宋体" w:hAnsi="宋体" w:cs="宋体"/>
                <w:color w:val="000000"/>
                <w:kern w:val="0"/>
                <w:sz w:val="20"/>
                <w:szCs w:val="20"/>
              </w:rPr>
              <w:t>做好接劝返工作预案，做到有访必接。</w:t>
            </w:r>
          </w:p>
        </w:tc>
      </w:tr>
      <w:tr w14:paraId="2A07FB9A">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vAlign w:val="center"/>
          </w:tcPr>
          <w:p w14:paraId="473ABE62">
            <w:pPr>
              <w:widowControl/>
              <w:jc w:val="center"/>
              <w:rPr>
                <w:rFonts w:ascii="宋体" w:hAnsi="宋体" w:cs="宋体"/>
                <w:color w:val="000000"/>
                <w:kern w:val="0"/>
                <w:sz w:val="20"/>
                <w:szCs w:val="20"/>
              </w:rPr>
            </w:pPr>
            <w:r>
              <w:rPr>
                <w:rFonts w:hint="eastAsia" w:ascii="宋体" w:hAnsi="宋体" w:cs="宋体"/>
                <w:color w:val="000000"/>
                <w:kern w:val="0"/>
                <w:sz w:val="20"/>
                <w:szCs w:val="20"/>
              </w:rPr>
              <w:t>标</w:t>
            </w:r>
          </w:p>
        </w:tc>
        <w:tc>
          <w:tcPr>
            <w:tcW w:w="1020" w:type="dxa"/>
            <w:vMerge w:val="continue"/>
            <w:tcBorders>
              <w:top w:val="nil"/>
              <w:left w:val="single" w:color="auto" w:sz="8" w:space="0"/>
              <w:bottom w:val="single" w:color="auto" w:sz="8" w:space="0"/>
              <w:right w:val="single" w:color="auto" w:sz="8" w:space="0"/>
            </w:tcBorders>
            <w:vAlign w:val="center"/>
          </w:tcPr>
          <w:p w14:paraId="627DCB35">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74137E4D">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01D66976">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7A455A8A">
            <w:pPr>
              <w:widowControl/>
              <w:jc w:val="left"/>
              <w:rPr>
                <w:rFonts w:ascii="宋体" w:hAnsi="宋体" w:cs="宋体"/>
                <w:color w:val="000000"/>
                <w:kern w:val="0"/>
                <w:sz w:val="20"/>
                <w:szCs w:val="20"/>
              </w:rPr>
            </w:pPr>
          </w:p>
        </w:tc>
      </w:tr>
      <w:tr w14:paraId="0DDDF838">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95B68C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4816EDDF">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3B320AF2">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29DED4F0">
            <w:pPr>
              <w:widowControl/>
              <w:jc w:val="center"/>
              <w:rPr>
                <w:rFonts w:ascii="宋体" w:hAnsi="宋体" w:cs="宋体"/>
                <w:color w:val="000000"/>
                <w:kern w:val="0"/>
                <w:sz w:val="20"/>
                <w:szCs w:val="20"/>
              </w:rPr>
            </w:pPr>
            <w:r>
              <w:rPr>
                <w:rFonts w:hint="eastAsia" w:ascii="宋体" w:hAnsi="宋体" w:cs="宋体"/>
                <w:color w:val="000000"/>
                <w:kern w:val="0"/>
                <w:sz w:val="20"/>
                <w:szCs w:val="20"/>
              </w:rPr>
              <w:t>及时劝返率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3C4650A7">
            <w:pPr>
              <w:widowControl/>
              <w:jc w:val="center"/>
              <w:rPr>
                <w:rFonts w:ascii="宋体" w:hAnsi="宋体" w:cs="宋体"/>
                <w:color w:val="000000"/>
                <w:kern w:val="0"/>
                <w:sz w:val="20"/>
                <w:szCs w:val="20"/>
              </w:rPr>
            </w:pPr>
            <w:r>
              <w:rPr>
                <w:rFonts w:hint="eastAsia" w:ascii="宋体" w:hAnsi="宋体" w:cs="宋体"/>
                <w:color w:val="000000"/>
                <w:kern w:val="0"/>
                <w:sz w:val="20"/>
                <w:szCs w:val="20"/>
              </w:rPr>
              <w:t>每个工作日做好接劝返工作预案，做到有访必接，接劝必返，及时劝返率达到100%。</w:t>
            </w:r>
          </w:p>
        </w:tc>
      </w:tr>
      <w:tr w14:paraId="27C1FD63">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00EED0B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707F4B32">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212D7824">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4911B0BB">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613D8B34">
            <w:pPr>
              <w:widowControl/>
              <w:jc w:val="left"/>
              <w:rPr>
                <w:rFonts w:ascii="宋体" w:hAnsi="宋体" w:cs="宋体"/>
                <w:color w:val="000000"/>
                <w:kern w:val="0"/>
                <w:sz w:val="20"/>
                <w:szCs w:val="20"/>
              </w:rPr>
            </w:pPr>
          </w:p>
        </w:tc>
      </w:tr>
      <w:tr w14:paraId="227F8731">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7E978A5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572CBDEC">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372644AA">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1CCE258A">
            <w:pPr>
              <w:widowControl/>
              <w:jc w:val="center"/>
              <w:rPr>
                <w:rFonts w:ascii="宋体" w:hAnsi="宋体" w:cs="宋体"/>
                <w:color w:val="000000"/>
                <w:kern w:val="0"/>
                <w:sz w:val="20"/>
                <w:szCs w:val="20"/>
              </w:rPr>
            </w:pPr>
            <w:r>
              <w:rPr>
                <w:rFonts w:hint="eastAsia" w:ascii="宋体" w:hAnsi="宋体" w:cs="宋体"/>
                <w:color w:val="000000"/>
                <w:kern w:val="0"/>
                <w:sz w:val="20"/>
                <w:szCs w:val="20"/>
              </w:rPr>
              <w:t>跟踪督办率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1D3D65DE">
            <w:pPr>
              <w:widowControl/>
              <w:jc w:val="center"/>
              <w:rPr>
                <w:rFonts w:ascii="宋体" w:hAnsi="宋体" w:cs="宋体"/>
                <w:color w:val="000000"/>
                <w:kern w:val="0"/>
                <w:sz w:val="20"/>
                <w:szCs w:val="20"/>
              </w:rPr>
            </w:pPr>
            <w:r>
              <w:rPr>
                <w:rFonts w:hint="eastAsia" w:ascii="宋体" w:hAnsi="宋体" w:cs="宋体"/>
                <w:color w:val="000000"/>
                <w:kern w:val="0"/>
                <w:sz w:val="20"/>
                <w:szCs w:val="20"/>
              </w:rPr>
              <w:t>对于劝返的信访事项，做到年件跟踪督办，跟踪督办率达到100%。</w:t>
            </w:r>
          </w:p>
        </w:tc>
      </w:tr>
      <w:tr w14:paraId="4D5BB0D7">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6821668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581DC48F">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2D7DC84E">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3F78B340">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7EB22D01">
            <w:pPr>
              <w:widowControl/>
              <w:jc w:val="left"/>
              <w:rPr>
                <w:rFonts w:ascii="宋体" w:hAnsi="宋体" w:cs="宋体"/>
                <w:color w:val="000000"/>
                <w:kern w:val="0"/>
                <w:sz w:val="20"/>
                <w:szCs w:val="20"/>
              </w:rPr>
            </w:pPr>
          </w:p>
        </w:tc>
      </w:tr>
      <w:tr w14:paraId="2A8D8B7E">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18621B8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2FBAB45">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5DC1DDE9">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4EA18F94">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资金成本率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24EC6E33">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资金成本率控制在100%以内。</w:t>
            </w:r>
          </w:p>
        </w:tc>
      </w:tr>
      <w:tr w14:paraId="712F9616">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47C7DBF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2196794">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24912D23">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2E3D85D1">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4E9B9E8F">
            <w:pPr>
              <w:widowControl/>
              <w:jc w:val="left"/>
              <w:rPr>
                <w:rFonts w:ascii="宋体" w:hAnsi="宋体" w:cs="宋体"/>
                <w:color w:val="000000"/>
                <w:kern w:val="0"/>
                <w:sz w:val="20"/>
                <w:szCs w:val="20"/>
              </w:rPr>
            </w:pPr>
          </w:p>
        </w:tc>
      </w:tr>
      <w:tr w14:paraId="03B9B3CF">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2ACEC1D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107A877E">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56DA4D06">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24E9CBD6">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社会和谐稳定</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69A1B420">
            <w:pPr>
              <w:widowControl/>
              <w:jc w:val="center"/>
              <w:rPr>
                <w:rFonts w:ascii="宋体" w:hAnsi="宋体" w:cs="宋体"/>
                <w:color w:val="000000"/>
                <w:kern w:val="0"/>
                <w:sz w:val="20"/>
                <w:szCs w:val="20"/>
              </w:rPr>
            </w:pPr>
            <w:r>
              <w:rPr>
                <w:rFonts w:hint="eastAsia" w:ascii="宋体" w:hAnsi="宋体" w:cs="宋体"/>
                <w:color w:val="000000"/>
                <w:kern w:val="0"/>
                <w:sz w:val="20"/>
                <w:szCs w:val="20"/>
              </w:rPr>
              <w:t>化解突出矛盾，维护信访群众的合法权益，促进社会和谐稳定。</w:t>
            </w:r>
          </w:p>
        </w:tc>
      </w:tr>
      <w:tr w14:paraId="6C3F8831">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46876CB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40CA6E66">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23E7498F">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7BBE1F9C">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6191F96E">
            <w:pPr>
              <w:widowControl/>
              <w:jc w:val="left"/>
              <w:rPr>
                <w:rFonts w:ascii="宋体" w:hAnsi="宋体" w:cs="宋体"/>
                <w:color w:val="000000"/>
                <w:kern w:val="0"/>
                <w:sz w:val="20"/>
                <w:szCs w:val="20"/>
              </w:rPr>
            </w:pPr>
          </w:p>
        </w:tc>
      </w:tr>
      <w:tr w14:paraId="002F46ED">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0E32B6A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E865316">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16C7BBD5">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01D1655D">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社会和谐稳定</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65D2D23A">
            <w:pPr>
              <w:widowControl/>
              <w:jc w:val="center"/>
              <w:rPr>
                <w:rFonts w:ascii="宋体" w:hAnsi="宋体" w:cs="宋体"/>
                <w:color w:val="000000"/>
                <w:kern w:val="0"/>
                <w:sz w:val="20"/>
                <w:szCs w:val="20"/>
              </w:rPr>
            </w:pPr>
            <w:r>
              <w:rPr>
                <w:rFonts w:hint="eastAsia" w:ascii="宋体" w:hAnsi="宋体" w:cs="宋体"/>
                <w:color w:val="000000"/>
                <w:kern w:val="0"/>
                <w:sz w:val="20"/>
                <w:szCs w:val="20"/>
              </w:rPr>
              <w:t>化解突出矛盾，维护信访群众的合法权益，促进社会和谐稳定。</w:t>
            </w:r>
          </w:p>
        </w:tc>
      </w:tr>
      <w:tr w14:paraId="038F07A1">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7F2BB91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AADE653">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710EAFA6">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6D932718">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59BAEDDA">
            <w:pPr>
              <w:widowControl/>
              <w:jc w:val="left"/>
              <w:rPr>
                <w:rFonts w:ascii="宋体" w:hAnsi="宋体" w:cs="宋体"/>
                <w:color w:val="000000"/>
                <w:kern w:val="0"/>
                <w:sz w:val="20"/>
                <w:szCs w:val="20"/>
              </w:rPr>
            </w:pPr>
          </w:p>
        </w:tc>
      </w:tr>
      <w:tr w14:paraId="2409C3C4">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756CA1F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242C8599">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53536BB9">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0F431855">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社会和谐稳定</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478B251F">
            <w:pPr>
              <w:widowControl/>
              <w:jc w:val="center"/>
              <w:rPr>
                <w:rFonts w:ascii="宋体" w:hAnsi="宋体" w:cs="宋体"/>
                <w:color w:val="000000"/>
                <w:kern w:val="0"/>
                <w:sz w:val="20"/>
                <w:szCs w:val="20"/>
              </w:rPr>
            </w:pPr>
            <w:r>
              <w:rPr>
                <w:rFonts w:hint="eastAsia" w:ascii="宋体" w:hAnsi="宋体" w:cs="宋体"/>
                <w:color w:val="000000"/>
                <w:kern w:val="0"/>
                <w:sz w:val="20"/>
                <w:szCs w:val="20"/>
              </w:rPr>
              <w:t>依法合规解决信访群众反映的信访问题，不断提升工作水平。</w:t>
            </w:r>
          </w:p>
        </w:tc>
      </w:tr>
      <w:tr w14:paraId="1E887E3A">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1DD6CD5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094D2E5">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7CF6B548">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2B70AF75">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4CE50539">
            <w:pPr>
              <w:widowControl/>
              <w:jc w:val="left"/>
              <w:rPr>
                <w:rFonts w:ascii="宋体" w:hAnsi="宋体" w:cs="宋体"/>
                <w:color w:val="000000"/>
                <w:kern w:val="0"/>
                <w:sz w:val="20"/>
                <w:szCs w:val="20"/>
              </w:rPr>
            </w:pPr>
          </w:p>
        </w:tc>
      </w:tr>
      <w:tr w14:paraId="011C68B2">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599597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531D0902">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73F0E5E9">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04ACEBDC">
            <w:pPr>
              <w:widowControl/>
              <w:jc w:val="center"/>
              <w:rPr>
                <w:rFonts w:ascii="宋体" w:hAnsi="宋体" w:cs="宋体"/>
                <w:color w:val="000000"/>
                <w:kern w:val="0"/>
                <w:sz w:val="20"/>
                <w:szCs w:val="20"/>
              </w:rPr>
            </w:pPr>
            <w:r>
              <w:rPr>
                <w:rFonts w:hint="eastAsia" w:ascii="宋体" w:hAnsi="宋体" w:cs="宋体"/>
                <w:color w:val="000000"/>
                <w:kern w:val="0"/>
                <w:sz w:val="20"/>
                <w:szCs w:val="20"/>
              </w:rPr>
              <w:t>信访群众满意度</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049AA534">
            <w:pPr>
              <w:widowControl/>
              <w:jc w:val="center"/>
              <w:rPr>
                <w:rFonts w:ascii="宋体" w:hAnsi="宋体" w:cs="宋体"/>
                <w:color w:val="000000"/>
                <w:kern w:val="0"/>
                <w:sz w:val="20"/>
                <w:szCs w:val="20"/>
              </w:rPr>
            </w:pPr>
            <w:r>
              <w:rPr>
                <w:rFonts w:hint="eastAsia" w:ascii="宋体" w:hAnsi="宋体" w:cs="宋体"/>
                <w:color w:val="000000"/>
                <w:kern w:val="0"/>
                <w:sz w:val="20"/>
                <w:szCs w:val="20"/>
              </w:rPr>
              <w:t>信访群众满意度达到100%。</w:t>
            </w:r>
          </w:p>
        </w:tc>
      </w:tr>
      <w:tr w14:paraId="2E227BFB">
        <w:tblPrEx>
          <w:tblCellMar>
            <w:top w:w="0" w:type="dxa"/>
            <w:left w:w="108" w:type="dxa"/>
            <w:bottom w:w="0" w:type="dxa"/>
            <w:right w:w="108" w:type="dxa"/>
          </w:tblCellMar>
        </w:tblPrEx>
        <w:trPr>
          <w:trHeight w:val="402" w:hRule="atLeast"/>
        </w:trPr>
        <w:tc>
          <w:tcPr>
            <w:tcW w:w="1020" w:type="dxa"/>
            <w:tcBorders>
              <w:top w:val="nil"/>
              <w:left w:val="single" w:color="auto" w:sz="8" w:space="0"/>
              <w:bottom w:val="single" w:color="auto" w:sz="8" w:space="0"/>
              <w:right w:val="single" w:color="auto" w:sz="8" w:space="0"/>
            </w:tcBorders>
            <w:shd w:val="clear" w:color="auto" w:fill="auto"/>
            <w:noWrap/>
            <w:vAlign w:val="center"/>
          </w:tcPr>
          <w:p w14:paraId="6618880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461C13AE">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43601C46">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0F6A7E72">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0CCA7516">
            <w:pPr>
              <w:widowControl/>
              <w:jc w:val="left"/>
              <w:rPr>
                <w:rFonts w:ascii="宋体" w:hAnsi="宋体" w:cs="宋体"/>
                <w:color w:val="000000"/>
                <w:kern w:val="0"/>
                <w:sz w:val="20"/>
                <w:szCs w:val="20"/>
              </w:rPr>
            </w:pPr>
          </w:p>
        </w:tc>
      </w:tr>
    </w:tbl>
    <w:p w14:paraId="07DAECE9"/>
    <w:p w14:paraId="555EBF6D">
      <w:pPr>
        <w:topLinePunct/>
        <w:adjustRightInd w:val="0"/>
        <w:snapToGrid w:val="0"/>
        <w:spacing w:line="56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6E02FFC3">
      <w:pPr>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寿县信访局2025年机关运行经费15.8万元,与2024年持平。</w:t>
      </w:r>
    </w:p>
    <w:p w14:paraId="29F56645">
      <w:pPr>
        <w:topLinePunct/>
        <w:adjustRightInd w:val="0"/>
        <w:snapToGrid w:val="0"/>
        <w:spacing w:line="56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1BBF890B">
      <w:pPr>
        <w:topLinePunct/>
        <w:adjustRightInd w:val="0"/>
        <w:snapToGrid w:val="0"/>
        <w:spacing w:line="560" w:lineRule="exact"/>
        <w:ind w:firstLine="640" w:firstLineChars="200"/>
        <w:rPr>
          <w:rFonts w:ascii="仿宋_GB2312" w:hAnsi="TimesNewRoman" w:eastAsia="仿宋_GB2312" w:cs="TimesNewRoman"/>
          <w:sz w:val="32"/>
          <w:szCs w:val="32"/>
        </w:rPr>
      </w:pPr>
      <w:r>
        <w:rPr>
          <w:rFonts w:hint="eastAsia" w:ascii="仿宋" w:hAnsi="仿宋" w:eastAsia="仿宋"/>
          <w:sz w:val="32"/>
          <w:szCs w:val="32"/>
        </w:rPr>
        <w:t>寿县府信访局</w:t>
      </w:r>
      <w:r>
        <w:rPr>
          <w:rFonts w:hint="eastAsia" w:ascii="仿宋_GB2312" w:hAnsi="TimesNewRoman" w:eastAsia="仿宋_GB2312" w:cs="TimesNewRoman"/>
          <w:sz w:val="32"/>
          <w:szCs w:val="32"/>
        </w:rPr>
        <w:t>2025年政府采购预算4万元。其中：政府采购货物预算4万元。</w:t>
      </w:r>
    </w:p>
    <w:p w14:paraId="6889BE2D">
      <w:pPr>
        <w:adjustRightInd w:val="0"/>
        <w:snapToGrid w:val="0"/>
        <w:spacing w:line="60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089B8AF9">
      <w:pPr>
        <w:adjustRightInd w:val="0"/>
        <w:snapToGrid w:val="0"/>
        <w:spacing w:line="600" w:lineRule="exact"/>
        <w:ind w:firstLine="640" w:firstLineChars="200"/>
        <w:rPr>
          <w:rFonts w:ascii="仿宋_GB2312" w:hAnsi="楷体" w:eastAsia="仿宋_GB2312"/>
          <w:color w:val="3366FF"/>
          <w:sz w:val="32"/>
          <w:szCs w:val="32"/>
        </w:rPr>
      </w:pPr>
      <w:r>
        <w:rPr>
          <w:rFonts w:hint="eastAsia" w:ascii="仿宋_GB2312" w:hAnsi="仿宋" w:eastAsia="仿宋_GB2312"/>
          <w:sz w:val="32"/>
          <w:szCs w:val="32"/>
        </w:rPr>
        <w:t>截至2025年12月31日，</w:t>
      </w:r>
      <w:r>
        <w:rPr>
          <w:rFonts w:hint="eastAsia" w:ascii="仿宋" w:hAnsi="仿宋" w:eastAsia="仿宋"/>
          <w:sz w:val="32"/>
          <w:szCs w:val="32"/>
        </w:rPr>
        <w:t>寿县信访局</w:t>
      </w:r>
      <w:r>
        <w:rPr>
          <w:rFonts w:hint="eastAsia" w:ascii="仿宋_GB2312" w:hAnsi="楷体" w:eastAsia="仿宋_GB2312"/>
          <w:sz w:val="32"/>
          <w:szCs w:val="32"/>
        </w:rPr>
        <w:t>共有车辆0辆，其中：副部（省）级及以上领导用车0辆、主要领导干部用车0辆、机要通信用车0辆、应急保障用车0辆、执法执勤用车0辆、特种专业技术用车0辆、离退休干部用车0辆、其他用车0辆。单位价值50万元以上的通用设备0台（套），单位价值100万元以上的专用设备0台（套）。</w:t>
      </w:r>
    </w:p>
    <w:p w14:paraId="3D25D6DE">
      <w:pPr>
        <w:adjustRightInd w:val="0"/>
        <w:snapToGrid w:val="0"/>
        <w:spacing w:line="600" w:lineRule="exact"/>
        <w:ind w:firstLine="640" w:firstLineChars="200"/>
        <w:rPr>
          <w:rFonts w:ascii="仿宋" w:hAnsi="仿宋" w:eastAsia="仿宋"/>
          <w:sz w:val="32"/>
          <w:szCs w:val="32"/>
        </w:rPr>
      </w:pPr>
      <w:r>
        <w:rPr>
          <w:rFonts w:hint="eastAsia" w:ascii="仿宋_GB2312" w:hAnsi="楷体" w:eastAsia="仿宋_GB2312"/>
          <w:sz w:val="32"/>
          <w:szCs w:val="32"/>
        </w:rPr>
        <w:t>2025年</w:t>
      </w:r>
      <w:r>
        <w:rPr>
          <w:rFonts w:hint="eastAsia" w:ascii="仿宋" w:hAnsi="仿宋" w:eastAsia="仿宋"/>
          <w:sz w:val="32"/>
          <w:szCs w:val="32"/>
        </w:rPr>
        <w:t>寿县信访局</w:t>
      </w:r>
      <w:r>
        <w:rPr>
          <w:rFonts w:hint="eastAsia" w:ascii="仿宋_GB2312" w:hAnsi="楷体" w:eastAsia="仿宋_GB2312"/>
          <w:sz w:val="32"/>
          <w:szCs w:val="32"/>
        </w:rPr>
        <w:t>预算安排购置公务用车0辆，购置费0万元，其中：副部（省）级及以上领导用车0辆、主要领导干部用车0辆、机要通信用车0辆、应急保障用车0辆、执法执勤用车0辆、特种专业技术用车0辆、离退休干部用车0辆、其他用车0辆；安排购置单位价值50万元以上的通用设备0台（套），购置费0万元；安排购置单位价值100万元以上专用设备0台（套），购置费0万元。</w:t>
      </w:r>
    </w:p>
    <w:p w14:paraId="33C85541">
      <w:pPr>
        <w:topLinePunct/>
        <w:adjustRightInd w:val="0"/>
        <w:snapToGrid w:val="0"/>
        <w:spacing w:line="56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759F0477">
      <w:pPr>
        <w:topLinePunct/>
        <w:adjustRightInd w:val="0"/>
        <w:snapToGrid w:val="0"/>
        <w:spacing w:line="560" w:lineRule="exact"/>
        <w:ind w:firstLine="640" w:firstLineChars="200"/>
        <w:rPr>
          <w:rFonts w:ascii="仿宋_GB2312" w:hAnsi="TimesNewRoman" w:eastAsia="仿宋_GB2312" w:cs="TimesNewRoman"/>
          <w:sz w:val="32"/>
          <w:szCs w:val="32"/>
        </w:rPr>
      </w:pPr>
      <w:r>
        <w:rPr>
          <w:rFonts w:hint="eastAsia" w:ascii="仿宋_GB2312" w:hAnsi="仿宋" w:eastAsia="仿宋_GB2312"/>
          <w:sz w:val="32"/>
          <w:szCs w:val="32"/>
        </w:rPr>
        <w:t>2025年，</w:t>
      </w:r>
      <w:r>
        <w:rPr>
          <w:rFonts w:hint="eastAsia" w:ascii="仿宋" w:hAnsi="仿宋" w:eastAsia="仿宋"/>
          <w:sz w:val="32"/>
          <w:szCs w:val="32"/>
        </w:rPr>
        <w:t>寿县信访局</w:t>
      </w:r>
      <w:r>
        <w:rPr>
          <w:rFonts w:hint="eastAsia" w:ascii="仿宋_GB2312" w:hAnsi="TimesNewRoman" w:eastAsia="仿宋_GB2312" w:cs="TimesNewRoman"/>
          <w:sz w:val="32"/>
          <w:szCs w:val="32"/>
        </w:rPr>
        <w:t>2个项目实行了绩效目标管理，涉及一般公共预算当年财政拨款166.52万元。</w:t>
      </w:r>
    </w:p>
    <w:p w14:paraId="0CE4A4DB">
      <w:pPr>
        <w:topLinePunct/>
        <w:adjustRightInd w:val="0"/>
        <w:snapToGrid w:val="0"/>
        <w:spacing w:line="560" w:lineRule="exact"/>
        <w:jc w:val="center"/>
        <w:rPr>
          <w:rFonts w:ascii="仿宋_GB2312" w:hAnsi="TimesNewRoman" w:eastAsia="仿宋_GB2312" w:cs="TimesNewRoman"/>
          <w:sz w:val="32"/>
          <w:szCs w:val="32"/>
        </w:rPr>
      </w:pPr>
    </w:p>
    <w:p w14:paraId="0A4EE487">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6ED6872C">
      <w:pPr>
        <w:topLinePunct/>
        <w:adjustRightInd w:val="0"/>
        <w:snapToGrid w:val="0"/>
        <w:spacing w:line="560" w:lineRule="exact"/>
        <w:rPr>
          <w:rFonts w:ascii="TimesNewRoman" w:hAnsi="TimesNewRoman" w:eastAsia="黑体" w:cs="TimesNewRoman"/>
          <w:szCs w:val="32"/>
        </w:rPr>
      </w:pPr>
    </w:p>
    <w:p w14:paraId="3B9C6230">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b/>
          <w:sz w:val="32"/>
          <w:szCs w:val="32"/>
        </w:rPr>
        <w:t>一、财政拨款收入：</w:t>
      </w:r>
      <w:r>
        <w:rPr>
          <w:rFonts w:ascii="仿宋" w:hAnsi="仿宋" w:eastAsia="仿宋" w:cs="TimesNewRoman"/>
          <w:sz w:val="32"/>
          <w:szCs w:val="32"/>
        </w:rPr>
        <w:t>指部门或单位从同级财政部门取得的财政预算资金。</w:t>
      </w:r>
    </w:p>
    <w:p w14:paraId="0A64ABB5">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二、事业收入</w:t>
      </w:r>
      <w:r>
        <w:rPr>
          <w:rFonts w:ascii="仿宋" w:hAnsi="仿宋" w:eastAsia="仿宋" w:cs="TimesNewRoman"/>
          <w:kern w:val="2"/>
          <w:sz w:val="32"/>
          <w:szCs w:val="32"/>
        </w:rPr>
        <w:t>：</w:t>
      </w:r>
      <w:r>
        <w:rPr>
          <w:rFonts w:ascii="仿宋" w:hAnsi="仿宋" w:eastAsia="仿宋" w:cs="TimesNewRoman"/>
          <w:sz w:val="32"/>
          <w:szCs w:val="32"/>
        </w:rPr>
        <w:t>指事业单位开展专业业务活动及辅助活动所取得的收入。</w:t>
      </w:r>
    </w:p>
    <w:p w14:paraId="01815A10">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三、财政专户管理资金</w:t>
      </w:r>
      <w:r>
        <w:rPr>
          <w:rFonts w:ascii="仿宋" w:hAnsi="仿宋" w:eastAsia="仿宋" w:cs="TimesNewRoman"/>
          <w:kern w:val="2"/>
          <w:sz w:val="32"/>
          <w:szCs w:val="32"/>
        </w:rPr>
        <w:t>：</w:t>
      </w:r>
      <w:r>
        <w:rPr>
          <w:rFonts w:ascii="仿宋" w:hAnsi="仿宋" w:eastAsia="仿宋" w:cs="TimesNewRoman"/>
          <w:sz w:val="32"/>
          <w:szCs w:val="32"/>
        </w:rPr>
        <w:t>指按照非税收入管理相关规定，纳入财政专户管理的教育收费等。</w:t>
      </w:r>
    </w:p>
    <w:p w14:paraId="16D8D724">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四、事业单位经营收入</w:t>
      </w:r>
      <w:r>
        <w:rPr>
          <w:rFonts w:ascii="仿宋" w:hAnsi="仿宋" w:eastAsia="仿宋" w:cs="TimesNewRoman"/>
          <w:kern w:val="2"/>
          <w:sz w:val="32"/>
          <w:szCs w:val="32"/>
        </w:rPr>
        <w:t>：</w:t>
      </w:r>
      <w:r>
        <w:rPr>
          <w:rFonts w:ascii="仿宋" w:hAnsi="仿宋" w:eastAsia="仿宋" w:cs="TimesNewRoman"/>
          <w:sz w:val="32"/>
          <w:szCs w:val="32"/>
        </w:rPr>
        <w:t>指事业单位在专业业务活动及其辅助活动之外开展非独立核算经营活动取得的收入。</w:t>
      </w:r>
    </w:p>
    <w:p w14:paraId="29290503">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五、附属单位上缴收入</w:t>
      </w:r>
      <w:r>
        <w:rPr>
          <w:rFonts w:ascii="仿宋" w:hAnsi="仿宋" w:eastAsia="仿宋" w:cs="TimesNewRoman"/>
          <w:kern w:val="2"/>
          <w:sz w:val="32"/>
          <w:szCs w:val="32"/>
        </w:rPr>
        <w:t>：</w:t>
      </w:r>
      <w:r>
        <w:rPr>
          <w:rFonts w:ascii="仿宋" w:hAnsi="仿宋" w:eastAsia="仿宋" w:cs="TimesNewRoman"/>
          <w:sz w:val="32"/>
          <w:szCs w:val="32"/>
        </w:rPr>
        <w:t>本单位所属下级单位上缴给本单位的全部收入。</w:t>
      </w:r>
    </w:p>
    <w:p w14:paraId="10FEFE15">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六、上年结转</w:t>
      </w:r>
      <w:r>
        <w:rPr>
          <w:rFonts w:ascii="仿宋" w:hAnsi="仿宋" w:eastAsia="仿宋" w:cs="TimesNewRoman"/>
          <w:kern w:val="2"/>
          <w:sz w:val="32"/>
          <w:szCs w:val="32"/>
        </w:rPr>
        <w:t>：</w:t>
      </w:r>
      <w:r>
        <w:rPr>
          <w:rFonts w:ascii="仿宋" w:hAnsi="仿宋" w:eastAsia="仿宋" w:cs="TimesNewRoman"/>
          <w:sz w:val="32"/>
          <w:szCs w:val="32"/>
        </w:rPr>
        <w:t>指以前年度安排、结转到本年仍按原用途继续使用的资金。</w:t>
      </w:r>
    </w:p>
    <w:p w14:paraId="5670D039">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七、结转下年</w:t>
      </w:r>
      <w:r>
        <w:rPr>
          <w:rFonts w:ascii="仿宋" w:hAnsi="仿宋" w:eastAsia="仿宋" w:cs="TimesNewRoman"/>
          <w:kern w:val="2"/>
          <w:sz w:val="32"/>
          <w:szCs w:val="32"/>
        </w:rPr>
        <w:t>：</w:t>
      </w:r>
      <w:r>
        <w:rPr>
          <w:rFonts w:ascii="仿宋" w:hAnsi="仿宋" w:eastAsia="仿宋" w:cs="TimesNewRoman"/>
          <w:sz w:val="32"/>
          <w:szCs w:val="32"/>
        </w:rPr>
        <w:t>指以前年度预算安排、因客观条件发生变化无法按原计划实施，需以后年度按原用途继续使用的资金。</w:t>
      </w:r>
    </w:p>
    <w:p w14:paraId="29BAFE48">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八、基本支出</w:t>
      </w:r>
      <w:r>
        <w:rPr>
          <w:rFonts w:ascii="仿宋" w:hAnsi="仿宋" w:eastAsia="仿宋" w:cs="TimesNewRoman"/>
          <w:kern w:val="2"/>
          <w:sz w:val="32"/>
          <w:szCs w:val="32"/>
        </w:rPr>
        <w:t>：</w:t>
      </w:r>
      <w:r>
        <w:rPr>
          <w:rFonts w:ascii="仿宋" w:hAnsi="仿宋" w:eastAsia="仿宋" w:cs="TimesNewRoman"/>
          <w:sz w:val="32"/>
          <w:szCs w:val="32"/>
        </w:rPr>
        <w:t>指为保障机构正常运转、完成日常工作任务而发生的人员支出和公用支出。</w:t>
      </w:r>
    </w:p>
    <w:p w14:paraId="16D7B373">
      <w:pPr>
        <w:pStyle w:val="15"/>
        <w:topLinePunct/>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九、项目支出</w:t>
      </w:r>
      <w:r>
        <w:rPr>
          <w:rFonts w:ascii="仿宋" w:hAnsi="仿宋" w:eastAsia="仿宋" w:cs="TimesNewRoman"/>
          <w:kern w:val="2"/>
          <w:sz w:val="32"/>
          <w:szCs w:val="32"/>
        </w:rPr>
        <w:t>：</w:t>
      </w:r>
      <w:r>
        <w:rPr>
          <w:rFonts w:ascii="仿宋" w:hAnsi="仿宋" w:eastAsia="仿宋" w:cs="TimesNewRoman"/>
          <w:sz w:val="32"/>
          <w:szCs w:val="32"/>
        </w:rPr>
        <w:t>指在除基本支出之外的支出，主要用于完成特定的工作任务和事业发展目标。</w:t>
      </w:r>
      <w:r>
        <w:rPr>
          <w:rFonts w:ascii="仿宋" w:hAnsi="仿宋" w:eastAsia="仿宋" w:cs="TimesNewRoman"/>
          <w:sz w:val="32"/>
          <w:szCs w:val="32"/>
        </w:rPr>
        <w:br w:type="textWrapping"/>
      </w:r>
      <w:r>
        <w:rPr>
          <w:rFonts w:ascii="仿宋" w:hAnsi="仿宋" w:eastAsia="仿宋" w:cs="TimesNewRoman"/>
          <w:kern w:val="2"/>
          <w:sz w:val="32"/>
          <w:szCs w:val="32"/>
        </w:rPr>
        <w:t xml:space="preserve">    </w:t>
      </w:r>
      <w:r>
        <w:rPr>
          <w:rFonts w:ascii="仿宋" w:hAnsi="仿宋" w:eastAsia="仿宋" w:cs="TimesNewRoman"/>
          <w:b/>
          <w:kern w:val="2"/>
          <w:sz w:val="32"/>
          <w:szCs w:val="32"/>
        </w:rPr>
        <w:t>十、机关运行经费</w:t>
      </w:r>
      <w:r>
        <w:rPr>
          <w:rFonts w:ascii="仿宋" w:hAnsi="仿宋" w:eastAsia="仿宋" w:cs="TimesNewRoman"/>
          <w:kern w:val="2"/>
          <w:sz w:val="32"/>
          <w:szCs w:val="32"/>
        </w:rPr>
        <w:t>:</w:t>
      </w:r>
      <w:r>
        <w:rPr>
          <w:rFonts w:ascii="仿宋" w:hAnsi="仿宋" w:eastAsia="仿宋"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3882C217">
      <w:pPr>
        <w:rPr>
          <w:szCs w:val="28"/>
        </w:rPr>
      </w:pPr>
    </w:p>
    <w:sectPr>
      <w:footerReference r:id="rId3" w:type="default"/>
      <w:footerReference r:id="rId4" w:type="even"/>
      <w:pgSz w:w="11907" w:h="16840"/>
      <w:pgMar w:top="2098" w:right="1474" w:bottom="1985" w:left="1588"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imesNewRoman">
    <w:altName w:val="Arial"/>
    <w:panose1 w:val="00000000000000000000"/>
    <w:charset w:val="00"/>
    <w:family w:val="auto"/>
    <w:pitch w:val="default"/>
    <w:sig w:usb0="00000000" w:usb1="00000000" w:usb2="00000029" w:usb3="00000000" w:csb0="600001FF" w:csb1="FFFF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905EE">
    <w:pPr>
      <w:pStyle w:val="1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17</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67CF8EBD">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4C5C3">
    <w:pPr>
      <w:pStyle w:val="1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16</w:t>
    </w:r>
    <w:r>
      <w:rPr>
        <w:rFonts w:hint="eastAsia" w:ascii="宋体" w:hAnsi="宋体"/>
        <w:sz w:val="28"/>
        <w:szCs w:val="28"/>
      </w:rPr>
      <w:fldChar w:fldCharType="end"/>
    </w:r>
    <w:r>
      <w:rPr>
        <w:rFonts w:hint="eastAsia" w:ascii="宋体" w:hAnsi="宋体"/>
        <w:sz w:val="28"/>
        <w:szCs w:val="28"/>
      </w:rPr>
      <w:t xml:space="preserve"> —</w:t>
    </w:r>
  </w:p>
  <w:p w14:paraId="59866CA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1"/>
  <w:bordersDoNotSurroundFooter w:val="1"/>
  <w:doNotTrackMove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4E3F"/>
    <w:rsid w:val="0000232A"/>
    <w:rsid w:val="00010698"/>
    <w:rsid w:val="00015EBA"/>
    <w:rsid w:val="00016C9C"/>
    <w:rsid w:val="00017D67"/>
    <w:rsid w:val="00024256"/>
    <w:rsid w:val="00027E92"/>
    <w:rsid w:val="000317EE"/>
    <w:rsid w:val="0004045B"/>
    <w:rsid w:val="00047204"/>
    <w:rsid w:val="00054053"/>
    <w:rsid w:val="00056870"/>
    <w:rsid w:val="0006198A"/>
    <w:rsid w:val="000641D7"/>
    <w:rsid w:val="00067428"/>
    <w:rsid w:val="000816DB"/>
    <w:rsid w:val="000826B6"/>
    <w:rsid w:val="000856A0"/>
    <w:rsid w:val="00090956"/>
    <w:rsid w:val="00090C2B"/>
    <w:rsid w:val="000929BA"/>
    <w:rsid w:val="000A2CBC"/>
    <w:rsid w:val="000A7B8C"/>
    <w:rsid w:val="000B16C6"/>
    <w:rsid w:val="000B27D8"/>
    <w:rsid w:val="000C2198"/>
    <w:rsid w:val="000C2532"/>
    <w:rsid w:val="000E6A6B"/>
    <w:rsid w:val="000F1F41"/>
    <w:rsid w:val="000F4C68"/>
    <w:rsid w:val="000F78CA"/>
    <w:rsid w:val="001025DC"/>
    <w:rsid w:val="001041A9"/>
    <w:rsid w:val="00106094"/>
    <w:rsid w:val="001076D0"/>
    <w:rsid w:val="00114B22"/>
    <w:rsid w:val="00115FA0"/>
    <w:rsid w:val="001172E4"/>
    <w:rsid w:val="00120F34"/>
    <w:rsid w:val="0013208E"/>
    <w:rsid w:val="0013671C"/>
    <w:rsid w:val="00147333"/>
    <w:rsid w:val="001521AF"/>
    <w:rsid w:val="001542E6"/>
    <w:rsid w:val="00155E48"/>
    <w:rsid w:val="001645F9"/>
    <w:rsid w:val="00166D42"/>
    <w:rsid w:val="00171590"/>
    <w:rsid w:val="00173919"/>
    <w:rsid w:val="0018379A"/>
    <w:rsid w:val="00183A3A"/>
    <w:rsid w:val="00184793"/>
    <w:rsid w:val="00184BAF"/>
    <w:rsid w:val="00185520"/>
    <w:rsid w:val="00195B5B"/>
    <w:rsid w:val="001978B4"/>
    <w:rsid w:val="001A3D2A"/>
    <w:rsid w:val="001A52C2"/>
    <w:rsid w:val="001B03C4"/>
    <w:rsid w:val="001B694E"/>
    <w:rsid w:val="001C6A11"/>
    <w:rsid w:val="001D4D10"/>
    <w:rsid w:val="001D4E96"/>
    <w:rsid w:val="001D727A"/>
    <w:rsid w:val="001E0044"/>
    <w:rsid w:val="001E35D2"/>
    <w:rsid w:val="002049B3"/>
    <w:rsid w:val="00207369"/>
    <w:rsid w:val="00215700"/>
    <w:rsid w:val="00222F50"/>
    <w:rsid w:val="0022408D"/>
    <w:rsid w:val="00233F27"/>
    <w:rsid w:val="002364D4"/>
    <w:rsid w:val="00244B05"/>
    <w:rsid w:val="002503CA"/>
    <w:rsid w:val="00251C3B"/>
    <w:rsid w:val="00255D60"/>
    <w:rsid w:val="00255F80"/>
    <w:rsid w:val="002576A1"/>
    <w:rsid w:val="00262599"/>
    <w:rsid w:val="002629C6"/>
    <w:rsid w:val="00262D76"/>
    <w:rsid w:val="00266CFB"/>
    <w:rsid w:val="00281714"/>
    <w:rsid w:val="002823D8"/>
    <w:rsid w:val="00282567"/>
    <w:rsid w:val="00282DBF"/>
    <w:rsid w:val="00282FB5"/>
    <w:rsid w:val="002861C6"/>
    <w:rsid w:val="0028773F"/>
    <w:rsid w:val="00287EB7"/>
    <w:rsid w:val="002946DB"/>
    <w:rsid w:val="002960DD"/>
    <w:rsid w:val="002A10B6"/>
    <w:rsid w:val="002A19D9"/>
    <w:rsid w:val="002A4A87"/>
    <w:rsid w:val="002A51B7"/>
    <w:rsid w:val="002A65E2"/>
    <w:rsid w:val="002A6E75"/>
    <w:rsid w:val="002A6EDB"/>
    <w:rsid w:val="002A7EA6"/>
    <w:rsid w:val="002B2A8E"/>
    <w:rsid w:val="002B5B3C"/>
    <w:rsid w:val="002B6771"/>
    <w:rsid w:val="002C23C3"/>
    <w:rsid w:val="002D19C7"/>
    <w:rsid w:val="002D3200"/>
    <w:rsid w:val="002E18B1"/>
    <w:rsid w:val="002E1C6C"/>
    <w:rsid w:val="002E5B2B"/>
    <w:rsid w:val="002E64D6"/>
    <w:rsid w:val="00304917"/>
    <w:rsid w:val="00306E22"/>
    <w:rsid w:val="00307133"/>
    <w:rsid w:val="00310D47"/>
    <w:rsid w:val="003232F6"/>
    <w:rsid w:val="00327655"/>
    <w:rsid w:val="003278E6"/>
    <w:rsid w:val="00327EA3"/>
    <w:rsid w:val="00331A28"/>
    <w:rsid w:val="00331E02"/>
    <w:rsid w:val="0034225D"/>
    <w:rsid w:val="003455BC"/>
    <w:rsid w:val="0034617D"/>
    <w:rsid w:val="00350088"/>
    <w:rsid w:val="003503B4"/>
    <w:rsid w:val="00352D7E"/>
    <w:rsid w:val="00353046"/>
    <w:rsid w:val="00354FB8"/>
    <w:rsid w:val="00360A44"/>
    <w:rsid w:val="00361598"/>
    <w:rsid w:val="00362A04"/>
    <w:rsid w:val="003713E8"/>
    <w:rsid w:val="00373B39"/>
    <w:rsid w:val="00386720"/>
    <w:rsid w:val="0039221C"/>
    <w:rsid w:val="00392C9C"/>
    <w:rsid w:val="003932D0"/>
    <w:rsid w:val="00395974"/>
    <w:rsid w:val="003A14CA"/>
    <w:rsid w:val="003B58A1"/>
    <w:rsid w:val="003B68D1"/>
    <w:rsid w:val="003B6CDE"/>
    <w:rsid w:val="003B6E7A"/>
    <w:rsid w:val="003C37B6"/>
    <w:rsid w:val="003C63E5"/>
    <w:rsid w:val="003D75D1"/>
    <w:rsid w:val="003D7D24"/>
    <w:rsid w:val="003E47AD"/>
    <w:rsid w:val="003F135D"/>
    <w:rsid w:val="003F7095"/>
    <w:rsid w:val="003F72F2"/>
    <w:rsid w:val="0040512A"/>
    <w:rsid w:val="00405642"/>
    <w:rsid w:val="00405DFC"/>
    <w:rsid w:val="004068BA"/>
    <w:rsid w:val="00415D0F"/>
    <w:rsid w:val="0041651B"/>
    <w:rsid w:val="00431628"/>
    <w:rsid w:val="004330AB"/>
    <w:rsid w:val="00434B9B"/>
    <w:rsid w:val="00437DD1"/>
    <w:rsid w:val="0044132D"/>
    <w:rsid w:val="00452C1A"/>
    <w:rsid w:val="00456DE2"/>
    <w:rsid w:val="00460261"/>
    <w:rsid w:val="00471E18"/>
    <w:rsid w:val="00474D75"/>
    <w:rsid w:val="00477779"/>
    <w:rsid w:val="004900A3"/>
    <w:rsid w:val="00490D5D"/>
    <w:rsid w:val="00492453"/>
    <w:rsid w:val="00496864"/>
    <w:rsid w:val="004A4500"/>
    <w:rsid w:val="004A4AE8"/>
    <w:rsid w:val="004C09F0"/>
    <w:rsid w:val="004C2239"/>
    <w:rsid w:val="004C5C63"/>
    <w:rsid w:val="004D0512"/>
    <w:rsid w:val="004D3F38"/>
    <w:rsid w:val="004E05B6"/>
    <w:rsid w:val="004E27FD"/>
    <w:rsid w:val="004E2E7B"/>
    <w:rsid w:val="004E3E03"/>
    <w:rsid w:val="004E40B8"/>
    <w:rsid w:val="004E678E"/>
    <w:rsid w:val="004E738E"/>
    <w:rsid w:val="004E7C81"/>
    <w:rsid w:val="004F0D61"/>
    <w:rsid w:val="004F172C"/>
    <w:rsid w:val="004F3FC0"/>
    <w:rsid w:val="004F5F37"/>
    <w:rsid w:val="00500381"/>
    <w:rsid w:val="005007CB"/>
    <w:rsid w:val="00501118"/>
    <w:rsid w:val="00506D43"/>
    <w:rsid w:val="00507DC4"/>
    <w:rsid w:val="0052516D"/>
    <w:rsid w:val="00526D8B"/>
    <w:rsid w:val="00527A10"/>
    <w:rsid w:val="00530C6C"/>
    <w:rsid w:val="0053317E"/>
    <w:rsid w:val="00533F3F"/>
    <w:rsid w:val="005360CA"/>
    <w:rsid w:val="005378ED"/>
    <w:rsid w:val="00543CF0"/>
    <w:rsid w:val="005444B2"/>
    <w:rsid w:val="00544A04"/>
    <w:rsid w:val="005458A5"/>
    <w:rsid w:val="00551CF0"/>
    <w:rsid w:val="00552B1D"/>
    <w:rsid w:val="00555658"/>
    <w:rsid w:val="005608ED"/>
    <w:rsid w:val="005616E9"/>
    <w:rsid w:val="005643DB"/>
    <w:rsid w:val="00564A24"/>
    <w:rsid w:val="00565E35"/>
    <w:rsid w:val="00571EB4"/>
    <w:rsid w:val="00574E9F"/>
    <w:rsid w:val="00580F5C"/>
    <w:rsid w:val="005913A3"/>
    <w:rsid w:val="00597E64"/>
    <w:rsid w:val="005A36E3"/>
    <w:rsid w:val="005A58BE"/>
    <w:rsid w:val="005B288C"/>
    <w:rsid w:val="005B32C2"/>
    <w:rsid w:val="005B4A39"/>
    <w:rsid w:val="005B6780"/>
    <w:rsid w:val="005C32DC"/>
    <w:rsid w:val="005C4469"/>
    <w:rsid w:val="005D1411"/>
    <w:rsid w:val="005D54F6"/>
    <w:rsid w:val="005D7114"/>
    <w:rsid w:val="005E1834"/>
    <w:rsid w:val="005E360D"/>
    <w:rsid w:val="005E743E"/>
    <w:rsid w:val="005F18FB"/>
    <w:rsid w:val="005F4B44"/>
    <w:rsid w:val="00601CC4"/>
    <w:rsid w:val="006027A6"/>
    <w:rsid w:val="006124D4"/>
    <w:rsid w:val="0062014E"/>
    <w:rsid w:val="00621DD7"/>
    <w:rsid w:val="0062286C"/>
    <w:rsid w:val="00623B7D"/>
    <w:rsid w:val="00632793"/>
    <w:rsid w:val="0063671C"/>
    <w:rsid w:val="00636A65"/>
    <w:rsid w:val="00636F19"/>
    <w:rsid w:val="0064175E"/>
    <w:rsid w:val="0064211F"/>
    <w:rsid w:val="00644C2E"/>
    <w:rsid w:val="00652A7F"/>
    <w:rsid w:val="006539FD"/>
    <w:rsid w:val="00661556"/>
    <w:rsid w:val="00662384"/>
    <w:rsid w:val="00666478"/>
    <w:rsid w:val="00667DDC"/>
    <w:rsid w:val="00670B66"/>
    <w:rsid w:val="00670EA3"/>
    <w:rsid w:val="0067147D"/>
    <w:rsid w:val="00674D75"/>
    <w:rsid w:val="006808D8"/>
    <w:rsid w:val="006865D6"/>
    <w:rsid w:val="0069149A"/>
    <w:rsid w:val="00691FB3"/>
    <w:rsid w:val="00696C1F"/>
    <w:rsid w:val="00697B19"/>
    <w:rsid w:val="006A4913"/>
    <w:rsid w:val="006B2DFD"/>
    <w:rsid w:val="006B62CE"/>
    <w:rsid w:val="006B7323"/>
    <w:rsid w:val="006C2608"/>
    <w:rsid w:val="006C4FBF"/>
    <w:rsid w:val="006C5F43"/>
    <w:rsid w:val="006C6981"/>
    <w:rsid w:val="006D1D0F"/>
    <w:rsid w:val="006D6310"/>
    <w:rsid w:val="006D710E"/>
    <w:rsid w:val="006E1868"/>
    <w:rsid w:val="006E2099"/>
    <w:rsid w:val="006E4DAD"/>
    <w:rsid w:val="006F39F8"/>
    <w:rsid w:val="006F7761"/>
    <w:rsid w:val="00701217"/>
    <w:rsid w:val="00705D45"/>
    <w:rsid w:val="00706BA7"/>
    <w:rsid w:val="00712917"/>
    <w:rsid w:val="00713712"/>
    <w:rsid w:val="0072528F"/>
    <w:rsid w:val="007270A9"/>
    <w:rsid w:val="00730690"/>
    <w:rsid w:val="007312A1"/>
    <w:rsid w:val="007322F0"/>
    <w:rsid w:val="0073320F"/>
    <w:rsid w:val="00735D3A"/>
    <w:rsid w:val="00736E25"/>
    <w:rsid w:val="007420C1"/>
    <w:rsid w:val="00744B44"/>
    <w:rsid w:val="0074527F"/>
    <w:rsid w:val="00760F8D"/>
    <w:rsid w:val="00761E95"/>
    <w:rsid w:val="00763AE0"/>
    <w:rsid w:val="00765CCF"/>
    <w:rsid w:val="00771F64"/>
    <w:rsid w:val="0077216F"/>
    <w:rsid w:val="00773599"/>
    <w:rsid w:val="00775C90"/>
    <w:rsid w:val="00775E5A"/>
    <w:rsid w:val="007762FB"/>
    <w:rsid w:val="00781F28"/>
    <w:rsid w:val="00783B2D"/>
    <w:rsid w:val="00787CA8"/>
    <w:rsid w:val="0079146D"/>
    <w:rsid w:val="00795685"/>
    <w:rsid w:val="00795F52"/>
    <w:rsid w:val="007A1AB1"/>
    <w:rsid w:val="007A2B5E"/>
    <w:rsid w:val="007A5B40"/>
    <w:rsid w:val="007B3D43"/>
    <w:rsid w:val="007B4FE4"/>
    <w:rsid w:val="007B5098"/>
    <w:rsid w:val="007C1C69"/>
    <w:rsid w:val="007C3052"/>
    <w:rsid w:val="007C667B"/>
    <w:rsid w:val="007C7F71"/>
    <w:rsid w:val="007D5300"/>
    <w:rsid w:val="007E1FD8"/>
    <w:rsid w:val="007E3448"/>
    <w:rsid w:val="007E3E29"/>
    <w:rsid w:val="007E7BB1"/>
    <w:rsid w:val="007F4B6A"/>
    <w:rsid w:val="007F70F2"/>
    <w:rsid w:val="007F7831"/>
    <w:rsid w:val="00801518"/>
    <w:rsid w:val="00803279"/>
    <w:rsid w:val="00804E3F"/>
    <w:rsid w:val="00807C87"/>
    <w:rsid w:val="00810FC9"/>
    <w:rsid w:val="00815327"/>
    <w:rsid w:val="00815BCC"/>
    <w:rsid w:val="00815E0F"/>
    <w:rsid w:val="00820A39"/>
    <w:rsid w:val="00826B4D"/>
    <w:rsid w:val="00831CC0"/>
    <w:rsid w:val="0084035D"/>
    <w:rsid w:val="00842861"/>
    <w:rsid w:val="00842BED"/>
    <w:rsid w:val="00844C50"/>
    <w:rsid w:val="008477B8"/>
    <w:rsid w:val="008609B4"/>
    <w:rsid w:val="00860D5D"/>
    <w:rsid w:val="00862924"/>
    <w:rsid w:val="0086321F"/>
    <w:rsid w:val="00864917"/>
    <w:rsid w:val="0086779B"/>
    <w:rsid w:val="00876B5D"/>
    <w:rsid w:val="008812EC"/>
    <w:rsid w:val="00897F2A"/>
    <w:rsid w:val="008A13CF"/>
    <w:rsid w:val="008A3D1F"/>
    <w:rsid w:val="008A5893"/>
    <w:rsid w:val="008B0646"/>
    <w:rsid w:val="008B1591"/>
    <w:rsid w:val="008B1916"/>
    <w:rsid w:val="008B4C5B"/>
    <w:rsid w:val="008C21BB"/>
    <w:rsid w:val="008D3985"/>
    <w:rsid w:val="008D3DDE"/>
    <w:rsid w:val="008D4D79"/>
    <w:rsid w:val="008D7724"/>
    <w:rsid w:val="008E0B9B"/>
    <w:rsid w:val="008E1783"/>
    <w:rsid w:val="008E4780"/>
    <w:rsid w:val="008E5937"/>
    <w:rsid w:val="008F1E7D"/>
    <w:rsid w:val="00901239"/>
    <w:rsid w:val="009040A7"/>
    <w:rsid w:val="00905B68"/>
    <w:rsid w:val="00907320"/>
    <w:rsid w:val="00907A80"/>
    <w:rsid w:val="00907E2D"/>
    <w:rsid w:val="00914521"/>
    <w:rsid w:val="00921E57"/>
    <w:rsid w:val="00923EB2"/>
    <w:rsid w:val="00924A9C"/>
    <w:rsid w:val="00926DBC"/>
    <w:rsid w:val="00932009"/>
    <w:rsid w:val="00934481"/>
    <w:rsid w:val="0093613D"/>
    <w:rsid w:val="00941B09"/>
    <w:rsid w:val="0094235F"/>
    <w:rsid w:val="00952B0B"/>
    <w:rsid w:val="00955EC9"/>
    <w:rsid w:val="00961DC4"/>
    <w:rsid w:val="00961E01"/>
    <w:rsid w:val="009675AD"/>
    <w:rsid w:val="00967FB2"/>
    <w:rsid w:val="009736DA"/>
    <w:rsid w:val="009753FE"/>
    <w:rsid w:val="009768EE"/>
    <w:rsid w:val="0097694A"/>
    <w:rsid w:val="00980B5C"/>
    <w:rsid w:val="00984E06"/>
    <w:rsid w:val="00985A51"/>
    <w:rsid w:val="009876FB"/>
    <w:rsid w:val="00996462"/>
    <w:rsid w:val="009A65B1"/>
    <w:rsid w:val="009C117E"/>
    <w:rsid w:val="009C20D0"/>
    <w:rsid w:val="009C7FD9"/>
    <w:rsid w:val="009D1436"/>
    <w:rsid w:val="009D1DE8"/>
    <w:rsid w:val="009D2142"/>
    <w:rsid w:val="009D2AC4"/>
    <w:rsid w:val="009D404E"/>
    <w:rsid w:val="009E1FE5"/>
    <w:rsid w:val="009E250F"/>
    <w:rsid w:val="009E40F4"/>
    <w:rsid w:val="009E50C3"/>
    <w:rsid w:val="009E5235"/>
    <w:rsid w:val="009F02BA"/>
    <w:rsid w:val="009F0EC1"/>
    <w:rsid w:val="009F2ED8"/>
    <w:rsid w:val="009F6863"/>
    <w:rsid w:val="009F6B49"/>
    <w:rsid w:val="00A0050D"/>
    <w:rsid w:val="00A10BF4"/>
    <w:rsid w:val="00A11F4A"/>
    <w:rsid w:val="00A12074"/>
    <w:rsid w:val="00A126B0"/>
    <w:rsid w:val="00A142B3"/>
    <w:rsid w:val="00A21044"/>
    <w:rsid w:val="00A2325B"/>
    <w:rsid w:val="00A2431A"/>
    <w:rsid w:val="00A26D82"/>
    <w:rsid w:val="00A2782E"/>
    <w:rsid w:val="00A3573F"/>
    <w:rsid w:val="00A37D1F"/>
    <w:rsid w:val="00A41F93"/>
    <w:rsid w:val="00A448FA"/>
    <w:rsid w:val="00A46BA4"/>
    <w:rsid w:val="00A46D60"/>
    <w:rsid w:val="00A52C1C"/>
    <w:rsid w:val="00A66634"/>
    <w:rsid w:val="00A76E4C"/>
    <w:rsid w:val="00A77491"/>
    <w:rsid w:val="00A77575"/>
    <w:rsid w:val="00A83F75"/>
    <w:rsid w:val="00A84406"/>
    <w:rsid w:val="00A84E58"/>
    <w:rsid w:val="00A90719"/>
    <w:rsid w:val="00A93DE5"/>
    <w:rsid w:val="00AA57F6"/>
    <w:rsid w:val="00AB0625"/>
    <w:rsid w:val="00AB1310"/>
    <w:rsid w:val="00AB2A85"/>
    <w:rsid w:val="00AB3893"/>
    <w:rsid w:val="00AB3C90"/>
    <w:rsid w:val="00AC346D"/>
    <w:rsid w:val="00AC3651"/>
    <w:rsid w:val="00AC4DE1"/>
    <w:rsid w:val="00AC672C"/>
    <w:rsid w:val="00AD37C9"/>
    <w:rsid w:val="00AD66F4"/>
    <w:rsid w:val="00AE493F"/>
    <w:rsid w:val="00AF54F0"/>
    <w:rsid w:val="00B01C14"/>
    <w:rsid w:val="00B02A69"/>
    <w:rsid w:val="00B02C2E"/>
    <w:rsid w:val="00B03001"/>
    <w:rsid w:val="00B03AB4"/>
    <w:rsid w:val="00B10C4A"/>
    <w:rsid w:val="00B11F8C"/>
    <w:rsid w:val="00B12235"/>
    <w:rsid w:val="00B2142B"/>
    <w:rsid w:val="00B2273C"/>
    <w:rsid w:val="00B23A99"/>
    <w:rsid w:val="00B30E40"/>
    <w:rsid w:val="00B323B5"/>
    <w:rsid w:val="00B368DF"/>
    <w:rsid w:val="00B41B79"/>
    <w:rsid w:val="00B43C4B"/>
    <w:rsid w:val="00B50700"/>
    <w:rsid w:val="00B50DB7"/>
    <w:rsid w:val="00B526C5"/>
    <w:rsid w:val="00B53B9A"/>
    <w:rsid w:val="00B576DC"/>
    <w:rsid w:val="00B612F0"/>
    <w:rsid w:val="00B61833"/>
    <w:rsid w:val="00B634BE"/>
    <w:rsid w:val="00B670CA"/>
    <w:rsid w:val="00B722BF"/>
    <w:rsid w:val="00B72578"/>
    <w:rsid w:val="00B7330A"/>
    <w:rsid w:val="00B76C32"/>
    <w:rsid w:val="00B84855"/>
    <w:rsid w:val="00B879A1"/>
    <w:rsid w:val="00B94554"/>
    <w:rsid w:val="00B945A9"/>
    <w:rsid w:val="00BA120C"/>
    <w:rsid w:val="00BA25FD"/>
    <w:rsid w:val="00BB01E5"/>
    <w:rsid w:val="00BB5306"/>
    <w:rsid w:val="00BC4BC9"/>
    <w:rsid w:val="00BC76D2"/>
    <w:rsid w:val="00BC7C40"/>
    <w:rsid w:val="00BD2C60"/>
    <w:rsid w:val="00BE0161"/>
    <w:rsid w:val="00BE20E9"/>
    <w:rsid w:val="00BE6343"/>
    <w:rsid w:val="00BE7764"/>
    <w:rsid w:val="00BF1E9B"/>
    <w:rsid w:val="00BF744A"/>
    <w:rsid w:val="00C02B47"/>
    <w:rsid w:val="00C11B5E"/>
    <w:rsid w:val="00C13D24"/>
    <w:rsid w:val="00C17CCE"/>
    <w:rsid w:val="00C2319C"/>
    <w:rsid w:val="00C23C2F"/>
    <w:rsid w:val="00C24169"/>
    <w:rsid w:val="00C24F93"/>
    <w:rsid w:val="00C27BE1"/>
    <w:rsid w:val="00C30FC5"/>
    <w:rsid w:val="00C4309A"/>
    <w:rsid w:val="00C44F2A"/>
    <w:rsid w:val="00C47394"/>
    <w:rsid w:val="00C5040A"/>
    <w:rsid w:val="00C55735"/>
    <w:rsid w:val="00C55E87"/>
    <w:rsid w:val="00C63B2E"/>
    <w:rsid w:val="00C64827"/>
    <w:rsid w:val="00C702AE"/>
    <w:rsid w:val="00C706FB"/>
    <w:rsid w:val="00C74511"/>
    <w:rsid w:val="00C76C49"/>
    <w:rsid w:val="00C77988"/>
    <w:rsid w:val="00C803CA"/>
    <w:rsid w:val="00C80E7E"/>
    <w:rsid w:val="00C81630"/>
    <w:rsid w:val="00C82EF1"/>
    <w:rsid w:val="00C91952"/>
    <w:rsid w:val="00C93B01"/>
    <w:rsid w:val="00C965CF"/>
    <w:rsid w:val="00C96C10"/>
    <w:rsid w:val="00C97439"/>
    <w:rsid w:val="00CA68E2"/>
    <w:rsid w:val="00CC650B"/>
    <w:rsid w:val="00CD2A13"/>
    <w:rsid w:val="00CD391C"/>
    <w:rsid w:val="00CD7A85"/>
    <w:rsid w:val="00CE0214"/>
    <w:rsid w:val="00CE6C7E"/>
    <w:rsid w:val="00CE6E4F"/>
    <w:rsid w:val="00CF17E0"/>
    <w:rsid w:val="00CF2FF7"/>
    <w:rsid w:val="00CF3582"/>
    <w:rsid w:val="00CF4E72"/>
    <w:rsid w:val="00CF51ED"/>
    <w:rsid w:val="00D02B1E"/>
    <w:rsid w:val="00D12260"/>
    <w:rsid w:val="00D2422B"/>
    <w:rsid w:val="00D330E8"/>
    <w:rsid w:val="00D35ABC"/>
    <w:rsid w:val="00D442E3"/>
    <w:rsid w:val="00D44E68"/>
    <w:rsid w:val="00D47DD0"/>
    <w:rsid w:val="00D52856"/>
    <w:rsid w:val="00D54164"/>
    <w:rsid w:val="00D61080"/>
    <w:rsid w:val="00D62E29"/>
    <w:rsid w:val="00D67F8D"/>
    <w:rsid w:val="00D70FE4"/>
    <w:rsid w:val="00D718D2"/>
    <w:rsid w:val="00D71E88"/>
    <w:rsid w:val="00D72E25"/>
    <w:rsid w:val="00D767F3"/>
    <w:rsid w:val="00D81AB3"/>
    <w:rsid w:val="00D8250E"/>
    <w:rsid w:val="00D82C41"/>
    <w:rsid w:val="00D91B0E"/>
    <w:rsid w:val="00D9215E"/>
    <w:rsid w:val="00D92A4C"/>
    <w:rsid w:val="00D93242"/>
    <w:rsid w:val="00D96B59"/>
    <w:rsid w:val="00DB21EA"/>
    <w:rsid w:val="00DB4B2F"/>
    <w:rsid w:val="00DB5D52"/>
    <w:rsid w:val="00DB5E06"/>
    <w:rsid w:val="00DC0935"/>
    <w:rsid w:val="00DC0AC4"/>
    <w:rsid w:val="00DC1908"/>
    <w:rsid w:val="00DD0B73"/>
    <w:rsid w:val="00DD103A"/>
    <w:rsid w:val="00DD145F"/>
    <w:rsid w:val="00DD1F7E"/>
    <w:rsid w:val="00DD4A6C"/>
    <w:rsid w:val="00DD7134"/>
    <w:rsid w:val="00DD71EA"/>
    <w:rsid w:val="00DD782C"/>
    <w:rsid w:val="00DE0D0C"/>
    <w:rsid w:val="00DE3FE8"/>
    <w:rsid w:val="00DE6CCB"/>
    <w:rsid w:val="00DE7F40"/>
    <w:rsid w:val="00E006E2"/>
    <w:rsid w:val="00E00C36"/>
    <w:rsid w:val="00E00CD7"/>
    <w:rsid w:val="00E026E6"/>
    <w:rsid w:val="00E03ADB"/>
    <w:rsid w:val="00E0749F"/>
    <w:rsid w:val="00E1193A"/>
    <w:rsid w:val="00E13891"/>
    <w:rsid w:val="00E13A67"/>
    <w:rsid w:val="00E14A7A"/>
    <w:rsid w:val="00E250DD"/>
    <w:rsid w:val="00E256D4"/>
    <w:rsid w:val="00E37D65"/>
    <w:rsid w:val="00E43D5E"/>
    <w:rsid w:val="00E46255"/>
    <w:rsid w:val="00E51281"/>
    <w:rsid w:val="00E51A8A"/>
    <w:rsid w:val="00E55818"/>
    <w:rsid w:val="00E572CF"/>
    <w:rsid w:val="00E61ED1"/>
    <w:rsid w:val="00E67AF8"/>
    <w:rsid w:val="00E7470E"/>
    <w:rsid w:val="00E74BFD"/>
    <w:rsid w:val="00E753AC"/>
    <w:rsid w:val="00E76659"/>
    <w:rsid w:val="00E77F14"/>
    <w:rsid w:val="00E815A3"/>
    <w:rsid w:val="00E8398D"/>
    <w:rsid w:val="00E84042"/>
    <w:rsid w:val="00E90F7E"/>
    <w:rsid w:val="00EA6A4C"/>
    <w:rsid w:val="00EB0B89"/>
    <w:rsid w:val="00EB779F"/>
    <w:rsid w:val="00EC3ABB"/>
    <w:rsid w:val="00EC6ABC"/>
    <w:rsid w:val="00EC6CA7"/>
    <w:rsid w:val="00ED445E"/>
    <w:rsid w:val="00ED6336"/>
    <w:rsid w:val="00ED7D22"/>
    <w:rsid w:val="00EE58CE"/>
    <w:rsid w:val="00EF0FB6"/>
    <w:rsid w:val="00EF361A"/>
    <w:rsid w:val="00EF6645"/>
    <w:rsid w:val="00EF7F92"/>
    <w:rsid w:val="00F0001B"/>
    <w:rsid w:val="00F01B3E"/>
    <w:rsid w:val="00F02567"/>
    <w:rsid w:val="00F028DD"/>
    <w:rsid w:val="00F02B6C"/>
    <w:rsid w:val="00F0667C"/>
    <w:rsid w:val="00F10CFE"/>
    <w:rsid w:val="00F14E50"/>
    <w:rsid w:val="00F16850"/>
    <w:rsid w:val="00F172EC"/>
    <w:rsid w:val="00F2579A"/>
    <w:rsid w:val="00F264E5"/>
    <w:rsid w:val="00F2680D"/>
    <w:rsid w:val="00F30A52"/>
    <w:rsid w:val="00F33284"/>
    <w:rsid w:val="00F348D3"/>
    <w:rsid w:val="00F40E5D"/>
    <w:rsid w:val="00F42506"/>
    <w:rsid w:val="00F458A1"/>
    <w:rsid w:val="00F4792A"/>
    <w:rsid w:val="00F51C68"/>
    <w:rsid w:val="00F60E32"/>
    <w:rsid w:val="00F748D9"/>
    <w:rsid w:val="00F754F3"/>
    <w:rsid w:val="00F775C5"/>
    <w:rsid w:val="00F815C2"/>
    <w:rsid w:val="00F83052"/>
    <w:rsid w:val="00F83C6B"/>
    <w:rsid w:val="00F87902"/>
    <w:rsid w:val="00F87F0F"/>
    <w:rsid w:val="00FA3BEB"/>
    <w:rsid w:val="00FA74E1"/>
    <w:rsid w:val="00FB2A91"/>
    <w:rsid w:val="00FB65E4"/>
    <w:rsid w:val="00FB6873"/>
    <w:rsid w:val="00FB775C"/>
    <w:rsid w:val="00FD03E4"/>
    <w:rsid w:val="00FD0E19"/>
    <w:rsid w:val="00FD130E"/>
    <w:rsid w:val="00FD2C8D"/>
    <w:rsid w:val="00FE4249"/>
    <w:rsid w:val="00FE456A"/>
    <w:rsid w:val="00FE7FAA"/>
    <w:rsid w:val="00FF1061"/>
    <w:rsid w:val="00FF15CF"/>
    <w:rsid w:val="00FF272F"/>
    <w:rsid w:val="00FF67A0"/>
    <w:rsid w:val="0C433405"/>
    <w:rsid w:val="302472E9"/>
    <w:rsid w:val="7D3C673B"/>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line="576" w:lineRule="auto"/>
      <w:outlineLvl w:val="0"/>
    </w:pPr>
    <w:rPr>
      <w:rFonts w:ascii="Calibri" w:hAnsi="Calibri"/>
      <w:b/>
      <w:kern w:val="44"/>
      <w:sz w:val="44"/>
    </w:rPr>
  </w:style>
  <w:style w:type="paragraph" w:styleId="3">
    <w:name w:val="heading 2"/>
    <w:basedOn w:val="1"/>
    <w:next w:val="1"/>
    <w:link w:val="23"/>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szCs w:val="21"/>
    </w:rPr>
  </w:style>
  <w:style w:type="paragraph" w:styleId="6">
    <w:name w:val="Body Text"/>
    <w:basedOn w:val="1"/>
    <w:link w:val="25"/>
    <w:qFormat/>
    <w:uiPriority w:val="0"/>
    <w:pPr>
      <w:jc w:val="center"/>
    </w:pPr>
    <w:rPr>
      <w:rFonts w:eastAsia="黑体"/>
      <w:sz w:val="36"/>
      <w:szCs w:val="20"/>
    </w:rPr>
  </w:style>
  <w:style w:type="paragraph" w:styleId="7">
    <w:name w:val="Body Text Indent"/>
    <w:basedOn w:val="1"/>
    <w:link w:val="36"/>
    <w:qFormat/>
    <w:uiPriority w:val="0"/>
    <w:pPr>
      <w:spacing w:after="120"/>
      <w:ind w:left="420" w:leftChars="200"/>
    </w:pPr>
  </w:style>
  <w:style w:type="paragraph" w:styleId="8">
    <w:name w:val="Plain Text"/>
    <w:basedOn w:val="1"/>
    <w:link w:val="27"/>
    <w:qFormat/>
    <w:uiPriority w:val="0"/>
    <w:rPr>
      <w:rFonts w:ascii="宋体" w:hAnsi="Courier New"/>
    </w:rPr>
  </w:style>
  <w:style w:type="paragraph" w:styleId="9">
    <w:name w:val="Date"/>
    <w:basedOn w:val="1"/>
    <w:next w:val="1"/>
    <w:link w:val="28"/>
    <w:qFormat/>
    <w:uiPriority w:val="0"/>
    <w:pPr>
      <w:ind w:left="100" w:leftChars="2500"/>
    </w:pPr>
  </w:style>
  <w:style w:type="paragraph" w:styleId="10">
    <w:name w:val="Body Text Indent 2"/>
    <w:basedOn w:val="1"/>
    <w:link w:val="29"/>
    <w:qFormat/>
    <w:uiPriority w:val="0"/>
    <w:pPr>
      <w:spacing w:after="120" w:line="480" w:lineRule="auto"/>
      <w:ind w:left="420" w:leftChars="200"/>
    </w:pPr>
  </w:style>
  <w:style w:type="paragraph" w:styleId="11">
    <w:name w:val="Balloon Text"/>
    <w:basedOn w:val="1"/>
    <w:link w:val="30"/>
    <w:qFormat/>
    <w:uiPriority w:val="0"/>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4">
    <w:name w:val="footnote text"/>
    <w:basedOn w:val="1"/>
    <w:link w:val="33"/>
    <w:qFormat/>
    <w:uiPriority w:val="99"/>
    <w:pPr>
      <w:snapToGrid w:val="0"/>
      <w:jc w:val="left"/>
    </w:pPr>
    <w:rPr>
      <w:sz w:val="18"/>
      <w:szCs w:val="18"/>
    </w:rPr>
  </w:style>
  <w:style w:type="paragraph" w:styleId="15">
    <w:name w:val="Normal (Web)"/>
    <w:basedOn w:val="1"/>
    <w:qFormat/>
    <w:uiPriority w:val="0"/>
    <w:pPr>
      <w:spacing w:beforeAutospacing="1" w:afterAutospacing="1"/>
      <w:jc w:val="left"/>
    </w:pPr>
    <w:rPr>
      <w:rFonts w:ascii="Calibri" w:hAnsi="Calibri"/>
      <w:kern w:val="0"/>
      <w:sz w:val="24"/>
    </w:rPr>
  </w:style>
  <w:style w:type="paragraph" w:styleId="16">
    <w:name w:val="Body Text First Indent"/>
    <w:basedOn w:val="6"/>
    <w:link w:val="34"/>
    <w:qFormat/>
    <w:uiPriority w:val="0"/>
    <w:pPr>
      <w:spacing w:after="120"/>
      <w:ind w:firstLine="420" w:firstLineChars="100"/>
      <w:jc w:val="both"/>
    </w:pPr>
    <w:rPr>
      <w:rFonts w:eastAsia="宋体"/>
      <w:sz w:val="21"/>
      <w:szCs w:val="24"/>
    </w:rPr>
  </w:style>
  <w:style w:type="paragraph" w:styleId="17">
    <w:name w:val="Body Text First Indent 2"/>
    <w:basedOn w:val="7"/>
    <w:next w:val="16"/>
    <w:link w:val="35"/>
    <w:unhideWhenUsed/>
    <w:qFormat/>
    <w:uiPriority w:val="0"/>
    <w:pPr>
      <w:ind w:firstLine="420" w:firstLineChars="200"/>
    </w:pPr>
    <w:rPr>
      <w:rFonts w:ascii="Calibri" w:hAnsi="Calibri"/>
      <w:szCs w:val="22"/>
    </w:rPr>
  </w:style>
  <w:style w:type="character" w:styleId="20">
    <w:name w:val="Strong"/>
    <w:basedOn w:val="19"/>
    <w:qFormat/>
    <w:uiPriority w:val="0"/>
    <w:rPr>
      <w:b/>
      <w:bCs/>
    </w:rPr>
  </w:style>
  <w:style w:type="character" w:styleId="21">
    <w:name w:val="Hyperlink"/>
    <w:basedOn w:val="19"/>
    <w:qFormat/>
    <w:uiPriority w:val="0"/>
    <w:rPr>
      <w:color w:val="0000FF"/>
      <w:u w:val="single"/>
    </w:rPr>
  </w:style>
  <w:style w:type="character" w:customStyle="1" w:styleId="22">
    <w:name w:val="标题 1 Char"/>
    <w:basedOn w:val="19"/>
    <w:link w:val="2"/>
    <w:qFormat/>
    <w:uiPriority w:val="0"/>
    <w:rPr>
      <w:rFonts w:ascii="Calibri" w:hAnsi="Calibri" w:eastAsia="宋体" w:cs="Times New Roman"/>
      <w:b/>
      <w:kern w:val="44"/>
      <w:sz w:val="44"/>
      <w:szCs w:val="24"/>
    </w:rPr>
  </w:style>
  <w:style w:type="character" w:customStyle="1" w:styleId="23">
    <w:name w:val="标题 2 Char"/>
    <w:basedOn w:val="19"/>
    <w:link w:val="3"/>
    <w:semiHidden/>
    <w:qFormat/>
    <w:uiPriority w:val="0"/>
    <w:rPr>
      <w:rFonts w:ascii="Cambria" w:hAnsi="Cambria" w:eastAsia="宋体" w:cs="Times New Roman"/>
      <w:b/>
      <w:bCs/>
      <w:kern w:val="2"/>
      <w:sz w:val="32"/>
      <w:szCs w:val="32"/>
    </w:rPr>
  </w:style>
  <w:style w:type="character" w:customStyle="1" w:styleId="24">
    <w:name w:val="标题 3 Char"/>
    <w:basedOn w:val="19"/>
    <w:link w:val="4"/>
    <w:semiHidden/>
    <w:qFormat/>
    <w:uiPriority w:val="0"/>
    <w:rPr>
      <w:b/>
      <w:bCs/>
      <w:kern w:val="2"/>
      <w:sz w:val="32"/>
      <w:szCs w:val="32"/>
    </w:rPr>
  </w:style>
  <w:style w:type="character" w:customStyle="1" w:styleId="25">
    <w:name w:val="正文文本 Char"/>
    <w:basedOn w:val="19"/>
    <w:link w:val="6"/>
    <w:qFormat/>
    <w:uiPriority w:val="0"/>
    <w:rPr>
      <w:rFonts w:eastAsia="黑体"/>
      <w:kern w:val="2"/>
      <w:sz w:val="36"/>
    </w:rPr>
  </w:style>
  <w:style w:type="character" w:customStyle="1" w:styleId="26">
    <w:name w:val="正文文本缩进 Char1"/>
    <w:basedOn w:val="19"/>
    <w:link w:val="7"/>
    <w:qFormat/>
    <w:uiPriority w:val="0"/>
    <w:rPr>
      <w:kern w:val="2"/>
      <w:sz w:val="21"/>
      <w:szCs w:val="24"/>
    </w:rPr>
  </w:style>
  <w:style w:type="character" w:customStyle="1" w:styleId="27">
    <w:name w:val="纯文本 Char"/>
    <w:basedOn w:val="19"/>
    <w:link w:val="8"/>
    <w:qFormat/>
    <w:uiPriority w:val="0"/>
    <w:rPr>
      <w:rFonts w:ascii="宋体" w:hAnsi="Courier New"/>
      <w:kern w:val="2"/>
      <w:sz w:val="21"/>
      <w:szCs w:val="24"/>
    </w:rPr>
  </w:style>
  <w:style w:type="character" w:customStyle="1" w:styleId="28">
    <w:name w:val="日期 Char"/>
    <w:basedOn w:val="19"/>
    <w:link w:val="9"/>
    <w:qFormat/>
    <w:uiPriority w:val="0"/>
    <w:rPr>
      <w:kern w:val="2"/>
      <w:sz w:val="21"/>
      <w:szCs w:val="24"/>
    </w:rPr>
  </w:style>
  <w:style w:type="character" w:customStyle="1" w:styleId="29">
    <w:name w:val="正文文本缩进 2 Char"/>
    <w:basedOn w:val="19"/>
    <w:link w:val="10"/>
    <w:qFormat/>
    <w:uiPriority w:val="0"/>
    <w:rPr>
      <w:kern w:val="2"/>
      <w:sz w:val="21"/>
      <w:szCs w:val="24"/>
    </w:rPr>
  </w:style>
  <w:style w:type="character" w:customStyle="1" w:styleId="30">
    <w:name w:val="批注框文本 Char"/>
    <w:basedOn w:val="19"/>
    <w:link w:val="11"/>
    <w:qFormat/>
    <w:uiPriority w:val="0"/>
    <w:rPr>
      <w:kern w:val="2"/>
      <w:sz w:val="18"/>
      <w:szCs w:val="18"/>
    </w:rPr>
  </w:style>
  <w:style w:type="character" w:customStyle="1" w:styleId="31">
    <w:name w:val="页脚 Char"/>
    <w:basedOn w:val="19"/>
    <w:link w:val="12"/>
    <w:qFormat/>
    <w:uiPriority w:val="99"/>
    <w:rPr>
      <w:kern w:val="2"/>
      <w:sz w:val="18"/>
      <w:szCs w:val="18"/>
    </w:rPr>
  </w:style>
  <w:style w:type="character" w:customStyle="1" w:styleId="32">
    <w:name w:val="页眉 Char"/>
    <w:basedOn w:val="19"/>
    <w:link w:val="13"/>
    <w:qFormat/>
    <w:uiPriority w:val="99"/>
    <w:rPr>
      <w:kern w:val="2"/>
      <w:sz w:val="18"/>
      <w:szCs w:val="18"/>
    </w:rPr>
  </w:style>
  <w:style w:type="character" w:customStyle="1" w:styleId="33">
    <w:name w:val="脚注文本 Char"/>
    <w:basedOn w:val="19"/>
    <w:link w:val="14"/>
    <w:qFormat/>
    <w:uiPriority w:val="99"/>
    <w:rPr>
      <w:kern w:val="2"/>
      <w:sz w:val="18"/>
      <w:szCs w:val="18"/>
    </w:rPr>
  </w:style>
  <w:style w:type="character" w:customStyle="1" w:styleId="34">
    <w:name w:val="正文首行缩进 Char"/>
    <w:basedOn w:val="25"/>
    <w:link w:val="16"/>
    <w:qFormat/>
    <w:uiPriority w:val="0"/>
    <w:rPr>
      <w:sz w:val="21"/>
      <w:szCs w:val="24"/>
    </w:rPr>
  </w:style>
  <w:style w:type="character" w:customStyle="1" w:styleId="35">
    <w:name w:val="正文首行缩进 2 Char"/>
    <w:basedOn w:val="36"/>
    <w:link w:val="17"/>
    <w:qFormat/>
    <w:uiPriority w:val="99"/>
    <w:rPr>
      <w:rFonts w:ascii="Calibri" w:hAnsi="Calibri"/>
      <w:szCs w:val="22"/>
    </w:rPr>
  </w:style>
  <w:style w:type="character" w:customStyle="1" w:styleId="36">
    <w:name w:val="正文文本缩进 Char"/>
    <w:basedOn w:val="19"/>
    <w:link w:val="7"/>
    <w:qFormat/>
    <w:uiPriority w:val="0"/>
    <w:rPr>
      <w:kern w:val="2"/>
      <w:sz w:val="21"/>
      <w:szCs w:val="24"/>
    </w:rPr>
  </w:style>
  <w:style w:type="paragraph" w:customStyle="1" w:styleId="37">
    <w:name w:val="Heading 2"/>
    <w:basedOn w:val="1"/>
    <w:qFormat/>
    <w:uiPriority w:val="1"/>
    <w:pPr>
      <w:jc w:val="left"/>
      <w:outlineLvl w:val="2"/>
    </w:pPr>
    <w:rPr>
      <w:rFonts w:ascii="宋体" w:hAnsi="宋体"/>
      <w:kern w:val="0"/>
      <w:sz w:val="31"/>
      <w:szCs w:val="31"/>
      <w:lang w:eastAsia="en-US"/>
    </w:rPr>
  </w:style>
  <w:style w:type="paragraph" w:customStyle="1" w:styleId="38">
    <w:name w:val="Heading 1"/>
    <w:basedOn w:val="1"/>
    <w:qFormat/>
    <w:uiPriority w:val="1"/>
    <w:pPr>
      <w:spacing w:before="38"/>
      <w:ind w:left="118"/>
      <w:jc w:val="left"/>
      <w:outlineLvl w:val="1"/>
    </w:pPr>
    <w:rPr>
      <w:rFonts w:ascii="宋体" w:hAnsi="宋体"/>
      <w:kern w:val="0"/>
      <w:sz w:val="32"/>
      <w:szCs w:val="32"/>
      <w:lang w:eastAsia="en-US"/>
    </w:rPr>
  </w:style>
  <w:style w:type="character" w:customStyle="1" w:styleId="39">
    <w:name w:val="MSG_EN_FONT_STYLE_NAME_TEMPLATE_ROLE_NUMBER MSG_EN_FONT_STYLE_NAME_BY_ROLE_TEXT 2_"/>
    <w:basedOn w:val="19"/>
    <w:link w:val="40"/>
    <w:unhideWhenUsed/>
    <w:qFormat/>
    <w:locked/>
    <w:uiPriority w:val="99"/>
    <w:rPr>
      <w:rFonts w:ascii="PMingLiU" w:eastAsia="PMingLiU"/>
      <w:sz w:val="30"/>
      <w:shd w:val="clear" w:color="auto" w:fill="FFFFFF"/>
    </w:rPr>
  </w:style>
  <w:style w:type="paragraph" w:customStyle="1" w:styleId="40">
    <w:name w:val="MSG_EN_FONT_STYLE_NAME_TEMPLATE_ROLE_NUMBER MSG_EN_FONT_STYLE_NAME_BY_ROLE_TEXT 21"/>
    <w:basedOn w:val="1"/>
    <w:link w:val="39"/>
    <w:unhideWhenUsed/>
    <w:qFormat/>
    <w:uiPriority w:val="99"/>
    <w:pPr>
      <w:shd w:val="clear" w:color="auto" w:fill="FFFFFF"/>
      <w:spacing w:before="560" w:after="280" w:line="300" w:lineRule="exact"/>
    </w:pPr>
    <w:rPr>
      <w:rFonts w:hint="eastAsia" w:ascii="PMingLiU" w:eastAsia="PMingLiU"/>
      <w:kern w:val="0"/>
      <w:sz w:val="30"/>
      <w:szCs w:val="20"/>
    </w:rPr>
  </w:style>
  <w:style w:type="character" w:customStyle="1" w:styleId="41">
    <w:name w:val="正文文本_"/>
    <w:basedOn w:val="19"/>
    <w:link w:val="42"/>
    <w:qFormat/>
    <w:uiPriority w:val="0"/>
    <w:rPr>
      <w:rFonts w:ascii="Arial Unicode MS" w:hAnsi="Arial Unicode MS" w:eastAsia="Arial Unicode MS" w:cs="Arial Unicode MS"/>
      <w:sz w:val="30"/>
      <w:szCs w:val="30"/>
      <w:shd w:val="clear" w:color="auto" w:fill="FFFFFF"/>
    </w:rPr>
  </w:style>
  <w:style w:type="paragraph" w:customStyle="1" w:styleId="42">
    <w:name w:val="正文文本1"/>
    <w:basedOn w:val="1"/>
    <w:link w:val="41"/>
    <w:qFormat/>
    <w:uiPriority w:val="0"/>
    <w:pPr>
      <w:shd w:val="clear" w:color="auto" w:fill="FFFFFF"/>
      <w:spacing w:line="619" w:lineRule="exact"/>
      <w:ind w:hanging="1100"/>
      <w:jc w:val="left"/>
    </w:pPr>
    <w:rPr>
      <w:rFonts w:ascii="Arial Unicode MS" w:hAnsi="Arial Unicode MS" w:eastAsia="Arial Unicode MS" w:cs="Arial Unicode MS"/>
      <w:kern w:val="0"/>
      <w:sz w:val="30"/>
      <w:szCs w:val="30"/>
    </w:rPr>
  </w:style>
  <w:style w:type="character" w:customStyle="1" w:styleId="43">
    <w:name w:val="正文文本 + 17 pt"/>
    <w:basedOn w:val="41"/>
    <w:qFormat/>
    <w:uiPriority w:val="0"/>
    <w:rPr>
      <w:color w:val="000000"/>
      <w:spacing w:val="0"/>
      <w:w w:val="80"/>
      <w:position w:val="0"/>
      <w:sz w:val="34"/>
      <w:szCs w:val="34"/>
      <w:lang w:val="zh-CN"/>
    </w:rPr>
  </w:style>
  <w:style w:type="character" w:customStyle="1" w:styleId="44">
    <w:name w:val="正文文本 + 17 pt1"/>
    <w:basedOn w:val="41"/>
    <w:qFormat/>
    <w:uiPriority w:val="0"/>
    <w:rPr>
      <w:color w:val="000000"/>
      <w:spacing w:val="0"/>
      <w:w w:val="80"/>
      <w:position w:val="0"/>
      <w:sz w:val="34"/>
      <w:szCs w:val="34"/>
      <w:lang w:val="zh-CN"/>
    </w:rPr>
  </w:style>
  <w:style w:type="character" w:customStyle="1" w:styleId="45">
    <w:name w:val="正文文本 (4)_"/>
    <w:basedOn w:val="19"/>
    <w:link w:val="46"/>
    <w:qFormat/>
    <w:uiPriority w:val="0"/>
    <w:rPr>
      <w:rFonts w:ascii="Arial Unicode MS" w:hAnsi="Arial Unicode MS" w:eastAsia="Arial Unicode MS" w:cs="Arial Unicode MS"/>
      <w:sz w:val="30"/>
      <w:szCs w:val="30"/>
      <w:shd w:val="clear" w:color="auto" w:fill="FFFFFF"/>
    </w:rPr>
  </w:style>
  <w:style w:type="paragraph" w:customStyle="1" w:styleId="46">
    <w:name w:val="正文文本 (4)"/>
    <w:basedOn w:val="1"/>
    <w:link w:val="45"/>
    <w:qFormat/>
    <w:uiPriority w:val="0"/>
    <w:pPr>
      <w:shd w:val="clear" w:color="auto" w:fill="FFFFFF"/>
      <w:spacing w:line="619" w:lineRule="exact"/>
      <w:jc w:val="distribute"/>
    </w:pPr>
    <w:rPr>
      <w:rFonts w:ascii="Arial Unicode MS" w:hAnsi="Arial Unicode MS" w:eastAsia="Arial Unicode MS" w:cs="Arial Unicode MS"/>
      <w:kern w:val="0"/>
      <w:sz w:val="30"/>
      <w:szCs w:val="30"/>
    </w:rPr>
  </w:style>
  <w:style w:type="character" w:customStyle="1" w:styleId="47">
    <w:name w:val="正文文本 + 缩放 80%"/>
    <w:basedOn w:val="41"/>
    <w:qFormat/>
    <w:uiPriority w:val="0"/>
    <w:rPr>
      <w:color w:val="000000"/>
      <w:spacing w:val="0"/>
      <w:w w:val="80"/>
      <w:position w:val="0"/>
      <w:lang w:val="zh-CN"/>
    </w:rPr>
  </w:style>
  <w:style w:type="character" w:customStyle="1" w:styleId="48">
    <w:name w:val="正文文本 (9)_"/>
    <w:basedOn w:val="19"/>
    <w:link w:val="49"/>
    <w:qFormat/>
    <w:uiPriority w:val="0"/>
    <w:rPr>
      <w:rFonts w:ascii="Arial Unicode MS" w:hAnsi="Arial Unicode MS" w:eastAsia="Arial Unicode MS" w:cs="Arial Unicode MS"/>
      <w:spacing w:val="20"/>
      <w:w w:val="80"/>
      <w:sz w:val="30"/>
      <w:szCs w:val="30"/>
      <w:shd w:val="clear" w:color="auto" w:fill="FFFFFF"/>
    </w:rPr>
  </w:style>
  <w:style w:type="paragraph" w:customStyle="1" w:styleId="49">
    <w:name w:val="正文文本 (9)"/>
    <w:basedOn w:val="1"/>
    <w:link w:val="48"/>
    <w:qFormat/>
    <w:uiPriority w:val="0"/>
    <w:pPr>
      <w:shd w:val="clear" w:color="auto" w:fill="FFFFFF"/>
      <w:spacing w:line="0" w:lineRule="atLeast"/>
      <w:jc w:val="left"/>
    </w:pPr>
    <w:rPr>
      <w:rFonts w:ascii="Arial Unicode MS" w:hAnsi="Arial Unicode MS" w:eastAsia="Arial Unicode MS" w:cs="Arial Unicode MS"/>
      <w:spacing w:val="20"/>
      <w:w w:val="80"/>
      <w:kern w:val="0"/>
      <w:sz w:val="30"/>
      <w:szCs w:val="30"/>
    </w:rPr>
  </w:style>
  <w:style w:type="character" w:customStyle="1" w:styleId="50">
    <w:name w:val="标题 #2_"/>
    <w:basedOn w:val="19"/>
    <w:link w:val="51"/>
    <w:qFormat/>
    <w:uiPriority w:val="0"/>
    <w:rPr>
      <w:rFonts w:ascii="Arial Unicode MS" w:hAnsi="Arial Unicode MS" w:eastAsia="Arial Unicode MS" w:cs="Arial Unicode MS"/>
      <w:sz w:val="36"/>
      <w:szCs w:val="36"/>
      <w:shd w:val="clear" w:color="auto" w:fill="FFFFFF"/>
    </w:rPr>
  </w:style>
  <w:style w:type="paragraph" w:customStyle="1" w:styleId="51">
    <w:name w:val="标题 #2"/>
    <w:basedOn w:val="1"/>
    <w:link w:val="50"/>
    <w:qFormat/>
    <w:uiPriority w:val="0"/>
    <w:pPr>
      <w:shd w:val="clear" w:color="auto" w:fill="FFFFFF"/>
      <w:spacing w:after="420" w:line="0" w:lineRule="atLeast"/>
      <w:jc w:val="center"/>
      <w:outlineLvl w:val="1"/>
    </w:pPr>
    <w:rPr>
      <w:rFonts w:ascii="Arial Unicode MS" w:hAnsi="Arial Unicode MS" w:eastAsia="Arial Unicode MS" w:cs="Arial Unicode MS"/>
      <w:kern w:val="0"/>
      <w:sz w:val="36"/>
      <w:szCs w:val="36"/>
    </w:rPr>
  </w:style>
  <w:style w:type="character" w:customStyle="1" w:styleId="52">
    <w:name w:val="正文文本 (13)_"/>
    <w:basedOn w:val="19"/>
    <w:link w:val="53"/>
    <w:qFormat/>
    <w:uiPriority w:val="0"/>
    <w:rPr>
      <w:rFonts w:ascii="Arial Unicode MS" w:hAnsi="Arial Unicode MS" w:eastAsia="Arial Unicode MS" w:cs="Arial Unicode MS"/>
      <w:sz w:val="28"/>
      <w:szCs w:val="28"/>
      <w:shd w:val="clear" w:color="auto" w:fill="FFFFFF"/>
    </w:rPr>
  </w:style>
  <w:style w:type="paragraph" w:customStyle="1" w:styleId="53">
    <w:name w:val="正文文本 (13)"/>
    <w:basedOn w:val="1"/>
    <w:link w:val="52"/>
    <w:qFormat/>
    <w:uiPriority w:val="0"/>
    <w:pPr>
      <w:shd w:val="clear" w:color="auto" w:fill="FFFFFF"/>
      <w:spacing w:after="360" w:line="0" w:lineRule="atLeast"/>
      <w:jc w:val="left"/>
    </w:pPr>
    <w:rPr>
      <w:rFonts w:ascii="Arial Unicode MS" w:hAnsi="Arial Unicode MS" w:eastAsia="Arial Unicode MS" w:cs="Arial Unicode MS"/>
      <w:kern w:val="0"/>
      <w:sz w:val="28"/>
      <w:szCs w:val="28"/>
    </w:rPr>
  </w:style>
  <w:style w:type="character" w:customStyle="1" w:styleId="54">
    <w:name w:val="标题 #1_"/>
    <w:basedOn w:val="19"/>
    <w:link w:val="55"/>
    <w:qFormat/>
    <w:uiPriority w:val="0"/>
    <w:rPr>
      <w:rFonts w:ascii="Arial Unicode MS" w:hAnsi="Arial Unicode MS" w:eastAsia="Arial Unicode MS" w:cs="Arial Unicode MS"/>
      <w:sz w:val="46"/>
      <w:szCs w:val="46"/>
      <w:shd w:val="clear" w:color="auto" w:fill="FFFFFF"/>
    </w:rPr>
  </w:style>
  <w:style w:type="paragraph" w:customStyle="1" w:styleId="55">
    <w:name w:val="标题 #1"/>
    <w:basedOn w:val="1"/>
    <w:link w:val="54"/>
    <w:qFormat/>
    <w:uiPriority w:val="0"/>
    <w:pPr>
      <w:shd w:val="clear" w:color="auto" w:fill="FFFFFF"/>
      <w:spacing w:before="360" w:after="1020" w:line="946" w:lineRule="exact"/>
      <w:jc w:val="center"/>
      <w:outlineLvl w:val="0"/>
    </w:pPr>
    <w:rPr>
      <w:rFonts w:ascii="Arial Unicode MS" w:hAnsi="Arial Unicode MS" w:eastAsia="Arial Unicode MS" w:cs="Arial Unicode MS"/>
      <w:kern w:val="0"/>
      <w:sz w:val="46"/>
      <w:szCs w:val="46"/>
    </w:rPr>
  </w:style>
  <w:style w:type="character" w:customStyle="1" w:styleId="56">
    <w:name w:val="正文文本 (9) + 间距 0 pt1"/>
    <w:basedOn w:val="48"/>
    <w:qFormat/>
    <w:uiPriority w:val="0"/>
    <w:rPr>
      <w:color w:val="000000"/>
      <w:spacing w:val="0"/>
      <w:w w:val="100"/>
      <w:position w:val="0"/>
      <w:lang w:val="zh-CN"/>
    </w:rPr>
  </w:style>
  <w:style w:type="character" w:customStyle="1" w:styleId="57">
    <w:name w:val="正文文本 (9) + 缩放 100%"/>
    <w:basedOn w:val="48"/>
    <w:qFormat/>
    <w:uiPriority w:val="0"/>
    <w:rPr>
      <w:color w:val="000000"/>
      <w:w w:val="100"/>
      <w:position w:val="0"/>
      <w:lang w:val="zh-CN"/>
    </w:rPr>
  </w:style>
  <w:style w:type="character" w:customStyle="1" w:styleId="58">
    <w:name w:val="font11"/>
    <w:basedOn w:val="19"/>
    <w:qFormat/>
    <w:uiPriority w:val="0"/>
    <w:rPr>
      <w:rFonts w:hint="eastAsia" w:ascii="仿宋_GB2312" w:eastAsia="仿宋_GB2312" w:cs="仿宋_GB2312"/>
      <w:color w:val="000000"/>
      <w:sz w:val="32"/>
      <w:szCs w:val="32"/>
      <w:u w:val="none"/>
    </w:rPr>
  </w:style>
  <w:style w:type="character" w:customStyle="1" w:styleId="59">
    <w:name w:val="font41"/>
    <w:basedOn w:val="19"/>
    <w:qFormat/>
    <w:uiPriority w:val="0"/>
    <w:rPr>
      <w:rFonts w:hint="eastAsia" w:ascii="宋体" w:hAnsi="宋体" w:eastAsia="宋体" w:cs="宋体"/>
      <w:color w:val="000000"/>
      <w:sz w:val="32"/>
      <w:szCs w:val="32"/>
      <w:u w:val="none"/>
    </w:rPr>
  </w:style>
  <w:style w:type="paragraph" w:styleId="60">
    <w:name w:val="List Paragraph"/>
    <w:basedOn w:val="1"/>
    <w:qFormat/>
    <w:uiPriority w:val="34"/>
    <w:pPr>
      <w:ind w:firstLine="420" w:firstLineChars="200"/>
    </w:pPr>
    <w:rPr>
      <w:rFonts w:ascii="Calibri" w:hAnsi="Calibri"/>
      <w:szCs w:val="22"/>
    </w:rPr>
  </w:style>
  <w:style w:type="paragraph" w:customStyle="1" w:styleId="61">
    <w:name w:val="paragraph text-align-type-center pap-line-28pt pap-line-rule-exact pap-spacing-before-0pt pap-spacing-after-0pt"/>
    <w:basedOn w:val="1"/>
    <w:qFormat/>
    <w:uiPriority w:val="0"/>
    <w:pPr>
      <w:widowControl/>
      <w:spacing w:before="100" w:beforeAutospacing="1" w:after="100" w:afterAutospacing="1"/>
      <w:jc w:val="left"/>
    </w:pPr>
    <w:rPr>
      <w:rFonts w:ascii="宋体" w:hAnsi="宋体" w:cs="宋体"/>
      <w:kern w:val="0"/>
      <w:sz w:val="24"/>
    </w:rPr>
  </w:style>
  <w:style w:type="paragraph" w:customStyle="1" w:styleId="62">
    <w:name w:val="paragraph text-align-type-justify pap-line-28pt pap-line-rule-exact pap-spacing-before-0pt pap-spacing-after-0pt"/>
    <w:basedOn w:val="1"/>
    <w:qFormat/>
    <w:uiPriority w:val="0"/>
    <w:pPr>
      <w:widowControl/>
      <w:spacing w:before="100" w:beforeAutospacing="1" w:after="100" w:afterAutospacing="1"/>
      <w:jc w:val="left"/>
    </w:pPr>
    <w:rPr>
      <w:rFonts w:ascii="宋体" w:hAnsi="宋体" w:cs="宋体"/>
      <w:kern w:val="0"/>
      <w:sz w:val="24"/>
    </w:rPr>
  </w:style>
  <w:style w:type="character" w:customStyle="1" w:styleId="63">
    <w:name w:val="NormalCharacter"/>
    <w:qFormat/>
    <w:uiPriority w:val="0"/>
  </w:style>
  <w:style w:type="paragraph" w:customStyle="1" w:styleId="64">
    <w:name w:val="默认段落字体 Para Char Char Char Char"/>
    <w:basedOn w:val="1"/>
    <w:qFormat/>
    <w:uiPriority w:val="0"/>
    <w:rPr>
      <w:szCs w:val="21"/>
    </w:rPr>
  </w:style>
  <w:style w:type="paragraph" w:customStyle="1" w:styleId="65">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66">
    <w:name w:val="15"/>
    <w:basedOn w:val="19"/>
    <w:qFormat/>
    <w:uiPriority w:val="0"/>
    <w:rPr>
      <w:rFonts w:hint="default" w:ascii="Times New Roman" w:hAnsi="Times New Roman" w:cs="Times New Roman"/>
    </w:rPr>
  </w:style>
  <w:style w:type="paragraph" w:customStyle="1" w:styleId="67">
    <w:name w:val="p0"/>
    <w:basedOn w:val="1"/>
    <w:qFormat/>
    <w:uiPriority w:val="0"/>
    <w:rPr>
      <w:kern w:val="0"/>
      <w:szCs w:val="21"/>
    </w:rPr>
  </w:style>
  <w:style w:type="character" w:customStyle="1" w:styleId="68">
    <w:name w:val="16"/>
    <w:basedOn w:val="19"/>
    <w:qFormat/>
    <w:uiPriority w:val="0"/>
    <w:rPr>
      <w:rFonts w:hint="default" w:ascii="Times New Roman" w:hAnsi="Times New Roman" w:eastAsia="楷体_GB2312" w:cs="楷体_GB2312"/>
      <w:sz w:val="32"/>
      <w:szCs w:val="32"/>
    </w:rPr>
  </w:style>
  <w:style w:type="paragraph" w:customStyle="1" w:styleId="69">
    <w:name w:val="正文格式"/>
    <w:basedOn w:val="1"/>
    <w:qFormat/>
    <w:uiPriority w:val="0"/>
    <w:pPr>
      <w:tabs>
        <w:tab w:val="left" w:pos="992"/>
      </w:tabs>
      <w:ind w:firstLine="200" w:firstLineChars="200"/>
    </w:pPr>
    <w:rPr>
      <w:rFonts w:ascii="宋体" w:hAnsi="宋体"/>
    </w:rPr>
  </w:style>
  <w:style w:type="paragraph" w:customStyle="1" w:styleId="70">
    <w:name w:val="样式1"/>
    <w:basedOn w:val="1"/>
    <w:qFormat/>
    <w:uiPriority w:val="0"/>
    <w:pPr>
      <w:spacing w:line="560" w:lineRule="exact"/>
    </w:pPr>
    <w:rPr>
      <w:rFonts w:ascii="Calibri" w:hAnsi="Calibri" w:eastAsia="仿宋_GB2312"/>
      <w:sz w:val="32"/>
    </w:rPr>
  </w:style>
  <w:style w:type="paragraph" w:customStyle="1" w:styleId="71">
    <w:name w:val="NormalIndent"/>
    <w:qFormat/>
    <w:uiPriority w:val="0"/>
    <w:pPr>
      <w:ind w:firstLine="420" w:firstLineChars="200"/>
      <w:jc w:val="both"/>
      <w:textAlignment w:val="baseline"/>
    </w:pPr>
    <w:rPr>
      <w:rFonts w:ascii="Times New Roman" w:hAnsi="Times New Roman" w:eastAsia="仿宋_GB2312" w:cs="Times New Roman"/>
      <w:kern w:val="2"/>
      <w:sz w:val="32"/>
      <w:szCs w:val="32"/>
      <w:lang w:val="en-US" w:eastAsia="zh-CN" w:bidi="ar-SA"/>
    </w:rPr>
  </w:style>
  <w:style w:type="paragraph" w:customStyle="1" w:styleId="72">
    <w:name w:val="样式 四号 首行缩进:  0.99 厘米 行距: 固定值 22 磅"/>
    <w:basedOn w:val="1"/>
    <w:qFormat/>
    <w:uiPriority w:val="0"/>
    <w:pPr>
      <w:spacing w:line="520" w:lineRule="exact"/>
      <w:ind w:firstLine="567"/>
    </w:pPr>
    <w:rPr>
      <w:rFonts w:ascii="Calibri" w:hAnsi="Calibri" w:cs="宋体"/>
      <w:szCs w:val="20"/>
    </w:rPr>
  </w:style>
  <w:style w:type="character" w:customStyle="1" w:styleId="73">
    <w:name w:val="bjh-p"/>
    <w:basedOn w:val="19"/>
    <w:uiPriority w:val="0"/>
  </w:style>
  <w:style w:type="paragraph" w:customStyle="1" w:styleId="74">
    <w:name w:val="普通(网站) Char"/>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17</Pages>
  <Words>4798</Words>
  <Characters>5388</Characters>
  <Lines>53</Lines>
  <Paragraphs>15</Paragraphs>
  <TotalTime>104</TotalTime>
  <ScaleCrop>false</ScaleCrop>
  <LinksUpToDate>false</LinksUpToDate>
  <CharactersWithSpaces>5534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2025-01-20T02:47:00Z</dcterms:created>
  <dc:creator>AutoBVT</dc:creator>
  <cp:lastModifiedBy>杨松松</cp:lastModifiedBy>
  <cp:lastPrinted>2025-01-06T07:12:00Z</cp:lastPrinted>
  <dcterms:modified xsi:type="dcterms:W3CDTF">2025-03-06T06:44:03Z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eyJoZGlkIjoiNzYxMzU0MGNiODRkZjMxOTk4NmUxY2Y0OWNmZjRjMmQiLCJ1c2VySWQiOiI0MDQxOTkwNzgifQ==</vt:lpwstr>
  </property>
  <property fmtid="{D5CDD505-2E9C-101B-9397-08002B2CF9AE}" pid="3" name="KSOProductBuildVer">
    <vt:lpwstr>2052-12.1.0.20305</vt:lpwstr>
  </property>
  <property fmtid="{D5CDD505-2E9C-101B-9397-08002B2CF9AE}" pid="4" name="ICV">
    <vt:lpwstr>24083EBAA45445668EB51981926494FB_12</vt:lpwstr>
  </property>
</Properties>
</file>