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200" w:firstLineChars="1000"/>
              <w:jc w:val="both"/>
              <w:rPr>
                <w:rFonts w:ascii="宋体" w:eastAsia="宋体" w:hAnsi="宋体" w:cs="宋体" w:hint="default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医疗收入支出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寿县妇幼保健计划生育服务中心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840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1680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840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1680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年—20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</w:t>
            </w:r>
            <w:r>
              <w:rPr>
                <w:rFonts w:hint="eastAsia"/>
                <w:sz w:val="20"/>
                <w:szCs w:val="20"/>
                <w:lang w:eastAsia="zh-CN"/>
              </w:rPr>
              <w:t>：通过医疗收入支出，保障单位的日常运转和人员开支。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目标</w:t>
            </w:r>
            <w:r>
              <w:rPr>
                <w:rFonts w:hint="eastAsia"/>
                <w:sz w:val="20"/>
                <w:szCs w:val="20"/>
                <w:lang w:eastAsia="zh-CN"/>
              </w:rPr>
              <w:t>：通过医疗收入支出，保障单位的日常运转和人员开支。</w:t>
            </w:r>
            <w:r>
              <w:rPr>
                <w:rFonts w:hint="eastAsia"/>
                <w:sz w:val="20"/>
                <w:szCs w:val="20"/>
              </w:rPr>
              <w:br/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医疗收入支出率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  <w:t>≧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医疗收入支出率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  <w:t>≧</w:t>
            </w: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人员支出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220万元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人员支出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440万元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商品和服务支出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536.75万元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商品和服务支出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1073.49万元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474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其他资本性支出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83.25万元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其他资本性支出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166.51万元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提高人口出生素质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逐步提高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提高人口出生素质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eastAsia="zh-CN"/>
              </w:rPr>
              <w:t>逐步提高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降低人口出生缺陷率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Arial" w:hAnsi="Arial" w:cs="Arial" w:hint="default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eastAsia="zh-CN"/>
              </w:rPr>
              <w:t>降低人口出生缺陷率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Arial" w:hAnsi="Arial" w:cs="Arial" w:hint="default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受益群众认可度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受益群众认可度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leftChars="0" w:rightChars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eastAsia="宋体" w:hAnsi="宋体" w:cs="宋体" w:hint="default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ascii="宋体" w:eastAsia="宋体" w:hAnsi="宋体" w:cs="宋体"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108D3DE4"/>
    <w:rsid w:val="3A29402E"/>
    <w:rsid w:val="682D4B6D"/>
    <w:rsid w:val="76D70717"/>
    <w:rsid w:val="778962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Administrator</cp:lastModifiedBy>
  <cp:revision>1</cp:revision>
  <dcterms:created xsi:type="dcterms:W3CDTF">2022-02-10T01:28:00Z</dcterms:created>
  <dcterms:modified xsi:type="dcterms:W3CDTF">2022-02-15T07:30:30Z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