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68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1"/>
      </w:tblGrid>
      <w:tr>
        <w:tblPrEx>
          <w:tblW w:w="9681" w:type="dxa"/>
          <w:tblInd w:w="93" w:type="dxa"/>
          <w:tblLayout w:type="fixed"/>
        </w:tblPrEx>
        <w:trPr>
          <w:trHeight w:val="360"/>
        </w:trPr>
        <w:tc>
          <w:tcPr>
            <w:tcW w:w="96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tbl>
            <w:tblPr>
              <w:tblStyle w:val="TableNormal"/>
              <w:tblW w:w="9570" w:type="dxa"/>
              <w:tblInd w:w="9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16"/>
              <w:gridCol w:w="820"/>
              <w:gridCol w:w="940"/>
              <w:gridCol w:w="2000"/>
              <w:gridCol w:w="1134"/>
              <w:gridCol w:w="517"/>
              <w:gridCol w:w="893"/>
              <w:gridCol w:w="1365"/>
              <w:gridCol w:w="885"/>
              <w:gridCol w:w="600"/>
            </w:tblGrid>
            <w:tr>
              <w:tblPrEx>
                <w:tblW w:w="9570" w:type="dxa"/>
                <w:tblInd w:w="93" w:type="dxa"/>
                <w:tblLayout w:type="fixed"/>
              </w:tblPrEx>
              <w:trPr>
                <w:trHeight w:val="360"/>
              </w:trPr>
              <w:tc>
                <w:tcPr>
                  <w:tcW w:w="957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default"/>
                      <w:b/>
                      <w:bCs/>
                      <w:sz w:val="32"/>
                      <w:szCs w:val="32"/>
                    </w:rPr>
                  </w:pP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项目支出绩效目标表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270"/>
              </w:trPr>
              <w:tc>
                <w:tcPr>
                  <w:tcW w:w="957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（</w:t>
                  </w:r>
                  <w:r>
                    <w:rPr>
                      <w:rFonts w:hint="eastAsia"/>
                      <w:sz w:val="20"/>
                      <w:szCs w:val="20"/>
                      <w:lang w:eastAsia="zh-CN"/>
                    </w:rPr>
                    <w:t>2022</w:t>
                  </w:r>
                  <w:r>
                    <w:rPr>
                      <w:rFonts w:hint="eastAsia"/>
                      <w:sz w:val="20"/>
                      <w:szCs w:val="20"/>
                    </w:rPr>
                    <w:t xml:space="preserve"> 年度）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30"/>
              </w:trPr>
              <w:tc>
                <w:tcPr>
                  <w:tcW w:w="1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>项目名称</w:t>
                  </w:r>
                </w:p>
              </w:tc>
              <w:tc>
                <w:tcPr>
                  <w:tcW w:w="8334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eastAsia"/>
                      <w:color w:val="000000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>县级公立医院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医疗卫生支出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30"/>
              </w:trPr>
              <w:tc>
                <w:tcPr>
                  <w:tcW w:w="1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>实施单位</w:t>
                  </w:r>
                </w:p>
              </w:tc>
              <w:tc>
                <w:tcPr>
                  <w:tcW w:w="8334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寿县中医院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30"/>
              </w:trPr>
              <w:tc>
                <w:tcPr>
                  <w:tcW w:w="1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>项目属性</w:t>
                  </w:r>
                </w:p>
              </w:tc>
              <w:tc>
                <w:tcPr>
                  <w:tcW w:w="8334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常年项目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30"/>
              </w:trPr>
              <w:tc>
                <w:tcPr>
                  <w:tcW w:w="2176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项目资金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（万元）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 中期资金总额：</w:t>
                  </w:r>
                </w:p>
              </w:tc>
              <w:tc>
                <w:tcPr>
                  <w:tcW w:w="1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15900</w:t>
                  </w:r>
                </w:p>
              </w:tc>
              <w:tc>
                <w:tcPr>
                  <w:tcW w:w="22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 年度资金总额：</w:t>
                  </w:r>
                </w:p>
              </w:tc>
              <w:tc>
                <w:tcPr>
                  <w:tcW w:w="14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15900</w:t>
                  </w: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90"/>
              </w:trPr>
              <w:tc>
                <w:tcPr>
                  <w:tcW w:w="2176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   其中：财政拨款</w:t>
                  </w:r>
                </w:p>
              </w:tc>
              <w:tc>
                <w:tcPr>
                  <w:tcW w:w="1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ascii="宋体" w:hAnsi="宋体" w:cs="宋体" w:hint="eastAsia"/>
                      <w:sz w:val="20"/>
                      <w:szCs w:val="20"/>
                      <w:lang w:val="en-US" w:eastAsia="zh-CN"/>
                    </w:rPr>
                    <w:t>0</w:t>
                  </w:r>
                </w:p>
              </w:tc>
              <w:tc>
                <w:tcPr>
                  <w:tcW w:w="22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   其中：财政拨款</w:t>
                  </w:r>
                </w:p>
              </w:tc>
              <w:tc>
                <w:tcPr>
                  <w:tcW w:w="14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30"/>
              </w:trPr>
              <w:tc>
                <w:tcPr>
                  <w:tcW w:w="2176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        其他资金</w:t>
                  </w:r>
                </w:p>
              </w:tc>
              <w:tc>
                <w:tcPr>
                  <w:tcW w:w="1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15900</w:t>
                  </w:r>
                </w:p>
              </w:tc>
              <w:tc>
                <w:tcPr>
                  <w:tcW w:w="22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         其他资金</w:t>
                  </w:r>
                </w:p>
              </w:tc>
              <w:tc>
                <w:tcPr>
                  <w:tcW w:w="14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15900</w:t>
                  </w: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30"/>
              </w:trPr>
              <w:tc>
                <w:tcPr>
                  <w:tcW w:w="4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总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体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目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标</w:t>
                  </w:r>
                </w:p>
              </w:tc>
              <w:tc>
                <w:tcPr>
                  <w:tcW w:w="541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中期目标（2</w:t>
                  </w: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022</w:t>
                  </w:r>
                  <w:r>
                    <w:rPr>
                      <w:rFonts w:hint="eastAsia"/>
                      <w:sz w:val="20"/>
                      <w:szCs w:val="20"/>
                    </w:rPr>
                    <w:t>年—20</w:t>
                  </w: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22</w:t>
                  </w:r>
                  <w:r>
                    <w:rPr>
                      <w:rFonts w:hint="eastAsia"/>
                      <w:sz w:val="20"/>
                      <w:szCs w:val="20"/>
                    </w:rPr>
                    <w:t>年）</w:t>
                  </w:r>
                </w:p>
              </w:tc>
              <w:tc>
                <w:tcPr>
                  <w:tcW w:w="374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年度目标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660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541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 w:val="0"/>
                  <w:vAlign w:val="top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为人民身体健康提供医疗与护理保健服务，救死扶伤，全心全意为人民服务，以病人为中心，诚信仁爱、追求卓越、温馨关怀、和谐进取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374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 w:val="0"/>
                  <w:vAlign w:val="top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为人民身体健康提供医疗与护理保健服务，救死扶伤，全心全意为人民服务，以病人为中心，诚信仁爱、追求卓越、温馨关怀、和谐进取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830"/>
              </w:trPr>
              <w:tc>
                <w:tcPr>
                  <w:tcW w:w="4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绩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效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指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标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一级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二级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三级指标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指标值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绩效标准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二级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三级指标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指标值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绩效标准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产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出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指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标</w:t>
                  </w:r>
                </w:p>
              </w:tc>
              <w:tc>
                <w:tcPr>
                  <w:tcW w:w="9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数量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接待病人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≥180000人次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数量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接待病人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≥180000人次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50万元以</w:t>
                  </w:r>
                  <w:r>
                    <w:rPr>
                      <w:rFonts w:ascii="宋体" w:eastAsia="宋体" w:hAnsi="宋体" w:cs="宋体" w:hint="eastAsia"/>
                      <w:sz w:val="16"/>
                      <w:szCs w:val="16"/>
                      <w:lang w:eastAsia="zh-CN"/>
                    </w:rPr>
                    <w:t>下</w:t>
                  </w: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的设备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  <w:lang w:val="en-US" w:eastAsia="zh-CN"/>
                    </w:rPr>
                    <w:t>10</w:t>
                  </w: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249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质量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hint="eastAsia"/>
                    </w:rPr>
                    <w:t>病人治愈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基本完成病人疾病治愈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质量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hint="eastAsia"/>
                    </w:rPr>
                    <w:t>病人治愈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eastAsia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  <w:lang w:val="en-US" w:eastAsia="zh-CN"/>
                    </w:rPr>
                    <w:t>基本完成病人疾病治愈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时效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满足区域病人快速就诊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≤1小时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时效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满足区域病人快速就诊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≤1小时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tabs>
                      <w:tab w:val="left" w:pos="372"/>
                    </w:tabs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成本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成本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……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……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效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益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指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标</w:t>
                  </w:r>
                </w:p>
              </w:tc>
              <w:tc>
                <w:tcPr>
                  <w:tcW w:w="9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经济效益指标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减少病人就诊距离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≤6公里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经济效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益指标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减少病人就诊距离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≤6公里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社会效益指标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满足区域病人就诊需求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≥90</w:t>
                  </w:r>
                  <w:r>
                    <w:rPr>
                      <w:rFonts w:ascii="宋体" w:hAnsi="宋体" w:cs="宋体" w:hint="eastAsia"/>
                      <w:sz w:val="16"/>
                      <w:szCs w:val="16"/>
                      <w:lang w:val="en-US" w:eastAsia="zh-CN"/>
                    </w:rPr>
                    <w:t>%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社会效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益指标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满足区域病人就诊需求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≥90</w:t>
                  </w:r>
                  <w:r>
                    <w:rPr>
                      <w:rFonts w:ascii="宋体" w:hAnsi="宋体" w:cs="宋体" w:hint="eastAsia"/>
                      <w:sz w:val="16"/>
                      <w:szCs w:val="16"/>
                      <w:lang w:val="en-US" w:eastAsia="zh-CN"/>
                    </w:rPr>
                    <w:t>%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生态效益指标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指标1：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生态效益指标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指标1：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可持续影响</w:t>
                  </w:r>
                  <w:r>
                    <w:rPr>
                      <w:rFonts w:hint="eastAsia"/>
                      <w:sz w:val="20"/>
                      <w:szCs w:val="20"/>
                    </w:rPr>
                    <w:br/>
                  </w: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可持续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影响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……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……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满意度指标</w:t>
                  </w:r>
                </w:p>
              </w:tc>
              <w:tc>
                <w:tcPr>
                  <w:tcW w:w="9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服务对象满意度指标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区域群众就诊满意度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≥9</w:t>
                  </w:r>
                  <w:r>
                    <w:rPr>
                      <w:rFonts w:ascii="宋体" w:hAnsi="宋体" w:cs="宋体" w:hint="eastAsia"/>
                      <w:sz w:val="16"/>
                      <w:szCs w:val="16"/>
                      <w:lang w:val="en-US" w:eastAsia="zh-CN"/>
                    </w:rPr>
                    <w:t>0</w:t>
                  </w: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服务对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象满意</w:t>
                  </w:r>
                </w:p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度指标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区域群众就诊满意度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≥9</w:t>
                  </w:r>
                  <w:r>
                    <w:rPr>
                      <w:rFonts w:ascii="宋体" w:hAnsi="宋体" w:cs="宋体" w:hint="eastAsia"/>
                      <w:sz w:val="16"/>
                      <w:szCs w:val="16"/>
                      <w:lang w:val="en-US" w:eastAsia="zh-CN"/>
                    </w:rPr>
                    <w:t>0</w:t>
                  </w: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 xml:space="preserve"> ……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  <w:tr>
              <w:tblPrEx>
                <w:tblW w:w="9570" w:type="dxa"/>
                <w:tblInd w:w="93" w:type="dxa"/>
                <w:tblLayout w:type="fixed"/>
              </w:tblPrEx>
              <w:trPr>
                <w:trHeight w:val="315"/>
              </w:trPr>
              <w:tc>
                <w:tcPr>
                  <w:tcW w:w="4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……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  <w:tc>
                <w:tcPr>
                  <w:tcW w:w="8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……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6"/>
                      <w:szCs w:val="16"/>
                    </w:rPr>
                    <w:t>　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ascii="宋体" w:eastAsia="宋体" w:hAnsi="宋体" w:cs="宋体" w:hint="default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　</w:t>
                  </w:r>
                </w:p>
              </w:tc>
            </w:tr>
          </w:tbl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</w:p>
        </w:tc>
      </w:tr>
      <w:tr>
        <w:tblPrEx>
          <w:tblW w:w="9681" w:type="dxa"/>
          <w:tblInd w:w="93" w:type="dxa"/>
          <w:tblLayout w:type="fixed"/>
        </w:tblPrEx>
        <w:trPr>
          <w:trHeight w:val="270"/>
        </w:trPr>
        <w:tc>
          <w:tcPr>
            <w:tcW w:w="96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479D716D"/>
    <w:rsid w:val="51501915"/>
    <w:rsid w:val="58C64FF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扉页</cp:lastModifiedBy>
  <cp:revision>1</cp:revision>
  <dcterms:created xsi:type="dcterms:W3CDTF">2022-02-10T01:28:00Z</dcterms:created>
  <dcterms:modified xsi:type="dcterms:W3CDTF">2022-02-16T07:58:33Z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