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84F303">
      <w:pPr>
        <w:jc w:val="center"/>
        <w:rPr>
          <w:rFonts w:hint="eastAsia"/>
          <w:color w:val="000000"/>
        </w:rPr>
      </w:pPr>
    </w:p>
    <w:p w14:paraId="27DDC201">
      <w:pPr>
        <w:spacing w:line="20" w:lineRule="exact"/>
        <w:rPr>
          <w:color w:val="000000"/>
        </w:rPr>
      </w:pPr>
    </w:p>
    <w:p w14:paraId="4C4A5AB2">
      <w:pPr>
        <w:spacing w:line="560" w:lineRule="exact"/>
        <w:jc w:val="center"/>
        <w:rPr>
          <w:rFonts w:ascii="方正小标宋_GBK" w:hAnsi="TimesNewRoman" w:eastAsia="方正小标宋_GBK" w:cs="TimesNewRoman"/>
          <w:sz w:val="44"/>
          <w:szCs w:val="44"/>
        </w:rPr>
      </w:pPr>
    </w:p>
    <w:p w14:paraId="08745232">
      <w:pPr>
        <w:spacing w:line="560" w:lineRule="exact"/>
        <w:jc w:val="center"/>
        <w:rPr>
          <w:rFonts w:ascii="方正小标宋_GBK" w:hAnsi="TimesNewRoman" w:eastAsia="方正小标宋_GBK" w:cs="TimesNewRoman"/>
          <w:sz w:val="44"/>
          <w:szCs w:val="44"/>
        </w:rPr>
      </w:pPr>
    </w:p>
    <w:p w14:paraId="4097B015">
      <w:pPr>
        <w:spacing w:line="560" w:lineRule="exact"/>
        <w:jc w:val="center"/>
        <w:rPr>
          <w:rFonts w:ascii="方正小标宋_GBK" w:hAnsi="TimesNewRoman" w:eastAsia="方正小标宋_GBK" w:cs="TimesNewRoman"/>
          <w:sz w:val="44"/>
          <w:szCs w:val="44"/>
        </w:rPr>
      </w:pPr>
    </w:p>
    <w:p w14:paraId="5BBCEF82">
      <w:pPr>
        <w:spacing w:line="560" w:lineRule="exact"/>
        <w:jc w:val="center"/>
        <w:rPr>
          <w:rFonts w:ascii="方正小标宋_GBK" w:hAnsi="TimesNewRoman" w:eastAsia="方正小标宋_GBK" w:cs="TimesNewRoman"/>
          <w:sz w:val="44"/>
          <w:szCs w:val="44"/>
        </w:rPr>
      </w:pPr>
    </w:p>
    <w:p w14:paraId="11D06B1C">
      <w:pPr>
        <w:spacing w:line="560" w:lineRule="exact"/>
        <w:jc w:val="center"/>
        <w:rPr>
          <w:rFonts w:ascii="方正小标宋简体" w:hAnsi="方正小标宋简体" w:eastAsia="方正小标宋简体" w:cs="TimesNewRoman"/>
          <w:b/>
          <w:sz w:val="44"/>
          <w:szCs w:val="44"/>
        </w:rPr>
      </w:pPr>
      <w:r>
        <w:rPr>
          <w:rFonts w:hint="eastAsia" w:ascii="方正小标宋简体" w:hAnsi="方正小标宋简体" w:eastAsia="方正小标宋简体" w:cs="TimesNewRoman"/>
          <w:b/>
          <w:sz w:val="44"/>
          <w:szCs w:val="44"/>
        </w:rPr>
        <w:t>寿县退役军人事务局2025年部门预算</w:t>
      </w:r>
    </w:p>
    <w:p w14:paraId="100A4784">
      <w:pPr>
        <w:pStyle w:val="15"/>
        <w:adjustRightInd w:val="0"/>
        <w:snapToGrid w:val="0"/>
        <w:spacing w:line="560" w:lineRule="exact"/>
        <w:jc w:val="center"/>
        <w:outlineLvl w:val="0"/>
        <w:rPr>
          <w:rFonts w:ascii="方正小标宋简体" w:hAnsi="方正小标宋简体" w:eastAsia="方正小标宋简体" w:cs="TimesNewRoman"/>
          <w:sz w:val="32"/>
          <w:szCs w:val="32"/>
        </w:rPr>
      </w:pPr>
    </w:p>
    <w:p w14:paraId="11B17539">
      <w:pPr>
        <w:pStyle w:val="15"/>
        <w:adjustRightInd w:val="0"/>
        <w:snapToGrid w:val="0"/>
        <w:spacing w:line="560" w:lineRule="exact"/>
        <w:jc w:val="center"/>
        <w:rPr>
          <w:rFonts w:ascii="仿宋_GB2312" w:hAnsi="TimesNewRoman" w:eastAsia="仿宋_GB2312" w:cs="TimesNewRoman"/>
          <w:bCs/>
          <w:sz w:val="32"/>
          <w:szCs w:val="32"/>
        </w:rPr>
      </w:pPr>
    </w:p>
    <w:p w14:paraId="308810BC">
      <w:pPr>
        <w:pStyle w:val="15"/>
        <w:adjustRightInd w:val="0"/>
        <w:snapToGrid w:val="0"/>
        <w:spacing w:line="560" w:lineRule="exact"/>
        <w:jc w:val="center"/>
        <w:rPr>
          <w:rFonts w:ascii="仿宋_GB2312" w:hAnsi="TimesNewRoman" w:eastAsia="仿宋_GB2312" w:cs="TimesNewRoman"/>
          <w:bCs/>
          <w:sz w:val="32"/>
          <w:szCs w:val="32"/>
        </w:rPr>
      </w:pPr>
    </w:p>
    <w:p w14:paraId="1621410D">
      <w:pPr>
        <w:pStyle w:val="15"/>
        <w:adjustRightInd w:val="0"/>
        <w:snapToGrid w:val="0"/>
        <w:spacing w:line="560" w:lineRule="exact"/>
        <w:jc w:val="center"/>
        <w:rPr>
          <w:rFonts w:ascii="仿宋_GB2312" w:hAnsi="TimesNewRoman" w:eastAsia="仿宋_GB2312" w:cs="TimesNewRoman"/>
          <w:bCs/>
          <w:sz w:val="32"/>
          <w:szCs w:val="32"/>
        </w:rPr>
      </w:pPr>
    </w:p>
    <w:p w14:paraId="54161D5D">
      <w:pPr>
        <w:pStyle w:val="15"/>
        <w:adjustRightInd w:val="0"/>
        <w:snapToGrid w:val="0"/>
        <w:spacing w:line="560" w:lineRule="exact"/>
        <w:jc w:val="center"/>
        <w:rPr>
          <w:rFonts w:ascii="仿宋_GB2312" w:hAnsi="TimesNewRoman" w:eastAsia="仿宋_GB2312" w:cs="TimesNewRoman"/>
          <w:bCs/>
          <w:sz w:val="32"/>
          <w:szCs w:val="32"/>
        </w:rPr>
      </w:pPr>
    </w:p>
    <w:p w14:paraId="68C432B0">
      <w:pPr>
        <w:pStyle w:val="15"/>
        <w:adjustRightInd w:val="0"/>
        <w:snapToGrid w:val="0"/>
        <w:spacing w:line="560" w:lineRule="exact"/>
        <w:jc w:val="center"/>
        <w:rPr>
          <w:rFonts w:ascii="仿宋_GB2312" w:hAnsi="TimesNewRoman" w:eastAsia="仿宋_GB2312" w:cs="TimesNewRoman"/>
          <w:bCs/>
          <w:sz w:val="32"/>
          <w:szCs w:val="32"/>
        </w:rPr>
      </w:pPr>
    </w:p>
    <w:p w14:paraId="09BB9E93">
      <w:pPr>
        <w:pStyle w:val="15"/>
        <w:adjustRightInd w:val="0"/>
        <w:snapToGrid w:val="0"/>
        <w:spacing w:line="560" w:lineRule="exact"/>
        <w:jc w:val="center"/>
        <w:rPr>
          <w:rFonts w:ascii="仿宋_GB2312" w:hAnsi="TimesNewRoman" w:eastAsia="仿宋_GB2312" w:cs="TimesNewRoman"/>
          <w:bCs/>
          <w:sz w:val="32"/>
          <w:szCs w:val="32"/>
        </w:rPr>
      </w:pPr>
    </w:p>
    <w:p w14:paraId="58D9291C">
      <w:pPr>
        <w:pStyle w:val="15"/>
        <w:adjustRightInd w:val="0"/>
        <w:snapToGrid w:val="0"/>
        <w:spacing w:line="560" w:lineRule="exact"/>
        <w:jc w:val="center"/>
        <w:rPr>
          <w:rFonts w:ascii="仿宋_GB2312" w:hAnsi="TimesNewRoman" w:eastAsia="仿宋_GB2312" w:cs="TimesNewRoman"/>
          <w:bCs/>
          <w:sz w:val="32"/>
          <w:szCs w:val="32"/>
        </w:rPr>
      </w:pPr>
    </w:p>
    <w:p w14:paraId="6929607D">
      <w:pPr>
        <w:pStyle w:val="15"/>
        <w:adjustRightInd w:val="0"/>
        <w:snapToGrid w:val="0"/>
        <w:spacing w:line="560" w:lineRule="exact"/>
        <w:rPr>
          <w:rFonts w:ascii="方正小标宋_GBK" w:hAnsi="TimesNewRoman" w:eastAsia="方正小标宋_GBK" w:cs="TimesNewRoman"/>
          <w:b/>
          <w:bCs/>
          <w:sz w:val="36"/>
          <w:szCs w:val="36"/>
        </w:rPr>
      </w:pPr>
      <w:r>
        <w:rPr>
          <w:rFonts w:hint="eastAsia" w:ascii="仿宋_GB2312" w:hAnsi="TimesNewRoman" w:eastAsia="仿宋_GB2312" w:cs="TimesNewRoman"/>
          <w:bCs/>
          <w:sz w:val="32"/>
          <w:szCs w:val="32"/>
        </w:rPr>
        <w:t xml:space="preserve">                        </w:t>
      </w:r>
      <w:r>
        <w:rPr>
          <w:rFonts w:hint="eastAsia" w:ascii="仿宋_GB2312" w:hAnsi="TimesNewRoman" w:eastAsia="仿宋_GB2312" w:cs="TimesNewRoman"/>
          <w:b/>
          <w:bCs/>
          <w:sz w:val="36"/>
          <w:szCs w:val="36"/>
        </w:rPr>
        <w:t xml:space="preserve"> 2025年1月</w:t>
      </w:r>
    </w:p>
    <w:p w14:paraId="76F4C1FE">
      <w:pPr>
        <w:pStyle w:val="15"/>
        <w:adjustRightInd w:val="0"/>
        <w:snapToGrid w:val="0"/>
        <w:spacing w:line="560" w:lineRule="exact"/>
        <w:jc w:val="center"/>
        <w:rPr>
          <w:rFonts w:ascii="方正小标宋_GBK" w:hAnsi="TimesNewRoman" w:eastAsia="方正小标宋_GBK" w:cs="TimesNewRoman"/>
          <w:bCs/>
          <w:sz w:val="44"/>
          <w:szCs w:val="44"/>
        </w:rPr>
      </w:pPr>
    </w:p>
    <w:p w14:paraId="5C45B4EF">
      <w:pPr>
        <w:pStyle w:val="15"/>
        <w:adjustRightInd w:val="0"/>
        <w:snapToGrid w:val="0"/>
        <w:spacing w:line="560" w:lineRule="exact"/>
        <w:jc w:val="center"/>
        <w:rPr>
          <w:rFonts w:ascii="方正小标宋_GBK" w:hAnsi="TimesNewRoman" w:eastAsia="方正小标宋_GBK" w:cs="TimesNewRoman"/>
          <w:bCs/>
          <w:sz w:val="44"/>
          <w:szCs w:val="44"/>
        </w:rPr>
      </w:pPr>
    </w:p>
    <w:p w14:paraId="0695D6ED">
      <w:pPr>
        <w:pStyle w:val="15"/>
        <w:adjustRightInd w:val="0"/>
        <w:snapToGrid w:val="0"/>
        <w:spacing w:line="560" w:lineRule="exact"/>
        <w:jc w:val="center"/>
        <w:rPr>
          <w:rFonts w:ascii="方正小标宋_GBK" w:hAnsi="TimesNewRoman" w:eastAsia="方正小标宋_GBK" w:cs="TimesNewRoman"/>
          <w:bCs/>
          <w:sz w:val="44"/>
          <w:szCs w:val="44"/>
        </w:rPr>
      </w:pPr>
    </w:p>
    <w:p w14:paraId="02A5BE87">
      <w:pPr>
        <w:pStyle w:val="15"/>
        <w:adjustRightInd w:val="0"/>
        <w:snapToGrid w:val="0"/>
        <w:spacing w:line="560" w:lineRule="exact"/>
        <w:jc w:val="center"/>
        <w:rPr>
          <w:rFonts w:ascii="方正小标宋_GBK" w:hAnsi="TimesNewRoman" w:eastAsia="方正小标宋_GBK" w:cs="TimesNewRoman"/>
          <w:bCs/>
          <w:sz w:val="40"/>
          <w:szCs w:val="44"/>
        </w:rPr>
      </w:pPr>
      <w:r>
        <w:rPr>
          <w:rFonts w:hint="eastAsia" w:ascii="方正小标宋_GBK" w:hAnsi="TimesNewRoman" w:eastAsia="方正小标宋_GBK" w:cs="TimesNewRoman"/>
          <w:bCs/>
          <w:sz w:val="40"/>
          <w:szCs w:val="44"/>
        </w:rPr>
        <w:t>目  录</w:t>
      </w:r>
    </w:p>
    <w:p w14:paraId="78F6A1FA">
      <w:pPr>
        <w:pStyle w:val="15"/>
        <w:topLinePunct/>
        <w:adjustRightInd w:val="0"/>
        <w:snapToGrid w:val="0"/>
        <w:spacing w:beforeAutospacing="0" w:afterAutospacing="0" w:line="560" w:lineRule="exact"/>
        <w:ind w:firstLine="640" w:firstLineChars="200"/>
        <w:jc w:val="both"/>
        <w:rPr>
          <w:rFonts w:ascii="黑体" w:hAnsi="黑体" w:eastAsia="黑体" w:cs="TimesNewRoman"/>
          <w:sz w:val="32"/>
          <w:szCs w:val="32"/>
        </w:rPr>
      </w:pPr>
    </w:p>
    <w:p w14:paraId="1BA7DDD5">
      <w:pPr>
        <w:pStyle w:val="15"/>
        <w:topLinePunct/>
        <w:adjustRightInd w:val="0"/>
        <w:snapToGrid w:val="0"/>
        <w:spacing w:beforeAutospacing="0" w:afterAutospacing="0" w:line="560" w:lineRule="exact"/>
        <w:ind w:firstLine="640" w:firstLineChars="200"/>
        <w:jc w:val="both"/>
        <w:rPr>
          <w:rFonts w:ascii="黑体" w:hAnsi="黑体" w:eastAsia="黑体" w:cs="TimesNewRoman"/>
          <w:sz w:val="32"/>
          <w:szCs w:val="32"/>
        </w:rPr>
      </w:pPr>
      <w:r>
        <w:rPr>
          <w:rFonts w:ascii="黑体" w:hAnsi="黑体" w:eastAsia="黑体" w:cs="TimesNewRoman"/>
          <w:sz w:val="32"/>
          <w:szCs w:val="32"/>
        </w:rPr>
        <w:t>第一部分</w:t>
      </w:r>
      <w:r>
        <w:rPr>
          <w:rFonts w:hint="eastAsia" w:ascii="黑体" w:hAnsi="黑体" w:eastAsia="黑体" w:cs="TimesNewRoman"/>
          <w:sz w:val="32"/>
          <w:szCs w:val="32"/>
          <w:lang w:val="en-US" w:eastAsia="zh-CN"/>
        </w:rPr>
        <w:t>部门</w:t>
      </w:r>
      <w:r>
        <w:rPr>
          <w:rFonts w:ascii="黑体" w:hAnsi="黑体" w:eastAsia="黑体" w:cs="TimesNewRoman"/>
          <w:sz w:val="32"/>
          <w:szCs w:val="32"/>
        </w:rPr>
        <w:t>概况</w:t>
      </w:r>
    </w:p>
    <w:p w14:paraId="0D5633DA">
      <w:pPr>
        <w:pStyle w:val="15"/>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hint="eastAsia" w:ascii="仿宋_GB2312" w:hAnsi="TimesNewRoman" w:eastAsia="仿宋_GB2312" w:cs="TimesNewRoman"/>
          <w:bCs/>
          <w:sz w:val="32"/>
          <w:szCs w:val="32"/>
        </w:rPr>
        <w:t>1.主要职责</w:t>
      </w:r>
    </w:p>
    <w:p w14:paraId="0484AC79">
      <w:pPr>
        <w:pStyle w:val="15"/>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hint="eastAsia" w:ascii="仿宋_GB2312" w:hAnsi="TimesNewRoman" w:eastAsia="仿宋_GB2312" w:cs="TimesNewRoman"/>
          <w:bCs/>
          <w:sz w:val="32"/>
          <w:szCs w:val="32"/>
        </w:rPr>
        <w:t>2.部门预算构成</w:t>
      </w:r>
    </w:p>
    <w:p w14:paraId="7BB238D9">
      <w:pPr>
        <w:pStyle w:val="15"/>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hint="eastAsia" w:ascii="仿宋_GB2312" w:hAnsi="TimesNewRoman" w:eastAsia="仿宋_GB2312" w:cs="TimesNewRoman"/>
          <w:bCs/>
          <w:sz w:val="32"/>
          <w:szCs w:val="32"/>
        </w:rPr>
        <w:t>3.2025年度主要工作任务</w:t>
      </w:r>
    </w:p>
    <w:p w14:paraId="4EC9A03C">
      <w:pPr>
        <w:pStyle w:val="15"/>
        <w:topLinePunct/>
        <w:adjustRightInd w:val="0"/>
        <w:snapToGrid w:val="0"/>
        <w:spacing w:beforeAutospacing="0" w:afterAutospacing="0" w:line="560" w:lineRule="exact"/>
        <w:ind w:firstLine="640" w:firstLineChars="200"/>
        <w:jc w:val="both"/>
        <w:rPr>
          <w:rFonts w:ascii="黑体" w:hAnsi="黑体" w:eastAsia="黑体" w:cs="TimesNewRoman"/>
          <w:sz w:val="32"/>
          <w:szCs w:val="32"/>
        </w:rPr>
      </w:pPr>
      <w:r>
        <w:rPr>
          <w:rFonts w:ascii="黑体" w:hAnsi="黑体" w:eastAsia="黑体" w:cs="TimesNewRoman"/>
          <w:sz w:val="32"/>
          <w:szCs w:val="32"/>
        </w:rPr>
        <w:t>第</w:t>
      </w:r>
      <w:r>
        <w:rPr>
          <w:rFonts w:hint="eastAsia" w:ascii="黑体" w:hAnsi="黑体" w:eastAsia="黑体" w:cs="TimesNewRoman"/>
          <w:sz w:val="32"/>
          <w:szCs w:val="32"/>
        </w:rPr>
        <w:t>二</w:t>
      </w:r>
      <w:r>
        <w:rPr>
          <w:rFonts w:ascii="黑体" w:hAnsi="黑体" w:eastAsia="黑体" w:cs="TimesNewRoman"/>
          <w:sz w:val="32"/>
          <w:szCs w:val="32"/>
        </w:rPr>
        <w:t xml:space="preserve">部分 </w:t>
      </w:r>
      <w:r>
        <w:rPr>
          <w:rFonts w:hint="eastAsia" w:ascii="黑体" w:hAnsi="黑体" w:eastAsia="黑体" w:cs="TimesNewRoman"/>
          <w:sz w:val="32"/>
          <w:szCs w:val="32"/>
        </w:rPr>
        <w:t>2025</w:t>
      </w:r>
      <w:r>
        <w:rPr>
          <w:rFonts w:ascii="黑体" w:hAnsi="黑体" w:eastAsia="黑体" w:cs="TimesNewRoman"/>
          <w:sz w:val="32"/>
          <w:szCs w:val="32"/>
        </w:rPr>
        <w:t>年部门预算情况说明</w:t>
      </w:r>
    </w:p>
    <w:p w14:paraId="0B71FEBB">
      <w:pPr>
        <w:pStyle w:val="15"/>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1.关于</w:t>
      </w:r>
      <w:r>
        <w:rPr>
          <w:rFonts w:hint="eastAsia" w:ascii="仿宋_GB2312" w:hAnsi="TimesNewRoman" w:eastAsia="仿宋_GB2312" w:cs="TimesNewRoman"/>
          <w:bCs/>
          <w:sz w:val="32"/>
          <w:szCs w:val="32"/>
        </w:rPr>
        <w:t>2025</w:t>
      </w:r>
      <w:r>
        <w:rPr>
          <w:rFonts w:ascii="仿宋_GB2312" w:hAnsi="TimesNewRoman" w:eastAsia="仿宋_GB2312" w:cs="TimesNewRoman"/>
          <w:bCs/>
          <w:sz w:val="32"/>
          <w:szCs w:val="32"/>
        </w:rPr>
        <w:t>年收支总表的说明</w:t>
      </w:r>
    </w:p>
    <w:p w14:paraId="304BE801">
      <w:pPr>
        <w:pStyle w:val="15"/>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2.关于</w:t>
      </w:r>
      <w:r>
        <w:rPr>
          <w:rFonts w:hint="eastAsia" w:ascii="仿宋_GB2312" w:hAnsi="TimesNewRoman" w:eastAsia="仿宋_GB2312" w:cs="TimesNewRoman"/>
          <w:bCs/>
          <w:sz w:val="32"/>
          <w:szCs w:val="32"/>
        </w:rPr>
        <w:t>2025</w:t>
      </w:r>
      <w:r>
        <w:rPr>
          <w:rFonts w:ascii="仿宋_GB2312" w:hAnsi="TimesNewRoman" w:eastAsia="仿宋_GB2312" w:cs="TimesNewRoman"/>
          <w:bCs/>
          <w:sz w:val="32"/>
          <w:szCs w:val="32"/>
        </w:rPr>
        <w:t>年收入总表的说明</w:t>
      </w:r>
    </w:p>
    <w:p w14:paraId="3572067B">
      <w:pPr>
        <w:pStyle w:val="15"/>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3.关于</w:t>
      </w:r>
      <w:r>
        <w:rPr>
          <w:rFonts w:hint="eastAsia" w:ascii="仿宋_GB2312" w:hAnsi="TimesNewRoman" w:eastAsia="仿宋_GB2312" w:cs="TimesNewRoman"/>
          <w:bCs/>
          <w:sz w:val="32"/>
          <w:szCs w:val="32"/>
        </w:rPr>
        <w:t>2025</w:t>
      </w:r>
      <w:r>
        <w:rPr>
          <w:rFonts w:ascii="仿宋_GB2312" w:hAnsi="TimesNewRoman" w:eastAsia="仿宋_GB2312" w:cs="TimesNewRoman"/>
          <w:bCs/>
          <w:sz w:val="32"/>
          <w:szCs w:val="32"/>
        </w:rPr>
        <w:t>年支出总表的说明</w:t>
      </w:r>
    </w:p>
    <w:p w14:paraId="06E295AA">
      <w:pPr>
        <w:pStyle w:val="15"/>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4.关于</w:t>
      </w:r>
      <w:r>
        <w:rPr>
          <w:rFonts w:hint="eastAsia" w:ascii="仿宋_GB2312" w:hAnsi="TimesNewRoman" w:eastAsia="仿宋_GB2312" w:cs="TimesNewRoman"/>
          <w:bCs/>
          <w:sz w:val="32"/>
          <w:szCs w:val="32"/>
        </w:rPr>
        <w:t>2025</w:t>
      </w:r>
      <w:r>
        <w:rPr>
          <w:rFonts w:ascii="仿宋_GB2312" w:hAnsi="TimesNewRoman" w:eastAsia="仿宋_GB2312" w:cs="TimesNewRoman"/>
          <w:bCs/>
          <w:sz w:val="32"/>
          <w:szCs w:val="32"/>
        </w:rPr>
        <w:t>年财政拨款收支总表的说明</w:t>
      </w:r>
    </w:p>
    <w:p w14:paraId="4E457574">
      <w:pPr>
        <w:pStyle w:val="15"/>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5.关于</w:t>
      </w:r>
      <w:r>
        <w:rPr>
          <w:rFonts w:hint="eastAsia" w:ascii="仿宋_GB2312" w:hAnsi="TimesNewRoman" w:eastAsia="仿宋_GB2312" w:cs="TimesNewRoman"/>
          <w:bCs/>
          <w:sz w:val="32"/>
          <w:szCs w:val="32"/>
        </w:rPr>
        <w:t>2025</w:t>
      </w:r>
      <w:r>
        <w:rPr>
          <w:rFonts w:ascii="仿宋_GB2312" w:hAnsi="TimesNewRoman" w:eastAsia="仿宋_GB2312" w:cs="TimesNewRoman"/>
          <w:bCs/>
          <w:sz w:val="32"/>
          <w:szCs w:val="32"/>
        </w:rPr>
        <w:t>年一般公共预算支出表的说明</w:t>
      </w:r>
    </w:p>
    <w:p w14:paraId="50C728C8">
      <w:pPr>
        <w:pStyle w:val="15"/>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6.关于</w:t>
      </w:r>
      <w:r>
        <w:rPr>
          <w:rFonts w:hint="eastAsia" w:ascii="仿宋_GB2312" w:hAnsi="TimesNewRoman" w:eastAsia="仿宋_GB2312" w:cs="TimesNewRoman"/>
          <w:bCs/>
          <w:sz w:val="32"/>
          <w:szCs w:val="32"/>
        </w:rPr>
        <w:t>2025</w:t>
      </w:r>
      <w:r>
        <w:rPr>
          <w:rFonts w:ascii="仿宋_GB2312" w:hAnsi="TimesNewRoman" w:eastAsia="仿宋_GB2312" w:cs="TimesNewRoman"/>
          <w:bCs/>
          <w:sz w:val="32"/>
          <w:szCs w:val="32"/>
        </w:rPr>
        <w:t>年一般公共预算基本支出表的说明</w:t>
      </w:r>
    </w:p>
    <w:p w14:paraId="466E2FF3">
      <w:pPr>
        <w:pStyle w:val="15"/>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7.关于</w:t>
      </w:r>
      <w:r>
        <w:rPr>
          <w:rFonts w:hint="eastAsia" w:ascii="仿宋_GB2312" w:hAnsi="TimesNewRoman" w:eastAsia="仿宋_GB2312" w:cs="TimesNewRoman"/>
          <w:bCs/>
          <w:sz w:val="32"/>
          <w:szCs w:val="32"/>
        </w:rPr>
        <w:t>2025</w:t>
      </w:r>
      <w:r>
        <w:rPr>
          <w:rFonts w:ascii="仿宋_GB2312" w:hAnsi="TimesNewRoman" w:eastAsia="仿宋_GB2312" w:cs="TimesNewRoman"/>
          <w:bCs/>
          <w:sz w:val="32"/>
          <w:szCs w:val="32"/>
        </w:rPr>
        <w:t>年政府性基金预算支出表的说明</w:t>
      </w:r>
    </w:p>
    <w:p w14:paraId="70F1F301">
      <w:pPr>
        <w:pStyle w:val="15"/>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8.关于</w:t>
      </w:r>
      <w:r>
        <w:rPr>
          <w:rFonts w:hint="eastAsia" w:ascii="仿宋_GB2312" w:hAnsi="TimesNewRoman" w:eastAsia="仿宋_GB2312" w:cs="TimesNewRoman"/>
          <w:bCs/>
          <w:sz w:val="32"/>
          <w:szCs w:val="32"/>
        </w:rPr>
        <w:t>2025</w:t>
      </w:r>
      <w:r>
        <w:rPr>
          <w:rFonts w:ascii="仿宋_GB2312" w:hAnsi="TimesNewRoman" w:eastAsia="仿宋_GB2312" w:cs="TimesNewRoman"/>
          <w:bCs/>
          <w:sz w:val="32"/>
          <w:szCs w:val="32"/>
        </w:rPr>
        <w:t>年国有资本经营预算支出表的说明</w:t>
      </w:r>
    </w:p>
    <w:p w14:paraId="5FD7C7C2">
      <w:pPr>
        <w:pStyle w:val="15"/>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9.关于</w:t>
      </w:r>
      <w:r>
        <w:rPr>
          <w:rFonts w:hint="eastAsia" w:ascii="仿宋_GB2312" w:hAnsi="TimesNewRoman" w:eastAsia="仿宋_GB2312" w:cs="TimesNewRoman"/>
          <w:bCs/>
          <w:sz w:val="32"/>
          <w:szCs w:val="32"/>
        </w:rPr>
        <w:t>2025</w:t>
      </w:r>
      <w:r>
        <w:rPr>
          <w:rFonts w:ascii="仿宋_GB2312" w:hAnsi="TimesNewRoman" w:eastAsia="仿宋_GB2312" w:cs="TimesNewRoman"/>
          <w:bCs/>
          <w:sz w:val="32"/>
          <w:szCs w:val="32"/>
        </w:rPr>
        <w:t>年项目支出表的说明</w:t>
      </w:r>
    </w:p>
    <w:p w14:paraId="2F448C32">
      <w:pPr>
        <w:pStyle w:val="15"/>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10.关于</w:t>
      </w:r>
      <w:r>
        <w:rPr>
          <w:rFonts w:hint="eastAsia" w:ascii="仿宋_GB2312" w:hAnsi="TimesNewRoman" w:eastAsia="仿宋_GB2312" w:cs="TimesNewRoman"/>
          <w:bCs/>
          <w:sz w:val="32"/>
          <w:szCs w:val="32"/>
        </w:rPr>
        <w:t>2025</w:t>
      </w:r>
      <w:r>
        <w:rPr>
          <w:rFonts w:ascii="仿宋_GB2312" w:hAnsi="TimesNewRoman" w:eastAsia="仿宋_GB2312" w:cs="TimesNewRoman"/>
          <w:bCs/>
          <w:sz w:val="32"/>
          <w:szCs w:val="32"/>
        </w:rPr>
        <w:t>年政府采购支出表的说明</w:t>
      </w:r>
    </w:p>
    <w:p w14:paraId="03D3365B">
      <w:pPr>
        <w:pStyle w:val="15"/>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11.关于</w:t>
      </w:r>
      <w:r>
        <w:rPr>
          <w:rFonts w:hint="eastAsia" w:ascii="仿宋_GB2312" w:hAnsi="TimesNewRoman" w:eastAsia="仿宋_GB2312" w:cs="TimesNewRoman"/>
          <w:bCs/>
          <w:sz w:val="32"/>
          <w:szCs w:val="32"/>
        </w:rPr>
        <w:t>2025</w:t>
      </w:r>
      <w:r>
        <w:rPr>
          <w:rFonts w:ascii="仿宋_GB2312" w:hAnsi="TimesNewRoman" w:eastAsia="仿宋_GB2312" w:cs="TimesNewRoman"/>
          <w:bCs/>
          <w:sz w:val="32"/>
          <w:szCs w:val="32"/>
        </w:rPr>
        <w:t>年政府购买服务支出表的说明</w:t>
      </w:r>
    </w:p>
    <w:p w14:paraId="071D6916">
      <w:pPr>
        <w:pStyle w:val="15"/>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hint="eastAsia" w:ascii="仿宋_GB2312" w:hAnsi="TimesNewRoman" w:eastAsia="仿宋_GB2312" w:cs="TimesNewRoman"/>
          <w:bCs/>
          <w:sz w:val="32"/>
          <w:szCs w:val="32"/>
        </w:rPr>
        <w:t>12.关于2025年一般公共预算“三公”经费支出情况说明</w:t>
      </w:r>
    </w:p>
    <w:p w14:paraId="2BEB1135">
      <w:pPr>
        <w:pStyle w:val="15"/>
        <w:topLinePunct/>
        <w:adjustRightInd w:val="0"/>
        <w:snapToGrid w:val="0"/>
        <w:spacing w:beforeAutospacing="0" w:afterAutospacing="0" w:line="560" w:lineRule="exact"/>
        <w:ind w:firstLine="640" w:firstLineChars="200"/>
        <w:jc w:val="both"/>
        <w:rPr>
          <w:rFonts w:ascii="黑体" w:hAnsi="黑体" w:eastAsia="黑体" w:cs="TimesNewRoman"/>
          <w:sz w:val="32"/>
          <w:szCs w:val="32"/>
        </w:rPr>
      </w:pPr>
      <w:r>
        <w:rPr>
          <w:rFonts w:ascii="仿宋_GB2312" w:hAnsi="TimesNewRoman" w:eastAsia="仿宋_GB2312" w:cs="TimesNewRoman"/>
          <w:bCs/>
          <w:sz w:val="32"/>
          <w:szCs w:val="32"/>
        </w:rPr>
        <w:t>1</w:t>
      </w:r>
      <w:r>
        <w:rPr>
          <w:rFonts w:hint="eastAsia" w:ascii="仿宋_GB2312" w:hAnsi="TimesNewRoman" w:eastAsia="仿宋_GB2312" w:cs="TimesNewRoman"/>
          <w:bCs/>
          <w:sz w:val="32"/>
          <w:szCs w:val="32"/>
        </w:rPr>
        <w:t>3</w:t>
      </w:r>
      <w:r>
        <w:rPr>
          <w:rFonts w:ascii="仿宋_GB2312" w:hAnsi="TimesNewRoman" w:eastAsia="仿宋_GB2312" w:cs="TimesNewRoman"/>
          <w:bCs/>
          <w:sz w:val="32"/>
          <w:szCs w:val="32"/>
        </w:rPr>
        <w:t>.其他重要事项情况说明</w:t>
      </w:r>
    </w:p>
    <w:p w14:paraId="56E25565">
      <w:pPr>
        <w:pStyle w:val="15"/>
        <w:topLinePunct/>
        <w:adjustRightInd w:val="0"/>
        <w:snapToGrid w:val="0"/>
        <w:spacing w:beforeAutospacing="0" w:afterAutospacing="0" w:line="560" w:lineRule="exact"/>
        <w:ind w:firstLine="640" w:firstLineChars="200"/>
        <w:jc w:val="both"/>
        <w:rPr>
          <w:rFonts w:ascii="黑体" w:hAnsi="黑体" w:eastAsia="黑体" w:cs="TimesNewRoman"/>
          <w:sz w:val="32"/>
          <w:szCs w:val="32"/>
        </w:rPr>
      </w:pPr>
      <w:r>
        <w:rPr>
          <w:rFonts w:ascii="黑体" w:hAnsi="黑体" w:eastAsia="黑体" w:cs="TimesNewRoman"/>
          <w:sz w:val="32"/>
          <w:szCs w:val="32"/>
        </w:rPr>
        <w:t>第</w:t>
      </w:r>
      <w:r>
        <w:rPr>
          <w:rFonts w:hint="eastAsia" w:ascii="黑体" w:hAnsi="黑体" w:eastAsia="黑体" w:cs="TimesNewRoman"/>
          <w:sz w:val="32"/>
          <w:szCs w:val="32"/>
        </w:rPr>
        <w:t>三</w:t>
      </w:r>
      <w:r>
        <w:rPr>
          <w:rFonts w:ascii="黑体" w:hAnsi="黑体" w:eastAsia="黑体" w:cs="TimesNewRoman"/>
          <w:sz w:val="32"/>
          <w:szCs w:val="32"/>
        </w:rPr>
        <w:t>部分 名词解释</w:t>
      </w:r>
    </w:p>
    <w:p w14:paraId="6E844496">
      <w:pPr>
        <w:pStyle w:val="15"/>
        <w:topLinePunct/>
        <w:adjustRightInd w:val="0"/>
        <w:snapToGrid w:val="0"/>
        <w:spacing w:beforeAutospacing="0" w:afterAutospacing="0" w:line="560" w:lineRule="exact"/>
        <w:ind w:firstLine="640" w:firstLineChars="200"/>
        <w:jc w:val="both"/>
        <w:rPr>
          <w:rFonts w:ascii="TimesNewRoman" w:hAnsi="TimesNewRoman" w:eastAsia="仿宋_GB2312" w:cs="TimesNewRoman"/>
          <w:b/>
          <w:sz w:val="32"/>
          <w:szCs w:val="32"/>
        </w:rPr>
      </w:pPr>
    </w:p>
    <w:p w14:paraId="462A8E39">
      <w:pPr>
        <w:pStyle w:val="15"/>
        <w:topLinePunct/>
        <w:adjustRightInd w:val="0"/>
        <w:snapToGrid w:val="0"/>
        <w:spacing w:beforeAutospacing="0" w:afterAutospacing="0" w:line="560" w:lineRule="exact"/>
        <w:jc w:val="both"/>
        <w:rPr>
          <w:rFonts w:ascii="TimesNewRoman" w:hAnsi="TimesNewRoman" w:eastAsia="黑体" w:cs="TimesNewRoman"/>
          <w:bCs/>
          <w:sz w:val="36"/>
          <w:szCs w:val="36"/>
        </w:rPr>
      </w:pPr>
    </w:p>
    <w:p w14:paraId="6866F010">
      <w:pPr>
        <w:pStyle w:val="15"/>
        <w:topLinePunct/>
        <w:adjustRightInd w:val="0"/>
        <w:snapToGrid w:val="0"/>
        <w:spacing w:beforeAutospacing="0" w:afterAutospacing="0" w:line="560" w:lineRule="exact"/>
        <w:ind w:firstLine="2520" w:firstLineChars="700"/>
        <w:jc w:val="both"/>
        <w:rPr>
          <w:rFonts w:ascii="TimesNewRoman" w:hAnsi="TimesNewRoman" w:eastAsia="黑体" w:cs="TimesNewRoman"/>
          <w:bCs/>
          <w:sz w:val="36"/>
          <w:szCs w:val="36"/>
        </w:rPr>
      </w:pPr>
      <w:r>
        <w:rPr>
          <w:rFonts w:ascii="TimesNewRoman" w:hAnsi="TimesNewRoman" w:eastAsia="黑体" w:cs="TimesNewRoman"/>
          <w:bCs/>
          <w:sz w:val="36"/>
          <w:szCs w:val="36"/>
        </w:rPr>
        <w:t xml:space="preserve">第一部分 </w:t>
      </w:r>
      <w:r>
        <w:rPr>
          <w:rFonts w:hint="eastAsia" w:ascii="TimesNewRoman" w:hAnsi="TimesNewRoman" w:eastAsia="黑体" w:cs="TimesNewRoman"/>
          <w:bCs/>
          <w:sz w:val="36"/>
          <w:szCs w:val="36"/>
          <w:lang w:val="en-US" w:eastAsia="zh-CN"/>
        </w:rPr>
        <w:t>部门</w:t>
      </w:r>
      <w:r>
        <w:rPr>
          <w:rFonts w:ascii="TimesNewRoman" w:hAnsi="TimesNewRoman" w:eastAsia="黑体" w:cs="TimesNewRoman"/>
          <w:bCs/>
          <w:sz w:val="36"/>
          <w:szCs w:val="36"/>
        </w:rPr>
        <w:t>概况</w:t>
      </w:r>
    </w:p>
    <w:p w14:paraId="3D28D543">
      <w:pPr>
        <w:pStyle w:val="15"/>
        <w:topLinePunct/>
        <w:adjustRightInd w:val="0"/>
        <w:snapToGrid w:val="0"/>
        <w:spacing w:beforeAutospacing="0" w:afterAutospacing="0" w:line="560" w:lineRule="exact"/>
        <w:ind w:firstLine="627" w:firstLineChars="196"/>
        <w:jc w:val="both"/>
        <w:rPr>
          <w:rFonts w:ascii="TimesNewRoman" w:hAnsi="TimesNewRoman" w:eastAsia="黑体" w:cs="TimesNewRoman"/>
          <w:bCs/>
          <w:sz w:val="32"/>
          <w:szCs w:val="32"/>
        </w:rPr>
      </w:pPr>
    </w:p>
    <w:p w14:paraId="4643DAF1">
      <w:pPr>
        <w:pStyle w:val="15"/>
        <w:topLinePunct/>
        <w:adjustRightInd w:val="0"/>
        <w:snapToGrid w:val="0"/>
        <w:spacing w:beforeAutospacing="0" w:afterAutospacing="0" w:line="580" w:lineRule="exact"/>
        <w:ind w:firstLine="640" w:firstLineChars="200"/>
        <w:jc w:val="both"/>
        <w:rPr>
          <w:rFonts w:ascii="楷体_GB2312" w:hAnsi="TimesNewRoman" w:eastAsia="楷体_GB2312" w:cs="TimesNewRoman"/>
          <w:b/>
          <w:bCs/>
          <w:sz w:val="32"/>
          <w:szCs w:val="32"/>
        </w:rPr>
      </w:pPr>
      <w:r>
        <w:rPr>
          <w:rFonts w:hint="eastAsia" w:ascii="楷体_GB2312" w:hAnsi="TimesNewRoman" w:eastAsia="楷体_GB2312" w:cs="TimesNewRoman"/>
          <w:b/>
          <w:bCs/>
          <w:sz w:val="32"/>
          <w:szCs w:val="32"/>
        </w:rPr>
        <w:t>一、主要职责</w:t>
      </w:r>
    </w:p>
    <w:p w14:paraId="3FF79BAB">
      <w:pPr>
        <w:pStyle w:val="15"/>
        <w:topLinePunct/>
        <w:adjustRightInd w:val="0"/>
        <w:snapToGrid w:val="0"/>
        <w:spacing w:beforeAutospacing="0" w:afterAutospacing="0" w:line="580" w:lineRule="exact"/>
        <w:ind w:firstLine="640" w:firstLineChars="200"/>
        <w:jc w:val="both"/>
        <w:rPr>
          <w:rFonts w:hint="eastAsia" w:ascii="仿宋" w:hAnsi="仿宋" w:eastAsia="仿宋"/>
          <w:sz w:val="32"/>
          <w:szCs w:val="32"/>
        </w:rPr>
      </w:pPr>
      <w:r>
        <w:rPr>
          <w:rFonts w:hint="eastAsia" w:ascii="仿宋" w:hAnsi="仿宋" w:eastAsia="仿宋"/>
          <w:sz w:val="32"/>
          <w:szCs w:val="32"/>
        </w:rPr>
        <w:t>根据《中共寿县县委办公室  寿县人民政府办公室关于印发&lt;寿县退役军人事务局职能配置、内设机构和人员编制规定&gt;的通知》（办〔2019〕20 号）规定，寿县退役军人事务局主要职责是：</w:t>
      </w:r>
    </w:p>
    <w:p w14:paraId="3402A757">
      <w:pPr>
        <w:pStyle w:val="15"/>
        <w:topLinePunct/>
        <w:adjustRightInd w:val="0"/>
        <w:snapToGrid w:val="0"/>
        <w:spacing w:beforeAutospacing="0" w:afterAutospacing="0" w:line="580" w:lineRule="exact"/>
        <w:ind w:firstLine="640" w:firstLineChars="200"/>
        <w:jc w:val="both"/>
        <w:rPr>
          <w:rFonts w:hint="eastAsia" w:ascii="仿宋" w:hAnsi="仿宋" w:eastAsia="仿宋"/>
          <w:sz w:val="32"/>
          <w:szCs w:val="32"/>
        </w:rPr>
      </w:pPr>
      <w:r>
        <w:rPr>
          <w:rFonts w:hint="eastAsia" w:ascii="仿宋" w:hAnsi="仿宋" w:eastAsia="仿宋"/>
          <w:sz w:val="32"/>
          <w:szCs w:val="32"/>
        </w:rPr>
        <w:t>（一)贯彻落实国家关于退役军人工作方针政策和决策部署，组织实施国家和省、市退役军人思想政治、管理保障和安置优抚等工作政策法规，褒扬彰显退役军人为党、国家和人民牺牲奉献的精神风范和价值导向。</w:t>
      </w:r>
    </w:p>
    <w:p w14:paraId="137DBB4C">
      <w:pPr>
        <w:pStyle w:val="15"/>
        <w:topLinePunct/>
        <w:adjustRightInd w:val="0"/>
        <w:snapToGrid w:val="0"/>
        <w:spacing w:beforeAutospacing="0" w:afterAutospacing="0" w:line="580" w:lineRule="exact"/>
        <w:ind w:firstLine="640" w:firstLineChars="200"/>
        <w:jc w:val="both"/>
        <w:rPr>
          <w:rFonts w:hint="eastAsia" w:ascii="仿宋" w:hAnsi="仿宋" w:eastAsia="仿宋"/>
          <w:sz w:val="32"/>
          <w:szCs w:val="32"/>
        </w:rPr>
      </w:pPr>
      <w:r>
        <w:rPr>
          <w:rFonts w:hint="eastAsia" w:ascii="仿宋" w:hAnsi="仿宋" w:eastAsia="仿宋"/>
          <w:sz w:val="32"/>
          <w:szCs w:val="32"/>
        </w:rPr>
        <w:t>(二)负责军队转业干部、复员干部、离休退休干部、退役士兵和无军籍退休退职职工的移交安置工作和自主择业、就业退役军人服务管理工作。</w:t>
      </w:r>
    </w:p>
    <w:p w14:paraId="37841F39">
      <w:pPr>
        <w:pStyle w:val="15"/>
        <w:topLinePunct/>
        <w:adjustRightInd w:val="0"/>
        <w:snapToGrid w:val="0"/>
        <w:spacing w:beforeAutospacing="0" w:afterAutospacing="0" w:line="580" w:lineRule="exact"/>
        <w:ind w:firstLine="640" w:firstLineChars="200"/>
        <w:jc w:val="both"/>
        <w:rPr>
          <w:rFonts w:hint="eastAsia" w:ascii="仿宋" w:hAnsi="仿宋" w:eastAsia="仿宋"/>
          <w:sz w:val="32"/>
          <w:szCs w:val="32"/>
        </w:rPr>
      </w:pPr>
      <w:r>
        <w:rPr>
          <w:rFonts w:hint="eastAsia" w:ascii="仿宋" w:hAnsi="仿宋" w:eastAsia="仿宋"/>
          <w:sz w:val="32"/>
          <w:szCs w:val="32"/>
        </w:rPr>
        <w:t>(三)负责退役军人教育培训工作，协调扶持退役军人和随军随调家属就业创业。</w:t>
      </w:r>
    </w:p>
    <w:p w14:paraId="6D681546">
      <w:pPr>
        <w:pStyle w:val="15"/>
        <w:topLinePunct/>
        <w:adjustRightInd w:val="0"/>
        <w:snapToGrid w:val="0"/>
        <w:spacing w:beforeAutospacing="0" w:afterAutospacing="0" w:line="580" w:lineRule="exact"/>
        <w:ind w:firstLine="640" w:firstLineChars="200"/>
        <w:jc w:val="both"/>
        <w:rPr>
          <w:rFonts w:hint="eastAsia" w:ascii="仿宋" w:hAnsi="仿宋" w:eastAsia="仿宋"/>
          <w:sz w:val="32"/>
          <w:szCs w:val="32"/>
        </w:rPr>
      </w:pPr>
      <w:r>
        <w:rPr>
          <w:rFonts w:hint="eastAsia" w:ascii="仿宋" w:hAnsi="仿宋" w:eastAsia="仿宋"/>
          <w:sz w:val="32"/>
          <w:szCs w:val="32"/>
        </w:rPr>
        <w:t>(四)会同有关部门制定退役军人特殊保障政策并组织落实。</w:t>
      </w:r>
    </w:p>
    <w:p w14:paraId="5403E5AC">
      <w:pPr>
        <w:pStyle w:val="15"/>
        <w:topLinePunct/>
        <w:adjustRightInd w:val="0"/>
        <w:snapToGrid w:val="0"/>
        <w:spacing w:beforeAutospacing="0" w:afterAutospacing="0" w:line="580" w:lineRule="exact"/>
        <w:ind w:firstLine="640" w:firstLineChars="200"/>
        <w:jc w:val="both"/>
        <w:rPr>
          <w:rFonts w:hint="eastAsia" w:ascii="仿宋" w:hAnsi="仿宋" w:eastAsia="仿宋"/>
          <w:sz w:val="32"/>
          <w:szCs w:val="32"/>
        </w:rPr>
      </w:pPr>
      <w:r>
        <w:rPr>
          <w:rFonts w:hint="eastAsia" w:ascii="仿宋" w:hAnsi="仿宋" w:eastAsia="仿宋"/>
          <w:sz w:val="32"/>
          <w:szCs w:val="32"/>
        </w:rPr>
        <w:t>(五)组织协调落实移交地方的离休退休军人、符合条件的其他退役军人和无军籍退休退职职工的住房保障工作，以及退役军人医疗保障、社会保险等待遇保障工作。</w:t>
      </w:r>
    </w:p>
    <w:p w14:paraId="253CC698">
      <w:pPr>
        <w:pStyle w:val="15"/>
        <w:topLinePunct/>
        <w:adjustRightInd w:val="0"/>
        <w:snapToGrid w:val="0"/>
        <w:spacing w:beforeAutospacing="0" w:afterAutospacing="0" w:line="580" w:lineRule="exact"/>
        <w:ind w:firstLine="640" w:firstLineChars="200"/>
        <w:jc w:val="both"/>
        <w:rPr>
          <w:rFonts w:hint="eastAsia" w:ascii="仿宋" w:hAnsi="仿宋" w:eastAsia="仿宋"/>
          <w:sz w:val="32"/>
          <w:szCs w:val="32"/>
        </w:rPr>
      </w:pPr>
      <w:r>
        <w:rPr>
          <w:rFonts w:hint="eastAsia" w:ascii="仿宋" w:hAnsi="仿宋" w:eastAsia="仿宋"/>
          <w:sz w:val="32"/>
          <w:szCs w:val="32"/>
        </w:rPr>
        <w:t>(六)负责伤病残退役军人服务管理和抚恤工作，制定有关退役军人医疗、疗养、养老等机构的规划政策并指导实施。承担不适宜继续服役的伤病残军人相关工作。负责军供服务保障工作。</w:t>
      </w:r>
    </w:p>
    <w:p w14:paraId="62A26C40">
      <w:pPr>
        <w:pStyle w:val="15"/>
        <w:topLinePunct/>
        <w:adjustRightInd w:val="0"/>
        <w:snapToGrid w:val="0"/>
        <w:spacing w:beforeAutospacing="0" w:afterAutospacing="0" w:line="580" w:lineRule="exact"/>
        <w:ind w:firstLine="640" w:firstLineChars="200"/>
        <w:jc w:val="both"/>
        <w:rPr>
          <w:rFonts w:hint="eastAsia" w:ascii="仿宋" w:hAnsi="仿宋" w:eastAsia="仿宋"/>
          <w:sz w:val="32"/>
          <w:szCs w:val="32"/>
        </w:rPr>
      </w:pPr>
      <w:r>
        <w:rPr>
          <w:rFonts w:hint="eastAsia" w:ascii="仿宋" w:hAnsi="仿宋" w:eastAsia="仿宋"/>
          <w:sz w:val="32"/>
          <w:szCs w:val="32"/>
        </w:rPr>
        <w:t>(七)负责全县拥军优属工作。负责现役军人、退役军人、军队文职人员和军属优待、抚恤等工作，贯彻实施国民党抗战老兵等有关人员优待政策。</w:t>
      </w:r>
    </w:p>
    <w:p w14:paraId="02993233">
      <w:pPr>
        <w:pStyle w:val="15"/>
        <w:topLinePunct/>
        <w:adjustRightInd w:val="0"/>
        <w:snapToGrid w:val="0"/>
        <w:spacing w:beforeAutospacing="0" w:afterAutospacing="0" w:line="580" w:lineRule="exact"/>
        <w:ind w:firstLine="640" w:firstLineChars="200"/>
        <w:jc w:val="both"/>
        <w:rPr>
          <w:rFonts w:hint="eastAsia" w:ascii="仿宋" w:hAnsi="仿宋" w:eastAsia="仿宋"/>
          <w:sz w:val="32"/>
          <w:szCs w:val="32"/>
        </w:rPr>
      </w:pPr>
      <w:r>
        <w:rPr>
          <w:rFonts w:hint="eastAsia" w:ascii="仿宋" w:hAnsi="仿宋" w:eastAsia="仿宋"/>
          <w:sz w:val="32"/>
          <w:szCs w:val="32"/>
        </w:rPr>
        <w:t>(八)负责烈士及退役军人荣誉奖励、军人公墓管理维护、纪念活动等工作，依法承担英雄烈士保护相关工作，总结表彰和宣扬退役军人、退役军人工作单位和个人先进典型事迹。</w:t>
      </w:r>
    </w:p>
    <w:p w14:paraId="3C22EB67">
      <w:pPr>
        <w:pStyle w:val="15"/>
        <w:topLinePunct/>
        <w:adjustRightInd w:val="0"/>
        <w:snapToGrid w:val="0"/>
        <w:spacing w:beforeAutospacing="0" w:afterAutospacing="0" w:line="580" w:lineRule="exact"/>
        <w:ind w:firstLine="640" w:firstLineChars="200"/>
        <w:jc w:val="both"/>
        <w:rPr>
          <w:rFonts w:hint="eastAsia" w:ascii="仿宋" w:hAnsi="仿宋" w:eastAsia="仿宋"/>
          <w:sz w:val="32"/>
          <w:szCs w:val="32"/>
        </w:rPr>
      </w:pPr>
      <w:r>
        <w:rPr>
          <w:rFonts w:hint="eastAsia" w:ascii="仿宋" w:hAnsi="仿宋" w:eastAsia="仿宋"/>
          <w:sz w:val="32"/>
          <w:szCs w:val="32"/>
        </w:rPr>
        <w:t>(九)指导并监督检查退役军人相关法律法规和政策措施的落实，组织开展退役军人权益维护和有关人员的帮扶援助工作。</w:t>
      </w:r>
    </w:p>
    <w:p w14:paraId="4E6D7E49">
      <w:pPr>
        <w:pStyle w:val="15"/>
        <w:topLinePunct/>
        <w:adjustRightInd w:val="0"/>
        <w:snapToGrid w:val="0"/>
        <w:spacing w:beforeAutospacing="0" w:afterAutospacing="0" w:line="580" w:lineRule="exact"/>
        <w:ind w:firstLine="640" w:firstLineChars="200"/>
        <w:jc w:val="both"/>
        <w:rPr>
          <w:rFonts w:hint="eastAsia" w:ascii="仿宋" w:hAnsi="仿宋" w:eastAsia="仿宋"/>
          <w:sz w:val="32"/>
          <w:szCs w:val="32"/>
        </w:rPr>
      </w:pPr>
      <w:r>
        <w:rPr>
          <w:rFonts w:hint="eastAsia" w:ascii="仿宋" w:hAnsi="仿宋" w:eastAsia="仿宋"/>
          <w:sz w:val="32"/>
          <w:szCs w:val="32"/>
        </w:rPr>
        <w:t>(十)承担县委退役军人事务工作领导小组办公室日常工作。</w:t>
      </w:r>
    </w:p>
    <w:p w14:paraId="56489A30">
      <w:pPr>
        <w:pStyle w:val="15"/>
        <w:topLinePunct/>
        <w:adjustRightInd w:val="0"/>
        <w:snapToGrid w:val="0"/>
        <w:spacing w:beforeAutospacing="0" w:afterAutospacing="0" w:line="580" w:lineRule="exact"/>
        <w:ind w:firstLine="640" w:firstLineChars="200"/>
        <w:jc w:val="both"/>
        <w:rPr>
          <w:rFonts w:hint="eastAsia" w:ascii="仿宋" w:hAnsi="仿宋" w:eastAsia="仿宋"/>
          <w:sz w:val="32"/>
          <w:szCs w:val="32"/>
        </w:rPr>
      </w:pPr>
      <w:r>
        <w:rPr>
          <w:rFonts w:hint="eastAsia" w:ascii="仿宋" w:hAnsi="仿宋" w:eastAsia="仿宋"/>
          <w:sz w:val="32"/>
          <w:szCs w:val="32"/>
        </w:rPr>
        <w:t>(十一)负责县委、县政府和县委编委明确的安全生产职责。</w:t>
      </w:r>
    </w:p>
    <w:p w14:paraId="366EAA55">
      <w:pPr>
        <w:pStyle w:val="15"/>
        <w:topLinePunct/>
        <w:adjustRightInd w:val="0"/>
        <w:snapToGrid w:val="0"/>
        <w:spacing w:beforeAutospacing="0" w:afterAutospacing="0" w:line="580" w:lineRule="exact"/>
        <w:ind w:firstLine="640" w:firstLineChars="200"/>
        <w:jc w:val="both"/>
        <w:rPr>
          <w:rFonts w:hint="eastAsia" w:ascii="仿宋" w:hAnsi="仿宋" w:eastAsia="仿宋"/>
          <w:sz w:val="32"/>
          <w:szCs w:val="32"/>
        </w:rPr>
      </w:pPr>
      <w:r>
        <w:rPr>
          <w:rFonts w:hint="eastAsia" w:ascii="仿宋" w:hAnsi="仿宋" w:eastAsia="仿宋"/>
          <w:sz w:val="32"/>
          <w:szCs w:val="32"/>
        </w:rPr>
        <w:t>(十二)指导协调乡镇退役军人事务有关工作，完成县委、县政府交办的其他任务。</w:t>
      </w:r>
    </w:p>
    <w:p w14:paraId="055264AF">
      <w:pPr>
        <w:pStyle w:val="15"/>
        <w:topLinePunct/>
        <w:adjustRightInd w:val="0"/>
        <w:snapToGrid w:val="0"/>
        <w:spacing w:beforeAutospacing="0" w:afterAutospacing="0" w:line="580" w:lineRule="exact"/>
        <w:ind w:firstLine="640" w:firstLineChars="200"/>
        <w:jc w:val="both"/>
        <w:rPr>
          <w:rFonts w:hint="eastAsia" w:ascii="仿宋" w:hAnsi="仿宋" w:eastAsia="仿宋"/>
          <w:sz w:val="32"/>
          <w:szCs w:val="32"/>
        </w:rPr>
      </w:pPr>
      <w:r>
        <w:rPr>
          <w:rFonts w:hint="eastAsia" w:ascii="仿宋" w:hAnsi="仿宋" w:eastAsia="仿宋"/>
          <w:sz w:val="32"/>
          <w:szCs w:val="32"/>
        </w:rPr>
        <w:t>(十三)职能转变。县退役军人事务局应加强退役军人思想政治工作和服务保障体系建设，建立健全集中统一、 职责清晰的退役军人管理保障体制，协调各方力量更好为军人军属服务，维护军人军属合法权益，让军人成为全社会尊崇的职业，褒扬彰显退役军人为党、国家和人民牺牲奉献的精神风范和价值导向，更好地为增强部队战斗力和凝聚力做好组织保障。</w:t>
      </w:r>
    </w:p>
    <w:p w14:paraId="2C1D1DE4">
      <w:pPr>
        <w:pStyle w:val="15"/>
        <w:topLinePunct/>
        <w:adjustRightInd w:val="0"/>
        <w:snapToGrid w:val="0"/>
        <w:spacing w:beforeAutospacing="0" w:afterAutospacing="0" w:line="580" w:lineRule="exact"/>
        <w:ind w:firstLine="640" w:firstLineChars="200"/>
        <w:jc w:val="both"/>
        <w:rPr>
          <w:rFonts w:ascii="楷体_GB2312" w:hAnsi="TimesNewRoman" w:eastAsia="楷体_GB2312" w:cs="TimesNewRoman"/>
          <w:b/>
          <w:bCs/>
          <w:sz w:val="32"/>
          <w:szCs w:val="32"/>
        </w:rPr>
      </w:pPr>
      <w:r>
        <w:rPr>
          <w:rFonts w:hint="eastAsia" w:ascii="楷体_GB2312" w:hAnsi="TimesNewRoman" w:eastAsia="楷体_GB2312" w:cs="TimesNewRoman"/>
          <w:b/>
          <w:bCs/>
          <w:sz w:val="32"/>
          <w:szCs w:val="32"/>
        </w:rPr>
        <w:t>二、</w:t>
      </w:r>
      <w:r>
        <w:rPr>
          <w:rFonts w:ascii="楷体_GB2312" w:hAnsi="TimesNewRoman" w:eastAsia="楷体_GB2312" w:cs="TimesNewRoman"/>
          <w:b/>
          <w:bCs/>
          <w:sz w:val="32"/>
          <w:szCs w:val="32"/>
        </w:rPr>
        <w:t>部门预算构成</w:t>
      </w:r>
    </w:p>
    <w:p w14:paraId="70054041">
      <w:pPr>
        <w:pStyle w:val="15"/>
        <w:adjustRightInd w:val="0"/>
        <w:snapToGrid w:val="0"/>
        <w:spacing w:beforeAutospacing="0" w:afterAutospacing="0" w:line="600" w:lineRule="exact"/>
        <w:ind w:left="430" w:firstLine="627" w:firstLineChars="196"/>
        <w:jc w:val="both"/>
        <w:rPr>
          <w:rFonts w:ascii="仿宋" w:hAnsi="仿宋" w:eastAsia="仿宋"/>
          <w:sz w:val="32"/>
          <w:szCs w:val="32"/>
        </w:rPr>
      </w:pPr>
      <w:r>
        <w:rPr>
          <w:rFonts w:hint="eastAsia" w:ascii="仿宋" w:hAnsi="仿宋" w:eastAsia="仿宋"/>
          <w:sz w:val="32"/>
          <w:szCs w:val="32"/>
        </w:rPr>
        <w:t>从预算单位构成看，</w:t>
      </w:r>
      <w:r>
        <w:rPr>
          <w:rFonts w:hint="eastAsia" w:ascii="仿宋" w:hAnsi="仿宋" w:eastAsia="仿宋" w:cs="仿宋"/>
          <w:bCs/>
          <w:sz w:val="32"/>
          <w:szCs w:val="32"/>
        </w:rPr>
        <w:t>寿县退役军人事务局</w:t>
      </w:r>
      <w:r>
        <w:rPr>
          <w:rFonts w:hint="eastAsia" w:ascii="仿宋" w:hAnsi="仿宋" w:eastAsia="仿宋"/>
          <w:sz w:val="32"/>
          <w:szCs w:val="32"/>
        </w:rPr>
        <w:t>2025年度部门预算仅包括本级预算，</w:t>
      </w:r>
      <w:r>
        <w:rPr>
          <w:rFonts w:hint="eastAsia" w:ascii="仿宋_GB2312" w:hAnsi="仿宋" w:eastAsia="仿宋_GB2312"/>
          <w:sz w:val="32"/>
          <w:szCs w:val="32"/>
        </w:rPr>
        <w:t>无其他下属单位预算</w:t>
      </w:r>
      <w:r>
        <w:rPr>
          <w:rFonts w:hint="eastAsia" w:ascii="仿宋" w:hAnsi="仿宋" w:eastAsia="仿宋"/>
          <w:sz w:val="32"/>
          <w:szCs w:val="32"/>
        </w:rPr>
        <w:t>，具体情况见下表。</w:t>
      </w:r>
    </w:p>
    <w:tbl>
      <w:tblPr>
        <w:tblStyle w:val="18"/>
        <w:tblW w:w="8467" w:type="dxa"/>
        <w:tblInd w:w="288" w:type="dxa"/>
        <w:shd w:val="clear" w:color="auto" w:fill="FFFFFF"/>
        <w:tblLayout w:type="fixed"/>
        <w:tblCellMar>
          <w:top w:w="0" w:type="dxa"/>
          <w:left w:w="0" w:type="dxa"/>
          <w:bottom w:w="0" w:type="dxa"/>
          <w:right w:w="0" w:type="dxa"/>
        </w:tblCellMar>
      </w:tblPr>
      <w:tblGrid>
        <w:gridCol w:w="900"/>
        <w:gridCol w:w="3600"/>
        <w:gridCol w:w="3967"/>
      </w:tblGrid>
      <w:tr w14:paraId="65728D61">
        <w:tblPrEx>
          <w:shd w:val="clear" w:color="auto" w:fill="FFFFFF"/>
          <w:tblCellMar>
            <w:top w:w="0" w:type="dxa"/>
            <w:left w:w="0" w:type="dxa"/>
            <w:bottom w:w="0" w:type="dxa"/>
            <w:right w:w="0" w:type="dxa"/>
          </w:tblCellMar>
        </w:tblPrEx>
        <w:trPr>
          <w:trHeight w:val="624" w:hRule="exact"/>
        </w:trPr>
        <w:tc>
          <w:tcPr>
            <w:tcW w:w="900" w:type="dxa"/>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14:paraId="6D6C2768">
            <w:pPr>
              <w:adjustRightInd w:val="0"/>
              <w:snapToGrid w:val="0"/>
              <w:spacing w:line="600" w:lineRule="exact"/>
              <w:jc w:val="center"/>
              <w:rPr>
                <w:rFonts w:ascii="仿宋_GB2312" w:hAnsi="宋体" w:eastAsia="仿宋_GB2312"/>
                <w:sz w:val="32"/>
                <w:szCs w:val="32"/>
              </w:rPr>
            </w:pPr>
            <w:r>
              <w:rPr>
                <w:rFonts w:hint="eastAsia" w:ascii="仿宋_GB2312" w:hAnsi="宋体" w:eastAsia="仿宋_GB2312"/>
                <w:sz w:val="32"/>
                <w:szCs w:val="32"/>
              </w:rPr>
              <w:t>序号</w:t>
            </w:r>
          </w:p>
        </w:tc>
        <w:tc>
          <w:tcPr>
            <w:tcW w:w="3600" w:type="dxa"/>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14:paraId="02E47F8D">
            <w:pPr>
              <w:adjustRightInd w:val="0"/>
              <w:snapToGrid w:val="0"/>
              <w:spacing w:line="600" w:lineRule="exact"/>
              <w:jc w:val="center"/>
              <w:rPr>
                <w:rFonts w:ascii="仿宋_GB2312" w:hAnsi="宋体" w:eastAsia="仿宋_GB2312"/>
                <w:sz w:val="32"/>
                <w:szCs w:val="32"/>
              </w:rPr>
            </w:pPr>
            <w:r>
              <w:rPr>
                <w:rFonts w:hint="eastAsia" w:ascii="仿宋_GB2312" w:hAnsi="宋体" w:eastAsia="仿宋_GB2312"/>
                <w:sz w:val="32"/>
                <w:szCs w:val="32"/>
              </w:rPr>
              <w:t>单位名称</w:t>
            </w:r>
          </w:p>
        </w:tc>
        <w:tc>
          <w:tcPr>
            <w:tcW w:w="3967" w:type="dxa"/>
            <w:tcBorders>
              <w:top w:val="single" w:color="auto" w:sz="8" w:space="0"/>
              <w:left w:val="nil"/>
              <w:bottom w:val="single" w:color="auto" w:sz="8" w:space="0"/>
              <w:right w:val="single" w:color="auto" w:sz="8" w:space="0"/>
            </w:tcBorders>
            <w:shd w:val="clear" w:color="auto" w:fill="FFFFFF"/>
          </w:tcPr>
          <w:p w14:paraId="526D6A00">
            <w:pPr>
              <w:adjustRightInd w:val="0"/>
              <w:snapToGrid w:val="0"/>
              <w:spacing w:line="600" w:lineRule="exact"/>
              <w:jc w:val="center"/>
              <w:rPr>
                <w:rFonts w:ascii="仿宋_GB2312" w:hAnsi="宋体" w:eastAsia="仿宋_GB2312"/>
                <w:sz w:val="32"/>
                <w:szCs w:val="32"/>
              </w:rPr>
            </w:pPr>
            <w:r>
              <w:rPr>
                <w:rFonts w:hint="eastAsia" w:ascii="仿宋_GB2312" w:hAnsi="宋体" w:eastAsia="仿宋_GB2312"/>
                <w:sz w:val="32"/>
                <w:szCs w:val="32"/>
              </w:rPr>
              <w:t>单位性质</w:t>
            </w:r>
          </w:p>
        </w:tc>
      </w:tr>
      <w:tr w14:paraId="3ABD2087">
        <w:tblPrEx>
          <w:shd w:val="clear" w:color="auto" w:fill="FFFFFF"/>
          <w:tblCellMar>
            <w:top w:w="0" w:type="dxa"/>
            <w:left w:w="0" w:type="dxa"/>
            <w:bottom w:w="0" w:type="dxa"/>
            <w:right w:w="0" w:type="dxa"/>
          </w:tblCellMar>
        </w:tblPrEx>
        <w:trPr>
          <w:trHeight w:val="801" w:hRule="exact"/>
        </w:trPr>
        <w:tc>
          <w:tcPr>
            <w:tcW w:w="900" w:type="dxa"/>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14:paraId="072E33C2">
            <w:pPr>
              <w:adjustRightInd w:val="0"/>
              <w:snapToGrid w:val="0"/>
              <w:spacing w:line="600" w:lineRule="exact"/>
              <w:jc w:val="center"/>
              <w:rPr>
                <w:rFonts w:ascii="仿宋_GB2312" w:hAnsi="宋体" w:eastAsia="仿宋_GB2312" w:cs="宋体"/>
                <w:sz w:val="32"/>
                <w:szCs w:val="32"/>
              </w:rPr>
            </w:pPr>
            <w:r>
              <w:rPr>
                <w:rFonts w:hint="eastAsia" w:ascii="仿宋_GB2312" w:hAnsi="宋体" w:eastAsia="仿宋_GB2312"/>
                <w:sz w:val="32"/>
                <w:szCs w:val="32"/>
              </w:rPr>
              <w:t>1</w:t>
            </w:r>
          </w:p>
        </w:tc>
        <w:tc>
          <w:tcPr>
            <w:tcW w:w="3600"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14:paraId="52F308E4">
            <w:pPr>
              <w:adjustRightInd w:val="0"/>
              <w:snapToGrid w:val="0"/>
              <w:spacing w:line="600" w:lineRule="exact"/>
              <w:rPr>
                <w:rFonts w:ascii="仿宋_GB2312" w:hAnsi="宋体" w:eastAsia="仿宋_GB2312"/>
                <w:sz w:val="32"/>
                <w:szCs w:val="32"/>
                <w:u w:val="single"/>
              </w:rPr>
            </w:pPr>
            <w:r>
              <w:rPr>
                <w:rFonts w:hint="eastAsia" w:ascii="仿宋_GB2312" w:hAnsi="仿宋" w:eastAsia="仿宋_GB2312" w:cs="仿宋"/>
                <w:bCs/>
                <w:sz w:val="32"/>
                <w:szCs w:val="32"/>
              </w:rPr>
              <w:t>寿县退役军人事务局</w:t>
            </w:r>
          </w:p>
        </w:tc>
        <w:tc>
          <w:tcPr>
            <w:tcW w:w="3967" w:type="dxa"/>
            <w:tcBorders>
              <w:top w:val="nil"/>
              <w:left w:val="nil"/>
              <w:bottom w:val="single" w:color="auto" w:sz="8" w:space="0"/>
              <w:right w:val="single" w:color="auto" w:sz="8" w:space="0"/>
            </w:tcBorders>
            <w:shd w:val="clear" w:color="auto" w:fill="FFFFFF"/>
          </w:tcPr>
          <w:p w14:paraId="2185A289">
            <w:pPr>
              <w:adjustRightInd w:val="0"/>
              <w:snapToGrid w:val="0"/>
              <w:spacing w:line="600" w:lineRule="exact"/>
              <w:jc w:val="center"/>
              <w:rPr>
                <w:rFonts w:ascii="仿宋_GB2312" w:hAnsi="宋体" w:eastAsia="仿宋_GB2312"/>
                <w:sz w:val="32"/>
                <w:szCs w:val="32"/>
                <w:u w:val="single"/>
              </w:rPr>
            </w:pPr>
            <w:r>
              <w:rPr>
                <w:rFonts w:hint="eastAsia" w:ascii="仿宋_GB2312" w:hAnsi="仿宋" w:eastAsia="仿宋_GB2312" w:cs="仿宋"/>
                <w:bCs/>
                <w:sz w:val="32"/>
                <w:szCs w:val="32"/>
              </w:rPr>
              <w:t>行政单位</w:t>
            </w:r>
          </w:p>
        </w:tc>
      </w:tr>
    </w:tbl>
    <w:p w14:paraId="3646B401">
      <w:pPr>
        <w:pStyle w:val="15"/>
        <w:adjustRightInd w:val="0"/>
        <w:snapToGrid w:val="0"/>
        <w:spacing w:beforeAutospacing="0" w:afterAutospacing="0" w:line="600" w:lineRule="exact"/>
        <w:ind w:firstLine="627" w:firstLineChars="196"/>
        <w:rPr>
          <w:rFonts w:ascii="黑体" w:hAnsi="黑体" w:eastAsia="黑体"/>
          <w:bCs/>
          <w:sz w:val="32"/>
          <w:szCs w:val="32"/>
        </w:rPr>
      </w:pPr>
    </w:p>
    <w:p w14:paraId="2FAA4ADE">
      <w:pPr>
        <w:pStyle w:val="15"/>
        <w:topLinePunct/>
        <w:adjustRightInd w:val="0"/>
        <w:snapToGrid w:val="0"/>
        <w:spacing w:beforeAutospacing="0" w:afterAutospacing="0" w:line="580" w:lineRule="exact"/>
        <w:ind w:firstLine="640" w:firstLineChars="200"/>
        <w:jc w:val="both"/>
        <w:rPr>
          <w:rFonts w:ascii="TimesNewRoman" w:hAnsi="TimesNewRoman" w:eastAsia="仿宋_GB2312" w:cs="TimesNewRoman"/>
          <w:bCs/>
          <w:sz w:val="32"/>
          <w:szCs w:val="32"/>
        </w:rPr>
      </w:pPr>
      <w:r>
        <w:rPr>
          <w:rFonts w:hint="eastAsia" w:ascii="楷体_GB2312" w:hAnsi="TimesNewRoman" w:eastAsia="楷体_GB2312" w:cs="TimesNewRoman"/>
          <w:b/>
          <w:bCs/>
          <w:sz w:val="32"/>
          <w:szCs w:val="32"/>
        </w:rPr>
        <w:t>三、2025年度主要工作任务</w:t>
      </w:r>
    </w:p>
    <w:p w14:paraId="42E61450">
      <w:pPr>
        <w:ind w:firstLine="640" w:firstLineChars="200"/>
        <w:rPr>
          <w:rFonts w:hint="eastAsia" w:ascii="仿宋" w:hAnsi="仿宋" w:eastAsia="仿宋"/>
          <w:sz w:val="32"/>
          <w:szCs w:val="32"/>
        </w:rPr>
      </w:pPr>
      <w:r>
        <w:rPr>
          <w:rFonts w:hint="eastAsia" w:ascii="仿宋" w:hAnsi="仿宋" w:eastAsia="仿宋"/>
          <w:sz w:val="32"/>
          <w:szCs w:val="32"/>
        </w:rPr>
        <w:t>主要任务是：</w:t>
      </w:r>
    </w:p>
    <w:p w14:paraId="7641FA24">
      <w:pPr>
        <w:ind w:firstLine="640" w:firstLineChars="200"/>
        <w:rPr>
          <w:rFonts w:hint="eastAsia" w:ascii="仿宋" w:hAnsi="仿宋" w:eastAsia="仿宋"/>
          <w:sz w:val="32"/>
          <w:szCs w:val="32"/>
        </w:rPr>
      </w:pPr>
      <w:r>
        <w:rPr>
          <w:rFonts w:hint="eastAsia" w:ascii="仿宋" w:hAnsi="仿宋" w:eastAsia="仿宋"/>
          <w:sz w:val="32"/>
          <w:szCs w:val="32"/>
        </w:rPr>
        <w:t xml:space="preserve">（一）全面深入加强党的建设。深入学习贯彻习近平新 </w:t>
      </w:r>
    </w:p>
    <w:p w14:paraId="048DEC24">
      <w:pPr>
        <w:ind w:firstLine="640" w:firstLineChars="200"/>
        <w:rPr>
          <w:rFonts w:hint="eastAsia" w:ascii="仿宋" w:hAnsi="仿宋" w:eastAsia="仿宋"/>
          <w:sz w:val="32"/>
          <w:szCs w:val="32"/>
        </w:rPr>
      </w:pPr>
      <w:r>
        <w:rPr>
          <w:rFonts w:hint="eastAsia" w:ascii="仿宋" w:hAnsi="仿宋" w:eastAsia="仿宋"/>
          <w:sz w:val="32"/>
          <w:szCs w:val="32"/>
        </w:rPr>
        <w:t>时代中国特色社会主义思想和习近平总书记关于退役军人 工作的重要论述精神。认真学习贯彻党 内法规政策，严守政治纪律和政治规矩,增强“四个意识”、 坚定“四个自信”、做到“两个维护”,不折不扣落实好县委县政府工作要求。</w:t>
      </w:r>
    </w:p>
    <w:p w14:paraId="71933E46">
      <w:pPr>
        <w:ind w:firstLine="640" w:firstLineChars="200"/>
        <w:rPr>
          <w:rFonts w:hint="eastAsia" w:ascii="仿宋" w:hAnsi="仿宋" w:eastAsia="仿宋"/>
          <w:sz w:val="32"/>
          <w:szCs w:val="32"/>
        </w:rPr>
      </w:pPr>
      <w:r>
        <w:rPr>
          <w:rFonts w:hint="eastAsia" w:ascii="仿宋" w:hAnsi="仿宋" w:eastAsia="仿宋"/>
          <w:sz w:val="32"/>
          <w:szCs w:val="32"/>
        </w:rPr>
        <w:t xml:space="preserve">（二）建立健全服务保障体系。坚决落实习近平总书记 </w:t>
      </w:r>
    </w:p>
    <w:p w14:paraId="0F9DEE97">
      <w:pPr>
        <w:ind w:firstLine="640" w:firstLineChars="200"/>
        <w:rPr>
          <w:rFonts w:hint="eastAsia" w:ascii="仿宋" w:hAnsi="仿宋" w:eastAsia="仿宋"/>
          <w:sz w:val="32"/>
          <w:szCs w:val="32"/>
        </w:rPr>
      </w:pPr>
      <w:r>
        <w:rPr>
          <w:rFonts w:hint="eastAsia" w:ascii="仿宋" w:hAnsi="仿宋" w:eastAsia="仿宋"/>
          <w:sz w:val="32"/>
          <w:szCs w:val="32"/>
        </w:rPr>
        <w:t xml:space="preserve">提出的“五有”和“全覆盖”要求，继续高标准完成服务体 </w:t>
      </w:r>
    </w:p>
    <w:p w14:paraId="065D91B9">
      <w:pPr>
        <w:ind w:firstLine="640" w:firstLineChars="200"/>
        <w:rPr>
          <w:rFonts w:hint="eastAsia" w:ascii="仿宋" w:hAnsi="仿宋" w:eastAsia="仿宋"/>
          <w:sz w:val="32"/>
          <w:szCs w:val="32"/>
        </w:rPr>
      </w:pPr>
      <w:r>
        <w:rPr>
          <w:rFonts w:hint="eastAsia" w:ascii="仿宋" w:hAnsi="仿宋" w:eastAsia="仿宋"/>
          <w:sz w:val="32"/>
          <w:szCs w:val="32"/>
        </w:rPr>
        <w:t>系建设。</w:t>
      </w:r>
    </w:p>
    <w:p w14:paraId="4FE4BE05">
      <w:pPr>
        <w:ind w:firstLine="640" w:firstLineChars="200"/>
        <w:rPr>
          <w:rFonts w:hint="eastAsia" w:ascii="仿宋" w:hAnsi="仿宋" w:eastAsia="仿宋"/>
          <w:sz w:val="32"/>
          <w:szCs w:val="32"/>
        </w:rPr>
      </w:pPr>
      <w:r>
        <w:rPr>
          <w:rFonts w:hint="eastAsia" w:ascii="仿宋" w:hAnsi="仿宋" w:eastAsia="仿宋"/>
          <w:sz w:val="32"/>
          <w:szCs w:val="32"/>
        </w:rPr>
        <w:t xml:space="preserve">（三）扎实做好移交安置工作。一是持续开展企业军转 </w:t>
      </w:r>
    </w:p>
    <w:p w14:paraId="170130C6">
      <w:pPr>
        <w:ind w:firstLine="640" w:firstLineChars="200"/>
        <w:rPr>
          <w:rFonts w:hint="eastAsia" w:ascii="仿宋" w:hAnsi="仿宋" w:eastAsia="仿宋"/>
          <w:sz w:val="32"/>
          <w:szCs w:val="32"/>
        </w:rPr>
      </w:pPr>
      <w:r>
        <w:rPr>
          <w:rFonts w:hint="eastAsia" w:ascii="仿宋" w:hAnsi="仿宋" w:eastAsia="仿宋"/>
          <w:sz w:val="32"/>
          <w:szCs w:val="32"/>
        </w:rPr>
        <w:t>干部“春节”、“八一”节日慰问工作。二是全面贯彻落实《退役士兵安置条例》，积极推进2025年度符合政府安置条件的退役士兵的档案审核、移交、人员报到工作，确保又快又好做好 2025 年退役士兵安置工作。</w:t>
      </w:r>
    </w:p>
    <w:p w14:paraId="03611E81">
      <w:pPr>
        <w:ind w:firstLine="640" w:firstLineChars="200"/>
        <w:rPr>
          <w:rFonts w:hint="eastAsia" w:ascii="仿宋" w:hAnsi="仿宋" w:eastAsia="仿宋"/>
          <w:sz w:val="32"/>
          <w:szCs w:val="32"/>
        </w:rPr>
      </w:pPr>
      <w:r>
        <w:rPr>
          <w:rFonts w:hint="eastAsia" w:ascii="仿宋" w:hAnsi="仿宋" w:eastAsia="仿宋"/>
          <w:sz w:val="32"/>
          <w:szCs w:val="32"/>
        </w:rPr>
        <w:t>（四）认真做好权益维护工作。一是对来访人员做好政策答疑，化解其心中困惑，以免激化矛盾。对涉军人员来信来访反映的突出问题，分类梳理，切实把落实政策作为治本之策，切实维护广大退役军人合法权益。 二是稳妥推进社会保险接续。按照《中共中央办公厅、国务院办公厅关于解决部分退役士兵社会保险问题的意见》精神，把政策宣传到位，把政策落实到位，确保好事办好办实。三是大力促进退役军人就业创业。坚持以就业需求和退役士兵就业愿望为牵引，坚持政策优先，大力扶持退役士兵就业创业，搭建就业 创业平台，强化就业服务。</w:t>
      </w:r>
    </w:p>
    <w:p w14:paraId="2EA0E972">
      <w:pPr>
        <w:ind w:firstLine="640" w:firstLineChars="200"/>
        <w:rPr>
          <w:rFonts w:ascii="仿宋" w:hAnsi="仿宋" w:eastAsia="仿宋" w:cs="宋体"/>
          <w:sz w:val="32"/>
          <w:szCs w:val="32"/>
        </w:rPr>
      </w:pPr>
      <w:r>
        <w:rPr>
          <w:rFonts w:hint="eastAsia" w:ascii="仿宋" w:hAnsi="仿宋" w:eastAsia="仿宋"/>
          <w:sz w:val="32"/>
          <w:szCs w:val="32"/>
        </w:rPr>
        <w:t>（五）认真做好优待抚恤工作和双拥工作。一是营造关心关爱氛围。继续推进信息采集悬挂光荣牌工作。二是持开展为立功受奖的现役军人家庭送喜报，为优抚对象送年画活动，做好精神慰藉、人文关怀等工作。三是认真做好烈士褒扬工作。加强对烈士纪念设施建设的规划、修缮、管理和维护，总结提升烈士祭扫服务保障工作，组织开展群体性的英烈纪念活动，形成缅怀烈士，崇尚英雄的浓厚氛围。四是进一步加强双拥工作宣传教育，增强双拥工作自觉性和主动性，确保双拥工作得到有效落实。</w:t>
      </w:r>
    </w:p>
    <w:p w14:paraId="56BDE9A9">
      <w:pPr>
        <w:pStyle w:val="15"/>
        <w:topLinePunct/>
        <w:adjustRightInd w:val="0"/>
        <w:snapToGrid w:val="0"/>
        <w:spacing w:beforeAutospacing="0" w:afterAutospacing="0" w:line="560" w:lineRule="exact"/>
        <w:jc w:val="center"/>
        <w:rPr>
          <w:rFonts w:ascii="TimesNewRoman" w:hAnsi="TimesNewRoman" w:eastAsia="黑体" w:cs="TimesNewRoman"/>
          <w:bCs/>
          <w:sz w:val="36"/>
          <w:szCs w:val="36"/>
        </w:rPr>
      </w:pPr>
      <w:r>
        <w:rPr>
          <w:rFonts w:ascii="TimesNewRoman" w:hAnsi="TimesNewRoman" w:eastAsia="黑体" w:cs="TimesNewRoman"/>
          <w:bCs/>
          <w:sz w:val="36"/>
          <w:szCs w:val="36"/>
        </w:rPr>
        <w:t>第</w:t>
      </w:r>
      <w:r>
        <w:rPr>
          <w:rFonts w:hint="eastAsia" w:ascii="TimesNewRoman" w:hAnsi="TimesNewRoman" w:eastAsia="黑体" w:cs="TimesNewRoman"/>
          <w:bCs/>
          <w:sz w:val="36"/>
          <w:szCs w:val="36"/>
        </w:rPr>
        <w:t>二</w:t>
      </w:r>
      <w:r>
        <w:rPr>
          <w:rFonts w:ascii="TimesNewRoman" w:hAnsi="TimesNewRoman" w:eastAsia="黑体" w:cs="TimesNewRoman"/>
          <w:bCs/>
          <w:sz w:val="36"/>
          <w:szCs w:val="36"/>
        </w:rPr>
        <w:t xml:space="preserve">部分 </w:t>
      </w:r>
      <w:r>
        <w:rPr>
          <w:rFonts w:hint="eastAsia" w:ascii="TimesNewRoman" w:hAnsi="TimesNewRoman" w:eastAsia="黑体" w:cs="TimesNewRoman"/>
          <w:bCs/>
          <w:sz w:val="36"/>
          <w:szCs w:val="36"/>
        </w:rPr>
        <w:t>2025</w:t>
      </w:r>
      <w:r>
        <w:rPr>
          <w:rFonts w:ascii="TimesNewRoman" w:hAnsi="TimesNewRoman" w:eastAsia="黑体" w:cs="TimesNewRoman"/>
          <w:bCs/>
          <w:sz w:val="36"/>
          <w:szCs w:val="36"/>
        </w:rPr>
        <w:t>年部门预算情况说明</w:t>
      </w:r>
    </w:p>
    <w:p w14:paraId="1317247C">
      <w:pPr>
        <w:pStyle w:val="15"/>
        <w:topLinePunct/>
        <w:adjustRightInd w:val="0"/>
        <w:snapToGrid w:val="0"/>
        <w:spacing w:beforeAutospacing="0" w:afterAutospacing="0" w:line="580" w:lineRule="exact"/>
        <w:ind w:firstLine="640" w:firstLineChars="200"/>
        <w:jc w:val="both"/>
        <w:rPr>
          <w:rFonts w:ascii="楷体_GB2312" w:hAnsi="TimesNewRoman" w:eastAsia="楷体_GB2312" w:cs="TimesNewRoman"/>
          <w:b/>
          <w:sz w:val="32"/>
          <w:szCs w:val="32"/>
        </w:rPr>
      </w:pPr>
    </w:p>
    <w:p w14:paraId="4B3D297D">
      <w:pPr>
        <w:pStyle w:val="15"/>
        <w:topLinePunct/>
        <w:adjustRightInd w:val="0"/>
        <w:snapToGrid w:val="0"/>
        <w:spacing w:beforeAutospacing="0" w:afterAutospacing="0" w:line="580" w:lineRule="exact"/>
        <w:ind w:firstLine="640" w:firstLineChars="200"/>
        <w:jc w:val="both"/>
        <w:rPr>
          <w:rFonts w:ascii="楷体_GB2312" w:hAnsi="TimesNewRoman" w:eastAsia="楷体_GB2312" w:cs="TimesNewRoman"/>
          <w:b/>
          <w:sz w:val="32"/>
          <w:szCs w:val="32"/>
        </w:rPr>
      </w:pPr>
      <w:r>
        <w:rPr>
          <w:rFonts w:hint="eastAsia" w:ascii="楷体_GB2312" w:hAnsi="TimesNewRoman" w:eastAsia="楷体_GB2312" w:cs="TimesNewRoman"/>
          <w:b/>
          <w:sz w:val="32"/>
          <w:szCs w:val="32"/>
        </w:rPr>
        <w:t>一、关于2025年收支总表的说明</w:t>
      </w:r>
    </w:p>
    <w:p w14:paraId="4B771DD3">
      <w:pPr>
        <w:pStyle w:val="15"/>
        <w:adjustRightInd w:val="0"/>
        <w:snapToGrid w:val="0"/>
        <w:spacing w:beforeAutospacing="0" w:afterAutospacing="0" w:line="600" w:lineRule="exact"/>
        <w:ind w:firstLine="627" w:firstLineChars="196"/>
        <w:jc w:val="both"/>
        <w:rPr>
          <w:rFonts w:ascii="仿宋_GB2312" w:hAnsi="仿宋" w:eastAsia="仿宋_GB2312"/>
          <w:sz w:val="32"/>
          <w:szCs w:val="32"/>
        </w:rPr>
      </w:pPr>
      <w:r>
        <w:rPr>
          <w:rFonts w:hint="eastAsia" w:ascii="仿宋_GB2312" w:hAnsi="仿宋" w:eastAsia="仿宋_GB2312"/>
          <w:sz w:val="32"/>
          <w:szCs w:val="32"/>
        </w:rPr>
        <w:t>按照综合预算的原则，</w:t>
      </w:r>
      <w:r>
        <w:rPr>
          <w:rFonts w:hint="eastAsia" w:ascii="仿宋_GB2312" w:hAnsi="仿宋" w:eastAsia="仿宋_GB2312"/>
          <w:kern w:val="2"/>
          <w:sz w:val="32"/>
          <w:szCs w:val="32"/>
        </w:rPr>
        <w:t>寿县退役军人事务局</w:t>
      </w:r>
      <w:r>
        <w:rPr>
          <w:rFonts w:hint="eastAsia" w:ascii="仿宋_GB2312" w:hAnsi="仿宋" w:eastAsia="仿宋_GB2312"/>
          <w:sz w:val="32"/>
          <w:szCs w:val="32"/>
        </w:rPr>
        <w:t>所有收入和支出均纳入部门预算管理。</w:t>
      </w:r>
      <w:r>
        <w:rPr>
          <w:rFonts w:hint="eastAsia" w:ascii="仿宋_GB2312" w:hAnsi="仿宋" w:eastAsia="仿宋_GB2312"/>
          <w:kern w:val="2"/>
          <w:sz w:val="32"/>
          <w:szCs w:val="32"/>
        </w:rPr>
        <w:t>寿县退役军人事务局</w:t>
      </w:r>
      <w:r>
        <w:rPr>
          <w:rFonts w:hint="eastAsia" w:ascii="仿宋_GB2312" w:hAnsi="仿宋" w:eastAsia="仿宋_GB2312"/>
          <w:sz w:val="32"/>
          <w:szCs w:val="32"/>
        </w:rPr>
        <w:t>2025年收支总预算12218.71万元，收入仅包括一般公共预算拨款收入12218.71万元，支出包括：</w:t>
      </w:r>
      <w:r>
        <w:rPr>
          <w:rFonts w:hint="eastAsia" w:ascii="仿宋_GB2312" w:hAnsi="仿宋" w:eastAsia="仿宋_GB2312"/>
          <w:kern w:val="2"/>
          <w:sz w:val="32"/>
          <w:szCs w:val="32"/>
        </w:rPr>
        <w:t>社会保障和就业支出12201.25万元，占99.86%；卫生健康支出5.27万元，占0.04%；住房保障支出12.19万元，占0.1%</w:t>
      </w:r>
      <w:r>
        <w:rPr>
          <w:rFonts w:hint="eastAsia" w:ascii="仿宋_GB2312" w:hAnsi="仿宋" w:eastAsia="仿宋_GB2312"/>
          <w:sz w:val="32"/>
          <w:szCs w:val="32"/>
        </w:rPr>
        <w:t>。</w:t>
      </w:r>
    </w:p>
    <w:p w14:paraId="0821415C">
      <w:pPr>
        <w:pStyle w:val="15"/>
        <w:topLinePunct/>
        <w:adjustRightInd w:val="0"/>
        <w:snapToGrid w:val="0"/>
        <w:spacing w:beforeAutospacing="0" w:afterAutospacing="0" w:line="580" w:lineRule="exact"/>
        <w:ind w:firstLine="640" w:firstLineChars="200"/>
        <w:jc w:val="both"/>
        <w:rPr>
          <w:rFonts w:ascii="楷体_GB2312" w:hAnsi="TimesNewRoman" w:eastAsia="楷体_GB2312" w:cs="TimesNewRoman"/>
          <w:b/>
          <w:sz w:val="32"/>
          <w:szCs w:val="32"/>
        </w:rPr>
      </w:pPr>
      <w:r>
        <w:rPr>
          <w:rFonts w:hint="eastAsia" w:ascii="楷体_GB2312" w:hAnsi="TimesNewRoman" w:eastAsia="楷体_GB2312" w:cs="TimesNewRoman"/>
          <w:b/>
          <w:sz w:val="32"/>
          <w:szCs w:val="32"/>
        </w:rPr>
        <w:t>二、关于2025年收入总表的说明</w:t>
      </w:r>
    </w:p>
    <w:p w14:paraId="185F979D">
      <w:pPr>
        <w:adjustRightInd w:val="0"/>
        <w:snapToGrid w:val="0"/>
        <w:spacing w:line="600" w:lineRule="exact"/>
        <w:ind w:firstLine="640" w:firstLineChars="200"/>
        <w:rPr>
          <w:rFonts w:ascii="仿宋_GB2312" w:hAnsi="仿宋" w:eastAsia="仿宋_GB2312"/>
          <w:sz w:val="32"/>
          <w:szCs w:val="32"/>
        </w:rPr>
      </w:pPr>
      <w:r>
        <w:rPr>
          <w:rFonts w:hint="eastAsia" w:ascii="仿宋_GB2312" w:hAnsi="仿宋" w:eastAsia="仿宋_GB2312"/>
          <w:sz w:val="32"/>
          <w:szCs w:val="32"/>
        </w:rPr>
        <w:t>寿县退役军人事务局2025年收入预算12218.71万元，其中，本年收入12218.71万元。</w:t>
      </w:r>
    </w:p>
    <w:p w14:paraId="5741EC8F">
      <w:pPr>
        <w:adjustRightInd w:val="0"/>
        <w:snapToGrid w:val="0"/>
        <w:spacing w:line="600" w:lineRule="exact"/>
        <w:ind w:firstLine="640" w:firstLineChars="200"/>
        <w:rPr>
          <w:rFonts w:ascii="仿宋_GB2312" w:hAnsi="仿宋" w:eastAsia="仿宋_GB2312"/>
          <w:sz w:val="32"/>
          <w:szCs w:val="32"/>
        </w:rPr>
      </w:pPr>
      <w:r>
        <w:rPr>
          <w:rFonts w:hint="eastAsia" w:ascii="仿宋_GB2312" w:hAnsi="仿宋" w:eastAsia="仿宋_GB2312"/>
          <w:sz w:val="32"/>
          <w:szCs w:val="32"/>
        </w:rPr>
        <w:t>本年收入12218.71万元，仅包括：一般公共预算拨款收入12218.71万元，占100%，比2024年预算增加1834.08万元，增长17.66%，增长原因主要是抚恤和退役安置补助标准提高。</w:t>
      </w:r>
    </w:p>
    <w:p w14:paraId="1581256E">
      <w:pPr>
        <w:pStyle w:val="15"/>
        <w:topLinePunct/>
        <w:adjustRightInd w:val="0"/>
        <w:snapToGrid w:val="0"/>
        <w:spacing w:beforeAutospacing="0" w:afterAutospacing="0" w:line="580" w:lineRule="exact"/>
        <w:ind w:firstLine="640" w:firstLineChars="200"/>
        <w:jc w:val="both"/>
        <w:rPr>
          <w:rFonts w:ascii="楷体_GB2312" w:hAnsi="TimesNewRoman" w:eastAsia="楷体_GB2312" w:cs="TimesNewRoman"/>
          <w:b/>
          <w:sz w:val="32"/>
          <w:szCs w:val="32"/>
        </w:rPr>
      </w:pPr>
      <w:r>
        <w:rPr>
          <w:rFonts w:hint="eastAsia" w:ascii="楷体_GB2312" w:hAnsi="TimesNewRoman" w:eastAsia="楷体_GB2312" w:cs="TimesNewRoman"/>
          <w:b/>
          <w:sz w:val="32"/>
          <w:szCs w:val="32"/>
        </w:rPr>
        <w:t>三、关于2025年支出总表的说明</w:t>
      </w:r>
    </w:p>
    <w:p w14:paraId="5B284B0E">
      <w:pPr>
        <w:adjustRightInd w:val="0"/>
        <w:snapToGrid w:val="0"/>
        <w:spacing w:line="600" w:lineRule="exact"/>
        <w:ind w:firstLine="640" w:firstLineChars="200"/>
        <w:rPr>
          <w:rFonts w:ascii="仿宋_GB2312" w:hAnsi="仿宋" w:eastAsia="仿宋_GB2312"/>
          <w:sz w:val="32"/>
          <w:szCs w:val="32"/>
        </w:rPr>
      </w:pPr>
      <w:r>
        <w:rPr>
          <w:rFonts w:hint="eastAsia" w:ascii="仿宋_GB2312" w:hAnsi="仿宋" w:eastAsia="仿宋_GB2312"/>
          <w:sz w:val="32"/>
          <w:szCs w:val="32"/>
        </w:rPr>
        <w:t>寿县退役军人事务局2025年支出预算12218.71万元，比2024年预算增加1834.08万元，增长17.66%，增长原因主要是抚恤和退役安置补助标准提高。其中，基本支出435.12万元，占3.56%，主要用于保障机构日常运转、完成日常工作任务等;</w:t>
      </w:r>
      <w:r>
        <w:rPr>
          <w:rFonts w:hint="eastAsia" w:ascii="仿宋_GB2312" w:hAnsi="TimesNewRoman" w:eastAsia="仿宋_GB2312" w:cs="TimesNewRoman"/>
          <w:sz w:val="32"/>
          <w:szCs w:val="32"/>
        </w:rPr>
        <w:t xml:space="preserve"> 项目支出11783.59万元，占96.44%，主要用于各项抚恤支出和退役士兵、军转干部安置支出</w:t>
      </w:r>
      <w:r>
        <w:rPr>
          <w:rFonts w:hint="eastAsia" w:ascii="仿宋_GB2312" w:hAnsi="仿宋" w:eastAsia="仿宋_GB2312"/>
          <w:sz w:val="32"/>
          <w:szCs w:val="32"/>
        </w:rPr>
        <w:t>。</w:t>
      </w:r>
    </w:p>
    <w:p w14:paraId="1246BFE4">
      <w:pPr>
        <w:pStyle w:val="15"/>
        <w:topLinePunct/>
        <w:adjustRightInd w:val="0"/>
        <w:snapToGrid w:val="0"/>
        <w:spacing w:beforeAutospacing="0" w:afterAutospacing="0" w:line="580" w:lineRule="exact"/>
        <w:ind w:firstLine="640" w:firstLineChars="200"/>
        <w:jc w:val="both"/>
        <w:rPr>
          <w:rFonts w:ascii="楷体_GB2312" w:hAnsi="TimesNewRoman" w:eastAsia="楷体_GB2312" w:cs="TimesNewRoman"/>
          <w:b/>
          <w:sz w:val="32"/>
          <w:szCs w:val="32"/>
        </w:rPr>
      </w:pPr>
      <w:r>
        <w:rPr>
          <w:rFonts w:hint="eastAsia" w:ascii="楷体_GB2312" w:hAnsi="TimesNewRoman" w:eastAsia="楷体_GB2312" w:cs="TimesNewRoman"/>
          <w:b/>
          <w:sz w:val="32"/>
          <w:szCs w:val="32"/>
        </w:rPr>
        <w:t>四、关于2025年财政拨款收支总表的说明</w:t>
      </w:r>
    </w:p>
    <w:p w14:paraId="081EC8E7">
      <w:pPr>
        <w:pStyle w:val="15"/>
        <w:adjustRightInd w:val="0"/>
        <w:snapToGrid w:val="0"/>
        <w:spacing w:beforeAutospacing="0" w:afterAutospacing="0" w:line="600" w:lineRule="exact"/>
        <w:ind w:firstLine="627" w:firstLineChars="196"/>
        <w:jc w:val="both"/>
        <w:rPr>
          <w:rFonts w:ascii="仿宋_GB2312" w:hAnsi="仿宋" w:eastAsia="仿宋_GB2312"/>
          <w:sz w:val="32"/>
          <w:szCs w:val="32"/>
        </w:rPr>
      </w:pPr>
      <w:r>
        <w:rPr>
          <w:rFonts w:hint="eastAsia" w:ascii="仿宋_GB2312" w:hAnsi="仿宋" w:eastAsia="仿宋_GB2312"/>
          <w:kern w:val="2"/>
          <w:sz w:val="32"/>
          <w:szCs w:val="32"/>
        </w:rPr>
        <w:t>寿县退役军人事务局2025年财政拨款收支预算12218.71万元。收入按资金来源分为：一般公共预算拨款12218.71万元。按资金年度可分为：本年财政拨款收入12218.71万元。支出按功能分类分为：</w:t>
      </w:r>
      <w:r>
        <w:rPr>
          <w:rFonts w:hint="eastAsia" w:ascii="仿宋_GB2312" w:hAnsi="仿宋" w:eastAsia="仿宋_GB2312"/>
          <w:kern w:val="2"/>
          <w:sz w:val="32"/>
          <w:szCs w:val="32"/>
          <w:lang w:val="en-US" w:eastAsia="zh-CN"/>
        </w:rPr>
        <w:t>社</w:t>
      </w:r>
      <w:r>
        <w:rPr>
          <w:rFonts w:hint="eastAsia" w:ascii="仿宋_GB2312" w:hAnsi="仿宋" w:eastAsia="仿宋_GB2312"/>
          <w:kern w:val="2"/>
          <w:sz w:val="32"/>
          <w:szCs w:val="32"/>
        </w:rPr>
        <w:t>会保障和就业支出12201.25万元，占99.86%；卫生健康支出5.27万元，占0.04%；住房保障支出12.19万元，占0.1%</w:t>
      </w:r>
      <w:r>
        <w:rPr>
          <w:rFonts w:hint="eastAsia" w:ascii="仿宋_GB2312" w:hAnsi="仿宋" w:eastAsia="仿宋_GB2312"/>
          <w:sz w:val="32"/>
          <w:szCs w:val="32"/>
        </w:rPr>
        <w:t>。</w:t>
      </w:r>
    </w:p>
    <w:p w14:paraId="1AFF3071">
      <w:pPr>
        <w:pStyle w:val="15"/>
        <w:adjustRightInd w:val="0"/>
        <w:snapToGrid w:val="0"/>
        <w:spacing w:beforeAutospacing="0" w:afterAutospacing="0" w:line="600" w:lineRule="exact"/>
        <w:ind w:firstLine="627" w:firstLineChars="196"/>
        <w:jc w:val="both"/>
        <w:rPr>
          <w:rFonts w:ascii="楷体_GB2312" w:hAnsi="TimesNewRoman" w:eastAsia="楷体_GB2312" w:cs="TimesNewRoman"/>
          <w:b/>
          <w:sz w:val="32"/>
          <w:szCs w:val="32"/>
        </w:rPr>
      </w:pPr>
      <w:r>
        <w:rPr>
          <w:rFonts w:hint="eastAsia" w:ascii="楷体_GB2312" w:hAnsi="TimesNewRoman" w:eastAsia="楷体_GB2312" w:cs="TimesNewRoman"/>
          <w:b/>
          <w:sz w:val="32"/>
          <w:szCs w:val="32"/>
        </w:rPr>
        <w:t>五、关于2025年一般公共预算支出表的说明</w:t>
      </w:r>
    </w:p>
    <w:p w14:paraId="34B56033">
      <w:pPr>
        <w:pStyle w:val="15"/>
        <w:topLinePunct/>
        <w:adjustRightInd w:val="0"/>
        <w:snapToGrid w:val="0"/>
        <w:spacing w:beforeAutospacing="0" w:afterAutospacing="0" w:line="580" w:lineRule="exact"/>
        <w:ind w:firstLine="627" w:firstLineChars="196"/>
        <w:jc w:val="both"/>
        <w:rPr>
          <w:rFonts w:ascii="仿宋_GB2312" w:hAnsi="TimesNewRoman" w:eastAsia="仿宋_GB2312" w:cs="TimesNewRoman"/>
          <w:b/>
          <w:sz w:val="32"/>
          <w:szCs w:val="32"/>
        </w:rPr>
      </w:pPr>
      <w:r>
        <w:rPr>
          <w:rFonts w:hint="eastAsia" w:ascii="仿宋_GB2312" w:hAnsi="TimesNewRoman" w:eastAsia="仿宋_GB2312" w:cs="TimesNewRoman"/>
          <w:b/>
          <w:sz w:val="32"/>
          <w:szCs w:val="32"/>
        </w:rPr>
        <w:t>（一）一般公共预算支出规模变化情况。</w:t>
      </w:r>
    </w:p>
    <w:p w14:paraId="4B5EF47B">
      <w:pPr>
        <w:adjustRightInd w:val="0"/>
        <w:snapToGrid w:val="0"/>
        <w:spacing w:line="600" w:lineRule="exact"/>
        <w:ind w:firstLine="640" w:firstLineChars="200"/>
        <w:rPr>
          <w:rFonts w:ascii="仿宋_GB2312" w:hAnsi="仿宋" w:eastAsia="仿宋_GB2312"/>
          <w:sz w:val="32"/>
          <w:szCs w:val="32"/>
        </w:rPr>
      </w:pPr>
      <w:r>
        <w:rPr>
          <w:rFonts w:hint="eastAsia" w:ascii="仿宋_GB2312" w:hAnsi="仿宋" w:eastAsia="仿宋_GB2312"/>
          <w:sz w:val="32"/>
          <w:szCs w:val="32"/>
        </w:rPr>
        <w:t>寿县退役军人事务局2025年一般公共预算支出12218.71万元，比2024年预算增加1834.08万元，增长17.66%，增长原因主要是抚恤和退役安置补助标准提高。</w:t>
      </w:r>
    </w:p>
    <w:p w14:paraId="1CA3008B">
      <w:pPr>
        <w:adjustRightInd w:val="0"/>
        <w:snapToGrid w:val="0"/>
        <w:spacing w:line="600" w:lineRule="exact"/>
        <w:ind w:firstLine="640" w:firstLineChars="200"/>
        <w:rPr>
          <w:rFonts w:ascii="仿宋_GB2312" w:hAnsi="TimesNewRoman" w:eastAsia="仿宋_GB2312" w:cs="TimesNewRoman"/>
          <w:b/>
          <w:sz w:val="32"/>
          <w:szCs w:val="32"/>
        </w:rPr>
      </w:pPr>
      <w:r>
        <w:rPr>
          <w:rFonts w:hint="eastAsia" w:ascii="仿宋_GB2312" w:hAnsi="TimesNewRoman" w:eastAsia="仿宋_GB2312" w:cs="TimesNewRoman"/>
          <w:b/>
          <w:sz w:val="32"/>
          <w:szCs w:val="32"/>
        </w:rPr>
        <w:t>（二）一般公共预算支出结构情况。</w:t>
      </w:r>
    </w:p>
    <w:p w14:paraId="7F0940B1">
      <w:pPr>
        <w:pStyle w:val="15"/>
        <w:adjustRightInd w:val="0"/>
        <w:snapToGrid w:val="0"/>
        <w:spacing w:beforeAutospacing="0" w:afterAutospacing="0" w:line="600" w:lineRule="exact"/>
        <w:ind w:firstLine="627" w:firstLineChars="196"/>
        <w:jc w:val="both"/>
        <w:rPr>
          <w:rFonts w:ascii="仿宋_GB2312" w:hAnsi="仿宋" w:eastAsia="仿宋_GB2312"/>
          <w:sz w:val="32"/>
          <w:szCs w:val="32"/>
        </w:rPr>
      </w:pPr>
      <w:r>
        <w:rPr>
          <w:rFonts w:hint="eastAsia" w:ascii="仿宋_GB2312" w:hAnsi="仿宋" w:eastAsia="仿宋_GB2312"/>
          <w:kern w:val="2"/>
          <w:sz w:val="32"/>
          <w:szCs w:val="32"/>
        </w:rPr>
        <w:t>社会保障和就业支出12201.25万元，占99.86%；卫生健康支出5.27万元，占0.04%；住房保障支出12.19万元，占0.1%</w:t>
      </w:r>
      <w:r>
        <w:rPr>
          <w:rFonts w:hint="eastAsia" w:ascii="仿宋_GB2312" w:hAnsi="仿宋" w:eastAsia="仿宋_GB2312"/>
          <w:sz w:val="32"/>
          <w:szCs w:val="32"/>
        </w:rPr>
        <w:t>。</w:t>
      </w:r>
    </w:p>
    <w:p w14:paraId="3B054422">
      <w:pPr>
        <w:topLinePunct/>
        <w:adjustRightInd w:val="0"/>
        <w:snapToGrid w:val="0"/>
        <w:spacing w:line="580" w:lineRule="exact"/>
        <w:ind w:firstLine="640" w:firstLineChars="200"/>
        <w:rPr>
          <w:rFonts w:ascii="仿宋_GB2312" w:hAnsi="TimesNewRoman" w:eastAsia="仿宋_GB2312" w:cs="TimesNewRoman"/>
          <w:b/>
          <w:sz w:val="32"/>
          <w:szCs w:val="32"/>
        </w:rPr>
      </w:pPr>
      <w:r>
        <w:rPr>
          <w:rFonts w:hint="eastAsia" w:ascii="仿宋_GB2312" w:hAnsi="TimesNewRoman" w:eastAsia="仿宋_GB2312" w:cs="TimesNewRoman"/>
          <w:b/>
          <w:sz w:val="32"/>
          <w:szCs w:val="32"/>
        </w:rPr>
        <w:t>（三）一般公共预算支出具体使用情况。</w:t>
      </w:r>
    </w:p>
    <w:p w14:paraId="38AB1EDC">
      <w:pPr>
        <w:adjustRightInd w:val="0"/>
        <w:snapToGrid w:val="0"/>
        <w:spacing w:line="600" w:lineRule="exact"/>
        <w:ind w:firstLine="640" w:firstLineChars="200"/>
        <w:jc w:val="left"/>
        <w:rPr>
          <w:rFonts w:ascii="仿宋_GB2312" w:hAnsi="仿宋" w:eastAsia="仿宋_GB2312"/>
          <w:sz w:val="32"/>
          <w:szCs w:val="32"/>
        </w:rPr>
      </w:pPr>
      <w:r>
        <w:rPr>
          <w:rFonts w:hint="eastAsia" w:ascii="仿宋_GB2312" w:hAnsi="仿宋" w:eastAsia="仿宋_GB2312"/>
          <w:b/>
          <w:sz w:val="32"/>
          <w:szCs w:val="32"/>
        </w:rPr>
        <w:t>1.社会保障和就业支出（类）行政事业单位养老支出（款）机关事业单位基本养老保险缴费支出、机关事业单位职业年金缴费支出（项）</w:t>
      </w:r>
      <w:r>
        <w:rPr>
          <w:rFonts w:hint="eastAsia" w:ascii="仿宋_GB2312" w:hAnsi="仿宋" w:eastAsia="仿宋_GB2312"/>
          <w:sz w:val="32"/>
          <w:szCs w:val="32"/>
        </w:rPr>
        <w:t>2025年预算24.38万元，比2024年预算减少262.08万元，下降91.49%，主要原因是今年军队离退休干部经费未纳入预算。</w:t>
      </w:r>
    </w:p>
    <w:p w14:paraId="0A36FBBE">
      <w:pPr>
        <w:adjustRightInd w:val="0"/>
        <w:snapToGrid w:val="0"/>
        <w:spacing w:line="600" w:lineRule="exact"/>
        <w:ind w:firstLine="640" w:firstLineChars="200"/>
        <w:jc w:val="left"/>
        <w:rPr>
          <w:rFonts w:hint="eastAsia" w:ascii="仿宋_GB2312" w:hAnsi="仿宋" w:eastAsia="仿宋_GB2312"/>
          <w:sz w:val="32"/>
          <w:szCs w:val="32"/>
        </w:rPr>
      </w:pPr>
      <w:r>
        <w:rPr>
          <w:rFonts w:hint="eastAsia" w:ascii="仿宋_GB2312" w:hAnsi="仿宋" w:eastAsia="仿宋_GB2312"/>
          <w:b/>
          <w:sz w:val="32"/>
          <w:szCs w:val="32"/>
        </w:rPr>
        <w:t>2.社会保障和就业支出（类）抚恤（款）死亡抚恤、伤残抚恤、在乡复员退役军人生活补助、义务兵优待、农村籍退役士兵老年生活补助、褒扬纪念、其他优抚支出（项）</w:t>
      </w:r>
      <w:r>
        <w:rPr>
          <w:rFonts w:hint="eastAsia" w:ascii="仿宋_GB2312" w:hAnsi="仿宋" w:eastAsia="仿宋_GB2312"/>
          <w:sz w:val="32"/>
          <w:szCs w:val="32"/>
        </w:rPr>
        <w:t>2025年预算10714.55万元，比2024年预算增加1122.23万元，上升11.7%，主要原因是抚恤和各项生活补助标准提高。</w:t>
      </w:r>
    </w:p>
    <w:p w14:paraId="370E6E19">
      <w:pPr>
        <w:adjustRightInd w:val="0"/>
        <w:snapToGrid w:val="0"/>
        <w:spacing w:line="600" w:lineRule="exact"/>
        <w:ind w:firstLine="640" w:firstLineChars="200"/>
        <w:jc w:val="left"/>
        <w:rPr>
          <w:rFonts w:ascii="仿宋_GB2312" w:hAnsi="仿宋" w:eastAsia="仿宋_GB2312"/>
          <w:sz w:val="32"/>
          <w:szCs w:val="32"/>
        </w:rPr>
      </w:pPr>
      <w:r>
        <w:rPr>
          <w:rFonts w:hint="eastAsia" w:ascii="仿宋_GB2312" w:hAnsi="仿宋" w:eastAsia="仿宋_GB2312"/>
          <w:b/>
          <w:sz w:val="32"/>
          <w:szCs w:val="32"/>
        </w:rPr>
        <w:t>3.社会保障和就业支出（类）退役安置（款）退役士兵安置、军队转业干部安置（项）</w:t>
      </w:r>
      <w:r>
        <w:rPr>
          <w:rFonts w:hint="eastAsia" w:ascii="仿宋_GB2312" w:hAnsi="仿宋" w:eastAsia="仿宋_GB2312"/>
          <w:sz w:val="32"/>
          <w:szCs w:val="32"/>
        </w:rPr>
        <w:t>2025年预算930万元，比2024年预算增加657.48万元，上升241.26%，主要原因是退役士兵和军队转业干部安置经费增加。</w:t>
      </w:r>
    </w:p>
    <w:p w14:paraId="47FFAD48">
      <w:pPr>
        <w:adjustRightInd w:val="0"/>
        <w:snapToGrid w:val="0"/>
        <w:spacing w:line="600" w:lineRule="exact"/>
        <w:ind w:firstLine="640" w:firstLineChars="200"/>
        <w:jc w:val="left"/>
        <w:rPr>
          <w:rFonts w:hint="eastAsia" w:ascii="仿宋_GB2312" w:hAnsi="仿宋" w:eastAsia="仿宋_GB2312"/>
          <w:sz w:val="32"/>
          <w:szCs w:val="32"/>
        </w:rPr>
      </w:pPr>
      <w:r>
        <w:rPr>
          <w:rFonts w:hint="eastAsia" w:ascii="仿宋_GB2312" w:hAnsi="仿宋" w:eastAsia="仿宋_GB2312"/>
          <w:b/>
          <w:sz w:val="32"/>
          <w:szCs w:val="32"/>
        </w:rPr>
        <w:t>4.社会保障和就业支出（类）退役军人管理事务（款）行政运行、拥军优属、其他退役军人事务管理支出（项）</w:t>
      </w:r>
      <w:r>
        <w:rPr>
          <w:rFonts w:hint="eastAsia" w:ascii="仿宋_GB2312" w:hAnsi="仿宋" w:eastAsia="仿宋_GB2312"/>
          <w:sz w:val="32"/>
          <w:szCs w:val="32"/>
        </w:rPr>
        <w:t>2025年预算531.95万元，比2024年预算增加319.58万元，增长150.48%，主要原因是行政运行和拥军优属经费增加。</w:t>
      </w:r>
    </w:p>
    <w:p w14:paraId="4DCD1F7F">
      <w:pPr>
        <w:adjustRightInd w:val="0"/>
        <w:snapToGrid w:val="0"/>
        <w:spacing w:line="600" w:lineRule="exact"/>
        <w:ind w:firstLine="640" w:firstLineChars="200"/>
        <w:jc w:val="left"/>
        <w:rPr>
          <w:rFonts w:ascii="仿宋_GB2312" w:hAnsi="仿宋" w:eastAsia="仿宋_GB2312"/>
          <w:sz w:val="32"/>
          <w:szCs w:val="32"/>
        </w:rPr>
      </w:pPr>
      <w:r>
        <w:rPr>
          <w:rFonts w:hint="eastAsia" w:ascii="仿宋_GB2312" w:hAnsi="仿宋" w:eastAsia="仿宋_GB2312"/>
          <w:b/>
          <w:sz w:val="32"/>
          <w:szCs w:val="32"/>
        </w:rPr>
        <w:t>5.社会保障和就业支出（类）他社会保障和就业支出（款）其他社会保障和就业支出（项）</w:t>
      </w:r>
      <w:r>
        <w:rPr>
          <w:rFonts w:hint="eastAsia" w:ascii="仿宋_GB2312" w:hAnsi="仿宋" w:eastAsia="仿宋_GB2312"/>
          <w:sz w:val="32"/>
          <w:szCs w:val="32"/>
        </w:rPr>
        <w:t>2025年预算0.37万元，比2024年预算增加0.37万元，增长100%，主要原因是此项预算是今年新增项目,用于特岗人员支出。</w:t>
      </w:r>
    </w:p>
    <w:p w14:paraId="13E43995">
      <w:pPr>
        <w:adjustRightInd w:val="0"/>
        <w:snapToGrid w:val="0"/>
        <w:spacing w:line="600" w:lineRule="exact"/>
        <w:ind w:firstLine="640" w:firstLineChars="200"/>
        <w:jc w:val="left"/>
        <w:rPr>
          <w:rFonts w:ascii="仿宋_GB2312" w:hAnsi="仿宋" w:eastAsia="仿宋_GB2312"/>
          <w:sz w:val="32"/>
          <w:szCs w:val="32"/>
        </w:rPr>
      </w:pPr>
      <w:r>
        <w:rPr>
          <w:rFonts w:hint="eastAsia" w:ascii="仿宋_GB2312" w:hAnsi="仿宋" w:eastAsia="仿宋_GB2312"/>
          <w:b/>
          <w:sz w:val="32"/>
          <w:szCs w:val="32"/>
        </w:rPr>
        <w:t>6.卫生健康支出（类）行政事业单位医疗（款）行政单位医疗、事业单位医疗（项）</w:t>
      </w:r>
      <w:r>
        <w:rPr>
          <w:rFonts w:hint="eastAsia" w:ascii="仿宋_GB2312" w:hAnsi="仿宋" w:eastAsia="仿宋_GB2312"/>
          <w:sz w:val="32"/>
          <w:szCs w:val="32"/>
        </w:rPr>
        <w:t>2025年预算5.27万元，比2024年预算减少1.06万元，下降16.75%，主要原因是2024年有人员退休医疗保险缴费减少。</w:t>
      </w:r>
    </w:p>
    <w:p w14:paraId="58E43A45">
      <w:pPr>
        <w:pStyle w:val="15"/>
        <w:adjustRightInd w:val="0"/>
        <w:snapToGrid w:val="0"/>
        <w:spacing w:beforeAutospacing="0" w:afterAutospacing="0" w:line="600" w:lineRule="exact"/>
        <w:ind w:firstLine="640" w:firstLineChars="200"/>
        <w:rPr>
          <w:rFonts w:ascii="仿宋_GB2312" w:hAnsi="仿宋" w:eastAsia="仿宋_GB2312"/>
          <w:sz w:val="32"/>
          <w:szCs w:val="32"/>
        </w:rPr>
      </w:pPr>
      <w:r>
        <w:rPr>
          <w:rFonts w:hint="eastAsia" w:ascii="仿宋_GB2312" w:hAnsi="仿宋" w:eastAsia="仿宋_GB2312"/>
          <w:b/>
          <w:sz w:val="32"/>
          <w:szCs w:val="32"/>
        </w:rPr>
        <w:t>7.住房保障支出（类）住房改革支出（款）住房公积金（项）</w:t>
      </w:r>
      <w:r>
        <w:rPr>
          <w:rFonts w:hint="eastAsia" w:ascii="仿宋_GB2312" w:hAnsi="仿宋" w:eastAsia="仿宋_GB2312"/>
          <w:sz w:val="32"/>
          <w:szCs w:val="32"/>
        </w:rPr>
        <w:t>2025年预算12.19万元，比2024年预算减少2.43万元，下降16.62%，主要原因是2024年有人员退休公积金缴费基数减少。</w:t>
      </w:r>
    </w:p>
    <w:p w14:paraId="44B5FA61">
      <w:pPr>
        <w:pStyle w:val="15"/>
        <w:topLinePunct/>
        <w:adjustRightInd w:val="0"/>
        <w:snapToGrid w:val="0"/>
        <w:spacing w:beforeAutospacing="0" w:afterAutospacing="0" w:line="580" w:lineRule="exact"/>
        <w:ind w:firstLine="640" w:firstLineChars="200"/>
        <w:jc w:val="both"/>
        <w:rPr>
          <w:rFonts w:ascii="楷体_GB2312" w:hAnsi="TimesNewRoman" w:eastAsia="楷体_GB2312" w:cs="TimesNewRoman"/>
          <w:b/>
          <w:sz w:val="32"/>
          <w:szCs w:val="32"/>
        </w:rPr>
      </w:pPr>
      <w:r>
        <w:rPr>
          <w:rFonts w:hint="eastAsia" w:ascii="楷体_GB2312" w:hAnsi="TimesNewRoman" w:eastAsia="楷体_GB2312" w:cs="TimesNewRoman"/>
          <w:b/>
          <w:sz w:val="32"/>
          <w:szCs w:val="32"/>
        </w:rPr>
        <w:t>六、关于2025年一般公共预算基本支出表的说明</w:t>
      </w:r>
    </w:p>
    <w:p w14:paraId="047760AF">
      <w:pPr>
        <w:ind w:firstLine="640" w:firstLineChars="200"/>
        <w:rPr>
          <w:rFonts w:ascii="仿宋_GB2312" w:hAnsi="仿宋" w:eastAsia="仿宋_GB2312"/>
          <w:sz w:val="32"/>
          <w:szCs w:val="32"/>
        </w:rPr>
      </w:pPr>
      <w:r>
        <w:rPr>
          <w:rFonts w:hint="eastAsia" w:ascii="仿宋_GB2312" w:hAnsi="仿宋" w:eastAsia="仿宋_GB2312"/>
          <w:sz w:val="32"/>
          <w:szCs w:val="32"/>
        </w:rPr>
        <w:t>寿县退役军人事务局2025年一般公共预算基本支出435.12万元，其中，人员经费416.37万元，公用经费18.75万元。</w:t>
      </w:r>
    </w:p>
    <w:p w14:paraId="2CAABFC3">
      <w:pPr>
        <w:ind w:firstLine="640" w:firstLineChars="200"/>
        <w:rPr>
          <w:rFonts w:ascii="仿宋_GB2312" w:hAnsi="仿宋" w:eastAsia="仿宋_GB2312"/>
          <w:sz w:val="32"/>
          <w:szCs w:val="32"/>
        </w:rPr>
      </w:pPr>
      <w:r>
        <w:rPr>
          <w:rFonts w:hint="eastAsia" w:ascii="仿宋_GB2312" w:hAnsi="仿宋" w:eastAsia="仿宋_GB2312"/>
          <w:sz w:val="32"/>
          <w:szCs w:val="32"/>
        </w:rPr>
        <w:t>（一）人员经费416.37万元，主要包括:基本工资、津贴补贴、奖金、伙食补助费、机关事业单位基本养老保险费、职业年金缴费、职工基本医疗保险缴费、公务员医疗补助缴费、其他社会保障缴费、住房公积金、其他工资福利支出、生活补助、救济费、医疗费补助、奖励金、对其他个人和家庭的补助支出。</w:t>
      </w:r>
    </w:p>
    <w:p w14:paraId="696224E0">
      <w:pPr>
        <w:ind w:firstLine="640" w:firstLineChars="200"/>
        <w:rPr>
          <w:rFonts w:ascii="仿宋_GB2312" w:hAnsi="仿宋" w:eastAsia="仿宋_GB2312"/>
          <w:sz w:val="32"/>
          <w:szCs w:val="32"/>
        </w:rPr>
      </w:pPr>
      <w:r>
        <w:rPr>
          <w:rFonts w:hint="eastAsia" w:ascii="仿宋_GB2312" w:hAnsi="仿宋" w:eastAsia="仿宋_GB2312"/>
          <w:sz w:val="32"/>
          <w:szCs w:val="32"/>
        </w:rPr>
        <w:t>（二）公用经费18.75万元，主要包括：办公费、印刷费、水费、电费、邮电费、物业管理费、差旅费、维修（护）费、租赁费、会议费、培训费、公务接待费、劳务费、委托业务费、工会经费、福利费、其他交通费用、其他商品服务支出、办公设备购置、信息网络及软件购置更新、其他资本性支出等。</w:t>
      </w:r>
    </w:p>
    <w:p w14:paraId="10E82542">
      <w:pPr>
        <w:pStyle w:val="15"/>
        <w:topLinePunct/>
        <w:adjustRightInd w:val="0"/>
        <w:snapToGrid w:val="0"/>
        <w:spacing w:beforeAutospacing="0" w:afterAutospacing="0" w:line="580" w:lineRule="exact"/>
        <w:ind w:firstLine="640" w:firstLineChars="200"/>
        <w:jc w:val="both"/>
        <w:rPr>
          <w:rFonts w:ascii="楷体_GB2312" w:hAnsi="TimesNewRoman" w:eastAsia="楷体_GB2312" w:cs="TimesNewRoman"/>
          <w:b/>
          <w:sz w:val="32"/>
          <w:szCs w:val="32"/>
        </w:rPr>
      </w:pPr>
      <w:r>
        <w:rPr>
          <w:rFonts w:hint="eastAsia" w:ascii="楷体_GB2312" w:hAnsi="TimesNewRoman" w:eastAsia="楷体_GB2312" w:cs="TimesNewRoman"/>
          <w:b/>
          <w:sz w:val="32"/>
          <w:szCs w:val="32"/>
        </w:rPr>
        <w:t>七、关于2025年政府性基金预算支出表的说明</w:t>
      </w:r>
    </w:p>
    <w:p w14:paraId="7F7FFDB3">
      <w:pPr>
        <w:pStyle w:val="15"/>
        <w:adjustRightInd w:val="0"/>
        <w:snapToGrid w:val="0"/>
        <w:spacing w:beforeAutospacing="0" w:afterAutospacing="0" w:line="600" w:lineRule="exact"/>
        <w:ind w:firstLine="640" w:firstLineChars="200"/>
        <w:rPr>
          <w:rFonts w:ascii="仿宋" w:hAnsi="仿宋" w:eastAsia="仿宋"/>
          <w:sz w:val="32"/>
          <w:szCs w:val="32"/>
        </w:rPr>
      </w:pPr>
      <w:r>
        <w:rPr>
          <w:rFonts w:hint="eastAsia" w:ascii="仿宋" w:hAnsi="仿宋" w:eastAsia="仿宋"/>
          <w:kern w:val="2"/>
          <w:sz w:val="32"/>
          <w:szCs w:val="32"/>
        </w:rPr>
        <w:t>寿县退役军人事务局</w:t>
      </w:r>
      <w:r>
        <w:rPr>
          <w:rFonts w:hint="eastAsia" w:ascii="仿宋" w:hAnsi="仿宋" w:eastAsia="仿宋"/>
          <w:sz w:val="32"/>
          <w:szCs w:val="32"/>
        </w:rPr>
        <w:t>2025年没有政府性基金预算拨款收入，也没有使用政府性基金预算拨款安排的支出。</w:t>
      </w:r>
    </w:p>
    <w:p w14:paraId="5D0D73BB">
      <w:pPr>
        <w:pStyle w:val="15"/>
        <w:topLinePunct/>
        <w:adjustRightInd w:val="0"/>
        <w:snapToGrid w:val="0"/>
        <w:spacing w:beforeAutospacing="0" w:afterAutospacing="0" w:line="580" w:lineRule="exact"/>
        <w:ind w:firstLine="640" w:firstLineChars="200"/>
        <w:jc w:val="both"/>
        <w:rPr>
          <w:rFonts w:ascii="楷体_GB2312" w:hAnsi="TimesNewRoman" w:eastAsia="楷体_GB2312" w:cs="TimesNewRoman"/>
          <w:b/>
          <w:sz w:val="32"/>
          <w:szCs w:val="32"/>
        </w:rPr>
      </w:pPr>
      <w:r>
        <w:rPr>
          <w:rFonts w:hint="eastAsia" w:ascii="楷体_GB2312" w:hAnsi="TimesNewRoman" w:eastAsia="楷体_GB2312" w:cs="TimesNewRoman"/>
          <w:b/>
          <w:sz w:val="32"/>
          <w:szCs w:val="32"/>
        </w:rPr>
        <w:t>八、关于2025年国有资本经营预算支出表的说明</w:t>
      </w:r>
    </w:p>
    <w:p w14:paraId="0850DD80">
      <w:pPr>
        <w:pStyle w:val="15"/>
        <w:adjustRightInd w:val="0"/>
        <w:snapToGrid w:val="0"/>
        <w:spacing w:beforeAutospacing="0" w:afterAutospacing="0" w:line="600" w:lineRule="exact"/>
        <w:ind w:firstLine="640" w:firstLineChars="200"/>
        <w:rPr>
          <w:rFonts w:ascii="仿宋" w:hAnsi="仿宋" w:eastAsia="仿宋"/>
          <w:sz w:val="32"/>
          <w:szCs w:val="32"/>
        </w:rPr>
      </w:pPr>
      <w:r>
        <w:rPr>
          <w:rFonts w:hint="eastAsia" w:ascii="仿宋" w:hAnsi="仿宋" w:eastAsia="仿宋"/>
          <w:kern w:val="2"/>
          <w:sz w:val="32"/>
          <w:szCs w:val="32"/>
        </w:rPr>
        <w:t>寿县退役军人事务局</w:t>
      </w:r>
      <w:r>
        <w:rPr>
          <w:rFonts w:hint="eastAsia" w:ascii="仿宋" w:hAnsi="仿宋" w:eastAsia="仿宋"/>
          <w:sz w:val="32"/>
          <w:szCs w:val="32"/>
        </w:rPr>
        <w:t>2025年没有国有资本经营预算拨款收入，也没有使用国有资本经营预算拨款安排的支出。</w:t>
      </w:r>
    </w:p>
    <w:p w14:paraId="3C944FE5">
      <w:pPr>
        <w:pStyle w:val="15"/>
        <w:topLinePunct/>
        <w:adjustRightInd w:val="0"/>
        <w:snapToGrid w:val="0"/>
        <w:spacing w:beforeAutospacing="0" w:afterAutospacing="0" w:line="580" w:lineRule="exact"/>
        <w:ind w:firstLine="640" w:firstLineChars="200"/>
        <w:jc w:val="both"/>
        <w:rPr>
          <w:rFonts w:ascii="楷体_GB2312" w:hAnsi="TimesNewRoman" w:eastAsia="楷体_GB2312" w:cs="TimesNewRoman"/>
          <w:b/>
          <w:sz w:val="32"/>
          <w:szCs w:val="32"/>
        </w:rPr>
      </w:pPr>
      <w:r>
        <w:rPr>
          <w:rFonts w:hint="eastAsia" w:ascii="楷体_GB2312" w:hAnsi="TimesNewRoman" w:eastAsia="楷体_GB2312" w:cs="TimesNewRoman"/>
          <w:b/>
          <w:sz w:val="32"/>
          <w:szCs w:val="32"/>
        </w:rPr>
        <w:t>九、关于2025年项目支出表的说明</w:t>
      </w:r>
    </w:p>
    <w:p w14:paraId="2AFEA9A2">
      <w:pPr>
        <w:adjustRightInd w:val="0"/>
        <w:snapToGrid w:val="0"/>
        <w:spacing w:line="600" w:lineRule="exact"/>
        <w:ind w:firstLine="640" w:firstLineChars="200"/>
        <w:rPr>
          <w:rFonts w:ascii="仿宋_GB2312" w:hAnsi="仿宋" w:eastAsia="仿宋_GB2312"/>
          <w:sz w:val="32"/>
          <w:szCs w:val="32"/>
        </w:rPr>
      </w:pPr>
      <w:r>
        <w:rPr>
          <w:rFonts w:hint="eastAsia" w:ascii="仿宋_GB2312" w:hAnsi="TimesNewRoman" w:eastAsia="仿宋_GB2312" w:cs="TimesNewRoman"/>
          <w:sz w:val="32"/>
          <w:szCs w:val="32"/>
        </w:rPr>
        <w:t>寿县退役军人事务局2025年预算共安排项目支出11783.59万元，比2024年预算增加1859万元，增长18.73%，</w:t>
      </w:r>
      <w:r>
        <w:rPr>
          <w:rFonts w:hint="eastAsia" w:ascii="仿宋_GB2312" w:hAnsi="仿宋" w:eastAsia="仿宋_GB2312"/>
          <w:sz w:val="32"/>
          <w:szCs w:val="32"/>
        </w:rPr>
        <w:t>增长原因主要是抚恤和退役安置补助标准提高。</w:t>
      </w:r>
      <w:r>
        <w:rPr>
          <w:rFonts w:hint="eastAsia" w:ascii="仿宋_GB2312" w:hAnsi="TimesNewRoman" w:eastAsia="仿宋_GB2312" w:cs="TimesNewRoman"/>
          <w:sz w:val="32"/>
          <w:szCs w:val="32"/>
        </w:rPr>
        <w:t>主要包括：本年财政拨款安排11783.59万元（其中，一般公共预算拨款安排11783.59万元）。</w:t>
      </w:r>
    </w:p>
    <w:p w14:paraId="4A826BF3">
      <w:pPr>
        <w:pStyle w:val="15"/>
        <w:topLinePunct/>
        <w:adjustRightInd w:val="0"/>
        <w:snapToGrid w:val="0"/>
        <w:spacing w:beforeAutospacing="0" w:afterAutospacing="0" w:line="580" w:lineRule="exact"/>
        <w:ind w:firstLine="640" w:firstLineChars="200"/>
        <w:jc w:val="both"/>
        <w:rPr>
          <w:rFonts w:ascii="楷体_GB2312" w:hAnsi="TimesNewRoman" w:eastAsia="楷体_GB2312" w:cs="TimesNewRoman"/>
          <w:b/>
          <w:sz w:val="32"/>
          <w:szCs w:val="32"/>
        </w:rPr>
      </w:pPr>
      <w:r>
        <w:rPr>
          <w:rFonts w:hint="eastAsia" w:ascii="楷体_GB2312" w:hAnsi="TimesNewRoman" w:eastAsia="楷体_GB2312" w:cs="TimesNewRoman"/>
          <w:b/>
          <w:sz w:val="32"/>
          <w:szCs w:val="32"/>
        </w:rPr>
        <w:t>十、关于2025年政府采购支出表的说明</w:t>
      </w:r>
    </w:p>
    <w:p w14:paraId="467D26F2">
      <w:pPr>
        <w:pStyle w:val="15"/>
        <w:topLinePunct/>
        <w:adjustRightInd w:val="0"/>
        <w:snapToGrid w:val="0"/>
        <w:spacing w:beforeAutospacing="0" w:afterAutospacing="0" w:line="580" w:lineRule="exact"/>
        <w:ind w:firstLine="640" w:firstLineChars="200"/>
        <w:jc w:val="both"/>
        <w:rPr>
          <w:rFonts w:ascii="仿宋_GB2312" w:hAnsi="TimesNewRoman" w:eastAsia="仿宋_GB2312" w:cs="TimesNewRoman"/>
          <w:sz w:val="32"/>
          <w:szCs w:val="32"/>
        </w:rPr>
      </w:pPr>
      <w:r>
        <w:rPr>
          <w:rFonts w:hint="eastAsia" w:ascii="仿宋" w:hAnsi="仿宋" w:eastAsia="仿宋"/>
          <w:kern w:val="2"/>
          <w:sz w:val="32"/>
          <w:szCs w:val="32"/>
        </w:rPr>
        <w:t>寿县退役军人事务局</w:t>
      </w:r>
      <w:r>
        <w:rPr>
          <w:rFonts w:hint="eastAsia" w:ascii="仿宋_GB2312" w:hAnsi="TimesNewRoman" w:eastAsia="仿宋_GB2312" w:cs="TimesNewRoman"/>
          <w:sz w:val="32"/>
          <w:szCs w:val="32"/>
        </w:rPr>
        <w:t>2025年预算安排政府采购支出1.6万元，比2024年预算增加0.12,增长8.11%,主要是用于添加办公设备。其中，一般公共预算安排1.6万元，占100%。</w:t>
      </w:r>
    </w:p>
    <w:p w14:paraId="238A1E77">
      <w:pPr>
        <w:pStyle w:val="15"/>
        <w:adjustRightInd w:val="0"/>
        <w:snapToGrid w:val="0"/>
        <w:spacing w:beforeAutospacing="0" w:afterAutospacing="0" w:line="600" w:lineRule="exact"/>
        <w:ind w:firstLine="640" w:firstLineChars="200"/>
        <w:outlineLvl w:val="0"/>
        <w:rPr>
          <w:rFonts w:ascii="楷体_GB2312" w:hAnsi="TimesNewRoman" w:eastAsia="楷体_GB2312" w:cs="TimesNewRoman"/>
          <w:b/>
          <w:sz w:val="32"/>
          <w:szCs w:val="32"/>
        </w:rPr>
      </w:pPr>
      <w:r>
        <w:rPr>
          <w:rFonts w:hint="eastAsia" w:ascii="楷体_GB2312" w:hAnsi="TimesNewRoman" w:eastAsia="楷体_GB2312" w:cs="TimesNewRoman"/>
          <w:b/>
          <w:sz w:val="32"/>
          <w:szCs w:val="32"/>
        </w:rPr>
        <w:t>十一、关于2025年政府购买服务支出表的说明</w:t>
      </w:r>
    </w:p>
    <w:p w14:paraId="1ECE57B5">
      <w:pPr>
        <w:pStyle w:val="15"/>
        <w:adjustRightInd w:val="0"/>
        <w:snapToGrid w:val="0"/>
        <w:spacing w:beforeAutospacing="0" w:afterAutospacing="0" w:line="600" w:lineRule="exact"/>
        <w:ind w:firstLine="640" w:firstLineChars="200"/>
        <w:outlineLvl w:val="0"/>
        <w:rPr>
          <w:rFonts w:ascii="仿宋_GB2312" w:hAnsi="仿宋" w:eastAsia="仿宋_GB2312"/>
          <w:sz w:val="32"/>
          <w:szCs w:val="32"/>
        </w:rPr>
      </w:pPr>
      <w:r>
        <w:rPr>
          <w:rFonts w:hint="eastAsia" w:ascii="仿宋" w:hAnsi="仿宋" w:eastAsia="仿宋"/>
          <w:kern w:val="2"/>
          <w:sz w:val="32"/>
          <w:szCs w:val="32"/>
        </w:rPr>
        <w:t>寿县退役军人事务局</w:t>
      </w:r>
      <w:r>
        <w:rPr>
          <w:rFonts w:hint="eastAsia" w:ascii="仿宋_GB2312" w:hAnsi="仿宋" w:eastAsia="仿宋_GB2312"/>
          <w:sz w:val="32"/>
          <w:szCs w:val="32"/>
        </w:rPr>
        <w:t>2025年预算没有安排政府购买服务支出。</w:t>
      </w:r>
    </w:p>
    <w:p w14:paraId="17606821">
      <w:pPr>
        <w:pStyle w:val="15"/>
        <w:topLinePunct/>
        <w:adjustRightInd w:val="0"/>
        <w:snapToGrid w:val="0"/>
        <w:spacing w:beforeAutospacing="0" w:afterAutospacing="0" w:line="580" w:lineRule="exact"/>
        <w:ind w:firstLine="640" w:firstLineChars="200"/>
        <w:jc w:val="both"/>
        <w:rPr>
          <w:rFonts w:ascii="楷体_GB2312" w:hAnsi="TimesNewRoman" w:eastAsia="楷体_GB2312" w:cs="TimesNewRoman"/>
          <w:b/>
          <w:sz w:val="32"/>
          <w:szCs w:val="32"/>
        </w:rPr>
      </w:pPr>
      <w:r>
        <w:rPr>
          <w:rFonts w:hint="eastAsia" w:ascii="楷体_GB2312" w:hAnsi="TimesNewRoman" w:eastAsia="楷体_GB2312" w:cs="TimesNewRoman"/>
          <w:b/>
          <w:sz w:val="32"/>
          <w:szCs w:val="32"/>
        </w:rPr>
        <w:t>十二、关于2025</w:t>
      </w:r>
      <w:r>
        <w:rPr>
          <w:rFonts w:ascii="楷体_GB2312" w:hAnsi="TimesNewRoman" w:eastAsia="楷体_GB2312" w:cs="TimesNewRoman"/>
          <w:b/>
          <w:sz w:val="32"/>
          <w:szCs w:val="32"/>
        </w:rPr>
        <w:t>年一般公共预算“三公”经费支出情况说明</w:t>
      </w:r>
    </w:p>
    <w:p w14:paraId="4C5CBF97">
      <w:pPr>
        <w:adjustRightInd w:val="0"/>
        <w:snapToGrid w:val="0"/>
        <w:spacing w:line="560" w:lineRule="exact"/>
        <w:ind w:firstLine="640" w:firstLineChars="200"/>
        <w:rPr>
          <w:rFonts w:ascii="仿宋_GB2312" w:hAnsi="TimesNewRoman" w:eastAsia="仿宋_GB2312" w:cs="TimesNewRoman"/>
          <w:kern w:val="0"/>
          <w:sz w:val="32"/>
          <w:szCs w:val="32"/>
        </w:rPr>
      </w:pPr>
      <w:r>
        <w:rPr>
          <w:rFonts w:hint="eastAsia" w:ascii="仿宋" w:hAnsi="仿宋" w:eastAsia="仿宋"/>
          <w:sz w:val="32"/>
          <w:szCs w:val="32"/>
        </w:rPr>
        <w:t>寿县退役军人事务局</w:t>
      </w:r>
      <w:r>
        <w:rPr>
          <w:rFonts w:hint="eastAsia" w:ascii="仿宋_GB2312" w:hAnsi="TimesNewRoman" w:eastAsia="仿宋_GB2312" w:cs="TimesNewRoman"/>
          <w:kern w:val="0"/>
          <w:sz w:val="32"/>
          <w:szCs w:val="32"/>
        </w:rPr>
        <w:t>2025</w:t>
      </w:r>
      <w:r>
        <w:rPr>
          <w:rFonts w:ascii="仿宋_GB2312" w:hAnsi="TimesNewRoman" w:eastAsia="仿宋_GB2312" w:cs="TimesNewRoman"/>
          <w:kern w:val="0"/>
          <w:sz w:val="32"/>
          <w:szCs w:val="32"/>
        </w:rPr>
        <w:t>年一般公共预算“三公”经费支出预算为</w:t>
      </w:r>
      <w:r>
        <w:rPr>
          <w:rFonts w:hint="eastAsia" w:ascii="仿宋_GB2312" w:hAnsi="TimesNewRoman" w:eastAsia="仿宋_GB2312" w:cs="TimesNewRoman"/>
          <w:kern w:val="0"/>
          <w:sz w:val="32"/>
          <w:szCs w:val="32"/>
        </w:rPr>
        <w:t>2</w:t>
      </w:r>
      <w:r>
        <w:rPr>
          <w:rFonts w:ascii="仿宋_GB2312" w:hAnsi="TimesNewRoman" w:eastAsia="仿宋_GB2312" w:cs="TimesNewRoman"/>
          <w:kern w:val="0"/>
          <w:sz w:val="32"/>
          <w:szCs w:val="32"/>
        </w:rPr>
        <w:t>万元，</w:t>
      </w:r>
      <w:r>
        <w:rPr>
          <w:rFonts w:hint="eastAsia" w:ascii="仿宋_GB2312" w:hAnsi="TimesNewRoman" w:eastAsia="仿宋_GB2312" w:cs="TimesNewRoman"/>
          <w:kern w:val="0"/>
          <w:sz w:val="32"/>
          <w:szCs w:val="32"/>
        </w:rPr>
        <w:t>与2024年</w:t>
      </w:r>
      <w:r>
        <w:rPr>
          <w:rFonts w:ascii="仿宋_GB2312" w:hAnsi="TimesNewRoman" w:eastAsia="仿宋_GB2312" w:cs="TimesNewRoman"/>
          <w:kern w:val="0"/>
          <w:sz w:val="32"/>
          <w:szCs w:val="32"/>
        </w:rPr>
        <w:t>预算</w:t>
      </w:r>
      <w:r>
        <w:rPr>
          <w:rFonts w:hint="eastAsia" w:ascii="仿宋_GB2312" w:hAnsi="TimesNewRoman" w:eastAsia="仿宋_GB2312" w:cs="TimesNewRoman"/>
          <w:kern w:val="0"/>
          <w:sz w:val="32"/>
          <w:szCs w:val="32"/>
        </w:rPr>
        <w:t>持平。</w:t>
      </w:r>
      <w:r>
        <w:rPr>
          <w:rFonts w:ascii="仿宋_GB2312" w:hAnsi="TimesNewRoman" w:eastAsia="仿宋_GB2312" w:cs="TimesNewRoman"/>
          <w:kern w:val="0"/>
          <w:sz w:val="32"/>
          <w:szCs w:val="32"/>
        </w:rPr>
        <w:t>其中：因公出国（境）费支出预算</w:t>
      </w:r>
      <w:r>
        <w:rPr>
          <w:rFonts w:hint="eastAsia" w:ascii="仿宋_GB2312" w:hAnsi="TimesNewRoman" w:eastAsia="仿宋_GB2312" w:cs="TimesNewRoman"/>
          <w:kern w:val="0"/>
          <w:sz w:val="32"/>
          <w:szCs w:val="32"/>
        </w:rPr>
        <w:t>0</w:t>
      </w:r>
      <w:r>
        <w:rPr>
          <w:rFonts w:ascii="仿宋_GB2312" w:hAnsi="TimesNewRoman" w:eastAsia="仿宋_GB2312" w:cs="TimesNewRoman"/>
          <w:kern w:val="0"/>
          <w:sz w:val="32"/>
          <w:szCs w:val="32"/>
        </w:rPr>
        <w:t>万元，公务接待费支出预算为</w:t>
      </w:r>
      <w:r>
        <w:rPr>
          <w:rFonts w:hint="eastAsia" w:ascii="仿宋_GB2312" w:hAnsi="TimesNewRoman" w:eastAsia="仿宋_GB2312" w:cs="TimesNewRoman"/>
          <w:kern w:val="0"/>
          <w:sz w:val="32"/>
          <w:szCs w:val="32"/>
        </w:rPr>
        <w:t>2</w:t>
      </w:r>
      <w:r>
        <w:rPr>
          <w:rFonts w:ascii="仿宋_GB2312" w:hAnsi="TimesNewRoman" w:eastAsia="仿宋_GB2312" w:cs="TimesNewRoman"/>
          <w:kern w:val="0"/>
          <w:sz w:val="32"/>
          <w:szCs w:val="32"/>
        </w:rPr>
        <w:t>万元，公务用车购置及运行费支出预算为</w:t>
      </w:r>
      <w:r>
        <w:rPr>
          <w:rFonts w:hint="eastAsia" w:ascii="仿宋_GB2312" w:hAnsi="TimesNewRoman" w:eastAsia="仿宋_GB2312" w:cs="TimesNewRoman"/>
          <w:kern w:val="0"/>
          <w:sz w:val="32"/>
          <w:szCs w:val="32"/>
        </w:rPr>
        <w:t>0</w:t>
      </w:r>
      <w:r>
        <w:rPr>
          <w:rFonts w:ascii="仿宋_GB2312" w:hAnsi="TimesNewRoman" w:eastAsia="仿宋_GB2312" w:cs="TimesNewRoman"/>
          <w:kern w:val="0"/>
          <w:sz w:val="32"/>
          <w:szCs w:val="32"/>
        </w:rPr>
        <w:t>万元。具体情况如下：</w:t>
      </w:r>
    </w:p>
    <w:p w14:paraId="2E70D02D">
      <w:pPr>
        <w:pStyle w:val="15"/>
        <w:adjustRightInd w:val="0"/>
        <w:snapToGrid w:val="0"/>
        <w:spacing w:beforeAutospacing="0" w:afterAutospacing="0" w:line="560" w:lineRule="exact"/>
        <w:ind w:firstLine="640" w:firstLineChars="200"/>
        <w:rPr>
          <w:rFonts w:ascii="仿宋_GB2312" w:hAnsi="TimesNewRoman" w:eastAsia="仿宋_GB2312" w:cs="TimesNewRoman"/>
          <w:sz w:val="32"/>
          <w:szCs w:val="32"/>
        </w:rPr>
      </w:pPr>
      <w:r>
        <w:rPr>
          <w:rFonts w:ascii="仿宋_GB2312" w:hAnsi="TimesNewRoman" w:eastAsia="仿宋_GB2312" w:cs="TimesNewRoman"/>
          <w:sz w:val="32"/>
          <w:szCs w:val="32"/>
        </w:rPr>
        <w:t>（一）因公出国（境）费支</w:t>
      </w:r>
      <w:r>
        <w:rPr>
          <w:rFonts w:ascii="TimesNewRoman" w:hAnsi="TimesNewRoman" w:eastAsia="仿宋_GB2312" w:cs="TimesNewRoman"/>
          <w:sz w:val="32"/>
          <w:szCs w:val="32"/>
        </w:rPr>
        <w:t>出预算</w:t>
      </w:r>
      <w:r>
        <w:rPr>
          <w:rFonts w:hint="eastAsia" w:ascii="TimesNewRoman" w:hAnsi="TimesNewRoman" w:eastAsia="仿宋_GB2312" w:cs="TimesNewRoman"/>
          <w:sz w:val="32"/>
          <w:szCs w:val="32"/>
        </w:rPr>
        <w:t>0</w:t>
      </w:r>
      <w:r>
        <w:rPr>
          <w:rFonts w:ascii="TimesNewRoman" w:hAnsi="TimesNewRoman" w:eastAsia="仿宋_GB2312" w:cs="TimesNewRoman"/>
          <w:sz w:val="32"/>
          <w:szCs w:val="32"/>
        </w:rPr>
        <w:t>万元,</w:t>
      </w:r>
      <w:r>
        <w:rPr>
          <w:rFonts w:ascii="仿宋_GB2312" w:hAnsi="TimesNewRoman" w:eastAsia="仿宋_GB2312" w:cs="TimesNewRoman"/>
          <w:sz w:val="32"/>
          <w:szCs w:val="32"/>
        </w:rPr>
        <w:t xml:space="preserve"> </w:t>
      </w:r>
      <w:r>
        <w:rPr>
          <w:rFonts w:hint="eastAsia" w:ascii="仿宋_GB2312" w:hAnsi="TimesNewRoman" w:eastAsia="仿宋_GB2312" w:cs="TimesNewRoman"/>
          <w:sz w:val="32"/>
          <w:szCs w:val="32"/>
        </w:rPr>
        <w:t>与2024</w:t>
      </w:r>
      <w:r>
        <w:rPr>
          <w:rFonts w:ascii="仿宋_GB2312" w:hAnsi="TimesNewRoman" w:eastAsia="仿宋_GB2312" w:cs="TimesNewRoman"/>
          <w:sz w:val="32"/>
          <w:szCs w:val="32"/>
        </w:rPr>
        <w:t>年预算</w:t>
      </w:r>
      <w:r>
        <w:rPr>
          <w:rFonts w:hint="eastAsia" w:ascii="仿宋_GB2312" w:hAnsi="TimesNewRoman" w:eastAsia="仿宋_GB2312" w:cs="TimesNewRoman"/>
          <w:sz w:val="32"/>
          <w:szCs w:val="32"/>
        </w:rPr>
        <w:t>持平。</w:t>
      </w:r>
    </w:p>
    <w:p w14:paraId="4D40635E">
      <w:pPr>
        <w:pStyle w:val="15"/>
        <w:adjustRightInd w:val="0"/>
        <w:snapToGrid w:val="0"/>
        <w:spacing w:beforeAutospacing="0" w:afterAutospacing="0" w:line="560" w:lineRule="exact"/>
        <w:ind w:firstLine="640" w:firstLineChars="200"/>
        <w:rPr>
          <w:rFonts w:ascii="仿宋_GB2312" w:hAnsi="TimesNewRoman" w:eastAsia="仿宋_GB2312" w:cs="TimesNewRoman"/>
          <w:sz w:val="32"/>
          <w:szCs w:val="32"/>
        </w:rPr>
      </w:pPr>
      <w:r>
        <w:rPr>
          <w:rFonts w:ascii="仿宋_GB2312" w:hAnsi="TimesNewRoman" w:eastAsia="仿宋_GB2312" w:cs="TimesNewRoman"/>
          <w:sz w:val="32"/>
          <w:szCs w:val="32"/>
        </w:rPr>
        <w:t>（二）公务用车购置及运行费支出预算</w:t>
      </w:r>
      <w:r>
        <w:rPr>
          <w:rFonts w:hint="eastAsia" w:ascii="仿宋_GB2312" w:hAnsi="TimesNewRoman" w:eastAsia="仿宋_GB2312" w:cs="TimesNewRoman"/>
          <w:sz w:val="32"/>
          <w:szCs w:val="32"/>
        </w:rPr>
        <w:t>0</w:t>
      </w:r>
      <w:r>
        <w:rPr>
          <w:rFonts w:ascii="仿宋_GB2312" w:hAnsi="TimesNewRoman" w:eastAsia="仿宋_GB2312" w:cs="TimesNewRoman"/>
          <w:sz w:val="32"/>
          <w:szCs w:val="32"/>
        </w:rPr>
        <w:t>万元，</w:t>
      </w:r>
      <w:r>
        <w:rPr>
          <w:rFonts w:hint="eastAsia" w:ascii="仿宋_GB2312" w:hAnsi="TimesNewRoman" w:eastAsia="仿宋_GB2312" w:cs="TimesNewRoman"/>
          <w:sz w:val="32"/>
          <w:szCs w:val="32"/>
        </w:rPr>
        <w:t>与2024年</w:t>
      </w:r>
      <w:r>
        <w:rPr>
          <w:rFonts w:ascii="TimesNewRoman" w:hAnsi="TimesNewRoman" w:eastAsia="仿宋_GB2312" w:cs="TimesNewRoman"/>
          <w:sz w:val="32"/>
          <w:szCs w:val="32"/>
        </w:rPr>
        <w:t>预算</w:t>
      </w:r>
      <w:r>
        <w:rPr>
          <w:rFonts w:hint="eastAsia" w:ascii="TimesNewRoman" w:hAnsi="TimesNewRoman" w:eastAsia="仿宋_GB2312" w:cs="TimesNewRoman"/>
          <w:sz w:val="32"/>
          <w:szCs w:val="32"/>
        </w:rPr>
        <w:t>持平。</w:t>
      </w:r>
    </w:p>
    <w:p w14:paraId="7C4CF431">
      <w:pPr>
        <w:pStyle w:val="15"/>
        <w:spacing w:beforeAutospacing="0" w:afterAutospacing="0" w:line="520" w:lineRule="exact"/>
        <w:ind w:firstLine="480" w:firstLineChars="150"/>
        <w:jc w:val="both"/>
        <w:rPr>
          <w:rFonts w:ascii="仿宋_GB2312" w:hAnsi="TimesNewRoman" w:eastAsia="仿宋_GB2312" w:cs="TimesNewRoman"/>
          <w:sz w:val="32"/>
          <w:szCs w:val="32"/>
        </w:rPr>
      </w:pPr>
      <w:r>
        <w:rPr>
          <w:rFonts w:hint="eastAsia" w:ascii="仿宋_GB2312" w:hAnsi="TimesNewRoman" w:eastAsia="仿宋_GB2312" w:cs="TimesNewRoman"/>
          <w:b/>
          <w:sz w:val="32"/>
          <w:szCs w:val="32"/>
        </w:rPr>
        <w:t>（三）公务接待费</w:t>
      </w:r>
      <w:r>
        <w:rPr>
          <w:rFonts w:hint="eastAsia" w:ascii="仿宋" w:hAnsi="仿宋" w:eastAsia="仿宋"/>
          <w:color w:val="000000"/>
          <w:sz w:val="32"/>
          <w:szCs w:val="32"/>
        </w:rPr>
        <w:t>支出预算2万元，与2024年持平</w:t>
      </w:r>
      <w:r>
        <w:rPr>
          <w:rFonts w:hint="eastAsia" w:ascii="仿宋" w:hAnsi="仿宋" w:eastAsia="仿宋"/>
          <w:sz w:val="32"/>
          <w:szCs w:val="32"/>
        </w:rPr>
        <w:t>。该项经费</w:t>
      </w:r>
      <w:r>
        <w:rPr>
          <w:rFonts w:hint="eastAsia" w:ascii="仿宋" w:hAnsi="仿宋" w:eastAsia="仿宋"/>
          <w:color w:val="000000"/>
          <w:sz w:val="32"/>
          <w:szCs w:val="32"/>
        </w:rPr>
        <w:t>主要用于退役安置、拥军优属和与外单位业务往来等公务接待支出。</w:t>
      </w:r>
      <w:r>
        <w:rPr>
          <w:rFonts w:hint="eastAsia" w:ascii="仿宋_GB2312" w:hAnsi="TimesNewRoman" w:eastAsia="仿宋_GB2312" w:cs="TimesNewRoman"/>
          <w:sz w:val="32"/>
          <w:szCs w:val="32"/>
        </w:rPr>
        <w:t>经费使用严格执行《党政机关厉行节约反对浪费条例》</w:t>
      </w:r>
      <w:r>
        <w:rPr>
          <w:rFonts w:hint="eastAsia" w:ascii="仿宋_GB2312" w:hAnsi="仿宋" w:eastAsia="仿宋_GB2312"/>
          <w:color w:val="000000"/>
          <w:sz w:val="32"/>
          <w:szCs w:val="32"/>
        </w:rPr>
        <w:t>（中发〔2013〕13号）</w:t>
      </w:r>
      <w:r>
        <w:rPr>
          <w:rFonts w:hint="eastAsia" w:ascii="仿宋_GB2312" w:hAnsi="TimesNewRoman" w:eastAsia="仿宋_GB2312" w:cs="TimesNewRoman"/>
          <w:sz w:val="32"/>
          <w:szCs w:val="32"/>
        </w:rPr>
        <w:t>和</w:t>
      </w:r>
      <w:r>
        <w:rPr>
          <w:rFonts w:hint="eastAsia" w:ascii="仿宋_GB2312" w:hAnsi="仿宋" w:eastAsia="仿宋_GB2312"/>
          <w:color w:val="000000"/>
          <w:sz w:val="32"/>
          <w:szCs w:val="32"/>
        </w:rPr>
        <w:t>《寿县党政机关公务接待管理规定</w:t>
      </w:r>
      <w:r>
        <w:rPr>
          <w:rFonts w:hint="eastAsia" w:ascii="仿宋_GB2312" w:hAnsi="TimesNewRoman" w:eastAsia="仿宋_GB2312" w:cs="TimesNewRoman"/>
          <w:sz w:val="32"/>
          <w:szCs w:val="32"/>
        </w:rPr>
        <w:t>》</w:t>
      </w:r>
      <w:r>
        <w:rPr>
          <w:rFonts w:hint="eastAsia" w:ascii="仿宋_GB2312" w:hAnsi="仿宋" w:eastAsia="仿宋_GB2312"/>
          <w:color w:val="000000"/>
          <w:sz w:val="32"/>
          <w:szCs w:val="32"/>
        </w:rPr>
        <w:t>（寿办发〔2015〕2号）规定。</w:t>
      </w:r>
    </w:p>
    <w:p w14:paraId="5FA58F29">
      <w:pPr>
        <w:pStyle w:val="15"/>
        <w:topLinePunct/>
        <w:adjustRightInd w:val="0"/>
        <w:snapToGrid w:val="0"/>
        <w:spacing w:beforeAutospacing="0" w:afterAutospacing="0" w:line="560" w:lineRule="exact"/>
        <w:ind w:firstLine="640" w:firstLineChars="200"/>
        <w:jc w:val="both"/>
        <w:rPr>
          <w:rFonts w:ascii="楷体_GB2312" w:hAnsi="TimesNewRoman" w:eastAsia="楷体_GB2312" w:cs="TimesNewRoman"/>
          <w:b/>
          <w:sz w:val="32"/>
          <w:szCs w:val="32"/>
        </w:rPr>
      </w:pPr>
      <w:r>
        <w:rPr>
          <w:rFonts w:hint="eastAsia" w:ascii="楷体_GB2312" w:hAnsi="TimesNewRoman" w:eastAsia="楷体_GB2312" w:cs="TimesNewRoman"/>
          <w:b/>
          <w:sz w:val="32"/>
          <w:szCs w:val="32"/>
        </w:rPr>
        <w:t>十三、其他重要事项情况说明</w:t>
      </w:r>
    </w:p>
    <w:p w14:paraId="1EA882E6">
      <w:pPr>
        <w:topLinePunct/>
        <w:adjustRightInd w:val="0"/>
        <w:snapToGrid w:val="0"/>
        <w:spacing w:line="560" w:lineRule="exact"/>
        <w:ind w:firstLine="640" w:firstLineChars="200"/>
        <w:rPr>
          <w:rFonts w:ascii="仿宋_GB2312" w:hAnsi="TimesNewRoman" w:eastAsia="仿宋_GB2312" w:cs="TimesNewRoman"/>
          <w:b/>
          <w:sz w:val="32"/>
          <w:szCs w:val="32"/>
        </w:rPr>
      </w:pPr>
      <w:r>
        <w:rPr>
          <w:rFonts w:hint="eastAsia" w:ascii="仿宋_GB2312" w:hAnsi="TimesNewRoman" w:eastAsia="仿宋_GB2312" w:cs="TimesNewRoman"/>
          <w:b/>
          <w:sz w:val="32"/>
          <w:szCs w:val="32"/>
        </w:rPr>
        <w:t>（一）项目及绩效目标情况。</w:t>
      </w:r>
    </w:p>
    <w:p w14:paraId="3EA6A54C">
      <w:pPr>
        <w:adjustRightInd w:val="0"/>
        <w:snapToGrid w:val="0"/>
        <w:spacing w:line="580" w:lineRule="exact"/>
        <w:ind w:firstLine="640" w:firstLineChars="200"/>
        <w:jc w:val="left"/>
        <w:rPr>
          <w:rFonts w:ascii="仿宋" w:hAnsi="仿宋" w:eastAsia="仿宋"/>
          <w:sz w:val="32"/>
          <w:szCs w:val="32"/>
        </w:rPr>
      </w:pPr>
      <w:r>
        <w:rPr>
          <w:rFonts w:hint="eastAsia" w:ascii="仿宋_GB2312" w:hAnsi="TimesNewRoman" w:eastAsia="仿宋_GB2312" w:cs="TimesNewRoman"/>
          <w:b/>
          <w:sz w:val="32"/>
          <w:szCs w:val="32"/>
        </w:rPr>
        <w:t xml:space="preserve"> </w:t>
      </w:r>
      <w:r>
        <w:rPr>
          <w:rFonts w:hint="eastAsia" w:ascii="仿宋" w:hAnsi="仿宋" w:eastAsia="仿宋"/>
          <w:b/>
          <w:bCs/>
          <w:sz w:val="32"/>
          <w:szCs w:val="32"/>
        </w:rPr>
        <w:t>1.“2025_优抚对象抚恤和生活补助经费</w:t>
      </w:r>
      <w:r>
        <w:rPr>
          <w:rFonts w:hint="default" w:ascii="仿宋" w:hAnsi="仿宋" w:eastAsia="仿宋"/>
          <w:b/>
          <w:bCs/>
          <w:sz w:val="32"/>
          <w:szCs w:val="32"/>
          <w:lang w:val="en-US" w:eastAsia="zh-CN"/>
        </w:rPr>
        <w:t>”</w:t>
      </w:r>
      <w:r>
        <w:rPr>
          <w:rFonts w:hint="eastAsia" w:ascii="仿宋" w:hAnsi="仿宋" w:eastAsia="仿宋"/>
          <w:b/>
          <w:bCs/>
          <w:sz w:val="32"/>
          <w:szCs w:val="32"/>
        </w:rPr>
        <w:t>项目。</w:t>
      </w:r>
    </w:p>
    <w:p w14:paraId="50623B65">
      <w:pPr>
        <w:ind w:firstLine="640" w:firstLineChars="200"/>
        <w:rPr>
          <w:rFonts w:hint="eastAsia" w:ascii="仿宋" w:hAnsi="仿宋" w:eastAsia="仿宋"/>
          <w:sz w:val="32"/>
          <w:szCs w:val="32"/>
        </w:rPr>
      </w:pPr>
      <w:r>
        <w:rPr>
          <w:rFonts w:hint="eastAsia" w:ascii="仿宋" w:hAnsi="仿宋" w:eastAsia="仿宋"/>
          <w:sz w:val="32"/>
          <w:szCs w:val="32"/>
        </w:rPr>
        <w:t>（1）项目概述。全县现役军人、部分重点优抚对象抚恤及生活补助</w:t>
      </w:r>
    </w:p>
    <w:p w14:paraId="45FE1A8D">
      <w:pPr>
        <w:ind w:firstLine="480" w:firstLineChars="150"/>
        <w:rPr>
          <w:rFonts w:hint="eastAsia" w:ascii="仿宋" w:hAnsi="仿宋" w:eastAsia="仿宋"/>
          <w:sz w:val="32"/>
          <w:szCs w:val="32"/>
        </w:rPr>
      </w:pPr>
      <w:r>
        <w:rPr>
          <w:rFonts w:hint="eastAsia" w:ascii="仿宋" w:hAnsi="仿宋" w:eastAsia="仿宋"/>
          <w:sz w:val="32"/>
          <w:szCs w:val="32"/>
        </w:rPr>
        <w:t>（2）立项依据。《军人抚恤优待条例》、《安徽省退役军人事务厅 安徽省财政厅关于调整部分优抚对象等人员抚恤和生活补助标准的通知》（皖退役军人秘〔2022〕76号）</w:t>
      </w:r>
    </w:p>
    <w:p w14:paraId="1CF86BEC">
      <w:pPr>
        <w:adjustRightInd w:val="0"/>
        <w:snapToGrid w:val="0"/>
        <w:spacing w:line="580" w:lineRule="exact"/>
        <w:ind w:firstLine="640" w:firstLineChars="200"/>
        <w:jc w:val="left"/>
        <w:rPr>
          <w:rFonts w:ascii="仿宋" w:hAnsi="仿宋" w:eastAsia="仿宋"/>
          <w:sz w:val="32"/>
          <w:szCs w:val="32"/>
        </w:rPr>
      </w:pPr>
      <w:r>
        <w:rPr>
          <w:rFonts w:hint="eastAsia" w:ascii="仿宋" w:hAnsi="仿宋" w:eastAsia="仿宋"/>
          <w:sz w:val="32"/>
          <w:szCs w:val="32"/>
        </w:rPr>
        <w:t>（3）实施主体。实施主体为寿县</w:t>
      </w:r>
      <w:r>
        <w:rPr>
          <w:rFonts w:hint="eastAsia" w:ascii="仿宋" w:hAnsi="仿宋" w:eastAsia="仿宋"/>
          <w:sz w:val="32"/>
          <w:szCs w:val="32"/>
          <w:lang w:eastAsia="zh-CN"/>
        </w:rPr>
        <w:t>退役军人</w:t>
      </w:r>
      <w:r>
        <w:rPr>
          <w:rFonts w:hint="eastAsia" w:ascii="仿宋" w:hAnsi="仿宋" w:eastAsia="仿宋"/>
          <w:sz w:val="32"/>
          <w:szCs w:val="32"/>
        </w:rPr>
        <w:t>局。</w:t>
      </w:r>
      <w:r>
        <w:rPr>
          <w:rFonts w:ascii="仿宋" w:hAnsi="仿宋" w:eastAsia="仿宋"/>
          <w:sz w:val="32"/>
          <w:szCs w:val="32"/>
        </w:rPr>
        <w:t xml:space="preserve"> </w:t>
      </w:r>
    </w:p>
    <w:p w14:paraId="743E9155">
      <w:pPr>
        <w:adjustRightInd w:val="0"/>
        <w:snapToGrid w:val="0"/>
        <w:spacing w:line="580" w:lineRule="exact"/>
        <w:ind w:firstLine="640" w:firstLineChars="200"/>
        <w:jc w:val="left"/>
        <w:rPr>
          <w:rFonts w:ascii="仿宋" w:hAnsi="仿宋" w:eastAsia="仿宋"/>
          <w:sz w:val="32"/>
          <w:szCs w:val="32"/>
        </w:rPr>
      </w:pPr>
      <w:r>
        <w:rPr>
          <w:rFonts w:hint="eastAsia" w:ascii="仿宋" w:hAnsi="仿宋" w:eastAsia="仿宋"/>
          <w:sz w:val="32"/>
          <w:szCs w:val="32"/>
        </w:rPr>
        <w:t>（4）起止时间。起止时间为2025年1月1日至12月31日。</w:t>
      </w:r>
    </w:p>
    <w:p w14:paraId="5370C7A3">
      <w:pPr>
        <w:pStyle w:val="75"/>
        <w:spacing w:line="560" w:lineRule="exact"/>
        <w:ind w:firstLine="640"/>
        <w:jc w:val="left"/>
        <w:rPr>
          <w:rFonts w:hint="eastAsia" w:ascii="仿宋" w:hAnsi="仿宋" w:eastAsia="仿宋"/>
          <w:sz w:val="32"/>
          <w:szCs w:val="32"/>
        </w:rPr>
      </w:pPr>
      <w:r>
        <w:rPr>
          <w:rFonts w:hint="eastAsia" w:ascii="仿宋" w:hAnsi="仿宋" w:eastAsia="仿宋"/>
          <w:sz w:val="32"/>
          <w:szCs w:val="32"/>
        </w:rPr>
        <w:t>（5）项目内容。寿县退役军人事务局根据《军人抚恤优待条例》，对符合条件的优抚对象，按照《军人抚恤优待条例》、《安徽省退役军人事务厅 安徽省财政厅关于调整部分优抚对象等人员抚恤和生活补助标准的通知》（皖退役军人发〔2023〕12号）等文件规定，足额按月通过财政涉农补助“一卡通”支付平台打卡发放。通过发放优抚对象抚恤补助金，使优抚对象等人员的基本生活得到有效保障和改善。</w:t>
      </w:r>
    </w:p>
    <w:p w14:paraId="5F201947">
      <w:pPr>
        <w:ind w:firstLine="640" w:firstLineChars="200"/>
        <w:rPr>
          <w:rFonts w:ascii="仿宋" w:hAnsi="仿宋" w:eastAsia="仿宋"/>
          <w:sz w:val="32"/>
          <w:szCs w:val="32"/>
        </w:rPr>
      </w:pPr>
      <w:r>
        <w:rPr>
          <w:rFonts w:hint="eastAsia" w:ascii="仿宋" w:hAnsi="仿宋" w:eastAsia="仿宋"/>
          <w:sz w:val="32"/>
          <w:szCs w:val="32"/>
        </w:rPr>
        <w:t>（6）年度预算安排。安排预算资金</w:t>
      </w:r>
      <w:r>
        <w:rPr>
          <w:rFonts w:hint="eastAsia" w:ascii="仿宋" w:hAnsi="仿宋" w:eastAsia="仿宋"/>
          <w:sz w:val="32"/>
          <w:szCs w:val="32"/>
          <w:lang w:val="en-US" w:eastAsia="zh-CN"/>
        </w:rPr>
        <w:t>8975.25</w:t>
      </w:r>
      <w:r>
        <w:rPr>
          <w:rFonts w:hint="eastAsia" w:ascii="仿宋" w:hAnsi="仿宋" w:eastAsia="仿宋"/>
          <w:sz w:val="32"/>
          <w:szCs w:val="32"/>
        </w:rPr>
        <w:t>万元。</w:t>
      </w:r>
    </w:p>
    <w:p w14:paraId="4B49E72B">
      <w:pPr>
        <w:spacing w:line="560" w:lineRule="exact"/>
        <w:ind w:firstLine="640" w:firstLineChars="200"/>
        <w:rPr>
          <w:rFonts w:ascii="仿宋" w:hAnsi="仿宋" w:eastAsia="仿宋"/>
          <w:sz w:val="32"/>
          <w:szCs w:val="32"/>
        </w:rPr>
      </w:pPr>
      <w:r>
        <w:rPr>
          <w:rFonts w:hint="eastAsia" w:ascii="仿宋" w:hAnsi="仿宋" w:eastAsia="仿宋"/>
          <w:sz w:val="32"/>
          <w:szCs w:val="32"/>
        </w:rPr>
        <w:t>（7）绩效目标。2025年度，项目绩效目标明确，绩效目标与预计解决的问题、现实需要相对匹配，需进一步量化效益指标。</w:t>
      </w:r>
      <w:r>
        <w:rPr>
          <w:rFonts w:hint="eastAsia" w:ascii="Arial" w:hAnsi="Arial" w:eastAsia="仿宋_GB2312" w:cs="Arial"/>
          <w:color w:val="333333"/>
          <w:sz w:val="32"/>
          <w:szCs w:val="32"/>
          <w:shd w:val="clear" w:color="auto" w:fill="FFFFFF"/>
        </w:rPr>
        <w:t> </w:t>
      </w:r>
      <w:r>
        <w:rPr>
          <w:rFonts w:hint="eastAsia" w:ascii="仿宋" w:hAnsi="仿宋" w:eastAsia="仿宋" w:cs="仿宋"/>
          <w:sz w:val="32"/>
          <w:szCs w:val="32"/>
        </w:rPr>
        <w:t>202</w:t>
      </w:r>
      <w:r>
        <w:rPr>
          <w:rFonts w:hint="eastAsia" w:ascii="仿宋" w:hAnsi="仿宋" w:eastAsia="仿宋" w:cs="仿宋"/>
          <w:sz w:val="32"/>
          <w:szCs w:val="32"/>
          <w:lang w:val="en-US" w:eastAsia="zh-CN"/>
        </w:rPr>
        <w:t>5</w:t>
      </w:r>
      <w:r>
        <w:rPr>
          <w:rFonts w:hint="eastAsia" w:ascii="仿宋" w:hAnsi="仿宋" w:eastAsia="仿宋" w:cs="仿宋"/>
          <w:sz w:val="32"/>
          <w:szCs w:val="32"/>
        </w:rPr>
        <w:t>年度寿县退役军人事务局</w:t>
      </w:r>
      <w:r>
        <w:rPr>
          <w:rFonts w:hint="eastAsia" w:ascii="仿宋_GB2312" w:hAnsi="Arial" w:eastAsia="仿宋_GB2312" w:cs="Arial"/>
          <w:color w:val="333333"/>
          <w:sz w:val="32"/>
          <w:szCs w:val="32"/>
          <w:shd w:val="clear" w:color="auto" w:fill="FFFFFF"/>
        </w:rPr>
        <w:t>优抚对象抚恤和生活补助经费</w:t>
      </w:r>
      <w:r>
        <w:rPr>
          <w:rFonts w:hint="eastAsia" w:ascii="仿宋" w:hAnsi="仿宋" w:eastAsia="仿宋" w:cs="仿宋"/>
          <w:sz w:val="32"/>
          <w:szCs w:val="32"/>
        </w:rPr>
        <w:t>：</w:t>
      </w:r>
      <w:r>
        <w:rPr>
          <w:rFonts w:hint="eastAsia" w:ascii="仿宋" w:hAnsi="仿宋" w:eastAsia="仿宋" w:cs="仿宋"/>
          <w:bCs/>
          <w:sz w:val="32"/>
          <w:szCs w:val="32"/>
        </w:rPr>
        <w:t>通过发放优抚对象抚恤补助金，使优抚对象等人员的基本生活得到有效保障和改善</w:t>
      </w:r>
      <w:r>
        <w:rPr>
          <w:rFonts w:hint="eastAsia" w:ascii="仿宋" w:hAnsi="仿宋" w:eastAsia="仿宋"/>
          <w:sz w:val="32"/>
          <w:szCs w:val="32"/>
        </w:rPr>
        <w:t>，进一步提升群众满意度。</w:t>
      </w:r>
    </w:p>
    <w:p w14:paraId="69DCE85A">
      <w:pPr>
        <w:adjustRightInd w:val="0"/>
        <w:snapToGrid w:val="0"/>
        <w:spacing w:line="580" w:lineRule="exact"/>
        <w:jc w:val="left"/>
        <w:rPr>
          <w:rFonts w:asciiTheme="minorEastAsia" w:hAnsiTheme="minorEastAsia" w:eastAsiaTheme="minorEastAsia"/>
          <w:sz w:val="32"/>
          <w:szCs w:val="32"/>
        </w:rPr>
      </w:pPr>
    </w:p>
    <w:tbl>
      <w:tblPr>
        <w:tblStyle w:val="18"/>
        <w:tblW w:w="9460" w:type="dxa"/>
        <w:tblInd w:w="93" w:type="dxa"/>
        <w:tblLayout w:type="autofit"/>
        <w:tblCellMar>
          <w:top w:w="0" w:type="dxa"/>
          <w:left w:w="108" w:type="dxa"/>
          <w:bottom w:w="0" w:type="dxa"/>
          <w:right w:w="108" w:type="dxa"/>
        </w:tblCellMar>
      </w:tblPr>
      <w:tblGrid>
        <w:gridCol w:w="1020"/>
        <w:gridCol w:w="1020"/>
        <w:gridCol w:w="1020"/>
        <w:gridCol w:w="1240"/>
        <w:gridCol w:w="1240"/>
        <w:gridCol w:w="1960"/>
        <w:gridCol w:w="1960"/>
      </w:tblGrid>
      <w:tr w14:paraId="49049297">
        <w:tblPrEx>
          <w:tblCellMar>
            <w:top w:w="0" w:type="dxa"/>
            <w:left w:w="108" w:type="dxa"/>
            <w:bottom w:w="0" w:type="dxa"/>
            <w:right w:w="108" w:type="dxa"/>
          </w:tblCellMar>
        </w:tblPrEx>
        <w:trPr>
          <w:trHeight w:val="375" w:hRule="atLeast"/>
        </w:trPr>
        <w:tc>
          <w:tcPr>
            <w:tcW w:w="9460" w:type="dxa"/>
            <w:gridSpan w:val="7"/>
            <w:tcBorders>
              <w:top w:val="nil"/>
              <w:left w:val="nil"/>
              <w:bottom w:val="nil"/>
              <w:right w:val="nil"/>
            </w:tcBorders>
            <w:shd w:val="clear" w:color="auto" w:fill="auto"/>
            <w:vAlign w:val="center"/>
          </w:tcPr>
          <w:p w14:paraId="5AF53EC4">
            <w:pPr>
              <w:widowControl/>
              <w:jc w:val="center"/>
              <w:rPr>
                <w:rFonts w:ascii="宋体" w:hAnsi="宋体" w:cs="宋体"/>
                <w:b/>
                <w:bCs/>
                <w:color w:val="000000"/>
                <w:kern w:val="0"/>
                <w:sz w:val="28"/>
                <w:szCs w:val="28"/>
              </w:rPr>
            </w:pPr>
            <w:r>
              <w:rPr>
                <w:rFonts w:hint="eastAsia" w:ascii="宋体" w:hAnsi="宋体" w:cs="宋体"/>
                <w:b/>
                <w:bCs/>
                <w:color w:val="000000"/>
                <w:kern w:val="0"/>
                <w:sz w:val="28"/>
                <w:szCs w:val="28"/>
              </w:rPr>
              <w:t>项目支出绩效目标表</w:t>
            </w:r>
          </w:p>
        </w:tc>
      </w:tr>
      <w:tr w14:paraId="5D0E15D3">
        <w:tblPrEx>
          <w:tblCellMar>
            <w:top w:w="0" w:type="dxa"/>
            <w:left w:w="108" w:type="dxa"/>
            <w:bottom w:w="0" w:type="dxa"/>
            <w:right w:w="108" w:type="dxa"/>
          </w:tblCellMar>
        </w:tblPrEx>
        <w:trPr>
          <w:trHeight w:val="300" w:hRule="atLeast"/>
        </w:trPr>
        <w:tc>
          <w:tcPr>
            <w:tcW w:w="9460" w:type="dxa"/>
            <w:gridSpan w:val="7"/>
            <w:tcBorders>
              <w:top w:val="nil"/>
              <w:left w:val="nil"/>
              <w:bottom w:val="single" w:color="auto" w:sz="8" w:space="0"/>
              <w:right w:val="nil"/>
            </w:tcBorders>
            <w:shd w:val="clear" w:color="auto" w:fill="auto"/>
            <w:vAlign w:val="center"/>
          </w:tcPr>
          <w:p w14:paraId="7AD06AF3">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（2025年度）                                </w:t>
            </w:r>
          </w:p>
        </w:tc>
      </w:tr>
      <w:tr w14:paraId="7389B71B">
        <w:tblPrEx>
          <w:tblCellMar>
            <w:top w:w="0" w:type="dxa"/>
            <w:left w:w="108" w:type="dxa"/>
            <w:bottom w:w="0" w:type="dxa"/>
            <w:right w:w="108" w:type="dxa"/>
          </w:tblCellMar>
        </w:tblPrEx>
        <w:trPr>
          <w:trHeight w:val="300" w:hRule="atLeast"/>
        </w:trPr>
        <w:tc>
          <w:tcPr>
            <w:tcW w:w="3060" w:type="dxa"/>
            <w:gridSpan w:val="3"/>
            <w:tcBorders>
              <w:top w:val="nil"/>
              <w:left w:val="single" w:color="auto" w:sz="8" w:space="0"/>
              <w:bottom w:val="single" w:color="auto" w:sz="8" w:space="0"/>
              <w:right w:val="single" w:color="auto" w:sz="8" w:space="0"/>
            </w:tcBorders>
            <w:shd w:val="clear" w:color="auto" w:fill="auto"/>
            <w:vAlign w:val="center"/>
          </w:tcPr>
          <w:p w14:paraId="64283FD8">
            <w:pPr>
              <w:widowControl/>
              <w:jc w:val="center"/>
              <w:rPr>
                <w:rFonts w:ascii="宋体" w:hAnsi="宋体" w:cs="宋体"/>
                <w:color w:val="000000"/>
                <w:kern w:val="0"/>
                <w:sz w:val="20"/>
                <w:szCs w:val="20"/>
              </w:rPr>
            </w:pPr>
            <w:r>
              <w:rPr>
                <w:rFonts w:hint="eastAsia" w:ascii="宋体" w:hAnsi="宋体" w:cs="宋体"/>
                <w:color w:val="000000"/>
                <w:kern w:val="0"/>
                <w:sz w:val="20"/>
                <w:szCs w:val="20"/>
              </w:rPr>
              <w:t>项目名称</w:t>
            </w:r>
          </w:p>
        </w:tc>
        <w:tc>
          <w:tcPr>
            <w:tcW w:w="6400" w:type="dxa"/>
            <w:gridSpan w:val="4"/>
            <w:tcBorders>
              <w:top w:val="single" w:color="auto" w:sz="8" w:space="0"/>
              <w:left w:val="nil"/>
              <w:bottom w:val="single" w:color="auto" w:sz="8" w:space="0"/>
              <w:right w:val="single" w:color="auto" w:sz="8" w:space="0"/>
            </w:tcBorders>
            <w:shd w:val="clear" w:color="auto" w:fill="auto"/>
            <w:vAlign w:val="center"/>
          </w:tcPr>
          <w:p w14:paraId="334327A9">
            <w:pPr>
              <w:widowControl/>
              <w:jc w:val="center"/>
              <w:rPr>
                <w:rFonts w:ascii="宋体" w:hAnsi="宋体" w:cs="宋体"/>
                <w:color w:val="000000"/>
                <w:kern w:val="0"/>
                <w:sz w:val="20"/>
                <w:szCs w:val="20"/>
              </w:rPr>
            </w:pPr>
            <w:r>
              <w:rPr>
                <w:rFonts w:hint="eastAsia" w:ascii="宋体" w:hAnsi="宋体" w:cs="宋体"/>
                <w:color w:val="000000"/>
                <w:kern w:val="0"/>
                <w:sz w:val="20"/>
                <w:szCs w:val="20"/>
              </w:rPr>
              <w:t>2025_优抚对象抚恤和生活补助经费</w:t>
            </w:r>
          </w:p>
        </w:tc>
      </w:tr>
      <w:tr w14:paraId="43DA2419">
        <w:tblPrEx>
          <w:tblCellMar>
            <w:top w:w="0" w:type="dxa"/>
            <w:left w:w="108" w:type="dxa"/>
            <w:bottom w:w="0" w:type="dxa"/>
            <w:right w:w="108" w:type="dxa"/>
          </w:tblCellMar>
        </w:tblPrEx>
        <w:trPr>
          <w:trHeight w:val="435" w:hRule="atLeast"/>
        </w:trPr>
        <w:tc>
          <w:tcPr>
            <w:tcW w:w="3060" w:type="dxa"/>
            <w:gridSpan w:val="3"/>
            <w:tcBorders>
              <w:top w:val="nil"/>
              <w:left w:val="single" w:color="auto" w:sz="8" w:space="0"/>
              <w:bottom w:val="single" w:color="auto" w:sz="8" w:space="0"/>
              <w:right w:val="single" w:color="auto" w:sz="8" w:space="0"/>
            </w:tcBorders>
            <w:shd w:val="clear" w:color="auto" w:fill="auto"/>
            <w:vAlign w:val="center"/>
          </w:tcPr>
          <w:p w14:paraId="31D4FF4E">
            <w:pPr>
              <w:widowControl/>
              <w:jc w:val="center"/>
              <w:rPr>
                <w:rFonts w:ascii="宋体" w:hAnsi="宋体" w:cs="宋体"/>
                <w:color w:val="000000"/>
                <w:kern w:val="0"/>
                <w:sz w:val="20"/>
                <w:szCs w:val="20"/>
              </w:rPr>
            </w:pPr>
            <w:r>
              <w:rPr>
                <w:rFonts w:hint="eastAsia" w:ascii="宋体" w:hAnsi="宋体" w:cs="宋体"/>
                <w:color w:val="000000"/>
                <w:kern w:val="0"/>
                <w:sz w:val="20"/>
                <w:szCs w:val="20"/>
              </w:rPr>
              <w:t>主管部门及代码</w:t>
            </w:r>
          </w:p>
        </w:tc>
        <w:tc>
          <w:tcPr>
            <w:tcW w:w="2480" w:type="dxa"/>
            <w:gridSpan w:val="2"/>
            <w:tcBorders>
              <w:top w:val="nil"/>
              <w:left w:val="nil"/>
              <w:bottom w:val="single" w:color="auto" w:sz="8" w:space="0"/>
              <w:right w:val="single" w:color="auto" w:sz="8" w:space="0"/>
            </w:tcBorders>
            <w:shd w:val="clear" w:color="auto" w:fill="auto"/>
            <w:vAlign w:val="center"/>
          </w:tcPr>
          <w:p w14:paraId="2AA94674">
            <w:pPr>
              <w:widowControl/>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rPr>
              <w:t>寿县</w:t>
            </w:r>
            <w:r>
              <w:rPr>
                <w:rFonts w:hint="eastAsia" w:ascii="宋体" w:hAnsi="宋体" w:cs="宋体"/>
                <w:color w:val="000000"/>
                <w:kern w:val="0"/>
                <w:sz w:val="20"/>
                <w:szCs w:val="20"/>
                <w:lang w:eastAsia="zh-CN"/>
              </w:rPr>
              <w:t>退役军人事务</w:t>
            </w:r>
            <w:r>
              <w:rPr>
                <w:rFonts w:hint="eastAsia" w:ascii="宋体" w:hAnsi="宋体" w:cs="宋体"/>
                <w:color w:val="000000"/>
                <w:kern w:val="0"/>
                <w:sz w:val="20"/>
                <w:szCs w:val="20"/>
              </w:rPr>
              <w:t xml:space="preserve">局 </w:t>
            </w:r>
            <w:r>
              <w:rPr>
                <w:rFonts w:hint="eastAsia" w:ascii="宋体" w:hAnsi="宋体" w:cs="宋体"/>
                <w:color w:val="000000"/>
                <w:kern w:val="0"/>
                <w:sz w:val="20"/>
                <w:szCs w:val="20"/>
                <w:lang w:val="en-US" w:eastAsia="zh-CN"/>
              </w:rPr>
              <w:t>176001</w:t>
            </w:r>
            <w:r>
              <w:rPr>
                <w:rFonts w:hint="eastAsia" w:ascii="宋体" w:hAnsi="宋体" w:cs="宋体"/>
                <w:color w:val="000000"/>
                <w:kern w:val="0"/>
                <w:sz w:val="20"/>
                <w:szCs w:val="20"/>
              </w:rPr>
              <w:t xml:space="preserve"> </w:t>
            </w:r>
          </w:p>
        </w:tc>
        <w:tc>
          <w:tcPr>
            <w:tcW w:w="1960" w:type="dxa"/>
            <w:tcBorders>
              <w:top w:val="nil"/>
              <w:left w:val="nil"/>
              <w:bottom w:val="single" w:color="auto" w:sz="8" w:space="0"/>
              <w:right w:val="single" w:color="auto" w:sz="8" w:space="0"/>
            </w:tcBorders>
            <w:shd w:val="clear" w:color="auto" w:fill="auto"/>
            <w:vAlign w:val="center"/>
          </w:tcPr>
          <w:p w14:paraId="6AD509B7">
            <w:pPr>
              <w:widowControl/>
              <w:jc w:val="center"/>
              <w:rPr>
                <w:rFonts w:ascii="宋体" w:hAnsi="宋体" w:cs="宋体"/>
                <w:color w:val="000000"/>
                <w:kern w:val="0"/>
                <w:sz w:val="20"/>
                <w:szCs w:val="20"/>
              </w:rPr>
            </w:pPr>
            <w:r>
              <w:rPr>
                <w:rFonts w:hint="eastAsia" w:ascii="宋体" w:hAnsi="宋体" w:cs="宋体"/>
                <w:color w:val="000000"/>
                <w:kern w:val="0"/>
                <w:sz w:val="20"/>
                <w:szCs w:val="20"/>
              </w:rPr>
              <w:t>实施单位</w:t>
            </w:r>
          </w:p>
        </w:tc>
        <w:tc>
          <w:tcPr>
            <w:tcW w:w="1960" w:type="dxa"/>
            <w:tcBorders>
              <w:top w:val="nil"/>
              <w:left w:val="nil"/>
              <w:bottom w:val="single" w:color="auto" w:sz="8" w:space="0"/>
              <w:right w:val="single" w:color="auto" w:sz="8" w:space="0"/>
            </w:tcBorders>
            <w:shd w:val="clear" w:color="auto" w:fill="auto"/>
            <w:vAlign w:val="center"/>
          </w:tcPr>
          <w:p w14:paraId="604B3C33">
            <w:pPr>
              <w:widowControl/>
              <w:jc w:val="center"/>
              <w:rPr>
                <w:rFonts w:ascii="宋体" w:hAnsi="宋体" w:cs="宋体"/>
                <w:color w:val="000000"/>
                <w:kern w:val="0"/>
                <w:sz w:val="20"/>
                <w:szCs w:val="20"/>
              </w:rPr>
            </w:pPr>
            <w:r>
              <w:rPr>
                <w:rFonts w:hint="eastAsia" w:ascii="宋体" w:hAnsi="宋体" w:cs="宋体"/>
                <w:color w:val="000000"/>
                <w:kern w:val="0"/>
                <w:sz w:val="20"/>
                <w:szCs w:val="20"/>
              </w:rPr>
              <w:t>寿县</w:t>
            </w:r>
            <w:r>
              <w:rPr>
                <w:rFonts w:hint="eastAsia" w:ascii="宋体" w:hAnsi="宋体" w:cs="宋体"/>
                <w:color w:val="000000"/>
                <w:kern w:val="0"/>
                <w:sz w:val="20"/>
                <w:szCs w:val="20"/>
                <w:lang w:eastAsia="zh-CN"/>
              </w:rPr>
              <w:t>退役军人事务</w:t>
            </w:r>
            <w:r>
              <w:rPr>
                <w:rFonts w:hint="eastAsia" w:ascii="宋体" w:hAnsi="宋体" w:cs="宋体"/>
                <w:color w:val="000000"/>
                <w:kern w:val="0"/>
                <w:sz w:val="20"/>
                <w:szCs w:val="20"/>
              </w:rPr>
              <w:t xml:space="preserve">局 </w:t>
            </w:r>
            <w:r>
              <w:rPr>
                <w:rFonts w:hint="eastAsia" w:ascii="宋体" w:hAnsi="宋体" w:cs="宋体"/>
                <w:color w:val="000000"/>
                <w:kern w:val="0"/>
                <w:sz w:val="20"/>
                <w:szCs w:val="20"/>
                <w:lang w:val="en-US" w:eastAsia="zh-CN"/>
              </w:rPr>
              <w:t>176001</w:t>
            </w:r>
            <w:r>
              <w:rPr>
                <w:rFonts w:hint="eastAsia" w:ascii="宋体" w:hAnsi="宋体" w:cs="宋体"/>
                <w:color w:val="000000"/>
                <w:kern w:val="0"/>
                <w:sz w:val="20"/>
                <w:szCs w:val="20"/>
              </w:rPr>
              <w:t xml:space="preserve"> </w:t>
            </w:r>
          </w:p>
        </w:tc>
      </w:tr>
      <w:tr w14:paraId="5C203915">
        <w:tblPrEx>
          <w:tblCellMar>
            <w:top w:w="0" w:type="dxa"/>
            <w:left w:w="108" w:type="dxa"/>
            <w:bottom w:w="0" w:type="dxa"/>
            <w:right w:w="108" w:type="dxa"/>
          </w:tblCellMar>
        </w:tblPrEx>
        <w:trPr>
          <w:trHeight w:val="435" w:hRule="atLeast"/>
        </w:trPr>
        <w:tc>
          <w:tcPr>
            <w:tcW w:w="3060" w:type="dxa"/>
            <w:gridSpan w:val="3"/>
            <w:tcBorders>
              <w:top w:val="nil"/>
              <w:left w:val="single" w:color="auto" w:sz="8" w:space="0"/>
              <w:bottom w:val="single" w:color="auto" w:sz="8" w:space="0"/>
              <w:right w:val="single" w:color="auto" w:sz="8" w:space="0"/>
            </w:tcBorders>
            <w:shd w:val="clear" w:color="auto" w:fill="auto"/>
            <w:vAlign w:val="center"/>
          </w:tcPr>
          <w:p w14:paraId="44CD8A66">
            <w:pPr>
              <w:widowControl/>
              <w:jc w:val="center"/>
              <w:rPr>
                <w:rFonts w:ascii="宋体" w:hAnsi="宋体" w:cs="宋体"/>
                <w:color w:val="000000"/>
                <w:kern w:val="0"/>
                <w:sz w:val="20"/>
                <w:szCs w:val="20"/>
              </w:rPr>
            </w:pPr>
            <w:r>
              <w:rPr>
                <w:rFonts w:hint="eastAsia" w:ascii="宋体" w:hAnsi="宋体" w:cs="宋体"/>
                <w:color w:val="000000"/>
                <w:kern w:val="0"/>
                <w:sz w:val="20"/>
                <w:szCs w:val="20"/>
              </w:rPr>
              <w:t>项目来源</w:t>
            </w:r>
          </w:p>
        </w:tc>
        <w:tc>
          <w:tcPr>
            <w:tcW w:w="2480" w:type="dxa"/>
            <w:gridSpan w:val="2"/>
            <w:tcBorders>
              <w:top w:val="nil"/>
              <w:left w:val="nil"/>
              <w:bottom w:val="single" w:color="auto" w:sz="8" w:space="0"/>
              <w:right w:val="single" w:color="auto" w:sz="8" w:space="0"/>
            </w:tcBorders>
            <w:shd w:val="clear" w:color="auto" w:fill="auto"/>
            <w:vAlign w:val="center"/>
          </w:tcPr>
          <w:p w14:paraId="43615AFC">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960" w:type="dxa"/>
            <w:tcBorders>
              <w:top w:val="nil"/>
              <w:left w:val="nil"/>
              <w:bottom w:val="single" w:color="auto" w:sz="8" w:space="0"/>
              <w:right w:val="single" w:color="auto" w:sz="8" w:space="0"/>
            </w:tcBorders>
            <w:shd w:val="clear" w:color="auto" w:fill="auto"/>
            <w:vAlign w:val="center"/>
          </w:tcPr>
          <w:p w14:paraId="6027D17B">
            <w:pPr>
              <w:widowControl/>
              <w:jc w:val="center"/>
              <w:rPr>
                <w:rFonts w:ascii="宋体" w:hAnsi="宋体" w:cs="宋体"/>
                <w:color w:val="000000"/>
                <w:kern w:val="0"/>
                <w:sz w:val="20"/>
                <w:szCs w:val="20"/>
              </w:rPr>
            </w:pPr>
            <w:r>
              <w:rPr>
                <w:rFonts w:hint="eastAsia" w:ascii="宋体" w:hAnsi="宋体" w:cs="宋体"/>
                <w:color w:val="000000"/>
                <w:kern w:val="0"/>
                <w:sz w:val="20"/>
                <w:szCs w:val="20"/>
              </w:rPr>
              <w:t>项目期</w:t>
            </w:r>
          </w:p>
        </w:tc>
        <w:tc>
          <w:tcPr>
            <w:tcW w:w="1960" w:type="dxa"/>
            <w:tcBorders>
              <w:top w:val="nil"/>
              <w:left w:val="nil"/>
              <w:bottom w:val="single" w:color="auto" w:sz="8" w:space="0"/>
              <w:right w:val="single" w:color="auto" w:sz="8" w:space="0"/>
            </w:tcBorders>
            <w:shd w:val="clear" w:color="auto" w:fill="auto"/>
            <w:vAlign w:val="center"/>
          </w:tcPr>
          <w:p w14:paraId="1EDF1B93">
            <w:pPr>
              <w:widowControl/>
              <w:jc w:val="center"/>
              <w:rPr>
                <w:rFonts w:ascii="宋体" w:hAnsi="宋体" w:cs="宋体"/>
                <w:color w:val="000000"/>
                <w:kern w:val="0"/>
                <w:sz w:val="20"/>
                <w:szCs w:val="20"/>
              </w:rPr>
            </w:pPr>
            <w:r>
              <w:rPr>
                <w:rFonts w:hint="eastAsia" w:ascii="宋体" w:hAnsi="宋体" w:cs="宋体"/>
                <w:color w:val="000000"/>
                <w:kern w:val="0"/>
                <w:sz w:val="20"/>
                <w:szCs w:val="20"/>
              </w:rPr>
              <w:t>2025年</w:t>
            </w:r>
          </w:p>
        </w:tc>
      </w:tr>
      <w:tr w14:paraId="1DC4F137">
        <w:tblPrEx>
          <w:tblCellMar>
            <w:top w:w="0" w:type="dxa"/>
            <w:left w:w="108" w:type="dxa"/>
            <w:bottom w:w="0" w:type="dxa"/>
            <w:right w:w="108" w:type="dxa"/>
          </w:tblCellMar>
        </w:tblPrEx>
        <w:trPr>
          <w:trHeight w:val="300" w:hRule="atLeast"/>
        </w:trPr>
        <w:tc>
          <w:tcPr>
            <w:tcW w:w="3060" w:type="dxa"/>
            <w:gridSpan w:val="3"/>
            <w:tcBorders>
              <w:top w:val="nil"/>
              <w:left w:val="single" w:color="auto" w:sz="8" w:space="0"/>
              <w:bottom w:val="nil"/>
              <w:right w:val="single" w:color="000000" w:sz="8" w:space="0"/>
            </w:tcBorders>
            <w:shd w:val="clear" w:color="auto" w:fill="auto"/>
            <w:vAlign w:val="center"/>
          </w:tcPr>
          <w:p w14:paraId="2BBC57BB">
            <w:pPr>
              <w:widowControl/>
              <w:jc w:val="center"/>
              <w:rPr>
                <w:rFonts w:ascii="宋体" w:hAnsi="宋体" w:cs="宋体"/>
                <w:color w:val="000000"/>
                <w:kern w:val="0"/>
                <w:sz w:val="20"/>
                <w:szCs w:val="20"/>
              </w:rPr>
            </w:pPr>
            <w:r>
              <w:rPr>
                <w:rFonts w:hint="eastAsia" w:ascii="宋体" w:hAnsi="宋体" w:cs="宋体"/>
                <w:color w:val="000000"/>
                <w:kern w:val="0"/>
                <w:sz w:val="20"/>
                <w:szCs w:val="20"/>
              </w:rPr>
              <w:t>项目资金</w:t>
            </w:r>
          </w:p>
        </w:tc>
        <w:tc>
          <w:tcPr>
            <w:tcW w:w="2480" w:type="dxa"/>
            <w:gridSpan w:val="2"/>
            <w:tcBorders>
              <w:top w:val="nil"/>
              <w:left w:val="nil"/>
              <w:bottom w:val="single" w:color="auto" w:sz="8" w:space="0"/>
              <w:right w:val="single" w:color="auto" w:sz="8" w:space="0"/>
            </w:tcBorders>
            <w:shd w:val="clear" w:color="auto" w:fill="auto"/>
            <w:vAlign w:val="center"/>
          </w:tcPr>
          <w:p w14:paraId="09B9E1D9">
            <w:pPr>
              <w:widowControl/>
              <w:jc w:val="left"/>
              <w:rPr>
                <w:rFonts w:ascii="宋体" w:hAnsi="宋体" w:cs="宋体"/>
                <w:color w:val="000000"/>
                <w:kern w:val="0"/>
                <w:sz w:val="20"/>
                <w:szCs w:val="20"/>
              </w:rPr>
            </w:pPr>
            <w:r>
              <w:rPr>
                <w:rFonts w:hint="eastAsia" w:ascii="宋体" w:hAnsi="宋体" w:cs="宋体"/>
                <w:color w:val="000000"/>
                <w:kern w:val="0"/>
                <w:sz w:val="20"/>
                <w:szCs w:val="20"/>
              </w:rPr>
              <w:t xml:space="preserve"> 年度资金总额：</w:t>
            </w:r>
          </w:p>
        </w:tc>
        <w:tc>
          <w:tcPr>
            <w:tcW w:w="3920" w:type="dxa"/>
            <w:gridSpan w:val="2"/>
            <w:tcBorders>
              <w:top w:val="nil"/>
              <w:left w:val="nil"/>
              <w:bottom w:val="single" w:color="auto" w:sz="8" w:space="0"/>
              <w:right w:val="single" w:color="auto" w:sz="8" w:space="0"/>
            </w:tcBorders>
            <w:shd w:val="clear" w:color="auto" w:fill="auto"/>
            <w:vAlign w:val="center"/>
          </w:tcPr>
          <w:p w14:paraId="6882F2E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8975.25</w:t>
            </w:r>
          </w:p>
        </w:tc>
      </w:tr>
      <w:tr w14:paraId="5B6A1B02">
        <w:tblPrEx>
          <w:tblCellMar>
            <w:top w:w="0" w:type="dxa"/>
            <w:left w:w="108" w:type="dxa"/>
            <w:bottom w:w="0" w:type="dxa"/>
            <w:right w:w="108" w:type="dxa"/>
          </w:tblCellMar>
        </w:tblPrEx>
        <w:trPr>
          <w:trHeight w:val="259" w:hRule="atLeast"/>
        </w:trPr>
        <w:tc>
          <w:tcPr>
            <w:tcW w:w="3060" w:type="dxa"/>
            <w:gridSpan w:val="3"/>
            <w:tcBorders>
              <w:top w:val="nil"/>
              <w:left w:val="single" w:color="auto" w:sz="8" w:space="0"/>
              <w:bottom w:val="nil"/>
              <w:right w:val="single" w:color="000000" w:sz="8" w:space="0"/>
            </w:tcBorders>
            <w:shd w:val="clear" w:color="auto" w:fill="auto"/>
            <w:vAlign w:val="center"/>
          </w:tcPr>
          <w:p w14:paraId="1FAE0EE9">
            <w:pPr>
              <w:widowControl/>
              <w:jc w:val="center"/>
              <w:rPr>
                <w:rFonts w:ascii="宋体" w:hAnsi="宋体" w:cs="宋体"/>
                <w:color w:val="000000"/>
                <w:kern w:val="0"/>
                <w:sz w:val="20"/>
                <w:szCs w:val="20"/>
              </w:rPr>
            </w:pPr>
            <w:r>
              <w:rPr>
                <w:rFonts w:hint="eastAsia" w:ascii="宋体" w:hAnsi="宋体" w:cs="宋体"/>
                <w:color w:val="000000"/>
                <w:kern w:val="0"/>
                <w:sz w:val="20"/>
                <w:szCs w:val="20"/>
              </w:rPr>
              <w:t>（万元）</w:t>
            </w:r>
          </w:p>
        </w:tc>
        <w:tc>
          <w:tcPr>
            <w:tcW w:w="2480" w:type="dxa"/>
            <w:gridSpan w:val="2"/>
            <w:tcBorders>
              <w:top w:val="nil"/>
              <w:left w:val="nil"/>
              <w:bottom w:val="single" w:color="auto" w:sz="8" w:space="0"/>
              <w:right w:val="single" w:color="auto" w:sz="8" w:space="0"/>
            </w:tcBorders>
            <w:shd w:val="clear" w:color="auto" w:fill="auto"/>
            <w:vAlign w:val="center"/>
          </w:tcPr>
          <w:p w14:paraId="56808DAF">
            <w:pPr>
              <w:widowControl/>
              <w:jc w:val="left"/>
              <w:rPr>
                <w:rFonts w:ascii="宋体" w:hAnsi="宋体" w:cs="宋体"/>
                <w:color w:val="000000"/>
                <w:kern w:val="0"/>
                <w:sz w:val="20"/>
                <w:szCs w:val="20"/>
              </w:rPr>
            </w:pPr>
            <w:r>
              <w:rPr>
                <w:rFonts w:hint="eastAsia" w:ascii="宋体" w:hAnsi="宋体" w:cs="宋体"/>
                <w:color w:val="000000"/>
                <w:kern w:val="0"/>
                <w:sz w:val="20"/>
                <w:szCs w:val="20"/>
              </w:rPr>
              <w:t xml:space="preserve">   其中：财政拨款</w:t>
            </w:r>
          </w:p>
        </w:tc>
        <w:tc>
          <w:tcPr>
            <w:tcW w:w="3920" w:type="dxa"/>
            <w:gridSpan w:val="2"/>
            <w:tcBorders>
              <w:top w:val="nil"/>
              <w:left w:val="nil"/>
              <w:bottom w:val="single" w:color="auto" w:sz="8" w:space="0"/>
              <w:right w:val="single" w:color="auto" w:sz="8" w:space="0"/>
            </w:tcBorders>
            <w:shd w:val="clear" w:color="auto" w:fill="auto"/>
            <w:vAlign w:val="center"/>
          </w:tcPr>
          <w:p w14:paraId="422A861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8975.25</w:t>
            </w:r>
          </w:p>
        </w:tc>
      </w:tr>
      <w:tr w14:paraId="0BA9358B">
        <w:tblPrEx>
          <w:tblCellMar>
            <w:top w:w="0" w:type="dxa"/>
            <w:left w:w="108" w:type="dxa"/>
            <w:bottom w:w="0" w:type="dxa"/>
            <w:right w:w="108" w:type="dxa"/>
          </w:tblCellMar>
        </w:tblPrEx>
        <w:trPr>
          <w:trHeight w:val="300" w:hRule="atLeast"/>
        </w:trPr>
        <w:tc>
          <w:tcPr>
            <w:tcW w:w="3060" w:type="dxa"/>
            <w:gridSpan w:val="3"/>
            <w:tcBorders>
              <w:top w:val="nil"/>
              <w:left w:val="single" w:color="auto" w:sz="8" w:space="0"/>
              <w:bottom w:val="nil"/>
              <w:right w:val="single" w:color="000000" w:sz="8" w:space="0"/>
            </w:tcBorders>
            <w:shd w:val="clear" w:color="auto" w:fill="auto"/>
            <w:noWrap/>
            <w:vAlign w:val="center"/>
          </w:tcPr>
          <w:p w14:paraId="7526942E">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2480" w:type="dxa"/>
            <w:gridSpan w:val="2"/>
            <w:tcBorders>
              <w:top w:val="nil"/>
              <w:left w:val="nil"/>
              <w:bottom w:val="single" w:color="auto" w:sz="8" w:space="0"/>
              <w:right w:val="single" w:color="auto" w:sz="8" w:space="0"/>
            </w:tcBorders>
            <w:shd w:val="clear" w:color="auto" w:fill="auto"/>
            <w:vAlign w:val="center"/>
          </w:tcPr>
          <w:p w14:paraId="54495DB3">
            <w:pPr>
              <w:widowControl/>
              <w:jc w:val="left"/>
              <w:rPr>
                <w:rFonts w:ascii="宋体" w:hAnsi="宋体" w:cs="宋体"/>
                <w:color w:val="000000"/>
                <w:kern w:val="0"/>
                <w:sz w:val="20"/>
                <w:szCs w:val="20"/>
              </w:rPr>
            </w:pPr>
            <w:r>
              <w:rPr>
                <w:rFonts w:hint="eastAsia" w:ascii="宋体" w:hAnsi="宋体" w:cs="宋体"/>
                <w:color w:val="000000"/>
                <w:kern w:val="0"/>
                <w:sz w:val="20"/>
                <w:szCs w:val="20"/>
              </w:rPr>
              <w:t xml:space="preserve">         上年结转</w:t>
            </w:r>
          </w:p>
        </w:tc>
        <w:tc>
          <w:tcPr>
            <w:tcW w:w="3920" w:type="dxa"/>
            <w:gridSpan w:val="2"/>
            <w:tcBorders>
              <w:top w:val="nil"/>
              <w:left w:val="nil"/>
              <w:bottom w:val="single" w:color="auto" w:sz="8" w:space="0"/>
              <w:right w:val="single" w:color="auto" w:sz="8" w:space="0"/>
            </w:tcBorders>
            <w:shd w:val="clear" w:color="auto" w:fill="auto"/>
            <w:vAlign w:val="center"/>
          </w:tcPr>
          <w:p w14:paraId="55B29751">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7B1D4E12">
        <w:tblPrEx>
          <w:tblCellMar>
            <w:top w:w="0" w:type="dxa"/>
            <w:left w:w="108" w:type="dxa"/>
            <w:bottom w:w="0" w:type="dxa"/>
            <w:right w:w="108" w:type="dxa"/>
          </w:tblCellMar>
        </w:tblPrEx>
        <w:trPr>
          <w:trHeight w:val="300" w:hRule="atLeast"/>
        </w:trPr>
        <w:tc>
          <w:tcPr>
            <w:tcW w:w="3060" w:type="dxa"/>
            <w:gridSpan w:val="3"/>
            <w:tcBorders>
              <w:top w:val="nil"/>
              <w:left w:val="single" w:color="auto" w:sz="8" w:space="0"/>
              <w:bottom w:val="single" w:color="auto" w:sz="8" w:space="0"/>
              <w:right w:val="single" w:color="000000" w:sz="8" w:space="0"/>
            </w:tcBorders>
            <w:shd w:val="clear" w:color="auto" w:fill="auto"/>
            <w:noWrap/>
            <w:vAlign w:val="center"/>
          </w:tcPr>
          <w:p w14:paraId="0F932060">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2480" w:type="dxa"/>
            <w:gridSpan w:val="2"/>
            <w:tcBorders>
              <w:top w:val="nil"/>
              <w:left w:val="nil"/>
              <w:bottom w:val="single" w:color="auto" w:sz="8" w:space="0"/>
              <w:right w:val="single" w:color="auto" w:sz="8" w:space="0"/>
            </w:tcBorders>
            <w:shd w:val="clear" w:color="auto" w:fill="auto"/>
            <w:vAlign w:val="center"/>
          </w:tcPr>
          <w:p w14:paraId="41F82669">
            <w:pPr>
              <w:widowControl/>
              <w:jc w:val="left"/>
              <w:rPr>
                <w:rFonts w:ascii="宋体" w:hAnsi="宋体" w:cs="宋体"/>
                <w:color w:val="000000"/>
                <w:kern w:val="0"/>
                <w:sz w:val="20"/>
                <w:szCs w:val="20"/>
              </w:rPr>
            </w:pPr>
            <w:r>
              <w:rPr>
                <w:rFonts w:hint="eastAsia" w:ascii="宋体" w:hAnsi="宋体" w:cs="宋体"/>
                <w:color w:val="000000"/>
                <w:kern w:val="0"/>
                <w:sz w:val="20"/>
                <w:szCs w:val="20"/>
              </w:rPr>
              <w:t xml:space="preserve">         其他资金</w:t>
            </w:r>
          </w:p>
        </w:tc>
        <w:tc>
          <w:tcPr>
            <w:tcW w:w="3920" w:type="dxa"/>
            <w:gridSpan w:val="2"/>
            <w:tcBorders>
              <w:top w:val="nil"/>
              <w:left w:val="nil"/>
              <w:bottom w:val="single" w:color="auto" w:sz="8" w:space="0"/>
              <w:right w:val="single" w:color="auto" w:sz="8" w:space="0"/>
            </w:tcBorders>
            <w:shd w:val="clear" w:color="auto" w:fill="auto"/>
            <w:vAlign w:val="center"/>
          </w:tcPr>
          <w:p w14:paraId="32C80C85">
            <w:pPr>
              <w:widowControl/>
              <w:jc w:val="right"/>
              <w:rPr>
                <w:rFonts w:ascii="宋体" w:hAnsi="宋体" w:cs="宋体"/>
                <w:color w:val="000000"/>
                <w:kern w:val="0"/>
                <w:sz w:val="20"/>
                <w:szCs w:val="20"/>
              </w:rPr>
            </w:pPr>
            <w:r>
              <w:rPr>
                <w:rFonts w:hint="eastAsia" w:ascii="宋体" w:hAnsi="宋体" w:cs="宋体"/>
                <w:color w:val="000000"/>
                <w:kern w:val="0"/>
                <w:sz w:val="20"/>
                <w:szCs w:val="20"/>
              </w:rPr>
              <w:t>　</w:t>
            </w:r>
          </w:p>
        </w:tc>
      </w:tr>
      <w:tr w14:paraId="1DBCE682">
        <w:tblPrEx>
          <w:tblCellMar>
            <w:top w:w="0" w:type="dxa"/>
            <w:left w:w="108" w:type="dxa"/>
            <w:bottom w:w="0" w:type="dxa"/>
            <w:right w:w="108" w:type="dxa"/>
          </w:tblCellMar>
        </w:tblPrEx>
        <w:trPr>
          <w:trHeight w:val="300" w:hRule="atLeast"/>
        </w:trPr>
        <w:tc>
          <w:tcPr>
            <w:tcW w:w="1020" w:type="dxa"/>
            <w:tcBorders>
              <w:top w:val="nil"/>
              <w:left w:val="single" w:color="auto" w:sz="8" w:space="0"/>
              <w:bottom w:val="nil"/>
              <w:right w:val="single" w:color="auto" w:sz="8" w:space="0"/>
            </w:tcBorders>
            <w:shd w:val="clear" w:color="auto" w:fill="auto"/>
            <w:vAlign w:val="center"/>
          </w:tcPr>
          <w:p w14:paraId="7F8A4D5E">
            <w:pPr>
              <w:widowControl/>
              <w:jc w:val="center"/>
              <w:rPr>
                <w:rFonts w:ascii="宋体" w:hAnsi="宋体" w:cs="宋体"/>
                <w:color w:val="000000"/>
                <w:kern w:val="0"/>
                <w:sz w:val="20"/>
                <w:szCs w:val="20"/>
              </w:rPr>
            </w:pPr>
            <w:r>
              <w:rPr>
                <w:rFonts w:hint="eastAsia" w:ascii="宋体" w:hAnsi="宋体" w:cs="宋体"/>
                <w:color w:val="000000"/>
                <w:kern w:val="0"/>
                <w:sz w:val="20"/>
                <w:szCs w:val="20"/>
              </w:rPr>
              <w:t>年度</w:t>
            </w:r>
          </w:p>
        </w:tc>
        <w:tc>
          <w:tcPr>
            <w:tcW w:w="8440" w:type="dxa"/>
            <w:gridSpan w:val="6"/>
            <w:vMerge w:val="restart"/>
            <w:tcBorders>
              <w:top w:val="nil"/>
              <w:left w:val="single" w:color="auto" w:sz="8" w:space="0"/>
              <w:bottom w:val="single" w:color="auto" w:sz="8" w:space="0"/>
              <w:right w:val="single" w:color="auto" w:sz="8" w:space="0"/>
            </w:tcBorders>
            <w:shd w:val="clear" w:color="auto" w:fill="auto"/>
            <w:vAlign w:val="center"/>
          </w:tcPr>
          <w:p w14:paraId="57496B57">
            <w:pPr>
              <w:widowControl/>
              <w:jc w:val="left"/>
              <w:rPr>
                <w:rFonts w:ascii="宋体" w:hAnsi="宋体" w:cs="宋体"/>
                <w:color w:val="000000"/>
                <w:kern w:val="0"/>
                <w:sz w:val="20"/>
                <w:szCs w:val="20"/>
              </w:rPr>
            </w:pPr>
            <w:r>
              <w:rPr>
                <w:rFonts w:hint="eastAsia" w:ascii="宋体" w:hAnsi="宋体" w:cs="宋体"/>
                <w:color w:val="000000"/>
                <w:kern w:val="0"/>
                <w:sz w:val="20"/>
                <w:szCs w:val="20"/>
              </w:rPr>
              <w:t>足额按月通过财政涉农补助“一卡通”支付平台打卡发放。通过发放优抚对象抚恤补助金，使优抚对象等人员的基本生活得到有效保障和改善。</w:t>
            </w:r>
          </w:p>
        </w:tc>
      </w:tr>
      <w:tr w14:paraId="173F8C58">
        <w:tblPrEx>
          <w:tblCellMar>
            <w:top w:w="0" w:type="dxa"/>
            <w:left w:w="108" w:type="dxa"/>
            <w:bottom w:w="0" w:type="dxa"/>
            <w:right w:w="108" w:type="dxa"/>
          </w:tblCellMar>
        </w:tblPrEx>
        <w:trPr>
          <w:trHeight w:val="270" w:hRule="atLeast"/>
        </w:trPr>
        <w:tc>
          <w:tcPr>
            <w:tcW w:w="1020" w:type="dxa"/>
            <w:tcBorders>
              <w:top w:val="nil"/>
              <w:left w:val="single" w:color="auto" w:sz="8" w:space="0"/>
              <w:bottom w:val="single" w:color="auto" w:sz="8" w:space="0"/>
              <w:right w:val="single" w:color="auto" w:sz="8" w:space="0"/>
            </w:tcBorders>
            <w:shd w:val="clear" w:color="auto" w:fill="auto"/>
            <w:vAlign w:val="center"/>
          </w:tcPr>
          <w:p w14:paraId="6A791E7D">
            <w:pPr>
              <w:widowControl/>
              <w:jc w:val="center"/>
              <w:rPr>
                <w:rFonts w:ascii="宋体" w:hAnsi="宋体" w:cs="宋体"/>
                <w:color w:val="000000"/>
                <w:kern w:val="0"/>
                <w:sz w:val="20"/>
                <w:szCs w:val="20"/>
              </w:rPr>
            </w:pPr>
            <w:r>
              <w:rPr>
                <w:rFonts w:hint="eastAsia" w:ascii="宋体" w:hAnsi="宋体" w:cs="宋体"/>
                <w:color w:val="000000"/>
                <w:kern w:val="0"/>
                <w:sz w:val="20"/>
                <w:szCs w:val="20"/>
              </w:rPr>
              <w:t>目标</w:t>
            </w:r>
          </w:p>
        </w:tc>
        <w:tc>
          <w:tcPr>
            <w:tcW w:w="8440" w:type="dxa"/>
            <w:gridSpan w:val="6"/>
            <w:vMerge w:val="continue"/>
            <w:tcBorders>
              <w:top w:val="nil"/>
              <w:left w:val="single" w:color="auto" w:sz="8" w:space="0"/>
              <w:bottom w:val="single" w:color="auto" w:sz="8" w:space="0"/>
              <w:right w:val="single" w:color="auto" w:sz="8" w:space="0"/>
            </w:tcBorders>
            <w:vAlign w:val="center"/>
          </w:tcPr>
          <w:p w14:paraId="619ADC47">
            <w:pPr>
              <w:widowControl/>
              <w:jc w:val="left"/>
              <w:rPr>
                <w:rFonts w:ascii="宋体" w:hAnsi="宋体" w:cs="宋体"/>
                <w:color w:val="000000"/>
                <w:kern w:val="0"/>
                <w:sz w:val="20"/>
                <w:szCs w:val="20"/>
              </w:rPr>
            </w:pPr>
          </w:p>
        </w:tc>
      </w:tr>
      <w:tr w14:paraId="7C980A41">
        <w:tblPrEx>
          <w:tblCellMar>
            <w:top w:w="0" w:type="dxa"/>
            <w:left w:w="108" w:type="dxa"/>
            <w:bottom w:w="0" w:type="dxa"/>
            <w:right w:w="108" w:type="dxa"/>
          </w:tblCellMar>
        </w:tblPrEx>
        <w:trPr>
          <w:trHeight w:val="300" w:hRule="atLeast"/>
        </w:trPr>
        <w:tc>
          <w:tcPr>
            <w:tcW w:w="1020" w:type="dxa"/>
            <w:tcBorders>
              <w:top w:val="nil"/>
              <w:left w:val="single" w:color="auto" w:sz="8" w:space="0"/>
              <w:bottom w:val="nil"/>
              <w:right w:val="single" w:color="auto" w:sz="8" w:space="0"/>
            </w:tcBorders>
            <w:shd w:val="clear" w:color="auto" w:fill="auto"/>
            <w:vAlign w:val="center"/>
          </w:tcPr>
          <w:p w14:paraId="40C30EB9">
            <w:pPr>
              <w:widowControl/>
              <w:jc w:val="center"/>
              <w:rPr>
                <w:rFonts w:ascii="宋体" w:hAnsi="宋体" w:cs="宋体"/>
                <w:color w:val="000000"/>
                <w:kern w:val="0"/>
                <w:sz w:val="20"/>
                <w:szCs w:val="20"/>
              </w:rPr>
            </w:pPr>
            <w:r>
              <w:rPr>
                <w:rFonts w:hint="eastAsia" w:ascii="宋体" w:hAnsi="宋体" w:cs="宋体"/>
                <w:color w:val="000000"/>
                <w:kern w:val="0"/>
                <w:sz w:val="20"/>
                <w:szCs w:val="20"/>
              </w:rPr>
              <w:t>绩</w:t>
            </w:r>
          </w:p>
        </w:tc>
        <w:tc>
          <w:tcPr>
            <w:tcW w:w="1020" w:type="dxa"/>
            <w:tcBorders>
              <w:top w:val="nil"/>
              <w:left w:val="nil"/>
              <w:bottom w:val="nil"/>
              <w:right w:val="single" w:color="auto" w:sz="8" w:space="0"/>
            </w:tcBorders>
            <w:shd w:val="clear" w:color="auto" w:fill="auto"/>
            <w:vAlign w:val="center"/>
          </w:tcPr>
          <w:p w14:paraId="5D6E3E4E">
            <w:pPr>
              <w:widowControl/>
              <w:jc w:val="center"/>
              <w:rPr>
                <w:rFonts w:ascii="宋体" w:hAnsi="宋体" w:cs="宋体"/>
                <w:color w:val="000000"/>
                <w:kern w:val="0"/>
                <w:sz w:val="20"/>
                <w:szCs w:val="20"/>
              </w:rPr>
            </w:pPr>
            <w:r>
              <w:rPr>
                <w:rFonts w:hint="eastAsia" w:ascii="宋体" w:hAnsi="宋体" w:cs="宋体"/>
                <w:color w:val="000000"/>
                <w:kern w:val="0"/>
                <w:sz w:val="20"/>
                <w:szCs w:val="20"/>
              </w:rPr>
              <w:t>一级</w:t>
            </w:r>
          </w:p>
        </w:tc>
        <w:tc>
          <w:tcPr>
            <w:tcW w:w="2260" w:type="dxa"/>
            <w:gridSpan w:val="2"/>
            <w:vMerge w:val="restart"/>
            <w:tcBorders>
              <w:top w:val="single" w:color="auto" w:sz="8" w:space="0"/>
              <w:left w:val="single" w:color="auto" w:sz="8" w:space="0"/>
              <w:bottom w:val="single" w:color="auto" w:sz="8" w:space="0"/>
              <w:right w:val="single" w:color="auto" w:sz="8" w:space="0"/>
            </w:tcBorders>
            <w:shd w:val="clear" w:color="auto" w:fill="auto"/>
            <w:vAlign w:val="center"/>
          </w:tcPr>
          <w:p w14:paraId="373AC673">
            <w:pPr>
              <w:widowControl/>
              <w:jc w:val="center"/>
              <w:rPr>
                <w:rFonts w:ascii="宋体" w:hAnsi="宋体" w:cs="宋体"/>
                <w:color w:val="000000"/>
                <w:kern w:val="0"/>
                <w:sz w:val="20"/>
                <w:szCs w:val="20"/>
              </w:rPr>
            </w:pPr>
            <w:r>
              <w:rPr>
                <w:rFonts w:hint="eastAsia" w:ascii="宋体" w:hAnsi="宋体" w:cs="宋体"/>
                <w:color w:val="000000"/>
                <w:kern w:val="0"/>
                <w:sz w:val="20"/>
                <w:szCs w:val="20"/>
              </w:rPr>
              <w:t>二级指标</w:t>
            </w:r>
          </w:p>
        </w:tc>
        <w:tc>
          <w:tcPr>
            <w:tcW w:w="1240" w:type="dxa"/>
            <w:vMerge w:val="restart"/>
            <w:tcBorders>
              <w:top w:val="nil"/>
              <w:left w:val="single" w:color="auto" w:sz="8" w:space="0"/>
              <w:bottom w:val="single" w:color="auto" w:sz="8" w:space="0"/>
              <w:right w:val="single" w:color="auto" w:sz="8" w:space="0"/>
            </w:tcBorders>
            <w:shd w:val="clear" w:color="auto" w:fill="auto"/>
            <w:vAlign w:val="center"/>
          </w:tcPr>
          <w:p w14:paraId="206CBEB0">
            <w:pPr>
              <w:widowControl/>
              <w:jc w:val="center"/>
              <w:rPr>
                <w:rFonts w:ascii="宋体" w:hAnsi="宋体" w:cs="宋体"/>
                <w:color w:val="000000"/>
                <w:kern w:val="0"/>
                <w:sz w:val="20"/>
                <w:szCs w:val="20"/>
              </w:rPr>
            </w:pPr>
            <w:r>
              <w:rPr>
                <w:rFonts w:hint="eastAsia" w:ascii="宋体" w:hAnsi="宋体" w:cs="宋体"/>
                <w:color w:val="000000"/>
                <w:kern w:val="0"/>
                <w:sz w:val="20"/>
                <w:szCs w:val="20"/>
              </w:rPr>
              <w:t>三级指标</w:t>
            </w:r>
          </w:p>
        </w:tc>
        <w:tc>
          <w:tcPr>
            <w:tcW w:w="3920" w:type="dxa"/>
            <w:gridSpan w:val="2"/>
            <w:vMerge w:val="restart"/>
            <w:tcBorders>
              <w:top w:val="single" w:color="auto" w:sz="8" w:space="0"/>
              <w:left w:val="single" w:color="auto" w:sz="8" w:space="0"/>
              <w:bottom w:val="single" w:color="auto" w:sz="8" w:space="0"/>
              <w:right w:val="single" w:color="auto" w:sz="8" w:space="0"/>
            </w:tcBorders>
            <w:shd w:val="clear" w:color="auto" w:fill="auto"/>
            <w:vAlign w:val="center"/>
          </w:tcPr>
          <w:p w14:paraId="7B4F91ED">
            <w:pPr>
              <w:widowControl/>
              <w:jc w:val="center"/>
              <w:rPr>
                <w:rFonts w:ascii="宋体" w:hAnsi="宋体" w:cs="宋体"/>
                <w:color w:val="000000"/>
                <w:kern w:val="0"/>
                <w:sz w:val="20"/>
                <w:szCs w:val="20"/>
              </w:rPr>
            </w:pPr>
            <w:r>
              <w:rPr>
                <w:rFonts w:hint="eastAsia" w:ascii="宋体" w:hAnsi="宋体" w:cs="宋体"/>
                <w:color w:val="000000"/>
                <w:kern w:val="0"/>
                <w:sz w:val="20"/>
                <w:szCs w:val="20"/>
              </w:rPr>
              <w:t>指标值</w:t>
            </w:r>
          </w:p>
        </w:tc>
      </w:tr>
      <w:tr w14:paraId="3A7B716B">
        <w:tblPrEx>
          <w:tblCellMar>
            <w:top w:w="0" w:type="dxa"/>
            <w:left w:w="108" w:type="dxa"/>
            <w:bottom w:w="0" w:type="dxa"/>
            <w:right w:w="108" w:type="dxa"/>
          </w:tblCellMar>
        </w:tblPrEx>
        <w:trPr>
          <w:trHeight w:val="285" w:hRule="atLeast"/>
        </w:trPr>
        <w:tc>
          <w:tcPr>
            <w:tcW w:w="1020" w:type="dxa"/>
            <w:tcBorders>
              <w:top w:val="nil"/>
              <w:left w:val="single" w:color="auto" w:sz="8" w:space="0"/>
              <w:bottom w:val="nil"/>
              <w:right w:val="single" w:color="auto" w:sz="8" w:space="0"/>
            </w:tcBorders>
            <w:shd w:val="clear" w:color="auto" w:fill="auto"/>
            <w:vAlign w:val="center"/>
          </w:tcPr>
          <w:p w14:paraId="4BC76CA6">
            <w:pPr>
              <w:widowControl/>
              <w:jc w:val="center"/>
              <w:rPr>
                <w:rFonts w:ascii="宋体" w:hAnsi="宋体" w:cs="宋体"/>
                <w:color w:val="000000"/>
                <w:kern w:val="0"/>
                <w:sz w:val="20"/>
                <w:szCs w:val="20"/>
              </w:rPr>
            </w:pPr>
            <w:r>
              <w:rPr>
                <w:rFonts w:hint="eastAsia" w:ascii="宋体" w:hAnsi="宋体" w:cs="宋体"/>
                <w:color w:val="000000"/>
                <w:kern w:val="0"/>
                <w:sz w:val="20"/>
                <w:szCs w:val="20"/>
              </w:rPr>
              <w:t>效</w:t>
            </w:r>
          </w:p>
        </w:tc>
        <w:tc>
          <w:tcPr>
            <w:tcW w:w="1020" w:type="dxa"/>
            <w:tcBorders>
              <w:top w:val="nil"/>
              <w:left w:val="nil"/>
              <w:bottom w:val="single" w:color="auto" w:sz="8" w:space="0"/>
              <w:right w:val="single" w:color="auto" w:sz="8" w:space="0"/>
            </w:tcBorders>
            <w:shd w:val="clear" w:color="auto" w:fill="auto"/>
            <w:vAlign w:val="center"/>
          </w:tcPr>
          <w:p w14:paraId="512B3E52">
            <w:pPr>
              <w:widowControl/>
              <w:jc w:val="center"/>
              <w:rPr>
                <w:rFonts w:ascii="宋体" w:hAnsi="宋体" w:cs="宋体"/>
                <w:color w:val="000000"/>
                <w:kern w:val="0"/>
                <w:sz w:val="20"/>
                <w:szCs w:val="20"/>
              </w:rPr>
            </w:pPr>
            <w:r>
              <w:rPr>
                <w:rFonts w:hint="eastAsia" w:ascii="宋体" w:hAnsi="宋体" w:cs="宋体"/>
                <w:color w:val="000000"/>
                <w:kern w:val="0"/>
                <w:sz w:val="20"/>
                <w:szCs w:val="20"/>
              </w:rPr>
              <w:t>指标</w:t>
            </w:r>
          </w:p>
        </w:tc>
        <w:tc>
          <w:tcPr>
            <w:tcW w:w="2260" w:type="dxa"/>
            <w:gridSpan w:val="2"/>
            <w:vMerge w:val="continue"/>
            <w:tcBorders>
              <w:top w:val="nil"/>
              <w:left w:val="nil"/>
              <w:bottom w:val="single" w:color="auto" w:sz="8" w:space="0"/>
              <w:right w:val="single" w:color="auto" w:sz="8" w:space="0"/>
            </w:tcBorders>
            <w:vAlign w:val="center"/>
          </w:tcPr>
          <w:p w14:paraId="5BFDC4C7">
            <w:pPr>
              <w:widowControl/>
              <w:jc w:val="left"/>
              <w:rPr>
                <w:rFonts w:ascii="宋体" w:hAnsi="宋体" w:cs="宋体"/>
                <w:color w:val="000000"/>
                <w:kern w:val="0"/>
                <w:sz w:val="20"/>
                <w:szCs w:val="20"/>
              </w:rPr>
            </w:pPr>
          </w:p>
        </w:tc>
        <w:tc>
          <w:tcPr>
            <w:tcW w:w="1240" w:type="dxa"/>
            <w:vMerge w:val="continue"/>
            <w:tcBorders>
              <w:top w:val="nil"/>
              <w:left w:val="single" w:color="auto" w:sz="8" w:space="0"/>
              <w:bottom w:val="single" w:color="auto" w:sz="8" w:space="0"/>
              <w:right w:val="single" w:color="auto" w:sz="8" w:space="0"/>
            </w:tcBorders>
            <w:vAlign w:val="center"/>
          </w:tcPr>
          <w:p w14:paraId="04EAE6F6">
            <w:pPr>
              <w:widowControl/>
              <w:jc w:val="left"/>
              <w:rPr>
                <w:rFonts w:ascii="宋体" w:hAnsi="宋体" w:cs="宋体"/>
                <w:color w:val="000000"/>
                <w:kern w:val="0"/>
                <w:sz w:val="20"/>
                <w:szCs w:val="20"/>
              </w:rPr>
            </w:pPr>
          </w:p>
        </w:tc>
        <w:tc>
          <w:tcPr>
            <w:tcW w:w="3920" w:type="dxa"/>
            <w:gridSpan w:val="2"/>
            <w:vMerge w:val="continue"/>
            <w:tcBorders>
              <w:top w:val="single" w:color="auto" w:sz="8" w:space="0"/>
              <w:left w:val="single" w:color="auto" w:sz="8" w:space="0"/>
              <w:bottom w:val="single" w:color="auto" w:sz="8" w:space="0"/>
              <w:right w:val="single" w:color="auto" w:sz="8" w:space="0"/>
            </w:tcBorders>
            <w:vAlign w:val="center"/>
          </w:tcPr>
          <w:p w14:paraId="5B0BD683">
            <w:pPr>
              <w:widowControl/>
              <w:jc w:val="left"/>
              <w:rPr>
                <w:rFonts w:ascii="宋体" w:hAnsi="宋体" w:cs="宋体"/>
                <w:color w:val="000000"/>
                <w:kern w:val="0"/>
                <w:sz w:val="20"/>
                <w:szCs w:val="20"/>
              </w:rPr>
            </w:pPr>
          </w:p>
        </w:tc>
      </w:tr>
      <w:tr w14:paraId="478C15F6">
        <w:tblPrEx>
          <w:tblCellMar>
            <w:top w:w="0" w:type="dxa"/>
            <w:left w:w="108" w:type="dxa"/>
            <w:bottom w:w="0" w:type="dxa"/>
            <w:right w:w="108" w:type="dxa"/>
          </w:tblCellMar>
        </w:tblPrEx>
        <w:trPr>
          <w:trHeight w:val="402" w:hRule="atLeast"/>
        </w:trPr>
        <w:tc>
          <w:tcPr>
            <w:tcW w:w="1020" w:type="dxa"/>
            <w:tcBorders>
              <w:top w:val="nil"/>
              <w:left w:val="single" w:color="auto" w:sz="8" w:space="0"/>
              <w:bottom w:val="nil"/>
              <w:right w:val="single" w:color="auto" w:sz="8" w:space="0"/>
            </w:tcBorders>
            <w:shd w:val="clear" w:color="auto" w:fill="auto"/>
            <w:vAlign w:val="center"/>
          </w:tcPr>
          <w:p w14:paraId="57271A9C">
            <w:pPr>
              <w:widowControl/>
              <w:jc w:val="center"/>
              <w:rPr>
                <w:rFonts w:ascii="宋体" w:hAnsi="宋体" w:cs="宋体"/>
                <w:color w:val="000000"/>
                <w:kern w:val="0"/>
                <w:sz w:val="20"/>
                <w:szCs w:val="20"/>
              </w:rPr>
            </w:pPr>
            <w:r>
              <w:rPr>
                <w:rFonts w:hint="eastAsia" w:ascii="宋体" w:hAnsi="宋体" w:cs="宋体"/>
                <w:color w:val="000000"/>
                <w:kern w:val="0"/>
                <w:sz w:val="20"/>
                <w:szCs w:val="20"/>
              </w:rPr>
              <w:t>指</w:t>
            </w:r>
          </w:p>
        </w:tc>
        <w:tc>
          <w:tcPr>
            <w:tcW w:w="1020" w:type="dxa"/>
            <w:vMerge w:val="restart"/>
            <w:tcBorders>
              <w:top w:val="nil"/>
              <w:left w:val="single" w:color="auto" w:sz="8" w:space="0"/>
              <w:bottom w:val="single" w:color="auto" w:sz="8" w:space="0"/>
              <w:right w:val="single" w:color="auto" w:sz="8" w:space="0"/>
            </w:tcBorders>
            <w:shd w:val="clear" w:color="auto" w:fill="auto"/>
            <w:vAlign w:val="center"/>
          </w:tcPr>
          <w:p w14:paraId="2B108EF2">
            <w:pPr>
              <w:widowControl/>
              <w:jc w:val="center"/>
              <w:rPr>
                <w:rFonts w:ascii="宋体" w:hAnsi="宋体" w:cs="宋体"/>
                <w:color w:val="000000"/>
                <w:kern w:val="0"/>
                <w:sz w:val="20"/>
                <w:szCs w:val="20"/>
              </w:rPr>
            </w:pPr>
            <w:r>
              <w:rPr>
                <w:rFonts w:hint="eastAsia" w:ascii="宋体" w:hAnsi="宋体" w:cs="宋体"/>
                <w:color w:val="000000"/>
                <w:kern w:val="0"/>
                <w:sz w:val="20"/>
                <w:szCs w:val="20"/>
              </w:rPr>
              <w:t>产出指标</w:t>
            </w:r>
          </w:p>
        </w:tc>
        <w:tc>
          <w:tcPr>
            <w:tcW w:w="2260" w:type="dxa"/>
            <w:gridSpan w:val="2"/>
            <w:vMerge w:val="restart"/>
            <w:tcBorders>
              <w:top w:val="nil"/>
              <w:left w:val="single" w:color="auto" w:sz="8" w:space="0"/>
              <w:bottom w:val="single" w:color="auto" w:sz="8" w:space="0"/>
              <w:right w:val="single" w:color="auto" w:sz="8" w:space="0"/>
            </w:tcBorders>
            <w:shd w:val="clear" w:color="auto" w:fill="auto"/>
            <w:vAlign w:val="center"/>
          </w:tcPr>
          <w:p w14:paraId="578FB5CC">
            <w:pPr>
              <w:widowControl/>
              <w:jc w:val="center"/>
              <w:rPr>
                <w:rFonts w:ascii="宋体" w:hAnsi="宋体" w:cs="宋体"/>
                <w:color w:val="000000"/>
                <w:kern w:val="0"/>
                <w:sz w:val="20"/>
                <w:szCs w:val="20"/>
              </w:rPr>
            </w:pPr>
            <w:r>
              <w:rPr>
                <w:rFonts w:hint="eastAsia" w:ascii="宋体" w:hAnsi="宋体" w:cs="宋体"/>
                <w:color w:val="000000"/>
                <w:kern w:val="0"/>
                <w:sz w:val="20"/>
                <w:szCs w:val="20"/>
              </w:rPr>
              <w:t>数量指标</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14:paraId="20B232AD">
            <w:pPr>
              <w:keepNext w:val="0"/>
              <w:keepLines w:val="0"/>
              <w:widowControl/>
              <w:suppressLineNumbers w:val="0"/>
              <w:jc w:val="left"/>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金额</w:t>
            </w:r>
          </w:p>
        </w:tc>
        <w:tc>
          <w:tcPr>
            <w:tcW w:w="3920" w:type="dxa"/>
            <w:gridSpan w:val="2"/>
            <w:vMerge w:val="restart"/>
            <w:tcBorders>
              <w:top w:val="single" w:color="auto" w:sz="8" w:space="0"/>
              <w:left w:val="single" w:color="auto" w:sz="8" w:space="0"/>
              <w:bottom w:val="single" w:color="000000" w:sz="8" w:space="0"/>
              <w:right w:val="single" w:color="000000" w:sz="8" w:space="0"/>
            </w:tcBorders>
            <w:shd w:val="clear" w:color="auto" w:fill="auto"/>
            <w:vAlign w:val="center"/>
          </w:tcPr>
          <w:p w14:paraId="75E7AFAE">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8975.25万元</w:t>
            </w:r>
          </w:p>
        </w:tc>
      </w:tr>
      <w:tr w14:paraId="7A37849F">
        <w:tblPrEx>
          <w:tblCellMar>
            <w:top w:w="0" w:type="dxa"/>
            <w:left w:w="108" w:type="dxa"/>
            <w:bottom w:w="0" w:type="dxa"/>
            <w:right w:w="108" w:type="dxa"/>
          </w:tblCellMar>
        </w:tblPrEx>
        <w:trPr>
          <w:trHeight w:val="402" w:hRule="atLeast"/>
        </w:trPr>
        <w:tc>
          <w:tcPr>
            <w:tcW w:w="1020" w:type="dxa"/>
            <w:tcBorders>
              <w:top w:val="nil"/>
              <w:left w:val="single" w:color="auto" w:sz="8" w:space="0"/>
              <w:bottom w:val="nil"/>
              <w:right w:val="single" w:color="auto" w:sz="8" w:space="0"/>
            </w:tcBorders>
            <w:shd w:val="clear" w:color="auto" w:fill="auto"/>
            <w:vAlign w:val="center"/>
          </w:tcPr>
          <w:p w14:paraId="729D300B">
            <w:pPr>
              <w:widowControl/>
              <w:jc w:val="center"/>
              <w:rPr>
                <w:rFonts w:ascii="宋体" w:hAnsi="宋体" w:cs="宋体"/>
                <w:color w:val="000000"/>
                <w:kern w:val="0"/>
                <w:sz w:val="20"/>
                <w:szCs w:val="20"/>
              </w:rPr>
            </w:pPr>
            <w:r>
              <w:rPr>
                <w:rFonts w:hint="eastAsia" w:ascii="宋体" w:hAnsi="宋体" w:cs="宋体"/>
                <w:color w:val="000000"/>
                <w:kern w:val="0"/>
                <w:sz w:val="20"/>
                <w:szCs w:val="20"/>
              </w:rPr>
              <w:t>标</w:t>
            </w:r>
          </w:p>
        </w:tc>
        <w:tc>
          <w:tcPr>
            <w:tcW w:w="1020" w:type="dxa"/>
            <w:vMerge w:val="continue"/>
            <w:tcBorders>
              <w:top w:val="nil"/>
              <w:left w:val="single" w:color="auto" w:sz="8" w:space="0"/>
              <w:bottom w:val="single" w:color="auto" w:sz="8" w:space="0"/>
              <w:right w:val="single" w:color="auto" w:sz="8" w:space="0"/>
            </w:tcBorders>
            <w:vAlign w:val="center"/>
          </w:tcPr>
          <w:p w14:paraId="20B616A8">
            <w:pPr>
              <w:widowControl/>
              <w:jc w:val="left"/>
              <w:rPr>
                <w:rFonts w:ascii="宋体" w:hAnsi="宋体" w:cs="宋体"/>
                <w:color w:val="000000"/>
                <w:kern w:val="0"/>
                <w:sz w:val="20"/>
                <w:szCs w:val="20"/>
              </w:rPr>
            </w:pPr>
          </w:p>
        </w:tc>
        <w:tc>
          <w:tcPr>
            <w:tcW w:w="2260" w:type="dxa"/>
            <w:gridSpan w:val="2"/>
            <w:vMerge w:val="continue"/>
            <w:tcBorders>
              <w:top w:val="nil"/>
              <w:left w:val="single" w:color="auto" w:sz="8" w:space="0"/>
              <w:bottom w:val="single" w:color="auto" w:sz="8" w:space="0"/>
              <w:right w:val="single" w:color="auto" w:sz="8" w:space="0"/>
            </w:tcBorders>
            <w:vAlign w:val="center"/>
          </w:tcPr>
          <w:p w14:paraId="32D53370">
            <w:pPr>
              <w:widowControl/>
              <w:jc w:val="left"/>
              <w:rPr>
                <w:rFonts w:ascii="宋体" w:hAnsi="宋体" w:cs="宋体"/>
                <w:color w:val="000000"/>
                <w:kern w:val="0"/>
                <w:sz w:val="20"/>
                <w:szCs w:val="20"/>
              </w:rPr>
            </w:pPr>
          </w:p>
        </w:tc>
        <w:tc>
          <w:tcPr>
            <w:tcW w:w="1240" w:type="dxa"/>
            <w:vMerge w:val="continue"/>
            <w:tcBorders>
              <w:top w:val="nil"/>
              <w:left w:val="single" w:color="auto" w:sz="8" w:space="0"/>
              <w:bottom w:val="single" w:color="000000" w:sz="8" w:space="0"/>
              <w:right w:val="single" w:color="auto" w:sz="8" w:space="0"/>
            </w:tcBorders>
            <w:vAlign w:val="center"/>
          </w:tcPr>
          <w:p w14:paraId="5255B8C6">
            <w:pPr>
              <w:widowControl/>
              <w:jc w:val="left"/>
              <w:rPr>
                <w:rFonts w:ascii="宋体" w:hAnsi="宋体" w:cs="宋体"/>
                <w:color w:val="000000"/>
                <w:kern w:val="0"/>
                <w:sz w:val="20"/>
                <w:szCs w:val="20"/>
              </w:rPr>
            </w:pPr>
          </w:p>
        </w:tc>
        <w:tc>
          <w:tcPr>
            <w:tcW w:w="3920" w:type="dxa"/>
            <w:gridSpan w:val="2"/>
            <w:vMerge w:val="continue"/>
            <w:tcBorders>
              <w:top w:val="single" w:color="auto" w:sz="8" w:space="0"/>
              <w:left w:val="single" w:color="auto" w:sz="8" w:space="0"/>
              <w:bottom w:val="single" w:color="000000" w:sz="8" w:space="0"/>
              <w:right w:val="single" w:color="000000" w:sz="8" w:space="0"/>
            </w:tcBorders>
            <w:vAlign w:val="center"/>
          </w:tcPr>
          <w:p w14:paraId="67EC7D6B">
            <w:pPr>
              <w:widowControl/>
              <w:jc w:val="left"/>
              <w:rPr>
                <w:rFonts w:ascii="宋体" w:hAnsi="宋体" w:cs="宋体"/>
                <w:color w:val="000000"/>
                <w:kern w:val="0"/>
                <w:sz w:val="20"/>
                <w:szCs w:val="20"/>
              </w:rPr>
            </w:pPr>
          </w:p>
        </w:tc>
      </w:tr>
      <w:tr w14:paraId="188BE287">
        <w:tblPrEx>
          <w:tblCellMar>
            <w:top w:w="0" w:type="dxa"/>
            <w:left w:w="108" w:type="dxa"/>
            <w:bottom w:w="0" w:type="dxa"/>
            <w:right w:w="108" w:type="dxa"/>
          </w:tblCellMar>
        </w:tblPrEx>
        <w:trPr>
          <w:trHeight w:val="402" w:hRule="atLeast"/>
        </w:trPr>
        <w:tc>
          <w:tcPr>
            <w:tcW w:w="1020" w:type="dxa"/>
            <w:tcBorders>
              <w:top w:val="nil"/>
              <w:left w:val="single" w:color="auto" w:sz="8" w:space="0"/>
              <w:bottom w:val="nil"/>
              <w:right w:val="single" w:color="auto" w:sz="8" w:space="0"/>
            </w:tcBorders>
            <w:shd w:val="clear" w:color="auto" w:fill="auto"/>
            <w:noWrap/>
            <w:vAlign w:val="center"/>
          </w:tcPr>
          <w:p w14:paraId="7652B593">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020" w:type="dxa"/>
            <w:vMerge w:val="continue"/>
            <w:tcBorders>
              <w:top w:val="nil"/>
              <w:left w:val="single" w:color="auto" w:sz="8" w:space="0"/>
              <w:bottom w:val="single" w:color="auto" w:sz="8" w:space="0"/>
              <w:right w:val="single" w:color="auto" w:sz="8" w:space="0"/>
            </w:tcBorders>
            <w:vAlign w:val="center"/>
          </w:tcPr>
          <w:p w14:paraId="09F1728D">
            <w:pPr>
              <w:widowControl/>
              <w:jc w:val="left"/>
              <w:rPr>
                <w:rFonts w:ascii="宋体" w:hAnsi="宋体" w:cs="宋体"/>
                <w:color w:val="000000"/>
                <w:kern w:val="0"/>
                <w:sz w:val="20"/>
                <w:szCs w:val="20"/>
              </w:rPr>
            </w:pPr>
          </w:p>
        </w:tc>
        <w:tc>
          <w:tcPr>
            <w:tcW w:w="2260" w:type="dxa"/>
            <w:gridSpan w:val="2"/>
            <w:vMerge w:val="restart"/>
            <w:tcBorders>
              <w:top w:val="nil"/>
              <w:left w:val="single" w:color="auto" w:sz="8" w:space="0"/>
              <w:bottom w:val="single" w:color="auto" w:sz="8" w:space="0"/>
              <w:right w:val="single" w:color="auto" w:sz="8" w:space="0"/>
            </w:tcBorders>
            <w:shd w:val="clear" w:color="auto" w:fill="auto"/>
            <w:vAlign w:val="center"/>
          </w:tcPr>
          <w:p w14:paraId="211E5DDA">
            <w:pPr>
              <w:widowControl/>
              <w:jc w:val="center"/>
              <w:rPr>
                <w:rFonts w:ascii="宋体" w:hAnsi="宋体" w:cs="宋体"/>
                <w:color w:val="000000"/>
                <w:kern w:val="0"/>
                <w:sz w:val="20"/>
                <w:szCs w:val="20"/>
              </w:rPr>
            </w:pPr>
            <w:r>
              <w:rPr>
                <w:rFonts w:hint="eastAsia" w:ascii="宋体" w:hAnsi="宋体" w:cs="宋体"/>
                <w:color w:val="000000"/>
                <w:kern w:val="0"/>
                <w:sz w:val="20"/>
                <w:szCs w:val="20"/>
              </w:rPr>
              <w:t>质量指标</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14:paraId="0F67607D">
            <w:pPr>
              <w:keepNext w:val="0"/>
              <w:keepLines w:val="0"/>
              <w:widowControl/>
              <w:suppressLineNumbers w:val="0"/>
              <w:jc w:val="left"/>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支出率</w:t>
            </w:r>
          </w:p>
        </w:tc>
        <w:tc>
          <w:tcPr>
            <w:tcW w:w="3920" w:type="dxa"/>
            <w:gridSpan w:val="2"/>
            <w:vMerge w:val="restart"/>
            <w:tcBorders>
              <w:top w:val="single" w:color="auto" w:sz="8" w:space="0"/>
              <w:left w:val="single" w:color="auto" w:sz="8" w:space="0"/>
              <w:bottom w:val="single" w:color="000000" w:sz="8" w:space="0"/>
              <w:right w:val="single" w:color="000000" w:sz="8" w:space="0"/>
            </w:tcBorders>
            <w:shd w:val="clear" w:color="auto" w:fill="auto"/>
            <w:vAlign w:val="center"/>
          </w:tcPr>
          <w:p w14:paraId="31165DA4">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90%</w:t>
            </w:r>
          </w:p>
        </w:tc>
      </w:tr>
      <w:tr w14:paraId="3BA297B7">
        <w:tblPrEx>
          <w:tblCellMar>
            <w:top w:w="0" w:type="dxa"/>
            <w:left w:w="108" w:type="dxa"/>
            <w:bottom w:w="0" w:type="dxa"/>
            <w:right w:w="108" w:type="dxa"/>
          </w:tblCellMar>
        </w:tblPrEx>
        <w:trPr>
          <w:trHeight w:val="402" w:hRule="atLeast"/>
        </w:trPr>
        <w:tc>
          <w:tcPr>
            <w:tcW w:w="1020" w:type="dxa"/>
            <w:tcBorders>
              <w:top w:val="nil"/>
              <w:left w:val="single" w:color="auto" w:sz="8" w:space="0"/>
              <w:bottom w:val="nil"/>
              <w:right w:val="single" w:color="auto" w:sz="8" w:space="0"/>
            </w:tcBorders>
            <w:shd w:val="clear" w:color="auto" w:fill="auto"/>
            <w:noWrap/>
            <w:vAlign w:val="center"/>
          </w:tcPr>
          <w:p w14:paraId="677709CC">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020" w:type="dxa"/>
            <w:vMerge w:val="continue"/>
            <w:tcBorders>
              <w:top w:val="nil"/>
              <w:left w:val="single" w:color="auto" w:sz="8" w:space="0"/>
              <w:bottom w:val="single" w:color="auto" w:sz="8" w:space="0"/>
              <w:right w:val="single" w:color="auto" w:sz="8" w:space="0"/>
            </w:tcBorders>
            <w:vAlign w:val="center"/>
          </w:tcPr>
          <w:p w14:paraId="7F60CFA2">
            <w:pPr>
              <w:widowControl/>
              <w:jc w:val="left"/>
              <w:rPr>
                <w:rFonts w:ascii="宋体" w:hAnsi="宋体" w:cs="宋体"/>
                <w:color w:val="000000"/>
                <w:kern w:val="0"/>
                <w:sz w:val="20"/>
                <w:szCs w:val="20"/>
              </w:rPr>
            </w:pPr>
          </w:p>
        </w:tc>
        <w:tc>
          <w:tcPr>
            <w:tcW w:w="2260" w:type="dxa"/>
            <w:gridSpan w:val="2"/>
            <w:vMerge w:val="continue"/>
            <w:tcBorders>
              <w:top w:val="nil"/>
              <w:left w:val="single" w:color="auto" w:sz="8" w:space="0"/>
              <w:bottom w:val="single" w:color="auto" w:sz="8" w:space="0"/>
              <w:right w:val="single" w:color="auto" w:sz="8" w:space="0"/>
            </w:tcBorders>
            <w:vAlign w:val="center"/>
          </w:tcPr>
          <w:p w14:paraId="3D1F4A7D">
            <w:pPr>
              <w:widowControl/>
              <w:jc w:val="left"/>
              <w:rPr>
                <w:rFonts w:ascii="宋体" w:hAnsi="宋体" w:cs="宋体"/>
                <w:color w:val="000000"/>
                <w:kern w:val="0"/>
                <w:sz w:val="20"/>
                <w:szCs w:val="20"/>
              </w:rPr>
            </w:pPr>
          </w:p>
        </w:tc>
        <w:tc>
          <w:tcPr>
            <w:tcW w:w="1240" w:type="dxa"/>
            <w:vMerge w:val="continue"/>
            <w:tcBorders>
              <w:top w:val="nil"/>
              <w:left w:val="single" w:color="auto" w:sz="8" w:space="0"/>
              <w:bottom w:val="single" w:color="000000" w:sz="8" w:space="0"/>
              <w:right w:val="single" w:color="auto" w:sz="8" w:space="0"/>
            </w:tcBorders>
            <w:vAlign w:val="center"/>
          </w:tcPr>
          <w:p w14:paraId="37B6D63D">
            <w:pPr>
              <w:widowControl/>
              <w:jc w:val="left"/>
              <w:rPr>
                <w:rFonts w:ascii="宋体" w:hAnsi="宋体" w:cs="宋体"/>
                <w:color w:val="000000"/>
                <w:kern w:val="0"/>
                <w:sz w:val="20"/>
                <w:szCs w:val="20"/>
              </w:rPr>
            </w:pPr>
          </w:p>
        </w:tc>
        <w:tc>
          <w:tcPr>
            <w:tcW w:w="3920" w:type="dxa"/>
            <w:gridSpan w:val="2"/>
            <w:vMerge w:val="continue"/>
            <w:tcBorders>
              <w:top w:val="single" w:color="auto" w:sz="8" w:space="0"/>
              <w:left w:val="single" w:color="auto" w:sz="8" w:space="0"/>
              <w:bottom w:val="single" w:color="000000" w:sz="8" w:space="0"/>
              <w:right w:val="single" w:color="000000" w:sz="8" w:space="0"/>
            </w:tcBorders>
            <w:vAlign w:val="center"/>
          </w:tcPr>
          <w:p w14:paraId="6115230B">
            <w:pPr>
              <w:widowControl/>
              <w:jc w:val="left"/>
              <w:rPr>
                <w:rFonts w:ascii="宋体" w:hAnsi="宋体" w:cs="宋体"/>
                <w:color w:val="000000"/>
                <w:kern w:val="0"/>
                <w:sz w:val="20"/>
                <w:szCs w:val="20"/>
              </w:rPr>
            </w:pPr>
          </w:p>
        </w:tc>
      </w:tr>
      <w:tr w14:paraId="03A6BFE2">
        <w:tblPrEx>
          <w:tblCellMar>
            <w:top w:w="0" w:type="dxa"/>
            <w:left w:w="108" w:type="dxa"/>
            <w:bottom w:w="0" w:type="dxa"/>
            <w:right w:w="108" w:type="dxa"/>
          </w:tblCellMar>
        </w:tblPrEx>
        <w:trPr>
          <w:trHeight w:val="402" w:hRule="atLeast"/>
        </w:trPr>
        <w:tc>
          <w:tcPr>
            <w:tcW w:w="1020" w:type="dxa"/>
            <w:tcBorders>
              <w:top w:val="nil"/>
              <w:left w:val="single" w:color="auto" w:sz="8" w:space="0"/>
              <w:bottom w:val="nil"/>
              <w:right w:val="single" w:color="auto" w:sz="8" w:space="0"/>
            </w:tcBorders>
            <w:shd w:val="clear" w:color="auto" w:fill="auto"/>
            <w:noWrap/>
            <w:vAlign w:val="center"/>
          </w:tcPr>
          <w:p w14:paraId="7A70D918">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020" w:type="dxa"/>
            <w:vMerge w:val="continue"/>
            <w:tcBorders>
              <w:top w:val="nil"/>
              <w:left w:val="single" w:color="auto" w:sz="8" w:space="0"/>
              <w:bottom w:val="single" w:color="auto" w:sz="8" w:space="0"/>
              <w:right w:val="single" w:color="auto" w:sz="8" w:space="0"/>
            </w:tcBorders>
            <w:vAlign w:val="center"/>
          </w:tcPr>
          <w:p w14:paraId="13F9811C">
            <w:pPr>
              <w:widowControl/>
              <w:jc w:val="left"/>
              <w:rPr>
                <w:rFonts w:ascii="宋体" w:hAnsi="宋体" w:cs="宋体"/>
                <w:color w:val="000000"/>
                <w:kern w:val="0"/>
                <w:sz w:val="20"/>
                <w:szCs w:val="20"/>
              </w:rPr>
            </w:pPr>
          </w:p>
        </w:tc>
        <w:tc>
          <w:tcPr>
            <w:tcW w:w="2260" w:type="dxa"/>
            <w:gridSpan w:val="2"/>
            <w:vMerge w:val="restart"/>
            <w:tcBorders>
              <w:top w:val="nil"/>
              <w:left w:val="single" w:color="auto" w:sz="8" w:space="0"/>
              <w:bottom w:val="single" w:color="auto" w:sz="8" w:space="0"/>
              <w:right w:val="single" w:color="auto" w:sz="8" w:space="0"/>
            </w:tcBorders>
            <w:shd w:val="clear" w:color="auto" w:fill="auto"/>
            <w:vAlign w:val="center"/>
          </w:tcPr>
          <w:p w14:paraId="2D771784">
            <w:pPr>
              <w:widowControl/>
              <w:jc w:val="center"/>
              <w:rPr>
                <w:rFonts w:ascii="宋体" w:hAnsi="宋体" w:cs="宋体"/>
                <w:color w:val="000000"/>
                <w:kern w:val="0"/>
                <w:sz w:val="20"/>
                <w:szCs w:val="20"/>
              </w:rPr>
            </w:pPr>
            <w:r>
              <w:rPr>
                <w:rFonts w:hint="eastAsia" w:ascii="宋体" w:hAnsi="宋体" w:cs="宋体"/>
                <w:color w:val="000000"/>
                <w:kern w:val="0"/>
                <w:sz w:val="20"/>
                <w:szCs w:val="20"/>
              </w:rPr>
              <w:t>时效指标</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14:paraId="4F9FB747">
            <w:pPr>
              <w:keepNext w:val="0"/>
              <w:keepLines w:val="0"/>
              <w:widowControl/>
              <w:suppressLineNumbers w:val="0"/>
              <w:jc w:val="left"/>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应保尽保</w:t>
            </w:r>
          </w:p>
        </w:tc>
        <w:tc>
          <w:tcPr>
            <w:tcW w:w="3920" w:type="dxa"/>
            <w:gridSpan w:val="2"/>
            <w:vMerge w:val="restart"/>
            <w:tcBorders>
              <w:top w:val="single" w:color="auto" w:sz="8" w:space="0"/>
              <w:left w:val="single" w:color="auto" w:sz="8" w:space="0"/>
              <w:bottom w:val="single" w:color="000000" w:sz="8" w:space="0"/>
              <w:right w:val="single" w:color="000000" w:sz="8" w:space="0"/>
            </w:tcBorders>
            <w:shd w:val="clear" w:color="auto" w:fill="auto"/>
            <w:vAlign w:val="center"/>
          </w:tcPr>
          <w:p w14:paraId="11A4E524">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100%</w:t>
            </w:r>
          </w:p>
        </w:tc>
      </w:tr>
      <w:tr w14:paraId="5380B74D">
        <w:tblPrEx>
          <w:tblCellMar>
            <w:top w:w="0" w:type="dxa"/>
            <w:left w:w="108" w:type="dxa"/>
            <w:bottom w:w="0" w:type="dxa"/>
            <w:right w:w="108" w:type="dxa"/>
          </w:tblCellMar>
        </w:tblPrEx>
        <w:trPr>
          <w:trHeight w:val="402" w:hRule="atLeast"/>
        </w:trPr>
        <w:tc>
          <w:tcPr>
            <w:tcW w:w="1020" w:type="dxa"/>
            <w:tcBorders>
              <w:top w:val="nil"/>
              <w:left w:val="single" w:color="auto" w:sz="8" w:space="0"/>
              <w:bottom w:val="nil"/>
              <w:right w:val="single" w:color="auto" w:sz="8" w:space="0"/>
            </w:tcBorders>
            <w:shd w:val="clear" w:color="auto" w:fill="auto"/>
            <w:noWrap/>
            <w:vAlign w:val="center"/>
          </w:tcPr>
          <w:p w14:paraId="5ED4EDE1">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020" w:type="dxa"/>
            <w:vMerge w:val="continue"/>
            <w:tcBorders>
              <w:top w:val="nil"/>
              <w:left w:val="single" w:color="auto" w:sz="8" w:space="0"/>
              <w:bottom w:val="single" w:color="auto" w:sz="8" w:space="0"/>
              <w:right w:val="single" w:color="auto" w:sz="8" w:space="0"/>
            </w:tcBorders>
            <w:vAlign w:val="center"/>
          </w:tcPr>
          <w:p w14:paraId="40D8AA5C">
            <w:pPr>
              <w:widowControl/>
              <w:jc w:val="left"/>
              <w:rPr>
                <w:rFonts w:ascii="宋体" w:hAnsi="宋体" w:cs="宋体"/>
                <w:color w:val="000000"/>
                <w:kern w:val="0"/>
                <w:sz w:val="20"/>
                <w:szCs w:val="20"/>
              </w:rPr>
            </w:pPr>
          </w:p>
        </w:tc>
        <w:tc>
          <w:tcPr>
            <w:tcW w:w="2260" w:type="dxa"/>
            <w:gridSpan w:val="2"/>
            <w:vMerge w:val="continue"/>
            <w:tcBorders>
              <w:top w:val="nil"/>
              <w:left w:val="single" w:color="auto" w:sz="8" w:space="0"/>
              <w:bottom w:val="single" w:color="auto" w:sz="8" w:space="0"/>
              <w:right w:val="single" w:color="auto" w:sz="8" w:space="0"/>
            </w:tcBorders>
            <w:vAlign w:val="center"/>
          </w:tcPr>
          <w:p w14:paraId="02F198A1">
            <w:pPr>
              <w:widowControl/>
              <w:jc w:val="left"/>
              <w:rPr>
                <w:rFonts w:ascii="宋体" w:hAnsi="宋体" w:cs="宋体"/>
                <w:color w:val="000000"/>
                <w:kern w:val="0"/>
                <w:sz w:val="20"/>
                <w:szCs w:val="20"/>
              </w:rPr>
            </w:pPr>
          </w:p>
        </w:tc>
        <w:tc>
          <w:tcPr>
            <w:tcW w:w="1240" w:type="dxa"/>
            <w:vMerge w:val="continue"/>
            <w:tcBorders>
              <w:top w:val="nil"/>
              <w:left w:val="single" w:color="auto" w:sz="8" w:space="0"/>
              <w:bottom w:val="single" w:color="000000" w:sz="8" w:space="0"/>
              <w:right w:val="single" w:color="auto" w:sz="8" w:space="0"/>
            </w:tcBorders>
            <w:vAlign w:val="center"/>
          </w:tcPr>
          <w:p w14:paraId="77E21054">
            <w:pPr>
              <w:widowControl/>
              <w:jc w:val="left"/>
              <w:rPr>
                <w:rFonts w:ascii="宋体" w:hAnsi="宋体" w:cs="宋体"/>
                <w:color w:val="000000"/>
                <w:kern w:val="0"/>
                <w:sz w:val="20"/>
                <w:szCs w:val="20"/>
              </w:rPr>
            </w:pPr>
          </w:p>
        </w:tc>
        <w:tc>
          <w:tcPr>
            <w:tcW w:w="3920" w:type="dxa"/>
            <w:gridSpan w:val="2"/>
            <w:vMerge w:val="continue"/>
            <w:tcBorders>
              <w:top w:val="single" w:color="auto" w:sz="8" w:space="0"/>
              <w:left w:val="single" w:color="auto" w:sz="8" w:space="0"/>
              <w:bottom w:val="single" w:color="000000" w:sz="8" w:space="0"/>
              <w:right w:val="single" w:color="000000" w:sz="8" w:space="0"/>
            </w:tcBorders>
            <w:vAlign w:val="center"/>
          </w:tcPr>
          <w:p w14:paraId="3A385C27">
            <w:pPr>
              <w:widowControl/>
              <w:jc w:val="left"/>
              <w:rPr>
                <w:rFonts w:ascii="宋体" w:hAnsi="宋体" w:cs="宋体"/>
                <w:color w:val="000000"/>
                <w:kern w:val="0"/>
                <w:sz w:val="20"/>
                <w:szCs w:val="20"/>
              </w:rPr>
            </w:pPr>
          </w:p>
        </w:tc>
      </w:tr>
      <w:tr w14:paraId="7B0EEB22">
        <w:tblPrEx>
          <w:tblCellMar>
            <w:top w:w="0" w:type="dxa"/>
            <w:left w:w="108" w:type="dxa"/>
            <w:bottom w:w="0" w:type="dxa"/>
            <w:right w:w="108" w:type="dxa"/>
          </w:tblCellMar>
        </w:tblPrEx>
        <w:trPr>
          <w:trHeight w:val="402" w:hRule="atLeast"/>
        </w:trPr>
        <w:tc>
          <w:tcPr>
            <w:tcW w:w="1020" w:type="dxa"/>
            <w:tcBorders>
              <w:top w:val="nil"/>
              <w:left w:val="single" w:color="auto" w:sz="8" w:space="0"/>
              <w:bottom w:val="nil"/>
              <w:right w:val="single" w:color="auto" w:sz="8" w:space="0"/>
            </w:tcBorders>
            <w:shd w:val="clear" w:color="auto" w:fill="auto"/>
            <w:noWrap/>
            <w:vAlign w:val="center"/>
          </w:tcPr>
          <w:p w14:paraId="126A57D3">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020" w:type="dxa"/>
            <w:vMerge w:val="continue"/>
            <w:tcBorders>
              <w:top w:val="nil"/>
              <w:left w:val="single" w:color="auto" w:sz="8" w:space="0"/>
              <w:bottom w:val="single" w:color="auto" w:sz="8" w:space="0"/>
              <w:right w:val="single" w:color="auto" w:sz="8" w:space="0"/>
            </w:tcBorders>
            <w:vAlign w:val="center"/>
          </w:tcPr>
          <w:p w14:paraId="4445B177">
            <w:pPr>
              <w:widowControl/>
              <w:jc w:val="left"/>
              <w:rPr>
                <w:rFonts w:ascii="宋体" w:hAnsi="宋体" w:cs="宋体"/>
                <w:color w:val="000000"/>
                <w:kern w:val="0"/>
                <w:sz w:val="20"/>
                <w:szCs w:val="20"/>
              </w:rPr>
            </w:pPr>
          </w:p>
        </w:tc>
        <w:tc>
          <w:tcPr>
            <w:tcW w:w="2260" w:type="dxa"/>
            <w:gridSpan w:val="2"/>
            <w:vMerge w:val="restart"/>
            <w:tcBorders>
              <w:top w:val="nil"/>
              <w:left w:val="single" w:color="auto" w:sz="8" w:space="0"/>
              <w:bottom w:val="single" w:color="auto" w:sz="8" w:space="0"/>
              <w:right w:val="single" w:color="auto" w:sz="8" w:space="0"/>
            </w:tcBorders>
            <w:shd w:val="clear" w:color="auto" w:fill="auto"/>
            <w:vAlign w:val="center"/>
          </w:tcPr>
          <w:p w14:paraId="63548EEF">
            <w:pPr>
              <w:widowControl/>
              <w:jc w:val="center"/>
              <w:rPr>
                <w:rFonts w:ascii="宋体" w:hAnsi="宋体" w:cs="宋体"/>
                <w:color w:val="000000"/>
                <w:kern w:val="0"/>
                <w:sz w:val="20"/>
                <w:szCs w:val="20"/>
              </w:rPr>
            </w:pPr>
            <w:r>
              <w:rPr>
                <w:rFonts w:hint="eastAsia" w:ascii="宋体" w:hAnsi="宋体" w:cs="宋体"/>
                <w:color w:val="000000"/>
                <w:kern w:val="0"/>
                <w:sz w:val="20"/>
                <w:szCs w:val="20"/>
              </w:rPr>
              <w:t>成本指标</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14:paraId="123556D0">
            <w:pPr>
              <w:keepNext w:val="0"/>
              <w:keepLines w:val="0"/>
              <w:widowControl/>
              <w:suppressLineNumbers w:val="0"/>
              <w:jc w:val="left"/>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按月打卡发放</w:t>
            </w:r>
          </w:p>
        </w:tc>
        <w:tc>
          <w:tcPr>
            <w:tcW w:w="3920" w:type="dxa"/>
            <w:gridSpan w:val="2"/>
            <w:vMerge w:val="restart"/>
            <w:tcBorders>
              <w:top w:val="single" w:color="auto" w:sz="8" w:space="0"/>
              <w:left w:val="single" w:color="auto" w:sz="8" w:space="0"/>
              <w:bottom w:val="single" w:color="000000" w:sz="8" w:space="0"/>
              <w:right w:val="single" w:color="000000" w:sz="8" w:space="0"/>
            </w:tcBorders>
            <w:shd w:val="clear" w:color="auto" w:fill="auto"/>
            <w:vAlign w:val="center"/>
          </w:tcPr>
          <w:p w14:paraId="11B68A31">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100%</w:t>
            </w:r>
          </w:p>
        </w:tc>
      </w:tr>
      <w:tr w14:paraId="6804F82D">
        <w:tblPrEx>
          <w:tblCellMar>
            <w:top w:w="0" w:type="dxa"/>
            <w:left w:w="108" w:type="dxa"/>
            <w:bottom w:w="0" w:type="dxa"/>
            <w:right w:w="108" w:type="dxa"/>
          </w:tblCellMar>
        </w:tblPrEx>
        <w:trPr>
          <w:trHeight w:val="402" w:hRule="atLeast"/>
        </w:trPr>
        <w:tc>
          <w:tcPr>
            <w:tcW w:w="1020" w:type="dxa"/>
            <w:tcBorders>
              <w:top w:val="nil"/>
              <w:left w:val="single" w:color="auto" w:sz="8" w:space="0"/>
              <w:bottom w:val="nil"/>
              <w:right w:val="single" w:color="auto" w:sz="8" w:space="0"/>
            </w:tcBorders>
            <w:shd w:val="clear" w:color="auto" w:fill="auto"/>
            <w:noWrap/>
            <w:vAlign w:val="center"/>
          </w:tcPr>
          <w:p w14:paraId="68303DF7">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020" w:type="dxa"/>
            <w:vMerge w:val="continue"/>
            <w:tcBorders>
              <w:top w:val="nil"/>
              <w:left w:val="single" w:color="auto" w:sz="8" w:space="0"/>
              <w:bottom w:val="single" w:color="auto" w:sz="8" w:space="0"/>
              <w:right w:val="single" w:color="auto" w:sz="8" w:space="0"/>
            </w:tcBorders>
            <w:vAlign w:val="center"/>
          </w:tcPr>
          <w:p w14:paraId="6370F905">
            <w:pPr>
              <w:widowControl/>
              <w:jc w:val="left"/>
              <w:rPr>
                <w:rFonts w:ascii="宋体" w:hAnsi="宋体" w:cs="宋体"/>
                <w:color w:val="000000"/>
                <w:kern w:val="0"/>
                <w:sz w:val="20"/>
                <w:szCs w:val="20"/>
              </w:rPr>
            </w:pPr>
          </w:p>
        </w:tc>
        <w:tc>
          <w:tcPr>
            <w:tcW w:w="2260" w:type="dxa"/>
            <w:gridSpan w:val="2"/>
            <w:vMerge w:val="continue"/>
            <w:tcBorders>
              <w:top w:val="nil"/>
              <w:left w:val="single" w:color="auto" w:sz="8" w:space="0"/>
              <w:bottom w:val="single" w:color="auto" w:sz="8" w:space="0"/>
              <w:right w:val="single" w:color="auto" w:sz="8" w:space="0"/>
            </w:tcBorders>
            <w:vAlign w:val="center"/>
          </w:tcPr>
          <w:p w14:paraId="595E820C">
            <w:pPr>
              <w:widowControl/>
              <w:jc w:val="left"/>
              <w:rPr>
                <w:rFonts w:ascii="宋体" w:hAnsi="宋体" w:cs="宋体"/>
                <w:color w:val="000000"/>
                <w:kern w:val="0"/>
                <w:sz w:val="20"/>
                <w:szCs w:val="20"/>
              </w:rPr>
            </w:pPr>
          </w:p>
        </w:tc>
        <w:tc>
          <w:tcPr>
            <w:tcW w:w="1240" w:type="dxa"/>
            <w:vMerge w:val="continue"/>
            <w:tcBorders>
              <w:top w:val="nil"/>
              <w:left w:val="single" w:color="auto" w:sz="8" w:space="0"/>
              <w:bottom w:val="single" w:color="000000" w:sz="8" w:space="0"/>
              <w:right w:val="single" w:color="auto" w:sz="8" w:space="0"/>
            </w:tcBorders>
            <w:vAlign w:val="center"/>
          </w:tcPr>
          <w:p w14:paraId="655879BE">
            <w:pPr>
              <w:widowControl/>
              <w:jc w:val="left"/>
              <w:rPr>
                <w:rFonts w:ascii="宋体" w:hAnsi="宋体" w:cs="宋体"/>
                <w:color w:val="000000"/>
                <w:kern w:val="0"/>
                <w:sz w:val="20"/>
                <w:szCs w:val="20"/>
              </w:rPr>
            </w:pPr>
          </w:p>
        </w:tc>
        <w:tc>
          <w:tcPr>
            <w:tcW w:w="3920" w:type="dxa"/>
            <w:gridSpan w:val="2"/>
            <w:vMerge w:val="continue"/>
            <w:tcBorders>
              <w:top w:val="single" w:color="auto" w:sz="8" w:space="0"/>
              <w:left w:val="single" w:color="auto" w:sz="8" w:space="0"/>
              <w:bottom w:val="single" w:color="000000" w:sz="8" w:space="0"/>
              <w:right w:val="single" w:color="000000" w:sz="8" w:space="0"/>
            </w:tcBorders>
            <w:vAlign w:val="center"/>
          </w:tcPr>
          <w:p w14:paraId="41ADA8F9">
            <w:pPr>
              <w:widowControl/>
              <w:jc w:val="left"/>
              <w:rPr>
                <w:rFonts w:ascii="宋体" w:hAnsi="宋体" w:cs="宋体"/>
                <w:color w:val="000000"/>
                <w:kern w:val="0"/>
                <w:sz w:val="20"/>
                <w:szCs w:val="20"/>
              </w:rPr>
            </w:pPr>
          </w:p>
        </w:tc>
      </w:tr>
      <w:tr w14:paraId="66A4E43E">
        <w:tblPrEx>
          <w:tblCellMar>
            <w:top w:w="0" w:type="dxa"/>
            <w:left w:w="108" w:type="dxa"/>
            <w:bottom w:w="0" w:type="dxa"/>
            <w:right w:w="108" w:type="dxa"/>
          </w:tblCellMar>
        </w:tblPrEx>
        <w:trPr>
          <w:trHeight w:val="402" w:hRule="atLeast"/>
        </w:trPr>
        <w:tc>
          <w:tcPr>
            <w:tcW w:w="1020" w:type="dxa"/>
            <w:tcBorders>
              <w:top w:val="nil"/>
              <w:left w:val="single" w:color="auto" w:sz="8" w:space="0"/>
              <w:bottom w:val="nil"/>
              <w:right w:val="single" w:color="auto" w:sz="8" w:space="0"/>
            </w:tcBorders>
            <w:shd w:val="clear" w:color="auto" w:fill="auto"/>
            <w:noWrap/>
            <w:vAlign w:val="center"/>
          </w:tcPr>
          <w:p w14:paraId="5FBE60B8">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020" w:type="dxa"/>
            <w:vMerge w:val="restart"/>
            <w:tcBorders>
              <w:top w:val="nil"/>
              <w:left w:val="single" w:color="auto" w:sz="8" w:space="0"/>
              <w:bottom w:val="single" w:color="auto" w:sz="8" w:space="0"/>
              <w:right w:val="single" w:color="auto" w:sz="8" w:space="0"/>
            </w:tcBorders>
            <w:shd w:val="clear" w:color="auto" w:fill="auto"/>
            <w:vAlign w:val="center"/>
          </w:tcPr>
          <w:p w14:paraId="0E4FF6F8">
            <w:pPr>
              <w:widowControl/>
              <w:jc w:val="center"/>
              <w:rPr>
                <w:rFonts w:ascii="宋体" w:hAnsi="宋体" w:cs="宋体"/>
                <w:color w:val="000000"/>
                <w:kern w:val="0"/>
                <w:sz w:val="20"/>
                <w:szCs w:val="20"/>
              </w:rPr>
            </w:pPr>
            <w:r>
              <w:rPr>
                <w:rFonts w:hint="eastAsia" w:ascii="宋体" w:hAnsi="宋体" w:cs="宋体"/>
                <w:color w:val="000000"/>
                <w:kern w:val="0"/>
                <w:sz w:val="20"/>
                <w:szCs w:val="20"/>
              </w:rPr>
              <w:t>效益指标</w:t>
            </w:r>
          </w:p>
        </w:tc>
        <w:tc>
          <w:tcPr>
            <w:tcW w:w="2260" w:type="dxa"/>
            <w:gridSpan w:val="2"/>
            <w:vMerge w:val="restart"/>
            <w:tcBorders>
              <w:top w:val="nil"/>
              <w:left w:val="single" w:color="auto" w:sz="8" w:space="0"/>
              <w:bottom w:val="single" w:color="auto" w:sz="8" w:space="0"/>
              <w:right w:val="single" w:color="auto" w:sz="8" w:space="0"/>
            </w:tcBorders>
            <w:shd w:val="clear" w:color="auto" w:fill="auto"/>
            <w:vAlign w:val="center"/>
          </w:tcPr>
          <w:p w14:paraId="165454BE">
            <w:pPr>
              <w:widowControl/>
              <w:jc w:val="center"/>
              <w:rPr>
                <w:rFonts w:ascii="宋体" w:hAnsi="宋体" w:cs="宋体"/>
                <w:color w:val="000000"/>
                <w:kern w:val="0"/>
                <w:sz w:val="20"/>
                <w:szCs w:val="20"/>
              </w:rPr>
            </w:pPr>
            <w:r>
              <w:rPr>
                <w:rFonts w:hint="eastAsia" w:ascii="宋体" w:hAnsi="宋体" w:cs="宋体"/>
                <w:color w:val="000000"/>
                <w:kern w:val="0"/>
                <w:sz w:val="20"/>
                <w:szCs w:val="20"/>
              </w:rPr>
              <w:t>经济效益指标</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14:paraId="7E84BBDD">
            <w:pPr>
              <w:keepNext w:val="0"/>
              <w:keepLines w:val="0"/>
              <w:widowControl/>
              <w:suppressLineNumbers w:val="0"/>
              <w:jc w:val="left"/>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全县优抚对象抚恤补助标准提升情况</w:t>
            </w:r>
          </w:p>
        </w:tc>
        <w:tc>
          <w:tcPr>
            <w:tcW w:w="3920" w:type="dxa"/>
            <w:gridSpan w:val="2"/>
            <w:vMerge w:val="restart"/>
            <w:tcBorders>
              <w:top w:val="single" w:color="auto" w:sz="8" w:space="0"/>
              <w:left w:val="single" w:color="auto" w:sz="8" w:space="0"/>
              <w:bottom w:val="single" w:color="000000" w:sz="8" w:space="0"/>
              <w:right w:val="single" w:color="000000" w:sz="8" w:space="0"/>
            </w:tcBorders>
            <w:shd w:val="clear" w:color="auto" w:fill="auto"/>
            <w:vAlign w:val="center"/>
          </w:tcPr>
          <w:p w14:paraId="393D6CAD">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稳步提升</w:t>
            </w:r>
          </w:p>
        </w:tc>
      </w:tr>
      <w:tr w14:paraId="33A604A7">
        <w:tblPrEx>
          <w:tblCellMar>
            <w:top w:w="0" w:type="dxa"/>
            <w:left w:w="108" w:type="dxa"/>
            <w:bottom w:w="0" w:type="dxa"/>
            <w:right w:w="108" w:type="dxa"/>
          </w:tblCellMar>
        </w:tblPrEx>
        <w:trPr>
          <w:trHeight w:val="402" w:hRule="atLeast"/>
        </w:trPr>
        <w:tc>
          <w:tcPr>
            <w:tcW w:w="1020" w:type="dxa"/>
            <w:tcBorders>
              <w:top w:val="nil"/>
              <w:left w:val="single" w:color="auto" w:sz="8" w:space="0"/>
              <w:bottom w:val="nil"/>
              <w:right w:val="single" w:color="auto" w:sz="8" w:space="0"/>
            </w:tcBorders>
            <w:shd w:val="clear" w:color="auto" w:fill="auto"/>
            <w:noWrap/>
            <w:vAlign w:val="center"/>
          </w:tcPr>
          <w:p w14:paraId="7934CFDA">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020" w:type="dxa"/>
            <w:vMerge w:val="continue"/>
            <w:tcBorders>
              <w:top w:val="nil"/>
              <w:left w:val="single" w:color="auto" w:sz="8" w:space="0"/>
              <w:bottom w:val="single" w:color="auto" w:sz="8" w:space="0"/>
              <w:right w:val="single" w:color="auto" w:sz="8" w:space="0"/>
            </w:tcBorders>
            <w:vAlign w:val="center"/>
          </w:tcPr>
          <w:p w14:paraId="3969FAC0">
            <w:pPr>
              <w:widowControl/>
              <w:jc w:val="left"/>
              <w:rPr>
                <w:rFonts w:ascii="宋体" w:hAnsi="宋体" w:cs="宋体"/>
                <w:color w:val="000000"/>
                <w:kern w:val="0"/>
                <w:sz w:val="20"/>
                <w:szCs w:val="20"/>
              </w:rPr>
            </w:pPr>
          </w:p>
        </w:tc>
        <w:tc>
          <w:tcPr>
            <w:tcW w:w="2260" w:type="dxa"/>
            <w:gridSpan w:val="2"/>
            <w:vMerge w:val="continue"/>
            <w:tcBorders>
              <w:top w:val="nil"/>
              <w:left w:val="single" w:color="auto" w:sz="8" w:space="0"/>
              <w:bottom w:val="single" w:color="auto" w:sz="8" w:space="0"/>
              <w:right w:val="single" w:color="auto" w:sz="8" w:space="0"/>
            </w:tcBorders>
            <w:vAlign w:val="center"/>
          </w:tcPr>
          <w:p w14:paraId="3BC8F167">
            <w:pPr>
              <w:widowControl/>
              <w:jc w:val="left"/>
              <w:rPr>
                <w:rFonts w:ascii="宋体" w:hAnsi="宋体" w:cs="宋体"/>
                <w:color w:val="000000"/>
                <w:kern w:val="0"/>
                <w:sz w:val="20"/>
                <w:szCs w:val="20"/>
              </w:rPr>
            </w:pPr>
          </w:p>
        </w:tc>
        <w:tc>
          <w:tcPr>
            <w:tcW w:w="1240" w:type="dxa"/>
            <w:vMerge w:val="continue"/>
            <w:tcBorders>
              <w:top w:val="nil"/>
              <w:left w:val="single" w:color="auto" w:sz="8" w:space="0"/>
              <w:bottom w:val="single" w:color="000000" w:sz="8" w:space="0"/>
              <w:right w:val="single" w:color="auto" w:sz="8" w:space="0"/>
            </w:tcBorders>
            <w:vAlign w:val="center"/>
          </w:tcPr>
          <w:p w14:paraId="791817E1">
            <w:pPr>
              <w:widowControl/>
              <w:jc w:val="left"/>
              <w:rPr>
                <w:rFonts w:ascii="宋体" w:hAnsi="宋体" w:cs="宋体"/>
                <w:color w:val="000000"/>
                <w:kern w:val="0"/>
                <w:sz w:val="20"/>
                <w:szCs w:val="20"/>
              </w:rPr>
            </w:pPr>
          </w:p>
        </w:tc>
        <w:tc>
          <w:tcPr>
            <w:tcW w:w="3920" w:type="dxa"/>
            <w:gridSpan w:val="2"/>
            <w:vMerge w:val="continue"/>
            <w:tcBorders>
              <w:top w:val="single" w:color="auto" w:sz="8" w:space="0"/>
              <w:left w:val="single" w:color="auto" w:sz="8" w:space="0"/>
              <w:bottom w:val="single" w:color="000000" w:sz="8" w:space="0"/>
              <w:right w:val="single" w:color="000000" w:sz="8" w:space="0"/>
            </w:tcBorders>
            <w:vAlign w:val="center"/>
          </w:tcPr>
          <w:p w14:paraId="19E9D771">
            <w:pPr>
              <w:widowControl/>
              <w:jc w:val="left"/>
              <w:rPr>
                <w:rFonts w:ascii="宋体" w:hAnsi="宋体" w:cs="宋体"/>
                <w:color w:val="000000"/>
                <w:kern w:val="0"/>
                <w:sz w:val="20"/>
                <w:szCs w:val="20"/>
              </w:rPr>
            </w:pPr>
          </w:p>
        </w:tc>
      </w:tr>
      <w:tr w14:paraId="43F1408B">
        <w:tblPrEx>
          <w:tblCellMar>
            <w:top w:w="0" w:type="dxa"/>
            <w:left w:w="108" w:type="dxa"/>
            <w:bottom w:w="0" w:type="dxa"/>
            <w:right w:w="108" w:type="dxa"/>
          </w:tblCellMar>
        </w:tblPrEx>
        <w:trPr>
          <w:trHeight w:val="402" w:hRule="atLeast"/>
        </w:trPr>
        <w:tc>
          <w:tcPr>
            <w:tcW w:w="1020" w:type="dxa"/>
            <w:tcBorders>
              <w:top w:val="nil"/>
              <w:left w:val="single" w:color="auto" w:sz="8" w:space="0"/>
              <w:bottom w:val="nil"/>
              <w:right w:val="single" w:color="auto" w:sz="8" w:space="0"/>
            </w:tcBorders>
            <w:shd w:val="clear" w:color="auto" w:fill="auto"/>
            <w:noWrap/>
            <w:vAlign w:val="center"/>
          </w:tcPr>
          <w:p w14:paraId="3927D3E2">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020" w:type="dxa"/>
            <w:vMerge w:val="continue"/>
            <w:tcBorders>
              <w:top w:val="nil"/>
              <w:left w:val="single" w:color="auto" w:sz="8" w:space="0"/>
              <w:bottom w:val="single" w:color="auto" w:sz="8" w:space="0"/>
              <w:right w:val="single" w:color="auto" w:sz="8" w:space="0"/>
            </w:tcBorders>
            <w:vAlign w:val="center"/>
          </w:tcPr>
          <w:p w14:paraId="76EE015D">
            <w:pPr>
              <w:widowControl/>
              <w:jc w:val="left"/>
              <w:rPr>
                <w:rFonts w:ascii="宋体" w:hAnsi="宋体" w:cs="宋体"/>
                <w:color w:val="000000"/>
                <w:kern w:val="0"/>
                <w:sz w:val="20"/>
                <w:szCs w:val="20"/>
              </w:rPr>
            </w:pPr>
          </w:p>
        </w:tc>
        <w:tc>
          <w:tcPr>
            <w:tcW w:w="2260" w:type="dxa"/>
            <w:gridSpan w:val="2"/>
            <w:vMerge w:val="restart"/>
            <w:tcBorders>
              <w:top w:val="nil"/>
              <w:left w:val="single" w:color="auto" w:sz="8" w:space="0"/>
              <w:bottom w:val="single" w:color="auto" w:sz="8" w:space="0"/>
              <w:right w:val="single" w:color="auto" w:sz="8" w:space="0"/>
            </w:tcBorders>
            <w:shd w:val="clear" w:color="auto" w:fill="auto"/>
            <w:vAlign w:val="center"/>
          </w:tcPr>
          <w:p w14:paraId="4F7D84C8">
            <w:pPr>
              <w:widowControl/>
              <w:jc w:val="center"/>
              <w:rPr>
                <w:rFonts w:ascii="宋体" w:hAnsi="宋体" w:cs="宋体"/>
                <w:color w:val="000000"/>
                <w:kern w:val="0"/>
                <w:sz w:val="20"/>
                <w:szCs w:val="20"/>
              </w:rPr>
            </w:pPr>
            <w:r>
              <w:rPr>
                <w:rFonts w:hint="eastAsia" w:ascii="宋体" w:hAnsi="宋体" w:cs="宋体"/>
                <w:color w:val="000000"/>
                <w:kern w:val="0"/>
                <w:sz w:val="20"/>
                <w:szCs w:val="20"/>
              </w:rPr>
              <w:t>社会效益指标</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14:paraId="7D646619">
            <w:pPr>
              <w:keepNext w:val="0"/>
              <w:keepLines w:val="0"/>
              <w:widowControl/>
              <w:suppressLineNumbers w:val="0"/>
              <w:jc w:val="left"/>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政策知晓率</w:t>
            </w:r>
          </w:p>
        </w:tc>
        <w:tc>
          <w:tcPr>
            <w:tcW w:w="3920" w:type="dxa"/>
            <w:gridSpan w:val="2"/>
            <w:vMerge w:val="restart"/>
            <w:tcBorders>
              <w:top w:val="single" w:color="auto" w:sz="8" w:space="0"/>
              <w:left w:val="single" w:color="auto" w:sz="8" w:space="0"/>
              <w:bottom w:val="single" w:color="000000" w:sz="8" w:space="0"/>
              <w:right w:val="single" w:color="000000" w:sz="8" w:space="0"/>
            </w:tcBorders>
            <w:shd w:val="clear" w:color="auto" w:fill="auto"/>
            <w:vAlign w:val="center"/>
          </w:tcPr>
          <w:p w14:paraId="0F9730E2">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≧95%</w:t>
            </w:r>
          </w:p>
        </w:tc>
      </w:tr>
      <w:tr w14:paraId="21FA43AE">
        <w:tblPrEx>
          <w:tblCellMar>
            <w:top w:w="0" w:type="dxa"/>
            <w:left w:w="108" w:type="dxa"/>
            <w:bottom w:w="0" w:type="dxa"/>
            <w:right w:w="108" w:type="dxa"/>
          </w:tblCellMar>
        </w:tblPrEx>
        <w:trPr>
          <w:trHeight w:val="402" w:hRule="atLeast"/>
        </w:trPr>
        <w:tc>
          <w:tcPr>
            <w:tcW w:w="1020" w:type="dxa"/>
            <w:tcBorders>
              <w:top w:val="nil"/>
              <w:left w:val="single" w:color="auto" w:sz="8" w:space="0"/>
              <w:bottom w:val="nil"/>
              <w:right w:val="single" w:color="auto" w:sz="8" w:space="0"/>
            </w:tcBorders>
            <w:shd w:val="clear" w:color="auto" w:fill="auto"/>
            <w:noWrap/>
            <w:vAlign w:val="center"/>
          </w:tcPr>
          <w:p w14:paraId="3FD0A35E">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020" w:type="dxa"/>
            <w:vMerge w:val="continue"/>
            <w:tcBorders>
              <w:top w:val="nil"/>
              <w:left w:val="single" w:color="auto" w:sz="8" w:space="0"/>
              <w:bottom w:val="single" w:color="auto" w:sz="8" w:space="0"/>
              <w:right w:val="single" w:color="auto" w:sz="8" w:space="0"/>
            </w:tcBorders>
            <w:vAlign w:val="center"/>
          </w:tcPr>
          <w:p w14:paraId="2C0DB894">
            <w:pPr>
              <w:widowControl/>
              <w:jc w:val="left"/>
              <w:rPr>
                <w:rFonts w:ascii="宋体" w:hAnsi="宋体" w:cs="宋体"/>
                <w:color w:val="000000"/>
                <w:kern w:val="0"/>
                <w:sz w:val="20"/>
                <w:szCs w:val="20"/>
              </w:rPr>
            </w:pPr>
          </w:p>
        </w:tc>
        <w:tc>
          <w:tcPr>
            <w:tcW w:w="2260" w:type="dxa"/>
            <w:gridSpan w:val="2"/>
            <w:vMerge w:val="continue"/>
            <w:tcBorders>
              <w:top w:val="nil"/>
              <w:left w:val="single" w:color="auto" w:sz="8" w:space="0"/>
              <w:bottom w:val="single" w:color="auto" w:sz="8" w:space="0"/>
              <w:right w:val="single" w:color="auto" w:sz="8" w:space="0"/>
            </w:tcBorders>
            <w:vAlign w:val="center"/>
          </w:tcPr>
          <w:p w14:paraId="1A8EA54B">
            <w:pPr>
              <w:widowControl/>
              <w:jc w:val="left"/>
              <w:rPr>
                <w:rFonts w:ascii="宋体" w:hAnsi="宋体" w:cs="宋体"/>
                <w:color w:val="000000"/>
                <w:kern w:val="0"/>
                <w:sz w:val="20"/>
                <w:szCs w:val="20"/>
              </w:rPr>
            </w:pPr>
          </w:p>
        </w:tc>
        <w:tc>
          <w:tcPr>
            <w:tcW w:w="1240" w:type="dxa"/>
            <w:vMerge w:val="continue"/>
            <w:tcBorders>
              <w:top w:val="nil"/>
              <w:left w:val="single" w:color="auto" w:sz="8" w:space="0"/>
              <w:bottom w:val="single" w:color="000000" w:sz="8" w:space="0"/>
              <w:right w:val="single" w:color="auto" w:sz="8" w:space="0"/>
            </w:tcBorders>
            <w:vAlign w:val="center"/>
          </w:tcPr>
          <w:p w14:paraId="10F4C672">
            <w:pPr>
              <w:widowControl/>
              <w:jc w:val="left"/>
              <w:rPr>
                <w:rFonts w:ascii="宋体" w:hAnsi="宋体" w:cs="宋体"/>
                <w:color w:val="000000"/>
                <w:kern w:val="0"/>
                <w:sz w:val="20"/>
                <w:szCs w:val="20"/>
              </w:rPr>
            </w:pPr>
          </w:p>
        </w:tc>
        <w:tc>
          <w:tcPr>
            <w:tcW w:w="3920" w:type="dxa"/>
            <w:gridSpan w:val="2"/>
            <w:vMerge w:val="continue"/>
            <w:tcBorders>
              <w:top w:val="single" w:color="auto" w:sz="8" w:space="0"/>
              <w:left w:val="single" w:color="auto" w:sz="8" w:space="0"/>
              <w:bottom w:val="single" w:color="000000" w:sz="8" w:space="0"/>
              <w:right w:val="single" w:color="000000" w:sz="8" w:space="0"/>
            </w:tcBorders>
            <w:vAlign w:val="center"/>
          </w:tcPr>
          <w:p w14:paraId="00F22693">
            <w:pPr>
              <w:widowControl/>
              <w:jc w:val="left"/>
              <w:rPr>
                <w:rFonts w:ascii="宋体" w:hAnsi="宋体" w:cs="宋体"/>
                <w:color w:val="000000"/>
                <w:kern w:val="0"/>
                <w:sz w:val="20"/>
                <w:szCs w:val="20"/>
              </w:rPr>
            </w:pPr>
          </w:p>
        </w:tc>
      </w:tr>
      <w:tr w14:paraId="0F659675">
        <w:tblPrEx>
          <w:tblCellMar>
            <w:top w:w="0" w:type="dxa"/>
            <w:left w:w="108" w:type="dxa"/>
            <w:bottom w:w="0" w:type="dxa"/>
            <w:right w:w="108" w:type="dxa"/>
          </w:tblCellMar>
        </w:tblPrEx>
        <w:trPr>
          <w:trHeight w:val="402" w:hRule="atLeast"/>
        </w:trPr>
        <w:tc>
          <w:tcPr>
            <w:tcW w:w="1020" w:type="dxa"/>
            <w:tcBorders>
              <w:top w:val="nil"/>
              <w:left w:val="single" w:color="auto" w:sz="8" w:space="0"/>
              <w:bottom w:val="nil"/>
              <w:right w:val="single" w:color="auto" w:sz="8" w:space="0"/>
            </w:tcBorders>
            <w:shd w:val="clear" w:color="auto" w:fill="auto"/>
            <w:noWrap/>
            <w:vAlign w:val="center"/>
          </w:tcPr>
          <w:p w14:paraId="0F5B32A8">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020" w:type="dxa"/>
            <w:vMerge w:val="continue"/>
            <w:tcBorders>
              <w:top w:val="nil"/>
              <w:left w:val="single" w:color="auto" w:sz="8" w:space="0"/>
              <w:bottom w:val="single" w:color="auto" w:sz="8" w:space="0"/>
              <w:right w:val="single" w:color="auto" w:sz="8" w:space="0"/>
            </w:tcBorders>
            <w:vAlign w:val="center"/>
          </w:tcPr>
          <w:p w14:paraId="1C218FF4">
            <w:pPr>
              <w:widowControl/>
              <w:jc w:val="left"/>
              <w:rPr>
                <w:rFonts w:ascii="宋体" w:hAnsi="宋体" w:cs="宋体"/>
                <w:color w:val="000000"/>
                <w:kern w:val="0"/>
                <w:sz w:val="20"/>
                <w:szCs w:val="20"/>
              </w:rPr>
            </w:pPr>
          </w:p>
        </w:tc>
        <w:tc>
          <w:tcPr>
            <w:tcW w:w="2260" w:type="dxa"/>
            <w:gridSpan w:val="2"/>
            <w:vMerge w:val="restart"/>
            <w:tcBorders>
              <w:top w:val="nil"/>
              <w:left w:val="single" w:color="auto" w:sz="8" w:space="0"/>
              <w:bottom w:val="single" w:color="auto" w:sz="8" w:space="0"/>
              <w:right w:val="single" w:color="auto" w:sz="8" w:space="0"/>
            </w:tcBorders>
            <w:shd w:val="clear" w:color="auto" w:fill="auto"/>
            <w:vAlign w:val="center"/>
          </w:tcPr>
          <w:p w14:paraId="2927E592">
            <w:pPr>
              <w:widowControl/>
              <w:jc w:val="center"/>
              <w:rPr>
                <w:rFonts w:ascii="宋体" w:hAnsi="宋体" w:cs="宋体"/>
                <w:color w:val="000000"/>
                <w:kern w:val="0"/>
                <w:sz w:val="20"/>
                <w:szCs w:val="20"/>
              </w:rPr>
            </w:pPr>
            <w:r>
              <w:rPr>
                <w:rFonts w:hint="eastAsia" w:ascii="宋体" w:hAnsi="宋体" w:cs="宋体"/>
                <w:color w:val="000000"/>
                <w:kern w:val="0"/>
                <w:sz w:val="20"/>
                <w:szCs w:val="20"/>
              </w:rPr>
              <w:t>可持续影响指标</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14:paraId="127EDD87">
            <w:pPr>
              <w:keepNext w:val="0"/>
              <w:keepLines w:val="0"/>
              <w:widowControl/>
              <w:suppressLineNumbers w:val="0"/>
              <w:jc w:val="left"/>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全县优抚对象抚恤补助标准提升情况</w:t>
            </w:r>
          </w:p>
        </w:tc>
        <w:tc>
          <w:tcPr>
            <w:tcW w:w="3920" w:type="dxa"/>
            <w:gridSpan w:val="2"/>
            <w:vMerge w:val="restart"/>
            <w:tcBorders>
              <w:top w:val="single" w:color="auto" w:sz="8" w:space="0"/>
              <w:left w:val="single" w:color="auto" w:sz="8" w:space="0"/>
              <w:bottom w:val="single" w:color="000000" w:sz="8" w:space="0"/>
              <w:right w:val="single" w:color="000000" w:sz="8" w:space="0"/>
            </w:tcBorders>
            <w:shd w:val="clear" w:color="auto" w:fill="auto"/>
            <w:vAlign w:val="center"/>
          </w:tcPr>
          <w:p w14:paraId="30067723">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稳步提升</w:t>
            </w:r>
          </w:p>
        </w:tc>
      </w:tr>
      <w:tr w14:paraId="5F2E356A">
        <w:tblPrEx>
          <w:tblCellMar>
            <w:top w:w="0" w:type="dxa"/>
            <w:left w:w="108" w:type="dxa"/>
            <w:bottom w:w="0" w:type="dxa"/>
            <w:right w:w="108" w:type="dxa"/>
          </w:tblCellMar>
        </w:tblPrEx>
        <w:trPr>
          <w:trHeight w:val="402" w:hRule="atLeast"/>
        </w:trPr>
        <w:tc>
          <w:tcPr>
            <w:tcW w:w="1020" w:type="dxa"/>
            <w:tcBorders>
              <w:top w:val="nil"/>
              <w:left w:val="single" w:color="auto" w:sz="8" w:space="0"/>
              <w:bottom w:val="nil"/>
              <w:right w:val="single" w:color="auto" w:sz="8" w:space="0"/>
            </w:tcBorders>
            <w:shd w:val="clear" w:color="auto" w:fill="auto"/>
            <w:noWrap/>
            <w:vAlign w:val="center"/>
          </w:tcPr>
          <w:p w14:paraId="1F8FD954">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020" w:type="dxa"/>
            <w:vMerge w:val="continue"/>
            <w:tcBorders>
              <w:top w:val="nil"/>
              <w:left w:val="single" w:color="auto" w:sz="8" w:space="0"/>
              <w:bottom w:val="single" w:color="auto" w:sz="8" w:space="0"/>
              <w:right w:val="single" w:color="auto" w:sz="8" w:space="0"/>
            </w:tcBorders>
            <w:vAlign w:val="center"/>
          </w:tcPr>
          <w:p w14:paraId="4301F51C">
            <w:pPr>
              <w:widowControl/>
              <w:jc w:val="left"/>
              <w:rPr>
                <w:rFonts w:ascii="宋体" w:hAnsi="宋体" w:cs="宋体"/>
                <w:color w:val="000000"/>
                <w:kern w:val="0"/>
                <w:sz w:val="20"/>
                <w:szCs w:val="20"/>
              </w:rPr>
            </w:pPr>
          </w:p>
        </w:tc>
        <w:tc>
          <w:tcPr>
            <w:tcW w:w="2260" w:type="dxa"/>
            <w:gridSpan w:val="2"/>
            <w:vMerge w:val="continue"/>
            <w:tcBorders>
              <w:top w:val="nil"/>
              <w:left w:val="single" w:color="auto" w:sz="8" w:space="0"/>
              <w:bottom w:val="single" w:color="auto" w:sz="8" w:space="0"/>
              <w:right w:val="single" w:color="auto" w:sz="8" w:space="0"/>
            </w:tcBorders>
            <w:vAlign w:val="center"/>
          </w:tcPr>
          <w:p w14:paraId="1A06E9D0">
            <w:pPr>
              <w:widowControl/>
              <w:jc w:val="left"/>
              <w:rPr>
                <w:rFonts w:ascii="宋体" w:hAnsi="宋体" w:cs="宋体"/>
                <w:color w:val="000000"/>
                <w:kern w:val="0"/>
                <w:sz w:val="20"/>
                <w:szCs w:val="20"/>
              </w:rPr>
            </w:pPr>
          </w:p>
        </w:tc>
        <w:tc>
          <w:tcPr>
            <w:tcW w:w="1240" w:type="dxa"/>
            <w:vMerge w:val="continue"/>
            <w:tcBorders>
              <w:top w:val="nil"/>
              <w:left w:val="single" w:color="auto" w:sz="8" w:space="0"/>
              <w:bottom w:val="single" w:color="000000" w:sz="8" w:space="0"/>
              <w:right w:val="single" w:color="auto" w:sz="8" w:space="0"/>
            </w:tcBorders>
            <w:vAlign w:val="center"/>
          </w:tcPr>
          <w:p w14:paraId="4AE05203">
            <w:pPr>
              <w:widowControl/>
              <w:jc w:val="left"/>
              <w:rPr>
                <w:rFonts w:ascii="宋体" w:hAnsi="宋体" w:cs="宋体"/>
                <w:color w:val="000000"/>
                <w:kern w:val="0"/>
                <w:sz w:val="20"/>
                <w:szCs w:val="20"/>
              </w:rPr>
            </w:pPr>
          </w:p>
        </w:tc>
        <w:tc>
          <w:tcPr>
            <w:tcW w:w="3920" w:type="dxa"/>
            <w:gridSpan w:val="2"/>
            <w:vMerge w:val="continue"/>
            <w:tcBorders>
              <w:top w:val="single" w:color="auto" w:sz="8" w:space="0"/>
              <w:left w:val="single" w:color="auto" w:sz="8" w:space="0"/>
              <w:bottom w:val="single" w:color="000000" w:sz="8" w:space="0"/>
              <w:right w:val="single" w:color="000000" w:sz="8" w:space="0"/>
            </w:tcBorders>
            <w:vAlign w:val="center"/>
          </w:tcPr>
          <w:p w14:paraId="32D51AC4">
            <w:pPr>
              <w:widowControl/>
              <w:jc w:val="left"/>
              <w:rPr>
                <w:rFonts w:ascii="宋体" w:hAnsi="宋体" w:cs="宋体"/>
                <w:color w:val="000000"/>
                <w:kern w:val="0"/>
                <w:sz w:val="20"/>
                <w:szCs w:val="20"/>
              </w:rPr>
            </w:pPr>
          </w:p>
        </w:tc>
      </w:tr>
      <w:tr w14:paraId="51DDAB21">
        <w:tblPrEx>
          <w:tblCellMar>
            <w:top w:w="0" w:type="dxa"/>
            <w:left w:w="108" w:type="dxa"/>
            <w:bottom w:w="0" w:type="dxa"/>
            <w:right w:w="108" w:type="dxa"/>
          </w:tblCellMar>
        </w:tblPrEx>
        <w:trPr>
          <w:trHeight w:val="402" w:hRule="atLeast"/>
        </w:trPr>
        <w:tc>
          <w:tcPr>
            <w:tcW w:w="1020" w:type="dxa"/>
            <w:tcBorders>
              <w:top w:val="nil"/>
              <w:left w:val="single" w:color="auto" w:sz="8" w:space="0"/>
              <w:bottom w:val="nil"/>
              <w:right w:val="single" w:color="auto" w:sz="8" w:space="0"/>
            </w:tcBorders>
            <w:shd w:val="clear" w:color="auto" w:fill="auto"/>
            <w:noWrap/>
            <w:vAlign w:val="center"/>
          </w:tcPr>
          <w:p w14:paraId="4143A158">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020" w:type="dxa"/>
            <w:vMerge w:val="restart"/>
            <w:tcBorders>
              <w:top w:val="nil"/>
              <w:left w:val="single" w:color="auto" w:sz="8" w:space="0"/>
              <w:bottom w:val="single" w:color="auto" w:sz="8" w:space="0"/>
              <w:right w:val="single" w:color="auto" w:sz="8" w:space="0"/>
            </w:tcBorders>
            <w:shd w:val="clear" w:color="auto" w:fill="auto"/>
            <w:vAlign w:val="center"/>
          </w:tcPr>
          <w:p w14:paraId="5679D2DF">
            <w:pPr>
              <w:widowControl/>
              <w:jc w:val="center"/>
              <w:rPr>
                <w:rFonts w:ascii="宋体" w:hAnsi="宋体" w:cs="宋体"/>
                <w:color w:val="000000"/>
                <w:kern w:val="0"/>
                <w:sz w:val="20"/>
                <w:szCs w:val="20"/>
              </w:rPr>
            </w:pPr>
            <w:r>
              <w:rPr>
                <w:rFonts w:hint="eastAsia" w:ascii="宋体" w:hAnsi="宋体" w:cs="宋体"/>
                <w:color w:val="000000"/>
                <w:kern w:val="0"/>
                <w:sz w:val="20"/>
                <w:szCs w:val="20"/>
              </w:rPr>
              <w:t>满意度指标</w:t>
            </w:r>
          </w:p>
        </w:tc>
        <w:tc>
          <w:tcPr>
            <w:tcW w:w="2260" w:type="dxa"/>
            <w:gridSpan w:val="2"/>
            <w:vMerge w:val="restart"/>
            <w:tcBorders>
              <w:top w:val="nil"/>
              <w:left w:val="single" w:color="auto" w:sz="8" w:space="0"/>
              <w:bottom w:val="single" w:color="auto" w:sz="8" w:space="0"/>
              <w:right w:val="single" w:color="auto" w:sz="8" w:space="0"/>
            </w:tcBorders>
            <w:shd w:val="clear" w:color="auto" w:fill="auto"/>
            <w:vAlign w:val="center"/>
          </w:tcPr>
          <w:p w14:paraId="0A2AD312">
            <w:pPr>
              <w:widowControl/>
              <w:jc w:val="center"/>
              <w:rPr>
                <w:rFonts w:ascii="宋体" w:hAnsi="宋体" w:cs="宋体"/>
                <w:color w:val="000000"/>
                <w:kern w:val="0"/>
                <w:sz w:val="20"/>
                <w:szCs w:val="20"/>
              </w:rPr>
            </w:pPr>
            <w:r>
              <w:rPr>
                <w:rFonts w:hint="eastAsia" w:ascii="宋体" w:hAnsi="宋体" w:cs="宋体"/>
                <w:color w:val="000000"/>
                <w:kern w:val="0"/>
                <w:sz w:val="20"/>
                <w:szCs w:val="20"/>
              </w:rPr>
              <w:t>满意度指标</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14:paraId="51D59637">
            <w:pPr>
              <w:jc w:val="left"/>
              <w:rPr>
                <w:rFonts w:ascii="宋体" w:hAnsi="宋体" w:cs="宋体"/>
                <w:color w:val="000000"/>
                <w:kern w:val="0"/>
                <w:sz w:val="20"/>
                <w:szCs w:val="20"/>
              </w:rPr>
            </w:pPr>
            <w:r>
              <w:rPr>
                <w:rFonts w:hint="eastAsia" w:ascii="宋体" w:hAnsi="宋体" w:cs="宋体"/>
                <w:color w:val="000000"/>
                <w:kern w:val="0"/>
                <w:sz w:val="20"/>
                <w:szCs w:val="20"/>
              </w:rPr>
              <w:t>全县伤残军人、复员退伍军人、“三属”</w:t>
            </w:r>
          </w:p>
        </w:tc>
        <w:tc>
          <w:tcPr>
            <w:tcW w:w="3920" w:type="dxa"/>
            <w:gridSpan w:val="2"/>
            <w:vMerge w:val="restart"/>
            <w:tcBorders>
              <w:top w:val="single" w:color="auto" w:sz="8" w:space="0"/>
              <w:left w:val="single" w:color="auto" w:sz="8" w:space="0"/>
              <w:bottom w:val="single" w:color="000000" w:sz="8" w:space="0"/>
              <w:right w:val="single" w:color="000000" w:sz="8" w:space="0"/>
            </w:tcBorders>
            <w:shd w:val="clear" w:color="auto" w:fill="auto"/>
            <w:vAlign w:val="center"/>
          </w:tcPr>
          <w:p w14:paraId="510DFAEF">
            <w:pPr>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100%</w:t>
            </w:r>
          </w:p>
        </w:tc>
      </w:tr>
      <w:tr w14:paraId="252BF30C">
        <w:tblPrEx>
          <w:tblCellMar>
            <w:top w:w="0" w:type="dxa"/>
            <w:left w:w="108" w:type="dxa"/>
            <w:bottom w:w="0" w:type="dxa"/>
            <w:right w:w="108" w:type="dxa"/>
          </w:tblCellMar>
        </w:tblPrEx>
        <w:trPr>
          <w:trHeight w:val="402" w:hRule="atLeast"/>
        </w:trPr>
        <w:tc>
          <w:tcPr>
            <w:tcW w:w="1020" w:type="dxa"/>
            <w:tcBorders>
              <w:top w:val="nil"/>
              <w:left w:val="single" w:color="auto" w:sz="8" w:space="0"/>
              <w:bottom w:val="single" w:color="auto" w:sz="8" w:space="0"/>
              <w:right w:val="single" w:color="auto" w:sz="8" w:space="0"/>
            </w:tcBorders>
            <w:shd w:val="clear" w:color="auto" w:fill="auto"/>
            <w:noWrap/>
            <w:vAlign w:val="center"/>
          </w:tcPr>
          <w:p w14:paraId="48951961">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020" w:type="dxa"/>
            <w:vMerge w:val="continue"/>
            <w:tcBorders>
              <w:top w:val="nil"/>
              <w:left w:val="single" w:color="auto" w:sz="8" w:space="0"/>
              <w:bottom w:val="single" w:color="auto" w:sz="8" w:space="0"/>
              <w:right w:val="single" w:color="auto" w:sz="8" w:space="0"/>
            </w:tcBorders>
            <w:vAlign w:val="center"/>
          </w:tcPr>
          <w:p w14:paraId="09B8B49D">
            <w:pPr>
              <w:widowControl/>
              <w:jc w:val="left"/>
              <w:rPr>
                <w:rFonts w:ascii="宋体" w:hAnsi="宋体" w:cs="宋体"/>
                <w:color w:val="000000"/>
                <w:kern w:val="0"/>
                <w:sz w:val="20"/>
                <w:szCs w:val="20"/>
              </w:rPr>
            </w:pPr>
          </w:p>
        </w:tc>
        <w:tc>
          <w:tcPr>
            <w:tcW w:w="2260" w:type="dxa"/>
            <w:gridSpan w:val="2"/>
            <w:vMerge w:val="continue"/>
            <w:tcBorders>
              <w:top w:val="nil"/>
              <w:left w:val="single" w:color="auto" w:sz="8" w:space="0"/>
              <w:bottom w:val="single" w:color="auto" w:sz="8" w:space="0"/>
              <w:right w:val="single" w:color="auto" w:sz="8" w:space="0"/>
            </w:tcBorders>
            <w:vAlign w:val="center"/>
          </w:tcPr>
          <w:p w14:paraId="0D4390CE">
            <w:pPr>
              <w:widowControl/>
              <w:jc w:val="left"/>
              <w:rPr>
                <w:rFonts w:ascii="宋体" w:hAnsi="宋体" w:cs="宋体"/>
                <w:color w:val="000000"/>
                <w:kern w:val="0"/>
                <w:sz w:val="20"/>
                <w:szCs w:val="20"/>
              </w:rPr>
            </w:pPr>
          </w:p>
        </w:tc>
        <w:tc>
          <w:tcPr>
            <w:tcW w:w="1240" w:type="dxa"/>
            <w:vMerge w:val="continue"/>
            <w:tcBorders>
              <w:top w:val="nil"/>
              <w:left w:val="single" w:color="auto" w:sz="8" w:space="0"/>
              <w:bottom w:val="single" w:color="000000" w:sz="8" w:space="0"/>
              <w:right w:val="single" w:color="auto" w:sz="8" w:space="0"/>
            </w:tcBorders>
            <w:vAlign w:val="center"/>
          </w:tcPr>
          <w:p w14:paraId="3C0E34CF">
            <w:pPr>
              <w:widowControl/>
              <w:jc w:val="left"/>
              <w:rPr>
                <w:rFonts w:ascii="宋体" w:hAnsi="宋体" w:cs="宋体"/>
                <w:color w:val="000000"/>
                <w:kern w:val="0"/>
                <w:sz w:val="20"/>
                <w:szCs w:val="20"/>
              </w:rPr>
            </w:pPr>
          </w:p>
        </w:tc>
        <w:tc>
          <w:tcPr>
            <w:tcW w:w="3920" w:type="dxa"/>
            <w:gridSpan w:val="2"/>
            <w:vMerge w:val="continue"/>
            <w:tcBorders>
              <w:top w:val="single" w:color="auto" w:sz="8" w:space="0"/>
              <w:left w:val="single" w:color="auto" w:sz="8" w:space="0"/>
              <w:bottom w:val="single" w:color="000000" w:sz="8" w:space="0"/>
              <w:right w:val="single" w:color="000000" w:sz="8" w:space="0"/>
            </w:tcBorders>
            <w:vAlign w:val="center"/>
          </w:tcPr>
          <w:p w14:paraId="7C468BC2">
            <w:pPr>
              <w:widowControl/>
              <w:jc w:val="left"/>
              <w:rPr>
                <w:rFonts w:ascii="宋体" w:hAnsi="宋体" w:cs="宋体"/>
                <w:color w:val="000000"/>
                <w:kern w:val="0"/>
                <w:sz w:val="20"/>
                <w:szCs w:val="20"/>
              </w:rPr>
            </w:pPr>
          </w:p>
        </w:tc>
      </w:tr>
    </w:tbl>
    <w:p w14:paraId="34F70EE5">
      <w:pPr>
        <w:adjustRightInd w:val="0"/>
        <w:snapToGrid w:val="0"/>
        <w:spacing w:line="580" w:lineRule="exact"/>
        <w:ind w:firstLine="640" w:firstLineChars="200"/>
        <w:jc w:val="left"/>
        <w:rPr>
          <w:rFonts w:hint="eastAsia" w:ascii="仿宋" w:hAnsi="仿宋" w:eastAsia="仿宋"/>
          <w:sz w:val="32"/>
          <w:szCs w:val="32"/>
        </w:rPr>
      </w:pPr>
    </w:p>
    <w:p w14:paraId="34DEF977">
      <w:pPr>
        <w:adjustRightInd w:val="0"/>
        <w:snapToGrid w:val="0"/>
        <w:spacing w:line="580" w:lineRule="exact"/>
        <w:ind w:firstLine="640" w:firstLineChars="200"/>
        <w:jc w:val="left"/>
        <w:rPr>
          <w:rFonts w:ascii="仿宋" w:hAnsi="仿宋" w:eastAsia="仿宋"/>
          <w:sz w:val="32"/>
          <w:szCs w:val="32"/>
        </w:rPr>
      </w:pPr>
      <w:bookmarkStart w:id="0" w:name="_GoBack"/>
      <w:r>
        <w:rPr>
          <w:rFonts w:hint="eastAsia" w:ascii="仿宋" w:hAnsi="仿宋" w:eastAsia="仿宋"/>
          <w:b/>
          <w:bCs/>
          <w:sz w:val="32"/>
          <w:szCs w:val="32"/>
        </w:rPr>
        <w:t>2.“困难军人救助补助”项目。</w:t>
      </w:r>
      <w:bookmarkEnd w:id="0"/>
    </w:p>
    <w:p w14:paraId="12656A35">
      <w:pPr>
        <w:ind w:firstLine="640" w:firstLineChars="200"/>
        <w:rPr>
          <w:rFonts w:hint="eastAsia" w:ascii="仿宋" w:hAnsi="仿宋" w:eastAsia="仿宋"/>
          <w:sz w:val="32"/>
          <w:szCs w:val="32"/>
        </w:rPr>
      </w:pPr>
      <w:r>
        <w:rPr>
          <w:rFonts w:hint="eastAsia" w:ascii="仿宋" w:hAnsi="仿宋" w:eastAsia="仿宋"/>
          <w:sz w:val="32"/>
          <w:szCs w:val="32"/>
        </w:rPr>
        <w:t>（1）项目概述。</w:t>
      </w:r>
    </w:p>
    <w:p w14:paraId="54CD93EC">
      <w:pPr>
        <w:ind w:firstLine="640" w:firstLineChars="200"/>
        <w:rPr>
          <w:rFonts w:ascii="仿宋" w:hAnsi="仿宋" w:eastAsia="仿宋"/>
          <w:sz w:val="32"/>
          <w:szCs w:val="32"/>
        </w:rPr>
      </w:pPr>
      <w:r>
        <w:rPr>
          <w:rFonts w:hint="eastAsia" w:ascii="仿宋" w:hAnsi="仿宋" w:eastAsia="仿宋"/>
          <w:sz w:val="32"/>
          <w:szCs w:val="32"/>
        </w:rPr>
        <w:t>1、抚恤临救（用于解决重点优抚对象生活、医疗、住房等困难和临时性救助）15万元</w:t>
      </w:r>
      <w:r>
        <w:rPr>
          <w:rFonts w:hint="eastAsia" w:ascii="仿宋" w:hAnsi="仿宋" w:eastAsia="仿宋"/>
          <w:sz w:val="32"/>
          <w:szCs w:val="32"/>
          <w:lang w:eastAsia="zh-CN"/>
        </w:rPr>
        <w:t>；</w:t>
      </w:r>
      <w:r>
        <w:rPr>
          <w:rFonts w:hint="eastAsia" w:ascii="仿宋" w:hAnsi="仿宋" w:eastAsia="仿宋"/>
          <w:sz w:val="32"/>
          <w:szCs w:val="32"/>
        </w:rPr>
        <w:t>2、伤残人员辅助器械及交通补助费（伤残人员假肢费）5万元</w:t>
      </w:r>
      <w:r>
        <w:rPr>
          <w:rFonts w:hint="eastAsia" w:ascii="仿宋" w:hAnsi="仿宋" w:eastAsia="仿宋"/>
          <w:sz w:val="32"/>
          <w:szCs w:val="32"/>
          <w:lang w:eastAsia="zh-CN"/>
        </w:rPr>
        <w:t>；</w:t>
      </w:r>
      <w:r>
        <w:rPr>
          <w:rFonts w:hint="eastAsia" w:ascii="仿宋" w:hAnsi="仿宋" w:eastAsia="仿宋"/>
          <w:sz w:val="32"/>
          <w:szCs w:val="32"/>
        </w:rPr>
        <w:t>3、在企业退休的1953年底前后入伍的参战参试退役军人生活补助及体检费12</w:t>
      </w:r>
      <w:r>
        <w:rPr>
          <w:rFonts w:hint="eastAsia" w:ascii="仿宋" w:hAnsi="仿宋" w:eastAsia="仿宋"/>
          <w:sz w:val="32"/>
          <w:szCs w:val="32"/>
          <w:lang w:val="en-US" w:eastAsia="zh-CN"/>
        </w:rPr>
        <w:t>6.</w:t>
      </w:r>
      <w:r>
        <w:rPr>
          <w:rFonts w:hint="eastAsia" w:ascii="仿宋" w:hAnsi="仿宋" w:eastAsia="仿宋"/>
          <w:sz w:val="32"/>
          <w:szCs w:val="32"/>
        </w:rPr>
        <w:t>3万元</w:t>
      </w:r>
      <w:r>
        <w:rPr>
          <w:rFonts w:hint="eastAsia" w:ascii="仿宋" w:hAnsi="仿宋" w:eastAsia="仿宋"/>
          <w:sz w:val="32"/>
          <w:szCs w:val="32"/>
          <w:lang w:eastAsia="zh-CN"/>
        </w:rPr>
        <w:t>；</w:t>
      </w:r>
      <w:r>
        <w:rPr>
          <w:rFonts w:hint="eastAsia" w:ascii="仿宋" w:hAnsi="仿宋" w:eastAsia="仿宋"/>
          <w:sz w:val="32"/>
          <w:szCs w:val="32"/>
        </w:rPr>
        <w:t>4、2025年度企业军转干特困救助金30万元</w:t>
      </w:r>
      <w:r>
        <w:rPr>
          <w:rFonts w:hint="eastAsia" w:ascii="仿宋" w:hAnsi="仿宋" w:eastAsia="仿宋"/>
          <w:sz w:val="32"/>
          <w:szCs w:val="32"/>
          <w:lang w:eastAsia="zh-CN"/>
        </w:rPr>
        <w:t>。</w:t>
      </w:r>
      <w:r>
        <w:rPr>
          <w:rFonts w:hint="eastAsia" w:ascii="仿宋" w:hAnsi="仿宋" w:eastAsia="仿宋"/>
          <w:sz w:val="32"/>
          <w:szCs w:val="32"/>
        </w:rPr>
        <w:t xml:space="preserve"> </w:t>
      </w:r>
    </w:p>
    <w:p w14:paraId="142C58E2">
      <w:pPr>
        <w:ind w:firstLine="640" w:firstLineChars="200"/>
        <w:rPr>
          <w:rFonts w:hint="eastAsia" w:ascii="仿宋" w:hAnsi="仿宋" w:eastAsia="仿宋"/>
          <w:sz w:val="32"/>
          <w:szCs w:val="32"/>
        </w:rPr>
      </w:pPr>
      <w:r>
        <w:rPr>
          <w:rFonts w:hint="eastAsia" w:ascii="仿宋" w:hAnsi="仿宋" w:eastAsia="仿宋"/>
          <w:sz w:val="32"/>
          <w:szCs w:val="32"/>
        </w:rPr>
        <w:t>（2）立项依据。《淮南市退役军人事务局、淮南市人力资源和社会保障局、淮南市财政局关于调整2022年部分在企业退休的部分军队退役士兵等人员生活补助标准的通知》（淮退役军人密〔2022〕12号）淮南市人力资源和社会保障局等12部门关于印发《淮南市重点优抚对象享受普惠加优待实施细则》的通知（淮民〔2017〕100号）《关于印发&lt;安徽省部分企业军转干部特困救助实施办法&gt;》</w:t>
      </w:r>
    </w:p>
    <w:p w14:paraId="6DDE247E">
      <w:pPr>
        <w:ind w:firstLine="640" w:firstLineChars="200"/>
        <w:rPr>
          <w:rFonts w:hint="eastAsia" w:ascii="仿宋" w:hAnsi="仿宋" w:eastAsia="仿宋"/>
          <w:sz w:val="32"/>
          <w:szCs w:val="32"/>
          <w:lang w:eastAsia="zh-CN"/>
        </w:rPr>
      </w:pPr>
      <w:r>
        <w:rPr>
          <w:rFonts w:hint="eastAsia" w:ascii="仿宋" w:hAnsi="仿宋" w:eastAsia="仿宋"/>
          <w:sz w:val="32"/>
          <w:szCs w:val="32"/>
        </w:rPr>
        <w:t>（3）实施主体。实施主体为</w:t>
      </w:r>
      <w:r>
        <w:rPr>
          <w:rFonts w:hint="eastAsia" w:ascii="仿宋" w:hAnsi="仿宋" w:eastAsia="仿宋"/>
          <w:sz w:val="32"/>
          <w:szCs w:val="32"/>
          <w:lang w:eastAsia="zh-CN"/>
        </w:rPr>
        <w:t>寿县退役军人事务局</w:t>
      </w:r>
    </w:p>
    <w:p w14:paraId="5DAC8A8E">
      <w:pPr>
        <w:ind w:firstLine="640" w:firstLineChars="200"/>
        <w:rPr>
          <w:rFonts w:ascii="仿宋" w:hAnsi="仿宋" w:eastAsia="仿宋"/>
          <w:sz w:val="32"/>
          <w:szCs w:val="32"/>
        </w:rPr>
      </w:pPr>
      <w:r>
        <w:rPr>
          <w:rFonts w:hint="eastAsia" w:ascii="仿宋" w:hAnsi="仿宋" w:eastAsia="仿宋"/>
          <w:sz w:val="32"/>
          <w:szCs w:val="32"/>
        </w:rPr>
        <w:t>（4）起止时间。起止时间为 2025年1月1日至12月31日。</w:t>
      </w:r>
    </w:p>
    <w:p w14:paraId="43A91CC4">
      <w:pPr>
        <w:ind w:firstLine="640" w:firstLineChars="200"/>
        <w:rPr>
          <w:rFonts w:ascii="仿宋" w:hAnsi="仿宋" w:eastAsia="仿宋"/>
          <w:sz w:val="32"/>
          <w:szCs w:val="32"/>
        </w:rPr>
      </w:pPr>
      <w:r>
        <w:rPr>
          <w:rFonts w:hint="eastAsia" w:ascii="仿宋" w:hAnsi="仿宋" w:eastAsia="仿宋"/>
          <w:sz w:val="32"/>
          <w:szCs w:val="32"/>
        </w:rPr>
        <w:t>（5）项目内容。1、抚恤临救（用于解决重点优抚对象生活、医疗、住房等困难和临时性救助）15万元</w:t>
      </w:r>
      <w:r>
        <w:rPr>
          <w:rFonts w:hint="eastAsia" w:ascii="仿宋" w:hAnsi="仿宋" w:eastAsia="仿宋"/>
          <w:sz w:val="32"/>
          <w:szCs w:val="32"/>
          <w:lang w:eastAsia="zh-CN"/>
        </w:rPr>
        <w:t>；</w:t>
      </w:r>
      <w:r>
        <w:rPr>
          <w:rFonts w:hint="eastAsia" w:ascii="仿宋" w:hAnsi="仿宋" w:eastAsia="仿宋"/>
          <w:sz w:val="32"/>
          <w:szCs w:val="32"/>
        </w:rPr>
        <w:t>2、伤残人员辅助器械及交通补助费（伤残人员假肢费）5万元</w:t>
      </w:r>
      <w:r>
        <w:rPr>
          <w:rFonts w:hint="eastAsia" w:ascii="仿宋" w:hAnsi="仿宋" w:eastAsia="仿宋"/>
          <w:sz w:val="32"/>
          <w:szCs w:val="32"/>
          <w:lang w:eastAsia="zh-CN"/>
        </w:rPr>
        <w:t>；</w:t>
      </w:r>
      <w:r>
        <w:rPr>
          <w:rFonts w:hint="eastAsia" w:ascii="仿宋" w:hAnsi="仿宋" w:eastAsia="仿宋"/>
          <w:sz w:val="32"/>
          <w:szCs w:val="32"/>
        </w:rPr>
        <w:t>3、在企业退休的1953年底前后入伍的参战参试退役军人生活补助及体检费12</w:t>
      </w:r>
      <w:r>
        <w:rPr>
          <w:rFonts w:hint="eastAsia" w:ascii="仿宋" w:hAnsi="仿宋" w:eastAsia="仿宋"/>
          <w:sz w:val="32"/>
          <w:szCs w:val="32"/>
          <w:lang w:val="en-US" w:eastAsia="zh-CN"/>
        </w:rPr>
        <w:t>6.</w:t>
      </w:r>
      <w:r>
        <w:rPr>
          <w:rFonts w:hint="eastAsia" w:ascii="仿宋" w:hAnsi="仿宋" w:eastAsia="仿宋"/>
          <w:sz w:val="32"/>
          <w:szCs w:val="32"/>
        </w:rPr>
        <w:t>3万元</w:t>
      </w:r>
      <w:r>
        <w:rPr>
          <w:rFonts w:hint="eastAsia" w:ascii="仿宋" w:hAnsi="仿宋" w:eastAsia="仿宋"/>
          <w:sz w:val="32"/>
          <w:szCs w:val="32"/>
          <w:lang w:eastAsia="zh-CN"/>
        </w:rPr>
        <w:t>；</w:t>
      </w:r>
      <w:r>
        <w:rPr>
          <w:rFonts w:hint="eastAsia" w:ascii="仿宋" w:hAnsi="仿宋" w:eastAsia="仿宋"/>
          <w:sz w:val="32"/>
          <w:szCs w:val="32"/>
        </w:rPr>
        <w:t>4、2025年度企业军转干特困救助金30万元</w:t>
      </w:r>
      <w:r>
        <w:rPr>
          <w:rFonts w:hint="eastAsia" w:ascii="仿宋" w:hAnsi="仿宋" w:eastAsia="仿宋"/>
          <w:sz w:val="32"/>
          <w:szCs w:val="32"/>
          <w:lang w:eastAsia="zh-CN"/>
        </w:rPr>
        <w:t>。</w:t>
      </w:r>
      <w:r>
        <w:rPr>
          <w:rFonts w:hint="eastAsia" w:ascii="仿宋" w:hAnsi="仿宋" w:eastAsia="仿宋"/>
          <w:sz w:val="32"/>
          <w:szCs w:val="32"/>
        </w:rPr>
        <w:t xml:space="preserve"> </w:t>
      </w:r>
    </w:p>
    <w:p w14:paraId="440A22C9">
      <w:pPr>
        <w:ind w:firstLine="640" w:firstLineChars="200"/>
        <w:rPr>
          <w:rFonts w:ascii="仿宋" w:hAnsi="仿宋" w:eastAsia="仿宋"/>
          <w:sz w:val="32"/>
          <w:szCs w:val="32"/>
        </w:rPr>
      </w:pPr>
      <w:r>
        <w:rPr>
          <w:rFonts w:hint="eastAsia" w:ascii="仿宋" w:hAnsi="仿宋" w:eastAsia="仿宋"/>
          <w:sz w:val="32"/>
          <w:szCs w:val="32"/>
        </w:rPr>
        <w:t>（6）年度预算安排。安排预算资金</w:t>
      </w:r>
      <w:r>
        <w:rPr>
          <w:rFonts w:hint="eastAsia" w:ascii="仿宋" w:hAnsi="仿宋" w:eastAsia="仿宋"/>
          <w:sz w:val="32"/>
          <w:szCs w:val="32"/>
          <w:lang w:val="en-US" w:eastAsia="zh-CN"/>
        </w:rPr>
        <w:t>176.3</w:t>
      </w:r>
      <w:r>
        <w:rPr>
          <w:rFonts w:hint="eastAsia" w:ascii="仿宋" w:hAnsi="仿宋" w:eastAsia="仿宋"/>
          <w:sz w:val="32"/>
          <w:szCs w:val="32"/>
        </w:rPr>
        <w:t>万元。</w:t>
      </w:r>
    </w:p>
    <w:p w14:paraId="75CA4D82">
      <w:pPr>
        <w:spacing w:line="600" w:lineRule="exact"/>
        <w:ind w:firstLine="640" w:firstLineChars="200"/>
        <w:rPr>
          <w:rFonts w:ascii="仿宋_GB2312" w:hAnsi="Arial" w:eastAsia="仿宋_GB2312" w:cs="Arial"/>
          <w:color w:val="333333"/>
          <w:sz w:val="32"/>
          <w:szCs w:val="32"/>
          <w:shd w:val="clear" w:color="auto" w:fill="FFFFFF"/>
        </w:rPr>
      </w:pPr>
      <w:r>
        <w:rPr>
          <w:rFonts w:hint="eastAsia" w:ascii="仿宋" w:hAnsi="仿宋" w:eastAsia="仿宋"/>
          <w:sz w:val="32"/>
          <w:szCs w:val="32"/>
        </w:rPr>
        <w:t>（7）绩效目标。</w:t>
      </w:r>
      <w:r>
        <w:rPr>
          <w:rFonts w:hint="eastAsia" w:ascii="Arial" w:hAnsi="Arial" w:eastAsia="仿宋_GB2312" w:cs="Arial"/>
          <w:color w:val="333333"/>
          <w:sz w:val="32"/>
          <w:szCs w:val="32"/>
          <w:shd w:val="clear" w:color="auto" w:fill="FFFFFF"/>
        </w:rPr>
        <w:t>及时为</w:t>
      </w:r>
      <w:r>
        <w:rPr>
          <w:rFonts w:hint="eastAsia" w:ascii="仿宋" w:hAnsi="仿宋" w:eastAsia="仿宋" w:cs="仿宋"/>
          <w:color w:val="333333"/>
          <w:sz w:val="32"/>
          <w:szCs w:val="32"/>
          <w:shd w:val="clear" w:color="auto" w:fill="FFFFFF"/>
        </w:rPr>
        <w:t>在</w:t>
      </w:r>
      <w:r>
        <w:rPr>
          <w:rFonts w:hint="eastAsia" w:ascii="仿宋_GB2312" w:hAnsi="Arial" w:eastAsia="仿宋_GB2312" w:cs="Arial"/>
          <w:color w:val="333333"/>
          <w:sz w:val="32"/>
          <w:szCs w:val="32"/>
          <w:shd w:val="clear" w:color="auto" w:fill="FFFFFF"/>
        </w:rPr>
        <w:t>困难军人救助补助项目</w:t>
      </w:r>
      <w:r>
        <w:rPr>
          <w:rFonts w:hint="eastAsia" w:ascii="Arial" w:hAnsi="Arial" w:eastAsia="仿宋_GB2312" w:cs="Arial"/>
          <w:color w:val="333333"/>
          <w:sz w:val="32"/>
          <w:szCs w:val="32"/>
          <w:shd w:val="clear" w:color="auto" w:fill="FFFFFF"/>
        </w:rPr>
        <w:t>立项时，认真审核人员工资，按照上级文件精神对补助进行调整，符合规定。</w:t>
      </w:r>
    </w:p>
    <w:p w14:paraId="1239360D">
      <w:pPr>
        <w:rPr>
          <w:sz w:val="32"/>
          <w:szCs w:val="32"/>
        </w:rPr>
      </w:pPr>
    </w:p>
    <w:tbl>
      <w:tblPr>
        <w:tblStyle w:val="18"/>
        <w:tblW w:w="9460" w:type="dxa"/>
        <w:tblInd w:w="93" w:type="dxa"/>
        <w:tblLayout w:type="autofit"/>
        <w:tblCellMar>
          <w:top w:w="0" w:type="dxa"/>
          <w:left w:w="108" w:type="dxa"/>
          <w:bottom w:w="0" w:type="dxa"/>
          <w:right w:w="108" w:type="dxa"/>
        </w:tblCellMar>
      </w:tblPr>
      <w:tblGrid>
        <w:gridCol w:w="1020"/>
        <w:gridCol w:w="1020"/>
        <w:gridCol w:w="1020"/>
        <w:gridCol w:w="1240"/>
        <w:gridCol w:w="1240"/>
        <w:gridCol w:w="1960"/>
        <w:gridCol w:w="1960"/>
      </w:tblGrid>
      <w:tr w14:paraId="37EA9A3E">
        <w:tblPrEx>
          <w:tblCellMar>
            <w:top w:w="0" w:type="dxa"/>
            <w:left w:w="108" w:type="dxa"/>
            <w:bottom w:w="0" w:type="dxa"/>
            <w:right w:w="108" w:type="dxa"/>
          </w:tblCellMar>
        </w:tblPrEx>
        <w:trPr>
          <w:trHeight w:val="375" w:hRule="atLeast"/>
        </w:trPr>
        <w:tc>
          <w:tcPr>
            <w:tcW w:w="9460" w:type="dxa"/>
            <w:gridSpan w:val="7"/>
            <w:tcBorders>
              <w:top w:val="nil"/>
              <w:left w:val="nil"/>
              <w:bottom w:val="nil"/>
              <w:right w:val="nil"/>
            </w:tcBorders>
            <w:shd w:val="clear" w:color="auto" w:fill="auto"/>
            <w:vAlign w:val="center"/>
          </w:tcPr>
          <w:p w14:paraId="69C8BDE6">
            <w:pPr>
              <w:widowControl/>
              <w:jc w:val="center"/>
              <w:rPr>
                <w:rFonts w:ascii="宋体" w:hAnsi="宋体" w:cs="宋体"/>
                <w:b/>
                <w:bCs/>
                <w:color w:val="000000"/>
                <w:kern w:val="0"/>
                <w:sz w:val="28"/>
                <w:szCs w:val="28"/>
              </w:rPr>
            </w:pPr>
            <w:r>
              <w:rPr>
                <w:rFonts w:hint="eastAsia" w:ascii="宋体" w:hAnsi="宋体" w:cs="宋体"/>
                <w:b/>
                <w:bCs/>
                <w:color w:val="000000"/>
                <w:kern w:val="0"/>
                <w:sz w:val="28"/>
                <w:szCs w:val="28"/>
              </w:rPr>
              <w:t>项目支出绩效目标表</w:t>
            </w:r>
          </w:p>
        </w:tc>
      </w:tr>
      <w:tr w14:paraId="515F41A8">
        <w:tblPrEx>
          <w:tblCellMar>
            <w:top w:w="0" w:type="dxa"/>
            <w:left w:w="108" w:type="dxa"/>
            <w:bottom w:w="0" w:type="dxa"/>
            <w:right w:w="108" w:type="dxa"/>
          </w:tblCellMar>
        </w:tblPrEx>
        <w:trPr>
          <w:trHeight w:val="300" w:hRule="atLeast"/>
        </w:trPr>
        <w:tc>
          <w:tcPr>
            <w:tcW w:w="9460" w:type="dxa"/>
            <w:gridSpan w:val="7"/>
            <w:tcBorders>
              <w:top w:val="nil"/>
              <w:left w:val="nil"/>
              <w:bottom w:val="single" w:color="auto" w:sz="8" w:space="0"/>
              <w:right w:val="nil"/>
            </w:tcBorders>
            <w:shd w:val="clear" w:color="auto" w:fill="auto"/>
            <w:vAlign w:val="center"/>
          </w:tcPr>
          <w:p w14:paraId="252929E6">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（2025年度）                                </w:t>
            </w:r>
          </w:p>
        </w:tc>
      </w:tr>
      <w:tr w14:paraId="762D5745">
        <w:tblPrEx>
          <w:tblCellMar>
            <w:top w:w="0" w:type="dxa"/>
            <w:left w:w="108" w:type="dxa"/>
            <w:bottom w:w="0" w:type="dxa"/>
            <w:right w:w="108" w:type="dxa"/>
          </w:tblCellMar>
        </w:tblPrEx>
        <w:trPr>
          <w:trHeight w:val="510" w:hRule="atLeast"/>
        </w:trPr>
        <w:tc>
          <w:tcPr>
            <w:tcW w:w="3060" w:type="dxa"/>
            <w:gridSpan w:val="3"/>
            <w:tcBorders>
              <w:top w:val="nil"/>
              <w:left w:val="single" w:color="auto" w:sz="8" w:space="0"/>
              <w:bottom w:val="single" w:color="auto" w:sz="8" w:space="0"/>
              <w:right w:val="single" w:color="auto" w:sz="8" w:space="0"/>
            </w:tcBorders>
            <w:shd w:val="clear" w:color="auto" w:fill="auto"/>
            <w:vAlign w:val="center"/>
          </w:tcPr>
          <w:p w14:paraId="51217A31">
            <w:pPr>
              <w:widowControl/>
              <w:jc w:val="center"/>
              <w:rPr>
                <w:rFonts w:ascii="宋体" w:hAnsi="宋体" w:cs="宋体"/>
                <w:color w:val="000000"/>
                <w:kern w:val="0"/>
                <w:sz w:val="20"/>
                <w:szCs w:val="20"/>
              </w:rPr>
            </w:pPr>
            <w:r>
              <w:rPr>
                <w:rFonts w:hint="eastAsia" w:ascii="宋体" w:hAnsi="宋体" w:cs="宋体"/>
                <w:color w:val="000000"/>
                <w:kern w:val="0"/>
                <w:sz w:val="20"/>
                <w:szCs w:val="20"/>
              </w:rPr>
              <w:t>项目名称</w:t>
            </w:r>
          </w:p>
        </w:tc>
        <w:tc>
          <w:tcPr>
            <w:tcW w:w="6400" w:type="dxa"/>
            <w:gridSpan w:val="4"/>
            <w:tcBorders>
              <w:top w:val="single" w:color="auto" w:sz="8" w:space="0"/>
              <w:left w:val="nil"/>
              <w:bottom w:val="single" w:color="auto" w:sz="8" w:space="0"/>
              <w:right w:val="single" w:color="auto" w:sz="8" w:space="0"/>
            </w:tcBorders>
            <w:shd w:val="clear" w:color="auto" w:fill="auto"/>
            <w:vAlign w:val="center"/>
          </w:tcPr>
          <w:p w14:paraId="13898708">
            <w:pPr>
              <w:widowControl/>
              <w:jc w:val="center"/>
              <w:rPr>
                <w:rFonts w:ascii="宋体" w:hAnsi="宋体" w:cs="宋体"/>
                <w:color w:val="000000"/>
                <w:kern w:val="0"/>
                <w:sz w:val="20"/>
                <w:szCs w:val="20"/>
              </w:rPr>
            </w:pPr>
            <w:r>
              <w:rPr>
                <w:rFonts w:hint="eastAsia" w:ascii="宋体" w:hAnsi="宋体" w:cs="宋体"/>
                <w:color w:val="000000"/>
                <w:kern w:val="0"/>
                <w:sz w:val="20"/>
                <w:szCs w:val="20"/>
              </w:rPr>
              <w:t>困难军人救助补助</w:t>
            </w:r>
          </w:p>
        </w:tc>
      </w:tr>
      <w:tr w14:paraId="2D5C4B34">
        <w:tblPrEx>
          <w:tblCellMar>
            <w:top w:w="0" w:type="dxa"/>
            <w:left w:w="108" w:type="dxa"/>
            <w:bottom w:w="0" w:type="dxa"/>
            <w:right w:w="108" w:type="dxa"/>
          </w:tblCellMar>
        </w:tblPrEx>
        <w:trPr>
          <w:trHeight w:val="630" w:hRule="atLeast"/>
        </w:trPr>
        <w:tc>
          <w:tcPr>
            <w:tcW w:w="3060" w:type="dxa"/>
            <w:gridSpan w:val="3"/>
            <w:tcBorders>
              <w:top w:val="nil"/>
              <w:left w:val="single" w:color="auto" w:sz="8" w:space="0"/>
              <w:bottom w:val="single" w:color="auto" w:sz="8" w:space="0"/>
              <w:right w:val="single" w:color="auto" w:sz="8" w:space="0"/>
            </w:tcBorders>
            <w:shd w:val="clear" w:color="auto" w:fill="auto"/>
            <w:vAlign w:val="center"/>
          </w:tcPr>
          <w:p w14:paraId="127FE44F">
            <w:pPr>
              <w:widowControl/>
              <w:jc w:val="center"/>
              <w:rPr>
                <w:rFonts w:ascii="宋体" w:hAnsi="宋体" w:cs="宋体"/>
                <w:color w:val="000000"/>
                <w:kern w:val="0"/>
                <w:sz w:val="20"/>
                <w:szCs w:val="20"/>
              </w:rPr>
            </w:pPr>
            <w:r>
              <w:rPr>
                <w:rFonts w:hint="eastAsia" w:ascii="宋体" w:hAnsi="宋体" w:cs="宋体"/>
                <w:color w:val="000000"/>
                <w:kern w:val="0"/>
                <w:sz w:val="20"/>
                <w:szCs w:val="20"/>
              </w:rPr>
              <w:t>主管部门及代码</w:t>
            </w:r>
          </w:p>
        </w:tc>
        <w:tc>
          <w:tcPr>
            <w:tcW w:w="2480" w:type="dxa"/>
            <w:gridSpan w:val="2"/>
            <w:tcBorders>
              <w:top w:val="nil"/>
              <w:left w:val="nil"/>
              <w:bottom w:val="single" w:color="auto" w:sz="8" w:space="0"/>
              <w:right w:val="single" w:color="auto" w:sz="8" w:space="0"/>
            </w:tcBorders>
            <w:shd w:val="clear" w:color="auto" w:fill="auto"/>
            <w:vAlign w:val="center"/>
          </w:tcPr>
          <w:p w14:paraId="4F1581AA">
            <w:pPr>
              <w:widowControl/>
              <w:jc w:val="center"/>
              <w:rPr>
                <w:rFonts w:ascii="宋体" w:hAnsi="宋体" w:cs="宋体"/>
                <w:color w:val="000000"/>
                <w:kern w:val="0"/>
                <w:sz w:val="20"/>
                <w:szCs w:val="20"/>
              </w:rPr>
            </w:pPr>
            <w:r>
              <w:rPr>
                <w:rFonts w:hint="eastAsia" w:ascii="宋体" w:hAnsi="宋体" w:cs="宋体"/>
                <w:color w:val="000000"/>
                <w:kern w:val="0"/>
                <w:sz w:val="20"/>
                <w:szCs w:val="20"/>
              </w:rPr>
              <w:t>寿县</w:t>
            </w:r>
            <w:r>
              <w:rPr>
                <w:rFonts w:hint="eastAsia" w:ascii="宋体" w:hAnsi="宋体" w:cs="宋体"/>
                <w:color w:val="000000"/>
                <w:kern w:val="0"/>
                <w:sz w:val="20"/>
                <w:szCs w:val="20"/>
                <w:lang w:eastAsia="zh-CN"/>
              </w:rPr>
              <w:t>退役军人事务</w:t>
            </w:r>
            <w:r>
              <w:rPr>
                <w:rFonts w:hint="eastAsia" w:ascii="宋体" w:hAnsi="宋体" w:cs="宋体"/>
                <w:color w:val="000000"/>
                <w:kern w:val="0"/>
                <w:sz w:val="20"/>
                <w:szCs w:val="20"/>
              </w:rPr>
              <w:t xml:space="preserve">局 </w:t>
            </w:r>
            <w:r>
              <w:rPr>
                <w:rFonts w:hint="eastAsia" w:ascii="宋体" w:hAnsi="宋体" w:cs="宋体"/>
                <w:color w:val="000000"/>
                <w:kern w:val="0"/>
                <w:sz w:val="20"/>
                <w:szCs w:val="20"/>
                <w:lang w:val="en-US" w:eastAsia="zh-CN"/>
              </w:rPr>
              <w:t>176001</w:t>
            </w:r>
            <w:r>
              <w:rPr>
                <w:rFonts w:hint="eastAsia" w:ascii="宋体" w:hAnsi="宋体" w:cs="宋体"/>
                <w:color w:val="000000"/>
                <w:kern w:val="0"/>
                <w:sz w:val="20"/>
                <w:szCs w:val="20"/>
              </w:rPr>
              <w:t xml:space="preserve"> </w:t>
            </w:r>
          </w:p>
        </w:tc>
        <w:tc>
          <w:tcPr>
            <w:tcW w:w="1960" w:type="dxa"/>
            <w:tcBorders>
              <w:top w:val="nil"/>
              <w:left w:val="nil"/>
              <w:bottom w:val="single" w:color="auto" w:sz="8" w:space="0"/>
              <w:right w:val="single" w:color="auto" w:sz="8" w:space="0"/>
            </w:tcBorders>
            <w:shd w:val="clear" w:color="auto" w:fill="auto"/>
            <w:vAlign w:val="center"/>
          </w:tcPr>
          <w:p w14:paraId="6FB4613F">
            <w:pPr>
              <w:widowControl/>
              <w:jc w:val="center"/>
              <w:rPr>
                <w:rFonts w:ascii="宋体" w:hAnsi="宋体" w:cs="宋体"/>
                <w:color w:val="000000"/>
                <w:kern w:val="0"/>
                <w:sz w:val="20"/>
                <w:szCs w:val="20"/>
              </w:rPr>
            </w:pPr>
            <w:r>
              <w:rPr>
                <w:rFonts w:hint="eastAsia" w:ascii="宋体" w:hAnsi="宋体" w:cs="宋体"/>
                <w:color w:val="000000"/>
                <w:kern w:val="0"/>
                <w:sz w:val="20"/>
                <w:szCs w:val="20"/>
              </w:rPr>
              <w:t>实施单位</w:t>
            </w:r>
          </w:p>
        </w:tc>
        <w:tc>
          <w:tcPr>
            <w:tcW w:w="1960" w:type="dxa"/>
            <w:tcBorders>
              <w:top w:val="nil"/>
              <w:left w:val="nil"/>
              <w:bottom w:val="single" w:color="auto" w:sz="8" w:space="0"/>
              <w:right w:val="single" w:color="auto" w:sz="8" w:space="0"/>
            </w:tcBorders>
            <w:shd w:val="clear" w:color="auto" w:fill="auto"/>
            <w:vAlign w:val="center"/>
          </w:tcPr>
          <w:p w14:paraId="29DEFBD5">
            <w:pPr>
              <w:widowControl/>
              <w:jc w:val="center"/>
              <w:rPr>
                <w:rFonts w:ascii="宋体" w:hAnsi="宋体" w:cs="宋体"/>
                <w:color w:val="000000"/>
                <w:kern w:val="0"/>
                <w:sz w:val="20"/>
                <w:szCs w:val="20"/>
              </w:rPr>
            </w:pPr>
            <w:r>
              <w:rPr>
                <w:rFonts w:hint="eastAsia" w:ascii="宋体" w:hAnsi="宋体" w:cs="宋体"/>
                <w:color w:val="000000"/>
                <w:kern w:val="0"/>
                <w:sz w:val="20"/>
                <w:szCs w:val="20"/>
              </w:rPr>
              <w:t>寿县</w:t>
            </w:r>
            <w:r>
              <w:rPr>
                <w:rFonts w:hint="eastAsia" w:ascii="宋体" w:hAnsi="宋体" w:cs="宋体"/>
                <w:color w:val="000000"/>
                <w:kern w:val="0"/>
                <w:sz w:val="20"/>
                <w:szCs w:val="20"/>
                <w:lang w:eastAsia="zh-CN"/>
              </w:rPr>
              <w:t>退役军人事务</w:t>
            </w:r>
            <w:r>
              <w:rPr>
                <w:rFonts w:hint="eastAsia" w:ascii="宋体" w:hAnsi="宋体" w:cs="宋体"/>
                <w:color w:val="000000"/>
                <w:kern w:val="0"/>
                <w:sz w:val="20"/>
                <w:szCs w:val="20"/>
              </w:rPr>
              <w:t xml:space="preserve">局 </w:t>
            </w:r>
            <w:r>
              <w:rPr>
                <w:rFonts w:hint="eastAsia" w:ascii="宋体" w:hAnsi="宋体" w:cs="宋体"/>
                <w:color w:val="000000"/>
                <w:kern w:val="0"/>
                <w:sz w:val="20"/>
                <w:szCs w:val="20"/>
                <w:lang w:val="en-US" w:eastAsia="zh-CN"/>
              </w:rPr>
              <w:t>176001</w:t>
            </w:r>
            <w:r>
              <w:rPr>
                <w:rFonts w:hint="eastAsia" w:ascii="宋体" w:hAnsi="宋体" w:cs="宋体"/>
                <w:color w:val="000000"/>
                <w:kern w:val="0"/>
                <w:sz w:val="20"/>
                <w:szCs w:val="20"/>
              </w:rPr>
              <w:t xml:space="preserve"> </w:t>
            </w:r>
          </w:p>
        </w:tc>
      </w:tr>
      <w:tr w14:paraId="2B3C7DCF">
        <w:tblPrEx>
          <w:tblCellMar>
            <w:top w:w="0" w:type="dxa"/>
            <w:left w:w="108" w:type="dxa"/>
            <w:bottom w:w="0" w:type="dxa"/>
            <w:right w:w="108" w:type="dxa"/>
          </w:tblCellMar>
        </w:tblPrEx>
        <w:trPr>
          <w:trHeight w:val="435" w:hRule="atLeast"/>
        </w:trPr>
        <w:tc>
          <w:tcPr>
            <w:tcW w:w="3060" w:type="dxa"/>
            <w:gridSpan w:val="3"/>
            <w:tcBorders>
              <w:top w:val="nil"/>
              <w:left w:val="single" w:color="auto" w:sz="8" w:space="0"/>
              <w:bottom w:val="single" w:color="auto" w:sz="8" w:space="0"/>
              <w:right w:val="single" w:color="auto" w:sz="8" w:space="0"/>
            </w:tcBorders>
            <w:shd w:val="clear" w:color="auto" w:fill="auto"/>
            <w:vAlign w:val="center"/>
          </w:tcPr>
          <w:p w14:paraId="0C5737DA">
            <w:pPr>
              <w:widowControl/>
              <w:jc w:val="center"/>
              <w:rPr>
                <w:rFonts w:ascii="宋体" w:hAnsi="宋体" w:cs="宋体"/>
                <w:color w:val="000000"/>
                <w:kern w:val="0"/>
                <w:sz w:val="20"/>
                <w:szCs w:val="20"/>
              </w:rPr>
            </w:pPr>
            <w:r>
              <w:rPr>
                <w:rFonts w:hint="eastAsia" w:ascii="宋体" w:hAnsi="宋体" w:cs="宋体"/>
                <w:color w:val="000000"/>
                <w:kern w:val="0"/>
                <w:sz w:val="20"/>
                <w:szCs w:val="20"/>
              </w:rPr>
              <w:t>项目来源</w:t>
            </w:r>
          </w:p>
        </w:tc>
        <w:tc>
          <w:tcPr>
            <w:tcW w:w="2480" w:type="dxa"/>
            <w:gridSpan w:val="2"/>
            <w:tcBorders>
              <w:top w:val="nil"/>
              <w:left w:val="nil"/>
              <w:bottom w:val="single" w:color="auto" w:sz="8" w:space="0"/>
              <w:right w:val="single" w:color="auto" w:sz="8" w:space="0"/>
            </w:tcBorders>
            <w:shd w:val="clear" w:color="auto" w:fill="auto"/>
            <w:vAlign w:val="center"/>
          </w:tcPr>
          <w:p w14:paraId="6E0479AB">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960" w:type="dxa"/>
            <w:tcBorders>
              <w:top w:val="nil"/>
              <w:left w:val="nil"/>
              <w:bottom w:val="single" w:color="auto" w:sz="8" w:space="0"/>
              <w:right w:val="single" w:color="auto" w:sz="8" w:space="0"/>
            </w:tcBorders>
            <w:shd w:val="clear" w:color="auto" w:fill="auto"/>
            <w:vAlign w:val="center"/>
          </w:tcPr>
          <w:p w14:paraId="358917ED">
            <w:pPr>
              <w:widowControl/>
              <w:jc w:val="center"/>
              <w:rPr>
                <w:rFonts w:ascii="宋体" w:hAnsi="宋体" w:cs="宋体"/>
                <w:color w:val="000000"/>
                <w:kern w:val="0"/>
                <w:sz w:val="20"/>
                <w:szCs w:val="20"/>
              </w:rPr>
            </w:pPr>
            <w:r>
              <w:rPr>
                <w:rFonts w:hint="eastAsia" w:ascii="宋体" w:hAnsi="宋体" w:cs="宋体"/>
                <w:color w:val="000000"/>
                <w:kern w:val="0"/>
                <w:sz w:val="20"/>
                <w:szCs w:val="20"/>
              </w:rPr>
              <w:t>项目期</w:t>
            </w:r>
          </w:p>
        </w:tc>
        <w:tc>
          <w:tcPr>
            <w:tcW w:w="1960" w:type="dxa"/>
            <w:tcBorders>
              <w:top w:val="nil"/>
              <w:left w:val="nil"/>
              <w:bottom w:val="single" w:color="auto" w:sz="8" w:space="0"/>
              <w:right w:val="single" w:color="auto" w:sz="8" w:space="0"/>
            </w:tcBorders>
            <w:shd w:val="clear" w:color="auto" w:fill="auto"/>
            <w:vAlign w:val="center"/>
          </w:tcPr>
          <w:p w14:paraId="332A118C">
            <w:pPr>
              <w:widowControl/>
              <w:jc w:val="center"/>
              <w:rPr>
                <w:rFonts w:ascii="宋体" w:hAnsi="宋体" w:cs="宋体"/>
                <w:color w:val="000000"/>
                <w:kern w:val="0"/>
                <w:sz w:val="20"/>
                <w:szCs w:val="20"/>
              </w:rPr>
            </w:pPr>
            <w:r>
              <w:rPr>
                <w:rFonts w:hint="eastAsia" w:ascii="宋体" w:hAnsi="宋体" w:cs="宋体"/>
                <w:color w:val="000000"/>
                <w:kern w:val="0"/>
                <w:sz w:val="20"/>
                <w:szCs w:val="20"/>
              </w:rPr>
              <w:t>2025年</w:t>
            </w:r>
          </w:p>
        </w:tc>
      </w:tr>
      <w:tr w14:paraId="380745C2">
        <w:tblPrEx>
          <w:tblCellMar>
            <w:top w:w="0" w:type="dxa"/>
            <w:left w:w="108" w:type="dxa"/>
            <w:bottom w:w="0" w:type="dxa"/>
            <w:right w:w="108" w:type="dxa"/>
          </w:tblCellMar>
        </w:tblPrEx>
        <w:trPr>
          <w:trHeight w:val="300" w:hRule="atLeast"/>
        </w:trPr>
        <w:tc>
          <w:tcPr>
            <w:tcW w:w="3060" w:type="dxa"/>
            <w:gridSpan w:val="3"/>
            <w:tcBorders>
              <w:top w:val="nil"/>
              <w:left w:val="single" w:color="auto" w:sz="8" w:space="0"/>
              <w:bottom w:val="nil"/>
              <w:right w:val="single" w:color="000000" w:sz="8" w:space="0"/>
            </w:tcBorders>
            <w:shd w:val="clear" w:color="auto" w:fill="auto"/>
            <w:vAlign w:val="center"/>
          </w:tcPr>
          <w:p w14:paraId="60C07221">
            <w:pPr>
              <w:widowControl/>
              <w:jc w:val="center"/>
              <w:rPr>
                <w:rFonts w:ascii="宋体" w:hAnsi="宋体" w:cs="宋体"/>
                <w:color w:val="000000"/>
                <w:kern w:val="0"/>
                <w:sz w:val="20"/>
                <w:szCs w:val="20"/>
              </w:rPr>
            </w:pPr>
            <w:r>
              <w:rPr>
                <w:rFonts w:hint="eastAsia" w:ascii="宋体" w:hAnsi="宋体" w:cs="宋体"/>
                <w:color w:val="000000"/>
                <w:kern w:val="0"/>
                <w:sz w:val="20"/>
                <w:szCs w:val="20"/>
              </w:rPr>
              <w:t>项目资金</w:t>
            </w:r>
          </w:p>
        </w:tc>
        <w:tc>
          <w:tcPr>
            <w:tcW w:w="2480" w:type="dxa"/>
            <w:gridSpan w:val="2"/>
            <w:tcBorders>
              <w:top w:val="nil"/>
              <w:left w:val="nil"/>
              <w:bottom w:val="single" w:color="auto" w:sz="8" w:space="0"/>
              <w:right w:val="single" w:color="auto" w:sz="8" w:space="0"/>
            </w:tcBorders>
            <w:shd w:val="clear" w:color="auto" w:fill="auto"/>
            <w:vAlign w:val="center"/>
          </w:tcPr>
          <w:p w14:paraId="71ED2592">
            <w:pPr>
              <w:widowControl/>
              <w:jc w:val="left"/>
              <w:rPr>
                <w:rFonts w:ascii="宋体" w:hAnsi="宋体" w:cs="宋体"/>
                <w:color w:val="000000"/>
                <w:kern w:val="0"/>
                <w:sz w:val="20"/>
                <w:szCs w:val="20"/>
              </w:rPr>
            </w:pPr>
            <w:r>
              <w:rPr>
                <w:rFonts w:hint="eastAsia" w:ascii="宋体" w:hAnsi="宋体" w:cs="宋体"/>
                <w:color w:val="000000"/>
                <w:kern w:val="0"/>
                <w:sz w:val="20"/>
                <w:szCs w:val="20"/>
              </w:rPr>
              <w:t xml:space="preserve"> 年度资金总额：</w:t>
            </w:r>
          </w:p>
        </w:tc>
        <w:tc>
          <w:tcPr>
            <w:tcW w:w="3920" w:type="dxa"/>
            <w:gridSpan w:val="2"/>
            <w:tcBorders>
              <w:top w:val="nil"/>
              <w:left w:val="nil"/>
              <w:bottom w:val="single" w:color="auto" w:sz="8" w:space="0"/>
              <w:right w:val="single" w:color="auto" w:sz="8" w:space="0"/>
            </w:tcBorders>
            <w:shd w:val="clear" w:color="auto" w:fill="auto"/>
            <w:vAlign w:val="center"/>
          </w:tcPr>
          <w:p w14:paraId="72AD6AF9">
            <w:pPr>
              <w:widowControl/>
              <w:jc w:val="right"/>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176.3</w:t>
            </w:r>
          </w:p>
        </w:tc>
      </w:tr>
      <w:tr w14:paraId="2DD44EB4">
        <w:tblPrEx>
          <w:tblCellMar>
            <w:top w:w="0" w:type="dxa"/>
            <w:left w:w="108" w:type="dxa"/>
            <w:bottom w:w="0" w:type="dxa"/>
            <w:right w:w="108" w:type="dxa"/>
          </w:tblCellMar>
        </w:tblPrEx>
        <w:trPr>
          <w:trHeight w:val="300" w:hRule="atLeast"/>
        </w:trPr>
        <w:tc>
          <w:tcPr>
            <w:tcW w:w="3060" w:type="dxa"/>
            <w:gridSpan w:val="3"/>
            <w:tcBorders>
              <w:top w:val="nil"/>
              <w:left w:val="single" w:color="auto" w:sz="8" w:space="0"/>
              <w:bottom w:val="nil"/>
              <w:right w:val="single" w:color="000000" w:sz="8" w:space="0"/>
            </w:tcBorders>
            <w:shd w:val="clear" w:color="auto" w:fill="auto"/>
            <w:vAlign w:val="center"/>
          </w:tcPr>
          <w:p w14:paraId="3804912D">
            <w:pPr>
              <w:widowControl/>
              <w:jc w:val="center"/>
              <w:rPr>
                <w:rFonts w:ascii="宋体" w:hAnsi="宋体" w:cs="宋体"/>
                <w:color w:val="000000"/>
                <w:kern w:val="0"/>
                <w:sz w:val="20"/>
                <w:szCs w:val="20"/>
              </w:rPr>
            </w:pPr>
            <w:r>
              <w:rPr>
                <w:rFonts w:hint="eastAsia" w:ascii="宋体" w:hAnsi="宋体" w:cs="宋体"/>
                <w:color w:val="000000"/>
                <w:kern w:val="0"/>
                <w:sz w:val="20"/>
                <w:szCs w:val="20"/>
              </w:rPr>
              <w:t>（万元）</w:t>
            </w:r>
          </w:p>
        </w:tc>
        <w:tc>
          <w:tcPr>
            <w:tcW w:w="2480" w:type="dxa"/>
            <w:gridSpan w:val="2"/>
            <w:tcBorders>
              <w:top w:val="nil"/>
              <w:left w:val="nil"/>
              <w:bottom w:val="single" w:color="auto" w:sz="8" w:space="0"/>
              <w:right w:val="single" w:color="auto" w:sz="8" w:space="0"/>
            </w:tcBorders>
            <w:shd w:val="clear" w:color="auto" w:fill="auto"/>
            <w:vAlign w:val="center"/>
          </w:tcPr>
          <w:p w14:paraId="202E086F">
            <w:pPr>
              <w:widowControl/>
              <w:jc w:val="left"/>
              <w:rPr>
                <w:rFonts w:ascii="宋体" w:hAnsi="宋体" w:cs="宋体"/>
                <w:color w:val="000000"/>
                <w:kern w:val="0"/>
                <w:sz w:val="20"/>
                <w:szCs w:val="20"/>
              </w:rPr>
            </w:pPr>
            <w:r>
              <w:rPr>
                <w:rFonts w:hint="eastAsia" w:ascii="宋体" w:hAnsi="宋体" w:cs="宋体"/>
                <w:color w:val="000000"/>
                <w:kern w:val="0"/>
                <w:sz w:val="20"/>
                <w:szCs w:val="20"/>
              </w:rPr>
              <w:t xml:space="preserve">   其中：财政拨款</w:t>
            </w:r>
          </w:p>
        </w:tc>
        <w:tc>
          <w:tcPr>
            <w:tcW w:w="3920" w:type="dxa"/>
            <w:gridSpan w:val="2"/>
            <w:tcBorders>
              <w:top w:val="nil"/>
              <w:left w:val="nil"/>
              <w:bottom w:val="single" w:color="auto" w:sz="8" w:space="0"/>
              <w:right w:val="single" w:color="auto" w:sz="8" w:space="0"/>
            </w:tcBorders>
            <w:shd w:val="clear" w:color="auto" w:fill="auto"/>
            <w:vAlign w:val="center"/>
          </w:tcPr>
          <w:p w14:paraId="3C4B4288">
            <w:pPr>
              <w:widowControl/>
              <w:jc w:val="right"/>
              <w:rPr>
                <w:rFonts w:ascii="宋体" w:hAnsi="宋体" w:cs="宋体"/>
                <w:color w:val="000000"/>
                <w:kern w:val="0"/>
                <w:sz w:val="20"/>
                <w:szCs w:val="20"/>
              </w:rPr>
            </w:pPr>
            <w:r>
              <w:rPr>
                <w:rFonts w:hint="eastAsia" w:ascii="宋体" w:hAnsi="宋体" w:cs="宋体"/>
                <w:color w:val="000000"/>
                <w:kern w:val="0"/>
                <w:sz w:val="20"/>
                <w:szCs w:val="20"/>
                <w:lang w:val="en-US" w:eastAsia="zh-CN"/>
              </w:rPr>
              <w:t>176.3</w:t>
            </w:r>
          </w:p>
        </w:tc>
      </w:tr>
      <w:tr w14:paraId="4FB691E8">
        <w:tblPrEx>
          <w:tblCellMar>
            <w:top w:w="0" w:type="dxa"/>
            <w:left w:w="108" w:type="dxa"/>
            <w:bottom w:w="0" w:type="dxa"/>
            <w:right w:w="108" w:type="dxa"/>
          </w:tblCellMar>
        </w:tblPrEx>
        <w:trPr>
          <w:trHeight w:val="300" w:hRule="atLeast"/>
        </w:trPr>
        <w:tc>
          <w:tcPr>
            <w:tcW w:w="3060" w:type="dxa"/>
            <w:gridSpan w:val="3"/>
            <w:tcBorders>
              <w:top w:val="nil"/>
              <w:left w:val="single" w:color="auto" w:sz="8" w:space="0"/>
              <w:bottom w:val="nil"/>
              <w:right w:val="single" w:color="000000" w:sz="8" w:space="0"/>
            </w:tcBorders>
            <w:shd w:val="clear" w:color="auto" w:fill="auto"/>
            <w:noWrap/>
            <w:vAlign w:val="center"/>
          </w:tcPr>
          <w:p w14:paraId="0FF9F648">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2480" w:type="dxa"/>
            <w:gridSpan w:val="2"/>
            <w:tcBorders>
              <w:top w:val="nil"/>
              <w:left w:val="nil"/>
              <w:bottom w:val="single" w:color="auto" w:sz="8" w:space="0"/>
              <w:right w:val="single" w:color="auto" w:sz="8" w:space="0"/>
            </w:tcBorders>
            <w:shd w:val="clear" w:color="auto" w:fill="auto"/>
            <w:vAlign w:val="center"/>
          </w:tcPr>
          <w:p w14:paraId="19117811">
            <w:pPr>
              <w:widowControl/>
              <w:jc w:val="left"/>
              <w:rPr>
                <w:rFonts w:ascii="宋体" w:hAnsi="宋体" w:cs="宋体"/>
                <w:color w:val="000000"/>
                <w:kern w:val="0"/>
                <w:sz w:val="20"/>
                <w:szCs w:val="20"/>
              </w:rPr>
            </w:pPr>
            <w:r>
              <w:rPr>
                <w:rFonts w:hint="eastAsia" w:ascii="宋体" w:hAnsi="宋体" w:cs="宋体"/>
                <w:color w:val="000000"/>
                <w:kern w:val="0"/>
                <w:sz w:val="20"/>
                <w:szCs w:val="20"/>
              </w:rPr>
              <w:t xml:space="preserve">         上年结转</w:t>
            </w:r>
          </w:p>
        </w:tc>
        <w:tc>
          <w:tcPr>
            <w:tcW w:w="3920" w:type="dxa"/>
            <w:gridSpan w:val="2"/>
            <w:tcBorders>
              <w:top w:val="nil"/>
              <w:left w:val="nil"/>
              <w:bottom w:val="single" w:color="auto" w:sz="8" w:space="0"/>
              <w:right w:val="single" w:color="auto" w:sz="8" w:space="0"/>
            </w:tcBorders>
            <w:shd w:val="clear" w:color="auto" w:fill="auto"/>
            <w:vAlign w:val="center"/>
          </w:tcPr>
          <w:p w14:paraId="381EE5B7">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7C2F13F4">
        <w:tblPrEx>
          <w:tblCellMar>
            <w:top w:w="0" w:type="dxa"/>
            <w:left w:w="108" w:type="dxa"/>
            <w:bottom w:w="0" w:type="dxa"/>
            <w:right w:w="108" w:type="dxa"/>
          </w:tblCellMar>
        </w:tblPrEx>
        <w:trPr>
          <w:trHeight w:val="300" w:hRule="atLeast"/>
        </w:trPr>
        <w:tc>
          <w:tcPr>
            <w:tcW w:w="3060" w:type="dxa"/>
            <w:gridSpan w:val="3"/>
            <w:tcBorders>
              <w:top w:val="nil"/>
              <w:left w:val="single" w:color="auto" w:sz="8" w:space="0"/>
              <w:bottom w:val="single" w:color="auto" w:sz="8" w:space="0"/>
              <w:right w:val="single" w:color="000000" w:sz="8" w:space="0"/>
            </w:tcBorders>
            <w:shd w:val="clear" w:color="auto" w:fill="auto"/>
            <w:noWrap/>
            <w:vAlign w:val="center"/>
          </w:tcPr>
          <w:p w14:paraId="0448E50E">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2480" w:type="dxa"/>
            <w:gridSpan w:val="2"/>
            <w:tcBorders>
              <w:top w:val="nil"/>
              <w:left w:val="nil"/>
              <w:bottom w:val="single" w:color="auto" w:sz="8" w:space="0"/>
              <w:right w:val="single" w:color="auto" w:sz="8" w:space="0"/>
            </w:tcBorders>
            <w:shd w:val="clear" w:color="auto" w:fill="auto"/>
            <w:vAlign w:val="center"/>
          </w:tcPr>
          <w:p w14:paraId="31B2C062">
            <w:pPr>
              <w:widowControl/>
              <w:jc w:val="left"/>
              <w:rPr>
                <w:rFonts w:ascii="宋体" w:hAnsi="宋体" w:cs="宋体"/>
                <w:color w:val="000000"/>
                <w:kern w:val="0"/>
                <w:sz w:val="20"/>
                <w:szCs w:val="20"/>
              </w:rPr>
            </w:pPr>
            <w:r>
              <w:rPr>
                <w:rFonts w:hint="eastAsia" w:ascii="宋体" w:hAnsi="宋体" w:cs="宋体"/>
                <w:color w:val="000000"/>
                <w:kern w:val="0"/>
                <w:sz w:val="20"/>
                <w:szCs w:val="20"/>
              </w:rPr>
              <w:t xml:space="preserve">         其他资金</w:t>
            </w:r>
          </w:p>
        </w:tc>
        <w:tc>
          <w:tcPr>
            <w:tcW w:w="3920" w:type="dxa"/>
            <w:gridSpan w:val="2"/>
            <w:tcBorders>
              <w:top w:val="nil"/>
              <w:left w:val="nil"/>
              <w:bottom w:val="single" w:color="auto" w:sz="8" w:space="0"/>
              <w:right w:val="single" w:color="auto" w:sz="8" w:space="0"/>
            </w:tcBorders>
            <w:shd w:val="clear" w:color="auto" w:fill="auto"/>
            <w:vAlign w:val="center"/>
          </w:tcPr>
          <w:p w14:paraId="2C974181">
            <w:pPr>
              <w:widowControl/>
              <w:jc w:val="right"/>
              <w:rPr>
                <w:rFonts w:ascii="宋体" w:hAnsi="宋体" w:cs="宋体"/>
                <w:color w:val="000000"/>
                <w:kern w:val="0"/>
                <w:sz w:val="20"/>
                <w:szCs w:val="20"/>
              </w:rPr>
            </w:pPr>
            <w:r>
              <w:rPr>
                <w:rFonts w:hint="eastAsia" w:ascii="宋体" w:hAnsi="宋体" w:cs="宋体"/>
                <w:color w:val="000000"/>
                <w:kern w:val="0"/>
                <w:sz w:val="20"/>
                <w:szCs w:val="20"/>
              </w:rPr>
              <w:t>　</w:t>
            </w:r>
          </w:p>
        </w:tc>
      </w:tr>
      <w:tr w14:paraId="705EC214">
        <w:tblPrEx>
          <w:tblCellMar>
            <w:top w:w="0" w:type="dxa"/>
            <w:left w:w="108" w:type="dxa"/>
            <w:bottom w:w="0" w:type="dxa"/>
            <w:right w:w="108" w:type="dxa"/>
          </w:tblCellMar>
        </w:tblPrEx>
        <w:trPr>
          <w:trHeight w:val="300" w:hRule="atLeast"/>
        </w:trPr>
        <w:tc>
          <w:tcPr>
            <w:tcW w:w="1020" w:type="dxa"/>
            <w:tcBorders>
              <w:top w:val="nil"/>
              <w:left w:val="single" w:color="auto" w:sz="8" w:space="0"/>
              <w:bottom w:val="nil"/>
              <w:right w:val="single" w:color="auto" w:sz="8" w:space="0"/>
            </w:tcBorders>
            <w:shd w:val="clear" w:color="auto" w:fill="auto"/>
            <w:vAlign w:val="center"/>
          </w:tcPr>
          <w:p w14:paraId="14497DE3">
            <w:pPr>
              <w:widowControl/>
              <w:jc w:val="center"/>
              <w:rPr>
                <w:rFonts w:ascii="宋体" w:hAnsi="宋体" w:cs="宋体"/>
                <w:color w:val="000000"/>
                <w:kern w:val="0"/>
                <w:sz w:val="20"/>
                <w:szCs w:val="20"/>
              </w:rPr>
            </w:pPr>
            <w:r>
              <w:rPr>
                <w:rFonts w:hint="eastAsia" w:ascii="宋体" w:hAnsi="宋体" w:cs="宋体"/>
                <w:color w:val="000000"/>
                <w:kern w:val="0"/>
                <w:sz w:val="20"/>
                <w:szCs w:val="20"/>
              </w:rPr>
              <w:t>年度</w:t>
            </w:r>
          </w:p>
        </w:tc>
        <w:tc>
          <w:tcPr>
            <w:tcW w:w="8440" w:type="dxa"/>
            <w:gridSpan w:val="6"/>
            <w:vMerge w:val="restart"/>
            <w:tcBorders>
              <w:top w:val="nil"/>
              <w:left w:val="single" w:color="auto" w:sz="8" w:space="0"/>
              <w:bottom w:val="single" w:color="auto" w:sz="8" w:space="0"/>
              <w:right w:val="single" w:color="auto" w:sz="8" w:space="0"/>
            </w:tcBorders>
            <w:shd w:val="clear" w:color="auto" w:fill="auto"/>
            <w:vAlign w:val="center"/>
          </w:tcPr>
          <w:p w14:paraId="00FB803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及时为在困难军人救助补助项目立项时，认真审核人员工资，按照上级文件精神对补助进行调整，符合规定。</w:t>
            </w:r>
          </w:p>
          <w:p w14:paraId="750B10E3">
            <w:pPr>
              <w:widowControl/>
              <w:jc w:val="left"/>
              <w:rPr>
                <w:rFonts w:ascii="宋体" w:hAnsi="宋体" w:cs="宋体"/>
                <w:color w:val="000000"/>
                <w:kern w:val="0"/>
                <w:sz w:val="20"/>
                <w:szCs w:val="20"/>
              </w:rPr>
            </w:pPr>
          </w:p>
        </w:tc>
      </w:tr>
      <w:tr w14:paraId="63FC9ABC">
        <w:tblPrEx>
          <w:tblCellMar>
            <w:top w:w="0" w:type="dxa"/>
            <w:left w:w="108" w:type="dxa"/>
            <w:bottom w:w="0" w:type="dxa"/>
            <w:right w:w="108" w:type="dxa"/>
          </w:tblCellMar>
        </w:tblPrEx>
        <w:trPr>
          <w:trHeight w:val="495" w:hRule="atLeast"/>
        </w:trPr>
        <w:tc>
          <w:tcPr>
            <w:tcW w:w="1020" w:type="dxa"/>
            <w:tcBorders>
              <w:top w:val="nil"/>
              <w:left w:val="single" w:color="auto" w:sz="8" w:space="0"/>
              <w:bottom w:val="single" w:color="auto" w:sz="8" w:space="0"/>
              <w:right w:val="single" w:color="auto" w:sz="8" w:space="0"/>
            </w:tcBorders>
            <w:shd w:val="clear" w:color="auto" w:fill="auto"/>
            <w:vAlign w:val="center"/>
          </w:tcPr>
          <w:p w14:paraId="3BEE0AEE">
            <w:pPr>
              <w:widowControl/>
              <w:jc w:val="center"/>
              <w:rPr>
                <w:rFonts w:ascii="宋体" w:hAnsi="宋体" w:cs="宋体"/>
                <w:color w:val="000000"/>
                <w:kern w:val="0"/>
                <w:sz w:val="20"/>
                <w:szCs w:val="20"/>
              </w:rPr>
            </w:pPr>
            <w:r>
              <w:rPr>
                <w:rFonts w:hint="eastAsia" w:ascii="宋体" w:hAnsi="宋体" w:cs="宋体"/>
                <w:color w:val="000000"/>
                <w:kern w:val="0"/>
                <w:sz w:val="20"/>
                <w:szCs w:val="20"/>
              </w:rPr>
              <w:t>目标</w:t>
            </w:r>
          </w:p>
        </w:tc>
        <w:tc>
          <w:tcPr>
            <w:tcW w:w="8440" w:type="dxa"/>
            <w:gridSpan w:val="6"/>
            <w:vMerge w:val="continue"/>
            <w:tcBorders>
              <w:top w:val="nil"/>
              <w:left w:val="single" w:color="auto" w:sz="8" w:space="0"/>
              <w:bottom w:val="single" w:color="auto" w:sz="8" w:space="0"/>
              <w:right w:val="single" w:color="auto" w:sz="8" w:space="0"/>
            </w:tcBorders>
            <w:vAlign w:val="center"/>
          </w:tcPr>
          <w:p w14:paraId="2AF73F62">
            <w:pPr>
              <w:widowControl/>
              <w:jc w:val="left"/>
              <w:rPr>
                <w:rFonts w:ascii="宋体" w:hAnsi="宋体" w:cs="宋体"/>
                <w:color w:val="000000"/>
                <w:kern w:val="0"/>
                <w:sz w:val="20"/>
                <w:szCs w:val="20"/>
              </w:rPr>
            </w:pPr>
          </w:p>
        </w:tc>
      </w:tr>
      <w:tr w14:paraId="0EF320E7">
        <w:tblPrEx>
          <w:tblCellMar>
            <w:top w:w="0" w:type="dxa"/>
            <w:left w:w="108" w:type="dxa"/>
            <w:bottom w:w="0" w:type="dxa"/>
            <w:right w:w="108" w:type="dxa"/>
          </w:tblCellMar>
        </w:tblPrEx>
        <w:trPr>
          <w:trHeight w:val="300" w:hRule="atLeast"/>
        </w:trPr>
        <w:tc>
          <w:tcPr>
            <w:tcW w:w="1020" w:type="dxa"/>
            <w:tcBorders>
              <w:top w:val="nil"/>
              <w:left w:val="single" w:color="auto" w:sz="8" w:space="0"/>
              <w:bottom w:val="nil"/>
              <w:right w:val="single" w:color="auto" w:sz="8" w:space="0"/>
            </w:tcBorders>
            <w:shd w:val="clear" w:color="auto" w:fill="auto"/>
            <w:vAlign w:val="center"/>
          </w:tcPr>
          <w:p w14:paraId="29B9D23D">
            <w:pPr>
              <w:widowControl/>
              <w:jc w:val="center"/>
              <w:rPr>
                <w:rFonts w:ascii="宋体" w:hAnsi="宋体" w:cs="宋体"/>
                <w:color w:val="000000"/>
                <w:kern w:val="0"/>
                <w:sz w:val="20"/>
                <w:szCs w:val="20"/>
              </w:rPr>
            </w:pPr>
            <w:r>
              <w:rPr>
                <w:rFonts w:hint="eastAsia" w:ascii="宋体" w:hAnsi="宋体" w:cs="宋体"/>
                <w:color w:val="000000"/>
                <w:kern w:val="0"/>
                <w:sz w:val="20"/>
                <w:szCs w:val="20"/>
              </w:rPr>
              <w:t>绩</w:t>
            </w:r>
          </w:p>
        </w:tc>
        <w:tc>
          <w:tcPr>
            <w:tcW w:w="1020" w:type="dxa"/>
            <w:tcBorders>
              <w:top w:val="nil"/>
              <w:left w:val="nil"/>
              <w:bottom w:val="nil"/>
              <w:right w:val="single" w:color="auto" w:sz="8" w:space="0"/>
            </w:tcBorders>
            <w:shd w:val="clear" w:color="auto" w:fill="auto"/>
            <w:vAlign w:val="center"/>
          </w:tcPr>
          <w:p w14:paraId="37B69D7E">
            <w:pPr>
              <w:widowControl/>
              <w:jc w:val="center"/>
              <w:rPr>
                <w:rFonts w:ascii="宋体" w:hAnsi="宋体" w:cs="宋体"/>
                <w:color w:val="000000"/>
                <w:kern w:val="0"/>
                <w:sz w:val="20"/>
                <w:szCs w:val="20"/>
              </w:rPr>
            </w:pPr>
            <w:r>
              <w:rPr>
                <w:rFonts w:hint="eastAsia" w:ascii="宋体" w:hAnsi="宋体" w:cs="宋体"/>
                <w:color w:val="000000"/>
                <w:kern w:val="0"/>
                <w:sz w:val="20"/>
                <w:szCs w:val="20"/>
              </w:rPr>
              <w:t>一级</w:t>
            </w:r>
          </w:p>
        </w:tc>
        <w:tc>
          <w:tcPr>
            <w:tcW w:w="2260" w:type="dxa"/>
            <w:gridSpan w:val="2"/>
            <w:vMerge w:val="restart"/>
            <w:tcBorders>
              <w:top w:val="single" w:color="auto" w:sz="8" w:space="0"/>
              <w:left w:val="single" w:color="auto" w:sz="8" w:space="0"/>
              <w:bottom w:val="single" w:color="auto" w:sz="8" w:space="0"/>
              <w:right w:val="single" w:color="auto" w:sz="8" w:space="0"/>
            </w:tcBorders>
            <w:shd w:val="clear" w:color="auto" w:fill="auto"/>
            <w:vAlign w:val="center"/>
          </w:tcPr>
          <w:p w14:paraId="4139EF15">
            <w:pPr>
              <w:widowControl/>
              <w:jc w:val="center"/>
              <w:rPr>
                <w:rFonts w:ascii="宋体" w:hAnsi="宋体" w:cs="宋体"/>
                <w:color w:val="000000"/>
                <w:kern w:val="0"/>
                <w:sz w:val="20"/>
                <w:szCs w:val="20"/>
              </w:rPr>
            </w:pPr>
            <w:r>
              <w:rPr>
                <w:rFonts w:hint="eastAsia" w:ascii="宋体" w:hAnsi="宋体" w:cs="宋体"/>
                <w:color w:val="000000"/>
                <w:kern w:val="0"/>
                <w:sz w:val="20"/>
                <w:szCs w:val="20"/>
              </w:rPr>
              <w:t>二级指标</w:t>
            </w:r>
          </w:p>
        </w:tc>
        <w:tc>
          <w:tcPr>
            <w:tcW w:w="1240" w:type="dxa"/>
            <w:vMerge w:val="restart"/>
            <w:tcBorders>
              <w:top w:val="nil"/>
              <w:left w:val="single" w:color="auto" w:sz="8" w:space="0"/>
              <w:bottom w:val="single" w:color="auto" w:sz="8" w:space="0"/>
              <w:right w:val="single" w:color="auto" w:sz="8" w:space="0"/>
            </w:tcBorders>
            <w:shd w:val="clear" w:color="auto" w:fill="auto"/>
            <w:vAlign w:val="center"/>
          </w:tcPr>
          <w:p w14:paraId="06F1508C">
            <w:pPr>
              <w:widowControl/>
              <w:jc w:val="center"/>
              <w:rPr>
                <w:rFonts w:ascii="宋体" w:hAnsi="宋体" w:cs="宋体"/>
                <w:color w:val="000000"/>
                <w:kern w:val="0"/>
                <w:sz w:val="20"/>
                <w:szCs w:val="20"/>
              </w:rPr>
            </w:pPr>
            <w:r>
              <w:rPr>
                <w:rFonts w:hint="eastAsia" w:ascii="宋体" w:hAnsi="宋体" w:cs="宋体"/>
                <w:color w:val="000000"/>
                <w:kern w:val="0"/>
                <w:sz w:val="20"/>
                <w:szCs w:val="20"/>
              </w:rPr>
              <w:t>三级指标</w:t>
            </w:r>
          </w:p>
        </w:tc>
        <w:tc>
          <w:tcPr>
            <w:tcW w:w="3920" w:type="dxa"/>
            <w:gridSpan w:val="2"/>
            <w:vMerge w:val="restart"/>
            <w:tcBorders>
              <w:top w:val="single" w:color="auto" w:sz="8" w:space="0"/>
              <w:left w:val="single" w:color="auto" w:sz="8" w:space="0"/>
              <w:bottom w:val="single" w:color="auto" w:sz="8" w:space="0"/>
              <w:right w:val="single" w:color="auto" w:sz="8" w:space="0"/>
            </w:tcBorders>
            <w:shd w:val="clear" w:color="auto" w:fill="auto"/>
            <w:vAlign w:val="center"/>
          </w:tcPr>
          <w:p w14:paraId="6E014CD9">
            <w:pPr>
              <w:widowControl/>
              <w:jc w:val="center"/>
              <w:rPr>
                <w:rFonts w:ascii="宋体" w:hAnsi="宋体" w:cs="宋体"/>
                <w:color w:val="000000"/>
                <w:kern w:val="0"/>
                <w:sz w:val="20"/>
                <w:szCs w:val="20"/>
              </w:rPr>
            </w:pPr>
            <w:r>
              <w:rPr>
                <w:rFonts w:hint="eastAsia" w:ascii="宋体" w:hAnsi="宋体" w:cs="宋体"/>
                <w:color w:val="000000"/>
                <w:kern w:val="0"/>
                <w:sz w:val="20"/>
                <w:szCs w:val="20"/>
              </w:rPr>
              <w:t>指标值</w:t>
            </w:r>
          </w:p>
        </w:tc>
      </w:tr>
      <w:tr w14:paraId="04F65D70">
        <w:tblPrEx>
          <w:tblCellMar>
            <w:top w:w="0" w:type="dxa"/>
            <w:left w:w="108" w:type="dxa"/>
            <w:bottom w:w="0" w:type="dxa"/>
            <w:right w:w="108" w:type="dxa"/>
          </w:tblCellMar>
        </w:tblPrEx>
        <w:trPr>
          <w:trHeight w:val="285" w:hRule="atLeast"/>
        </w:trPr>
        <w:tc>
          <w:tcPr>
            <w:tcW w:w="1020" w:type="dxa"/>
            <w:tcBorders>
              <w:top w:val="nil"/>
              <w:left w:val="single" w:color="auto" w:sz="8" w:space="0"/>
              <w:bottom w:val="nil"/>
              <w:right w:val="single" w:color="auto" w:sz="8" w:space="0"/>
            </w:tcBorders>
            <w:shd w:val="clear" w:color="auto" w:fill="auto"/>
            <w:vAlign w:val="center"/>
          </w:tcPr>
          <w:p w14:paraId="22AE2008">
            <w:pPr>
              <w:widowControl/>
              <w:jc w:val="center"/>
              <w:rPr>
                <w:rFonts w:ascii="宋体" w:hAnsi="宋体" w:cs="宋体"/>
                <w:color w:val="000000"/>
                <w:kern w:val="0"/>
                <w:sz w:val="20"/>
                <w:szCs w:val="20"/>
              </w:rPr>
            </w:pPr>
            <w:r>
              <w:rPr>
                <w:rFonts w:hint="eastAsia" w:ascii="宋体" w:hAnsi="宋体" w:cs="宋体"/>
                <w:color w:val="000000"/>
                <w:kern w:val="0"/>
                <w:sz w:val="20"/>
                <w:szCs w:val="20"/>
              </w:rPr>
              <w:t>效</w:t>
            </w:r>
          </w:p>
        </w:tc>
        <w:tc>
          <w:tcPr>
            <w:tcW w:w="1020" w:type="dxa"/>
            <w:tcBorders>
              <w:top w:val="nil"/>
              <w:left w:val="nil"/>
              <w:bottom w:val="single" w:color="auto" w:sz="8" w:space="0"/>
              <w:right w:val="single" w:color="auto" w:sz="8" w:space="0"/>
            </w:tcBorders>
            <w:shd w:val="clear" w:color="auto" w:fill="auto"/>
            <w:vAlign w:val="center"/>
          </w:tcPr>
          <w:p w14:paraId="70C58022">
            <w:pPr>
              <w:widowControl/>
              <w:jc w:val="center"/>
              <w:rPr>
                <w:rFonts w:ascii="宋体" w:hAnsi="宋体" w:cs="宋体"/>
                <w:color w:val="000000"/>
                <w:kern w:val="0"/>
                <w:sz w:val="20"/>
                <w:szCs w:val="20"/>
              </w:rPr>
            </w:pPr>
            <w:r>
              <w:rPr>
                <w:rFonts w:hint="eastAsia" w:ascii="宋体" w:hAnsi="宋体" w:cs="宋体"/>
                <w:color w:val="000000"/>
                <w:kern w:val="0"/>
                <w:sz w:val="20"/>
                <w:szCs w:val="20"/>
              </w:rPr>
              <w:t>指标</w:t>
            </w:r>
          </w:p>
        </w:tc>
        <w:tc>
          <w:tcPr>
            <w:tcW w:w="2260" w:type="dxa"/>
            <w:gridSpan w:val="2"/>
            <w:vMerge w:val="continue"/>
            <w:tcBorders>
              <w:top w:val="nil"/>
              <w:left w:val="nil"/>
              <w:bottom w:val="single" w:color="auto" w:sz="8" w:space="0"/>
              <w:right w:val="single" w:color="auto" w:sz="8" w:space="0"/>
            </w:tcBorders>
            <w:vAlign w:val="center"/>
          </w:tcPr>
          <w:p w14:paraId="05DD3F8E">
            <w:pPr>
              <w:widowControl/>
              <w:jc w:val="left"/>
              <w:rPr>
                <w:rFonts w:ascii="宋体" w:hAnsi="宋体" w:cs="宋体"/>
                <w:color w:val="000000"/>
                <w:kern w:val="0"/>
                <w:sz w:val="20"/>
                <w:szCs w:val="20"/>
              </w:rPr>
            </w:pPr>
          </w:p>
        </w:tc>
        <w:tc>
          <w:tcPr>
            <w:tcW w:w="1240" w:type="dxa"/>
            <w:vMerge w:val="continue"/>
            <w:tcBorders>
              <w:top w:val="nil"/>
              <w:left w:val="single" w:color="auto" w:sz="8" w:space="0"/>
              <w:bottom w:val="single" w:color="auto" w:sz="8" w:space="0"/>
              <w:right w:val="single" w:color="auto" w:sz="8" w:space="0"/>
            </w:tcBorders>
            <w:vAlign w:val="center"/>
          </w:tcPr>
          <w:p w14:paraId="0883BAC7">
            <w:pPr>
              <w:widowControl/>
              <w:jc w:val="left"/>
              <w:rPr>
                <w:rFonts w:ascii="宋体" w:hAnsi="宋体" w:cs="宋体"/>
                <w:color w:val="000000"/>
                <w:kern w:val="0"/>
                <w:sz w:val="20"/>
                <w:szCs w:val="20"/>
              </w:rPr>
            </w:pPr>
          </w:p>
        </w:tc>
        <w:tc>
          <w:tcPr>
            <w:tcW w:w="3920" w:type="dxa"/>
            <w:gridSpan w:val="2"/>
            <w:vMerge w:val="continue"/>
            <w:tcBorders>
              <w:top w:val="single" w:color="auto" w:sz="8" w:space="0"/>
              <w:left w:val="single" w:color="auto" w:sz="8" w:space="0"/>
              <w:bottom w:val="single" w:color="auto" w:sz="8" w:space="0"/>
              <w:right w:val="single" w:color="auto" w:sz="8" w:space="0"/>
            </w:tcBorders>
            <w:vAlign w:val="center"/>
          </w:tcPr>
          <w:p w14:paraId="0486DD79">
            <w:pPr>
              <w:widowControl/>
              <w:jc w:val="left"/>
              <w:rPr>
                <w:rFonts w:ascii="宋体" w:hAnsi="宋体" w:cs="宋体"/>
                <w:color w:val="000000"/>
                <w:kern w:val="0"/>
                <w:sz w:val="20"/>
                <w:szCs w:val="20"/>
              </w:rPr>
            </w:pPr>
          </w:p>
        </w:tc>
      </w:tr>
      <w:tr w14:paraId="50F33A1F">
        <w:tblPrEx>
          <w:tblCellMar>
            <w:top w:w="0" w:type="dxa"/>
            <w:left w:w="108" w:type="dxa"/>
            <w:bottom w:w="0" w:type="dxa"/>
            <w:right w:w="108" w:type="dxa"/>
          </w:tblCellMar>
        </w:tblPrEx>
        <w:trPr>
          <w:trHeight w:val="402" w:hRule="atLeast"/>
        </w:trPr>
        <w:tc>
          <w:tcPr>
            <w:tcW w:w="1020" w:type="dxa"/>
            <w:tcBorders>
              <w:top w:val="nil"/>
              <w:left w:val="single" w:color="auto" w:sz="8" w:space="0"/>
              <w:bottom w:val="nil"/>
              <w:right w:val="single" w:color="auto" w:sz="8" w:space="0"/>
            </w:tcBorders>
            <w:shd w:val="clear" w:color="auto" w:fill="auto"/>
            <w:vAlign w:val="center"/>
          </w:tcPr>
          <w:p w14:paraId="7E6942CD">
            <w:pPr>
              <w:widowControl/>
              <w:jc w:val="center"/>
              <w:rPr>
                <w:rFonts w:ascii="宋体" w:hAnsi="宋体" w:cs="宋体"/>
                <w:color w:val="000000"/>
                <w:kern w:val="0"/>
                <w:sz w:val="20"/>
                <w:szCs w:val="20"/>
              </w:rPr>
            </w:pPr>
            <w:r>
              <w:rPr>
                <w:rFonts w:hint="eastAsia" w:ascii="宋体" w:hAnsi="宋体" w:cs="宋体"/>
                <w:color w:val="000000"/>
                <w:kern w:val="0"/>
                <w:sz w:val="20"/>
                <w:szCs w:val="20"/>
              </w:rPr>
              <w:t>指</w:t>
            </w:r>
          </w:p>
        </w:tc>
        <w:tc>
          <w:tcPr>
            <w:tcW w:w="1020" w:type="dxa"/>
            <w:vMerge w:val="restart"/>
            <w:tcBorders>
              <w:top w:val="nil"/>
              <w:left w:val="single" w:color="auto" w:sz="8" w:space="0"/>
              <w:bottom w:val="single" w:color="auto" w:sz="8" w:space="0"/>
              <w:right w:val="single" w:color="auto" w:sz="8" w:space="0"/>
            </w:tcBorders>
            <w:shd w:val="clear" w:color="auto" w:fill="auto"/>
            <w:vAlign w:val="center"/>
          </w:tcPr>
          <w:p w14:paraId="2E72681C">
            <w:pPr>
              <w:widowControl/>
              <w:jc w:val="center"/>
              <w:rPr>
                <w:rFonts w:ascii="宋体" w:hAnsi="宋体" w:cs="宋体"/>
                <w:color w:val="000000"/>
                <w:kern w:val="0"/>
                <w:sz w:val="20"/>
                <w:szCs w:val="20"/>
              </w:rPr>
            </w:pPr>
            <w:r>
              <w:rPr>
                <w:rFonts w:hint="eastAsia" w:ascii="宋体" w:hAnsi="宋体" w:cs="宋体"/>
                <w:color w:val="000000"/>
                <w:kern w:val="0"/>
                <w:sz w:val="20"/>
                <w:szCs w:val="20"/>
              </w:rPr>
              <w:t>产出指标</w:t>
            </w:r>
          </w:p>
        </w:tc>
        <w:tc>
          <w:tcPr>
            <w:tcW w:w="2260" w:type="dxa"/>
            <w:gridSpan w:val="2"/>
            <w:vMerge w:val="restart"/>
            <w:tcBorders>
              <w:top w:val="nil"/>
              <w:left w:val="single" w:color="auto" w:sz="8" w:space="0"/>
              <w:bottom w:val="single" w:color="auto" w:sz="8" w:space="0"/>
              <w:right w:val="single" w:color="auto" w:sz="8" w:space="0"/>
            </w:tcBorders>
            <w:shd w:val="clear" w:color="auto" w:fill="auto"/>
            <w:vAlign w:val="center"/>
          </w:tcPr>
          <w:p w14:paraId="6F5A8E7D">
            <w:pPr>
              <w:widowControl/>
              <w:jc w:val="center"/>
              <w:rPr>
                <w:rFonts w:ascii="宋体" w:hAnsi="宋体" w:cs="宋体"/>
                <w:color w:val="000000"/>
                <w:kern w:val="0"/>
                <w:sz w:val="20"/>
                <w:szCs w:val="20"/>
              </w:rPr>
            </w:pPr>
            <w:r>
              <w:rPr>
                <w:rFonts w:hint="eastAsia" w:ascii="宋体" w:hAnsi="宋体" w:cs="宋体"/>
                <w:color w:val="000000"/>
                <w:kern w:val="0"/>
                <w:sz w:val="20"/>
                <w:szCs w:val="20"/>
              </w:rPr>
              <w:t>数量指标</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14:paraId="0FF600BD">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金额</w:t>
            </w:r>
          </w:p>
        </w:tc>
        <w:tc>
          <w:tcPr>
            <w:tcW w:w="3920" w:type="dxa"/>
            <w:gridSpan w:val="2"/>
            <w:vMerge w:val="restart"/>
            <w:tcBorders>
              <w:top w:val="single" w:color="auto" w:sz="8" w:space="0"/>
              <w:left w:val="single" w:color="auto" w:sz="8" w:space="0"/>
              <w:bottom w:val="single" w:color="000000" w:sz="8" w:space="0"/>
              <w:right w:val="single" w:color="000000" w:sz="8" w:space="0"/>
            </w:tcBorders>
            <w:shd w:val="clear" w:color="auto" w:fill="auto"/>
            <w:vAlign w:val="center"/>
          </w:tcPr>
          <w:p w14:paraId="2ACA464E">
            <w:pPr>
              <w:widowControl/>
              <w:jc w:val="both"/>
              <w:rPr>
                <w:rFonts w:hint="eastAsia" w:ascii="宋体" w:hAnsi="宋体" w:cs="宋体"/>
                <w:color w:val="000000"/>
                <w:kern w:val="0"/>
                <w:sz w:val="20"/>
                <w:szCs w:val="20"/>
              </w:rPr>
            </w:pPr>
            <w:r>
              <w:rPr>
                <w:rFonts w:hint="eastAsia" w:ascii="宋体" w:hAnsi="宋体" w:cs="宋体"/>
                <w:color w:val="000000"/>
                <w:kern w:val="0"/>
                <w:sz w:val="20"/>
                <w:szCs w:val="20"/>
              </w:rPr>
              <w:t>1、抚恤临救（用于解决重点优抚对象生活、医疗、住房等困难和临时性救助）15万元</w:t>
            </w:r>
            <w:r>
              <w:rPr>
                <w:rFonts w:hint="eastAsia" w:ascii="宋体" w:hAnsi="宋体" w:cs="宋体"/>
                <w:color w:val="000000"/>
                <w:kern w:val="0"/>
                <w:sz w:val="20"/>
                <w:szCs w:val="20"/>
                <w:lang w:eastAsia="zh-CN"/>
              </w:rPr>
              <w:t>；</w:t>
            </w:r>
            <w:r>
              <w:rPr>
                <w:rFonts w:hint="eastAsia" w:ascii="宋体" w:hAnsi="宋体" w:cs="宋体"/>
                <w:color w:val="000000"/>
                <w:kern w:val="0"/>
                <w:sz w:val="20"/>
                <w:szCs w:val="20"/>
              </w:rPr>
              <w:t>2、伤残人员辅助器械及交通补助费（伤残人员假肢费）5万元</w:t>
            </w:r>
            <w:r>
              <w:rPr>
                <w:rFonts w:hint="eastAsia" w:ascii="宋体" w:hAnsi="宋体" w:cs="宋体"/>
                <w:color w:val="000000"/>
                <w:kern w:val="0"/>
                <w:sz w:val="20"/>
                <w:szCs w:val="20"/>
                <w:lang w:eastAsia="zh-CN"/>
              </w:rPr>
              <w:t>；</w:t>
            </w:r>
            <w:r>
              <w:rPr>
                <w:rFonts w:hint="eastAsia" w:ascii="宋体" w:hAnsi="宋体" w:cs="宋体"/>
                <w:color w:val="000000"/>
                <w:kern w:val="0"/>
                <w:sz w:val="20"/>
                <w:szCs w:val="20"/>
              </w:rPr>
              <w:t>3、在企业退休的195</w:t>
            </w:r>
            <w:r>
              <w:rPr>
                <w:rFonts w:hint="eastAsia" w:ascii="宋体" w:hAnsi="宋体" w:cs="宋体"/>
                <w:color w:val="000000"/>
                <w:kern w:val="0"/>
                <w:sz w:val="20"/>
                <w:szCs w:val="20"/>
                <w:lang w:val="en-US" w:eastAsia="zh-CN"/>
              </w:rPr>
              <w:t>3</w:t>
            </w:r>
            <w:r>
              <w:rPr>
                <w:rFonts w:hint="eastAsia" w:ascii="宋体" w:hAnsi="宋体" w:cs="宋体"/>
                <w:color w:val="000000"/>
                <w:kern w:val="0"/>
                <w:sz w:val="20"/>
                <w:szCs w:val="20"/>
              </w:rPr>
              <w:t>年底前后入伍的参战参试退役军人生活补助及体检费12</w:t>
            </w:r>
            <w:r>
              <w:rPr>
                <w:rFonts w:hint="eastAsia" w:ascii="宋体" w:hAnsi="宋体" w:cs="宋体"/>
                <w:color w:val="000000"/>
                <w:kern w:val="0"/>
                <w:sz w:val="20"/>
                <w:szCs w:val="20"/>
                <w:lang w:val="en-US" w:eastAsia="zh-CN"/>
              </w:rPr>
              <w:t>6.</w:t>
            </w:r>
            <w:r>
              <w:rPr>
                <w:rFonts w:hint="eastAsia" w:ascii="宋体" w:hAnsi="宋体" w:cs="宋体"/>
                <w:color w:val="000000"/>
                <w:kern w:val="0"/>
                <w:sz w:val="20"/>
                <w:szCs w:val="20"/>
              </w:rPr>
              <w:t>3万元</w:t>
            </w:r>
            <w:r>
              <w:rPr>
                <w:rFonts w:hint="eastAsia" w:ascii="宋体" w:hAnsi="宋体" w:cs="宋体"/>
                <w:color w:val="000000"/>
                <w:kern w:val="0"/>
                <w:sz w:val="20"/>
                <w:szCs w:val="20"/>
                <w:lang w:eastAsia="zh-CN"/>
              </w:rPr>
              <w:t>；</w:t>
            </w:r>
            <w:r>
              <w:rPr>
                <w:rFonts w:hint="eastAsia" w:ascii="宋体" w:hAnsi="宋体" w:cs="宋体"/>
                <w:color w:val="000000"/>
                <w:kern w:val="0"/>
                <w:sz w:val="20"/>
                <w:szCs w:val="20"/>
              </w:rPr>
              <w:t xml:space="preserve">4、2025年度企业军转干特困救助金30万元 </w:t>
            </w:r>
          </w:p>
          <w:p w14:paraId="2614EC60">
            <w:pPr>
              <w:widowControl/>
              <w:jc w:val="center"/>
              <w:rPr>
                <w:rFonts w:ascii="宋体" w:hAnsi="宋体" w:cs="宋体"/>
                <w:color w:val="000000"/>
                <w:kern w:val="0"/>
                <w:sz w:val="20"/>
                <w:szCs w:val="20"/>
              </w:rPr>
            </w:pPr>
          </w:p>
        </w:tc>
      </w:tr>
      <w:tr w14:paraId="2052CDC2">
        <w:tblPrEx>
          <w:tblCellMar>
            <w:top w:w="0" w:type="dxa"/>
            <w:left w:w="108" w:type="dxa"/>
            <w:bottom w:w="0" w:type="dxa"/>
            <w:right w:w="108" w:type="dxa"/>
          </w:tblCellMar>
        </w:tblPrEx>
        <w:trPr>
          <w:trHeight w:val="402" w:hRule="atLeast"/>
        </w:trPr>
        <w:tc>
          <w:tcPr>
            <w:tcW w:w="1020" w:type="dxa"/>
            <w:tcBorders>
              <w:top w:val="nil"/>
              <w:left w:val="single" w:color="auto" w:sz="8" w:space="0"/>
              <w:bottom w:val="nil"/>
              <w:right w:val="single" w:color="auto" w:sz="8" w:space="0"/>
            </w:tcBorders>
            <w:shd w:val="clear" w:color="auto" w:fill="auto"/>
            <w:vAlign w:val="center"/>
          </w:tcPr>
          <w:p w14:paraId="0C84F434">
            <w:pPr>
              <w:widowControl/>
              <w:jc w:val="center"/>
              <w:rPr>
                <w:rFonts w:ascii="宋体" w:hAnsi="宋体" w:cs="宋体"/>
                <w:color w:val="000000"/>
                <w:kern w:val="0"/>
                <w:sz w:val="20"/>
                <w:szCs w:val="20"/>
              </w:rPr>
            </w:pPr>
            <w:r>
              <w:rPr>
                <w:rFonts w:hint="eastAsia" w:ascii="宋体" w:hAnsi="宋体" w:cs="宋体"/>
                <w:color w:val="000000"/>
                <w:kern w:val="0"/>
                <w:sz w:val="20"/>
                <w:szCs w:val="20"/>
              </w:rPr>
              <w:t>标</w:t>
            </w:r>
          </w:p>
        </w:tc>
        <w:tc>
          <w:tcPr>
            <w:tcW w:w="1020" w:type="dxa"/>
            <w:vMerge w:val="continue"/>
            <w:tcBorders>
              <w:top w:val="nil"/>
              <w:left w:val="single" w:color="auto" w:sz="8" w:space="0"/>
              <w:bottom w:val="single" w:color="auto" w:sz="8" w:space="0"/>
              <w:right w:val="single" w:color="auto" w:sz="8" w:space="0"/>
            </w:tcBorders>
            <w:vAlign w:val="center"/>
          </w:tcPr>
          <w:p w14:paraId="4F14898A">
            <w:pPr>
              <w:widowControl/>
              <w:jc w:val="left"/>
              <w:rPr>
                <w:rFonts w:ascii="宋体" w:hAnsi="宋体" w:cs="宋体"/>
                <w:color w:val="000000"/>
                <w:kern w:val="0"/>
                <w:sz w:val="20"/>
                <w:szCs w:val="20"/>
              </w:rPr>
            </w:pPr>
          </w:p>
        </w:tc>
        <w:tc>
          <w:tcPr>
            <w:tcW w:w="2260" w:type="dxa"/>
            <w:gridSpan w:val="2"/>
            <w:vMerge w:val="continue"/>
            <w:tcBorders>
              <w:top w:val="nil"/>
              <w:left w:val="single" w:color="auto" w:sz="8" w:space="0"/>
              <w:bottom w:val="single" w:color="auto" w:sz="8" w:space="0"/>
              <w:right w:val="single" w:color="auto" w:sz="8" w:space="0"/>
            </w:tcBorders>
            <w:vAlign w:val="center"/>
          </w:tcPr>
          <w:p w14:paraId="5D1D9A1F">
            <w:pPr>
              <w:widowControl/>
              <w:jc w:val="left"/>
              <w:rPr>
                <w:rFonts w:ascii="宋体" w:hAnsi="宋体" w:cs="宋体"/>
                <w:color w:val="000000"/>
                <w:kern w:val="0"/>
                <w:sz w:val="20"/>
                <w:szCs w:val="20"/>
              </w:rPr>
            </w:pPr>
          </w:p>
        </w:tc>
        <w:tc>
          <w:tcPr>
            <w:tcW w:w="1240" w:type="dxa"/>
            <w:vMerge w:val="continue"/>
            <w:tcBorders>
              <w:top w:val="nil"/>
              <w:left w:val="single" w:color="auto" w:sz="8" w:space="0"/>
              <w:bottom w:val="single" w:color="000000" w:sz="8" w:space="0"/>
              <w:right w:val="single" w:color="auto" w:sz="8" w:space="0"/>
            </w:tcBorders>
            <w:vAlign w:val="center"/>
          </w:tcPr>
          <w:p w14:paraId="06ACB693">
            <w:pPr>
              <w:widowControl/>
              <w:jc w:val="left"/>
              <w:rPr>
                <w:rFonts w:ascii="宋体" w:hAnsi="宋体" w:cs="宋体"/>
                <w:color w:val="000000"/>
                <w:kern w:val="0"/>
                <w:sz w:val="20"/>
                <w:szCs w:val="20"/>
              </w:rPr>
            </w:pPr>
          </w:p>
        </w:tc>
        <w:tc>
          <w:tcPr>
            <w:tcW w:w="3920" w:type="dxa"/>
            <w:gridSpan w:val="2"/>
            <w:vMerge w:val="continue"/>
            <w:tcBorders>
              <w:top w:val="single" w:color="auto" w:sz="8" w:space="0"/>
              <w:left w:val="single" w:color="auto" w:sz="8" w:space="0"/>
              <w:bottom w:val="single" w:color="000000" w:sz="8" w:space="0"/>
              <w:right w:val="single" w:color="000000" w:sz="8" w:space="0"/>
            </w:tcBorders>
            <w:vAlign w:val="center"/>
          </w:tcPr>
          <w:p w14:paraId="502FCA5E">
            <w:pPr>
              <w:widowControl/>
              <w:jc w:val="left"/>
              <w:rPr>
                <w:rFonts w:ascii="宋体" w:hAnsi="宋体" w:cs="宋体"/>
                <w:color w:val="000000"/>
                <w:kern w:val="0"/>
                <w:sz w:val="20"/>
                <w:szCs w:val="20"/>
              </w:rPr>
            </w:pPr>
          </w:p>
        </w:tc>
      </w:tr>
      <w:tr w14:paraId="7774B498">
        <w:tblPrEx>
          <w:tblCellMar>
            <w:top w:w="0" w:type="dxa"/>
            <w:left w:w="108" w:type="dxa"/>
            <w:bottom w:w="0" w:type="dxa"/>
            <w:right w:w="108" w:type="dxa"/>
          </w:tblCellMar>
        </w:tblPrEx>
        <w:trPr>
          <w:trHeight w:val="402" w:hRule="atLeast"/>
        </w:trPr>
        <w:tc>
          <w:tcPr>
            <w:tcW w:w="1020" w:type="dxa"/>
            <w:tcBorders>
              <w:top w:val="nil"/>
              <w:left w:val="single" w:color="auto" w:sz="8" w:space="0"/>
              <w:bottom w:val="nil"/>
              <w:right w:val="single" w:color="auto" w:sz="8" w:space="0"/>
            </w:tcBorders>
            <w:shd w:val="clear" w:color="auto" w:fill="auto"/>
            <w:noWrap/>
            <w:vAlign w:val="center"/>
          </w:tcPr>
          <w:p w14:paraId="58B9682A">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020" w:type="dxa"/>
            <w:vMerge w:val="continue"/>
            <w:tcBorders>
              <w:top w:val="nil"/>
              <w:left w:val="single" w:color="auto" w:sz="8" w:space="0"/>
              <w:bottom w:val="single" w:color="auto" w:sz="8" w:space="0"/>
              <w:right w:val="single" w:color="auto" w:sz="8" w:space="0"/>
            </w:tcBorders>
            <w:vAlign w:val="center"/>
          </w:tcPr>
          <w:p w14:paraId="777DBECE">
            <w:pPr>
              <w:widowControl/>
              <w:jc w:val="left"/>
              <w:rPr>
                <w:rFonts w:ascii="宋体" w:hAnsi="宋体" w:cs="宋体"/>
                <w:color w:val="000000"/>
                <w:kern w:val="0"/>
                <w:sz w:val="20"/>
                <w:szCs w:val="20"/>
              </w:rPr>
            </w:pPr>
          </w:p>
        </w:tc>
        <w:tc>
          <w:tcPr>
            <w:tcW w:w="2260" w:type="dxa"/>
            <w:gridSpan w:val="2"/>
            <w:vMerge w:val="restart"/>
            <w:tcBorders>
              <w:top w:val="nil"/>
              <w:left w:val="single" w:color="auto" w:sz="8" w:space="0"/>
              <w:bottom w:val="single" w:color="auto" w:sz="8" w:space="0"/>
              <w:right w:val="single" w:color="auto" w:sz="8" w:space="0"/>
            </w:tcBorders>
            <w:shd w:val="clear" w:color="auto" w:fill="auto"/>
            <w:vAlign w:val="center"/>
          </w:tcPr>
          <w:p w14:paraId="6F0AD6CA">
            <w:pPr>
              <w:widowControl/>
              <w:jc w:val="center"/>
              <w:rPr>
                <w:rFonts w:ascii="宋体" w:hAnsi="宋体" w:cs="宋体"/>
                <w:color w:val="000000"/>
                <w:kern w:val="0"/>
                <w:sz w:val="20"/>
                <w:szCs w:val="20"/>
              </w:rPr>
            </w:pPr>
            <w:r>
              <w:rPr>
                <w:rFonts w:hint="eastAsia" w:ascii="宋体" w:hAnsi="宋体" w:cs="宋体"/>
                <w:color w:val="000000"/>
                <w:kern w:val="0"/>
                <w:sz w:val="20"/>
                <w:szCs w:val="20"/>
              </w:rPr>
              <w:t>质量指标</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14:paraId="4D144DC0">
            <w:pPr>
              <w:keepNext w:val="0"/>
              <w:keepLines w:val="0"/>
              <w:widowControl/>
              <w:suppressLineNumbers w:val="0"/>
              <w:jc w:val="left"/>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应保尽保</w:t>
            </w:r>
          </w:p>
        </w:tc>
        <w:tc>
          <w:tcPr>
            <w:tcW w:w="3920" w:type="dxa"/>
            <w:gridSpan w:val="2"/>
            <w:vMerge w:val="restart"/>
            <w:tcBorders>
              <w:top w:val="single" w:color="auto" w:sz="8" w:space="0"/>
              <w:left w:val="single" w:color="auto" w:sz="8" w:space="0"/>
              <w:bottom w:val="single" w:color="000000" w:sz="8" w:space="0"/>
              <w:right w:val="single" w:color="000000" w:sz="8" w:space="0"/>
            </w:tcBorders>
            <w:shd w:val="clear" w:color="auto" w:fill="auto"/>
            <w:vAlign w:val="center"/>
          </w:tcPr>
          <w:p w14:paraId="52D7C3B1">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100%</w:t>
            </w:r>
          </w:p>
        </w:tc>
      </w:tr>
      <w:tr w14:paraId="48596B8D">
        <w:tblPrEx>
          <w:tblCellMar>
            <w:top w:w="0" w:type="dxa"/>
            <w:left w:w="108" w:type="dxa"/>
            <w:bottom w:w="0" w:type="dxa"/>
            <w:right w:w="108" w:type="dxa"/>
          </w:tblCellMar>
        </w:tblPrEx>
        <w:trPr>
          <w:trHeight w:val="402" w:hRule="atLeast"/>
        </w:trPr>
        <w:tc>
          <w:tcPr>
            <w:tcW w:w="1020" w:type="dxa"/>
            <w:tcBorders>
              <w:top w:val="nil"/>
              <w:left w:val="single" w:color="auto" w:sz="8" w:space="0"/>
              <w:bottom w:val="nil"/>
              <w:right w:val="single" w:color="auto" w:sz="8" w:space="0"/>
            </w:tcBorders>
            <w:shd w:val="clear" w:color="auto" w:fill="auto"/>
            <w:noWrap/>
            <w:vAlign w:val="center"/>
          </w:tcPr>
          <w:p w14:paraId="610CCDC6">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020" w:type="dxa"/>
            <w:vMerge w:val="continue"/>
            <w:tcBorders>
              <w:top w:val="nil"/>
              <w:left w:val="single" w:color="auto" w:sz="8" w:space="0"/>
              <w:bottom w:val="single" w:color="auto" w:sz="8" w:space="0"/>
              <w:right w:val="single" w:color="auto" w:sz="8" w:space="0"/>
            </w:tcBorders>
            <w:vAlign w:val="center"/>
          </w:tcPr>
          <w:p w14:paraId="7CDE557A">
            <w:pPr>
              <w:widowControl/>
              <w:jc w:val="left"/>
              <w:rPr>
                <w:rFonts w:ascii="宋体" w:hAnsi="宋体" w:cs="宋体"/>
                <w:color w:val="000000"/>
                <w:kern w:val="0"/>
                <w:sz w:val="20"/>
                <w:szCs w:val="20"/>
              </w:rPr>
            </w:pPr>
          </w:p>
        </w:tc>
        <w:tc>
          <w:tcPr>
            <w:tcW w:w="2260" w:type="dxa"/>
            <w:gridSpan w:val="2"/>
            <w:vMerge w:val="continue"/>
            <w:tcBorders>
              <w:top w:val="nil"/>
              <w:left w:val="single" w:color="auto" w:sz="8" w:space="0"/>
              <w:bottom w:val="single" w:color="auto" w:sz="8" w:space="0"/>
              <w:right w:val="single" w:color="auto" w:sz="8" w:space="0"/>
            </w:tcBorders>
            <w:vAlign w:val="center"/>
          </w:tcPr>
          <w:p w14:paraId="6E06172F">
            <w:pPr>
              <w:widowControl/>
              <w:jc w:val="left"/>
              <w:rPr>
                <w:rFonts w:ascii="宋体" w:hAnsi="宋体" w:cs="宋体"/>
                <w:color w:val="000000"/>
                <w:kern w:val="0"/>
                <w:sz w:val="20"/>
                <w:szCs w:val="20"/>
              </w:rPr>
            </w:pPr>
          </w:p>
        </w:tc>
        <w:tc>
          <w:tcPr>
            <w:tcW w:w="1240" w:type="dxa"/>
            <w:vMerge w:val="continue"/>
            <w:tcBorders>
              <w:top w:val="nil"/>
              <w:left w:val="single" w:color="auto" w:sz="8" w:space="0"/>
              <w:bottom w:val="single" w:color="000000" w:sz="8" w:space="0"/>
              <w:right w:val="single" w:color="auto" w:sz="8" w:space="0"/>
            </w:tcBorders>
            <w:vAlign w:val="center"/>
          </w:tcPr>
          <w:p w14:paraId="68CBCA76">
            <w:pPr>
              <w:widowControl/>
              <w:jc w:val="left"/>
              <w:rPr>
                <w:rFonts w:ascii="宋体" w:hAnsi="宋体" w:cs="宋体"/>
                <w:color w:val="000000"/>
                <w:kern w:val="0"/>
                <w:sz w:val="20"/>
                <w:szCs w:val="20"/>
              </w:rPr>
            </w:pPr>
          </w:p>
        </w:tc>
        <w:tc>
          <w:tcPr>
            <w:tcW w:w="3920" w:type="dxa"/>
            <w:gridSpan w:val="2"/>
            <w:vMerge w:val="continue"/>
            <w:tcBorders>
              <w:top w:val="single" w:color="auto" w:sz="8" w:space="0"/>
              <w:left w:val="single" w:color="auto" w:sz="8" w:space="0"/>
              <w:bottom w:val="single" w:color="000000" w:sz="8" w:space="0"/>
              <w:right w:val="single" w:color="000000" w:sz="8" w:space="0"/>
            </w:tcBorders>
            <w:vAlign w:val="center"/>
          </w:tcPr>
          <w:p w14:paraId="6A4CFBCC">
            <w:pPr>
              <w:widowControl/>
              <w:jc w:val="left"/>
              <w:rPr>
                <w:rFonts w:ascii="宋体" w:hAnsi="宋体" w:cs="宋体"/>
                <w:color w:val="000000"/>
                <w:kern w:val="0"/>
                <w:sz w:val="20"/>
                <w:szCs w:val="20"/>
              </w:rPr>
            </w:pPr>
          </w:p>
        </w:tc>
      </w:tr>
      <w:tr w14:paraId="13852C62">
        <w:tblPrEx>
          <w:tblCellMar>
            <w:top w:w="0" w:type="dxa"/>
            <w:left w:w="108" w:type="dxa"/>
            <w:bottom w:w="0" w:type="dxa"/>
            <w:right w:w="108" w:type="dxa"/>
          </w:tblCellMar>
        </w:tblPrEx>
        <w:trPr>
          <w:trHeight w:val="402" w:hRule="atLeast"/>
        </w:trPr>
        <w:tc>
          <w:tcPr>
            <w:tcW w:w="1020" w:type="dxa"/>
            <w:tcBorders>
              <w:top w:val="nil"/>
              <w:left w:val="single" w:color="auto" w:sz="8" w:space="0"/>
              <w:bottom w:val="nil"/>
              <w:right w:val="single" w:color="auto" w:sz="8" w:space="0"/>
            </w:tcBorders>
            <w:shd w:val="clear" w:color="auto" w:fill="auto"/>
            <w:noWrap/>
            <w:vAlign w:val="center"/>
          </w:tcPr>
          <w:p w14:paraId="5BFF73A4">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020" w:type="dxa"/>
            <w:vMerge w:val="continue"/>
            <w:tcBorders>
              <w:top w:val="nil"/>
              <w:left w:val="single" w:color="auto" w:sz="8" w:space="0"/>
              <w:bottom w:val="single" w:color="auto" w:sz="8" w:space="0"/>
              <w:right w:val="single" w:color="auto" w:sz="8" w:space="0"/>
            </w:tcBorders>
            <w:vAlign w:val="center"/>
          </w:tcPr>
          <w:p w14:paraId="6C5083FC">
            <w:pPr>
              <w:widowControl/>
              <w:jc w:val="left"/>
              <w:rPr>
                <w:rFonts w:ascii="宋体" w:hAnsi="宋体" w:cs="宋体"/>
                <w:color w:val="000000"/>
                <w:kern w:val="0"/>
                <w:sz w:val="20"/>
                <w:szCs w:val="20"/>
              </w:rPr>
            </w:pPr>
          </w:p>
        </w:tc>
        <w:tc>
          <w:tcPr>
            <w:tcW w:w="2260" w:type="dxa"/>
            <w:gridSpan w:val="2"/>
            <w:vMerge w:val="restart"/>
            <w:tcBorders>
              <w:top w:val="nil"/>
              <w:left w:val="single" w:color="auto" w:sz="8" w:space="0"/>
              <w:bottom w:val="single" w:color="auto" w:sz="8" w:space="0"/>
              <w:right w:val="single" w:color="auto" w:sz="8" w:space="0"/>
            </w:tcBorders>
            <w:shd w:val="clear" w:color="auto" w:fill="auto"/>
            <w:vAlign w:val="center"/>
          </w:tcPr>
          <w:p w14:paraId="7C890174">
            <w:pPr>
              <w:widowControl/>
              <w:jc w:val="center"/>
              <w:rPr>
                <w:rFonts w:ascii="宋体" w:hAnsi="宋体" w:cs="宋体"/>
                <w:color w:val="000000"/>
                <w:kern w:val="0"/>
                <w:sz w:val="20"/>
                <w:szCs w:val="20"/>
              </w:rPr>
            </w:pPr>
            <w:r>
              <w:rPr>
                <w:rFonts w:hint="eastAsia" w:ascii="宋体" w:hAnsi="宋体" w:cs="宋体"/>
                <w:color w:val="000000"/>
                <w:kern w:val="0"/>
                <w:sz w:val="20"/>
                <w:szCs w:val="20"/>
              </w:rPr>
              <w:t>时效指标</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14:paraId="3ACF7D7E">
            <w:pPr>
              <w:keepNext w:val="0"/>
              <w:keepLines w:val="0"/>
              <w:widowControl/>
              <w:suppressLineNumbers w:val="0"/>
              <w:jc w:val="left"/>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按季度打卡发放</w:t>
            </w:r>
          </w:p>
        </w:tc>
        <w:tc>
          <w:tcPr>
            <w:tcW w:w="3920" w:type="dxa"/>
            <w:gridSpan w:val="2"/>
            <w:vMerge w:val="restart"/>
            <w:tcBorders>
              <w:top w:val="single" w:color="auto" w:sz="8" w:space="0"/>
              <w:left w:val="single" w:color="auto" w:sz="8" w:space="0"/>
              <w:bottom w:val="single" w:color="000000" w:sz="8" w:space="0"/>
              <w:right w:val="single" w:color="000000" w:sz="8" w:space="0"/>
            </w:tcBorders>
            <w:shd w:val="clear" w:color="auto" w:fill="auto"/>
            <w:vAlign w:val="center"/>
          </w:tcPr>
          <w:p w14:paraId="6E497784">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100%</w:t>
            </w:r>
          </w:p>
        </w:tc>
      </w:tr>
      <w:tr w14:paraId="02626C31">
        <w:tblPrEx>
          <w:tblCellMar>
            <w:top w:w="0" w:type="dxa"/>
            <w:left w:w="108" w:type="dxa"/>
            <w:bottom w:w="0" w:type="dxa"/>
            <w:right w:w="108" w:type="dxa"/>
          </w:tblCellMar>
        </w:tblPrEx>
        <w:trPr>
          <w:trHeight w:val="402" w:hRule="atLeast"/>
        </w:trPr>
        <w:tc>
          <w:tcPr>
            <w:tcW w:w="1020" w:type="dxa"/>
            <w:tcBorders>
              <w:top w:val="nil"/>
              <w:left w:val="single" w:color="auto" w:sz="8" w:space="0"/>
              <w:bottom w:val="nil"/>
              <w:right w:val="single" w:color="auto" w:sz="8" w:space="0"/>
            </w:tcBorders>
            <w:shd w:val="clear" w:color="auto" w:fill="auto"/>
            <w:noWrap/>
            <w:vAlign w:val="center"/>
          </w:tcPr>
          <w:p w14:paraId="521C25AD">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020" w:type="dxa"/>
            <w:vMerge w:val="continue"/>
            <w:tcBorders>
              <w:top w:val="nil"/>
              <w:left w:val="single" w:color="auto" w:sz="8" w:space="0"/>
              <w:bottom w:val="single" w:color="auto" w:sz="8" w:space="0"/>
              <w:right w:val="single" w:color="auto" w:sz="8" w:space="0"/>
            </w:tcBorders>
            <w:vAlign w:val="center"/>
          </w:tcPr>
          <w:p w14:paraId="7961ACB3">
            <w:pPr>
              <w:widowControl/>
              <w:jc w:val="left"/>
              <w:rPr>
                <w:rFonts w:ascii="宋体" w:hAnsi="宋体" w:cs="宋体"/>
                <w:color w:val="000000"/>
                <w:kern w:val="0"/>
                <w:sz w:val="20"/>
                <w:szCs w:val="20"/>
              </w:rPr>
            </w:pPr>
          </w:p>
        </w:tc>
        <w:tc>
          <w:tcPr>
            <w:tcW w:w="2260" w:type="dxa"/>
            <w:gridSpan w:val="2"/>
            <w:vMerge w:val="continue"/>
            <w:tcBorders>
              <w:top w:val="nil"/>
              <w:left w:val="single" w:color="auto" w:sz="8" w:space="0"/>
              <w:bottom w:val="single" w:color="auto" w:sz="8" w:space="0"/>
              <w:right w:val="single" w:color="auto" w:sz="8" w:space="0"/>
            </w:tcBorders>
            <w:vAlign w:val="center"/>
          </w:tcPr>
          <w:p w14:paraId="02B1BF89">
            <w:pPr>
              <w:widowControl/>
              <w:jc w:val="left"/>
              <w:rPr>
                <w:rFonts w:ascii="宋体" w:hAnsi="宋体" w:cs="宋体"/>
                <w:color w:val="000000"/>
                <w:kern w:val="0"/>
                <w:sz w:val="20"/>
                <w:szCs w:val="20"/>
              </w:rPr>
            </w:pPr>
          </w:p>
        </w:tc>
        <w:tc>
          <w:tcPr>
            <w:tcW w:w="1240" w:type="dxa"/>
            <w:vMerge w:val="continue"/>
            <w:tcBorders>
              <w:top w:val="nil"/>
              <w:left w:val="single" w:color="auto" w:sz="8" w:space="0"/>
              <w:bottom w:val="single" w:color="000000" w:sz="8" w:space="0"/>
              <w:right w:val="single" w:color="auto" w:sz="8" w:space="0"/>
            </w:tcBorders>
            <w:vAlign w:val="center"/>
          </w:tcPr>
          <w:p w14:paraId="7EED8E2B">
            <w:pPr>
              <w:widowControl/>
              <w:jc w:val="left"/>
              <w:rPr>
                <w:rFonts w:ascii="宋体" w:hAnsi="宋体" w:cs="宋体"/>
                <w:color w:val="000000"/>
                <w:kern w:val="0"/>
                <w:sz w:val="20"/>
                <w:szCs w:val="20"/>
              </w:rPr>
            </w:pPr>
          </w:p>
        </w:tc>
        <w:tc>
          <w:tcPr>
            <w:tcW w:w="3920" w:type="dxa"/>
            <w:gridSpan w:val="2"/>
            <w:vMerge w:val="continue"/>
            <w:tcBorders>
              <w:top w:val="single" w:color="auto" w:sz="8" w:space="0"/>
              <w:left w:val="single" w:color="auto" w:sz="8" w:space="0"/>
              <w:bottom w:val="single" w:color="000000" w:sz="8" w:space="0"/>
              <w:right w:val="single" w:color="000000" w:sz="8" w:space="0"/>
            </w:tcBorders>
            <w:vAlign w:val="center"/>
          </w:tcPr>
          <w:p w14:paraId="7F40875C">
            <w:pPr>
              <w:widowControl/>
              <w:jc w:val="left"/>
              <w:rPr>
                <w:rFonts w:ascii="宋体" w:hAnsi="宋体" w:cs="宋体"/>
                <w:color w:val="000000"/>
                <w:kern w:val="0"/>
                <w:sz w:val="20"/>
                <w:szCs w:val="20"/>
              </w:rPr>
            </w:pPr>
          </w:p>
        </w:tc>
      </w:tr>
      <w:tr w14:paraId="278356C5">
        <w:tblPrEx>
          <w:tblCellMar>
            <w:top w:w="0" w:type="dxa"/>
            <w:left w:w="108" w:type="dxa"/>
            <w:bottom w:w="0" w:type="dxa"/>
            <w:right w:w="108" w:type="dxa"/>
          </w:tblCellMar>
        </w:tblPrEx>
        <w:trPr>
          <w:trHeight w:val="402" w:hRule="atLeast"/>
        </w:trPr>
        <w:tc>
          <w:tcPr>
            <w:tcW w:w="1020" w:type="dxa"/>
            <w:tcBorders>
              <w:top w:val="nil"/>
              <w:left w:val="single" w:color="auto" w:sz="8" w:space="0"/>
              <w:bottom w:val="nil"/>
              <w:right w:val="single" w:color="auto" w:sz="8" w:space="0"/>
            </w:tcBorders>
            <w:shd w:val="clear" w:color="auto" w:fill="auto"/>
            <w:noWrap/>
            <w:vAlign w:val="center"/>
          </w:tcPr>
          <w:p w14:paraId="1AC42FD8">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020" w:type="dxa"/>
            <w:vMerge w:val="continue"/>
            <w:tcBorders>
              <w:top w:val="nil"/>
              <w:left w:val="single" w:color="auto" w:sz="8" w:space="0"/>
              <w:bottom w:val="single" w:color="auto" w:sz="8" w:space="0"/>
              <w:right w:val="single" w:color="auto" w:sz="8" w:space="0"/>
            </w:tcBorders>
            <w:vAlign w:val="center"/>
          </w:tcPr>
          <w:p w14:paraId="000E5C6D">
            <w:pPr>
              <w:widowControl/>
              <w:jc w:val="left"/>
              <w:rPr>
                <w:rFonts w:ascii="宋体" w:hAnsi="宋体" w:cs="宋体"/>
                <w:color w:val="000000"/>
                <w:kern w:val="0"/>
                <w:sz w:val="20"/>
                <w:szCs w:val="20"/>
              </w:rPr>
            </w:pPr>
          </w:p>
        </w:tc>
        <w:tc>
          <w:tcPr>
            <w:tcW w:w="2260" w:type="dxa"/>
            <w:gridSpan w:val="2"/>
            <w:vMerge w:val="restart"/>
            <w:tcBorders>
              <w:top w:val="nil"/>
              <w:left w:val="single" w:color="auto" w:sz="8" w:space="0"/>
              <w:bottom w:val="single" w:color="auto" w:sz="8" w:space="0"/>
              <w:right w:val="single" w:color="auto" w:sz="8" w:space="0"/>
            </w:tcBorders>
            <w:shd w:val="clear" w:color="auto" w:fill="auto"/>
            <w:vAlign w:val="center"/>
          </w:tcPr>
          <w:p w14:paraId="439D813B">
            <w:pPr>
              <w:widowControl/>
              <w:jc w:val="center"/>
              <w:rPr>
                <w:rFonts w:ascii="宋体" w:hAnsi="宋体" w:cs="宋体"/>
                <w:color w:val="000000"/>
                <w:kern w:val="0"/>
                <w:sz w:val="20"/>
                <w:szCs w:val="20"/>
              </w:rPr>
            </w:pPr>
            <w:r>
              <w:rPr>
                <w:rFonts w:hint="eastAsia" w:ascii="宋体" w:hAnsi="宋体" w:cs="宋体"/>
                <w:color w:val="000000"/>
                <w:kern w:val="0"/>
                <w:sz w:val="20"/>
                <w:szCs w:val="20"/>
              </w:rPr>
              <w:t>成本指标</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14:paraId="1D02B51E">
            <w:pPr>
              <w:keepNext w:val="0"/>
              <w:keepLines w:val="0"/>
              <w:widowControl/>
              <w:suppressLineNumbers w:val="0"/>
              <w:jc w:val="left"/>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财政拨款</w:t>
            </w:r>
          </w:p>
        </w:tc>
        <w:tc>
          <w:tcPr>
            <w:tcW w:w="3920" w:type="dxa"/>
            <w:gridSpan w:val="2"/>
            <w:vMerge w:val="restart"/>
            <w:tcBorders>
              <w:top w:val="single" w:color="auto" w:sz="8" w:space="0"/>
              <w:left w:val="single" w:color="auto" w:sz="8" w:space="0"/>
              <w:bottom w:val="single" w:color="000000" w:sz="8" w:space="0"/>
              <w:right w:val="single" w:color="000000" w:sz="8" w:space="0"/>
            </w:tcBorders>
            <w:shd w:val="clear" w:color="auto" w:fill="auto"/>
            <w:vAlign w:val="center"/>
          </w:tcPr>
          <w:p w14:paraId="52BD2656">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财政拨款</w:t>
            </w:r>
          </w:p>
        </w:tc>
      </w:tr>
      <w:tr w14:paraId="281D56AB">
        <w:tblPrEx>
          <w:tblCellMar>
            <w:top w:w="0" w:type="dxa"/>
            <w:left w:w="108" w:type="dxa"/>
            <w:bottom w:w="0" w:type="dxa"/>
            <w:right w:w="108" w:type="dxa"/>
          </w:tblCellMar>
        </w:tblPrEx>
        <w:trPr>
          <w:trHeight w:val="402" w:hRule="atLeast"/>
        </w:trPr>
        <w:tc>
          <w:tcPr>
            <w:tcW w:w="1020" w:type="dxa"/>
            <w:tcBorders>
              <w:top w:val="nil"/>
              <w:left w:val="single" w:color="auto" w:sz="8" w:space="0"/>
              <w:bottom w:val="nil"/>
              <w:right w:val="single" w:color="auto" w:sz="8" w:space="0"/>
            </w:tcBorders>
            <w:shd w:val="clear" w:color="auto" w:fill="auto"/>
            <w:noWrap/>
            <w:vAlign w:val="center"/>
          </w:tcPr>
          <w:p w14:paraId="5730D7DD">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020" w:type="dxa"/>
            <w:vMerge w:val="continue"/>
            <w:tcBorders>
              <w:top w:val="nil"/>
              <w:left w:val="single" w:color="auto" w:sz="8" w:space="0"/>
              <w:bottom w:val="single" w:color="auto" w:sz="8" w:space="0"/>
              <w:right w:val="single" w:color="auto" w:sz="8" w:space="0"/>
            </w:tcBorders>
            <w:vAlign w:val="center"/>
          </w:tcPr>
          <w:p w14:paraId="05689A4B">
            <w:pPr>
              <w:widowControl/>
              <w:jc w:val="left"/>
              <w:rPr>
                <w:rFonts w:ascii="宋体" w:hAnsi="宋体" w:cs="宋体"/>
                <w:color w:val="000000"/>
                <w:kern w:val="0"/>
                <w:sz w:val="20"/>
                <w:szCs w:val="20"/>
              </w:rPr>
            </w:pPr>
          </w:p>
        </w:tc>
        <w:tc>
          <w:tcPr>
            <w:tcW w:w="2260" w:type="dxa"/>
            <w:gridSpan w:val="2"/>
            <w:vMerge w:val="continue"/>
            <w:tcBorders>
              <w:top w:val="nil"/>
              <w:left w:val="single" w:color="auto" w:sz="8" w:space="0"/>
              <w:bottom w:val="single" w:color="auto" w:sz="8" w:space="0"/>
              <w:right w:val="single" w:color="auto" w:sz="8" w:space="0"/>
            </w:tcBorders>
            <w:vAlign w:val="center"/>
          </w:tcPr>
          <w:p w14:paraId="7EDEFA61">
            <w:pPr>
              <w:widowControl/>
              <w:jc w:val="left"/>
              <w:rPr>
                <w:rFonts w:ascii="宋体" w:hAnsi="宋体" w:cs="宋体"/>
                <w:color w:val="000000"/>
                <w:kern w:val="0"/>
                <w:sz w:val="20"/>
                <w:szCs w:val="20"/>
              </w:rPr>
            </w:pPr>
          </w:p>
        </w:tc>
        <w:tc>
          <w:tcPr>
            <w:tcW w:w="1240" w:type="dxa"/>
            <w:vMerge w:val="continue"/>
            <w:tcBorders>
              <w:top w:val="nil"/>
              <w:left w:val="single" w:color="auto" w:sz="8" w:space="0"/>
              <w:bottom w:val="single" w:color="000000" w:sz="8" w:space="0"/>
              <w:right w:val="single" w:color="auto" w:sz="8" w:space="0"/>
            </w:tcBorders>
            <w:vAlign w:val="center"/>
          </w:tcPr>
          <w:p w14:paraId="2FCBA89F">
            <w:pPr>
              <w:widowControl/>
              <w:jc w:val="left"/>
              <w:rPr>
                <w:rFonts w:ascii="宋体" w:hAnsi="宋体" w:cs="宋体"/>
                <w:color w:val="000000"/>
                <w:kern w:val="0"/>
                <w:sz w:val="20"/>
                <w:szCs w:val="20"/>
              </w:rPr>
            </w:pPr>
          </w:p>
        </w:tc>
        <w:tc>
          <w:tcPr>
            <w:tcW w:w="3920" w:type="dxa"/>
            <w:gridSpan w:val="2"/>
            <w:vMerge w:val="continue"/>
            <w:tcBorders>
              <w:top w:val="single" w:color="auto" w:sz="8" w:space="0"/>
              <w:left w:val="single" w:color="auto" w:sz="8" w:space="0"/>
              <w:bottom w:val="single" w:color="000000" w:sz="8" w:space="0"/>
              <w:right w:val="single" w:color="000000" w:sz="8" w:space="0"/>
            </w:tcBorders>
            <w:vAlign w:val="center"/>
          </w:tcPr>
          <w:p w14:paraId="79F574DB">
            <w:pPr>
              <w:widowControl/>
              <w:jc w:val="left"/>
              <w:rPr>
                <w:rFonts w:ascii="宋体" w:hAnsi="宋体" w:cs="宋体"/>
                <w:color w:val="000000"/>
                <w:kern w:val="0"/>
                <w:sz w:val="20"/>
                <w:szCs w:val="20"/>
              </w:rPr>
            </w:pPr>
          </w:p>
        </w:tc>
      </w:tr>
      <w:tr w14:paraId="09DBD820">
        <w:tblPrEx>
          <w:tblCellMar>
            <w:top w:w="0" w:type="dxa"/>
            <w:left w:w="108" w:type="dxa"/>
            <w:bottom w:w="0" w:type="dxa"/>
            <w:right w:w="108" w:type="dxa"/>
          </w:tblCellMar>
        </w:tblPrEx>
        <w:trPr>
          <w:trHeight w:val="402" w:hRule="atLeast"/>
        </w:trPr>
        <w:tc>
          <w:tcPr>
            <w:tcW w:w="1020" w:type="dxa"/>
            <w:tcBorders>
              <w:top w:val="nil"/>
              <w:left w:val="single" w:color="auto" w:sz="8" w:space="0"/>
              <w:bottom w:val="nil"/>
              <w:right w:val="single" w:color="auto" w:sz="8" w:space="0"/>
            </w:tcBorders>
            <w:shd w:val="clear" w:color="auto" w:fill="auto"/>
            <w:noWrap/>
            <w:vAlign w:val="center"/>
          </w:tcPr>
          <w:p w14:paraId="1B1B004C">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020" w:type="dxa"/>
            <w:vMerge w:val="restart"/>
            <w:tcBorders>
              <w:top w:val="nil"/>
              <w:left w:val="single" w:color="auto" w:sz="8" w:space="0"/>
              <w:bottom w:val="single" w:color="auto" w:sz="8" w:space="0"/>
              <w:right w:val="single" w:color="auto" w:sz="8" w:space="0"/>
            </w:tcBorders>
            <w:shd w:val="clear" w:color="auto" w:fill="auto"/>
            <w:vAlign w:val="center"/>
          </w:tcPr>
          <w:p w14:paraId="740E31EC">
            <w:pPr>
              <w:widowControl/>
              <w:jc w:val="center"/>
              <w:rPr>
                <w:rFonts w:ascii="宋体" w:hAnsi="宋体" w:cs="宋体"/>
                <w:color w:val="000000"/>
                <w:kern w:val="0"/>
                <w:sz w:val="20"/>
                <w:szCs w:val="20"/>
              </w:rPr>
            </w:pPr>
            <w:r>
              <w:rPr>
                <w:rFonts w:hint="eastAsia" w:ascii="宋体" w:hAnsi="宋体" w:cs="宋体"/>
                <w:color w:val="000000"/>
                <w:kern w:val="0"/>
                <w:sz w:val="20"/>
                <w:szCs w:val="20"/>
              </w:rPr>
              <w:t>效益指标</w:t>
            </w:r>
          </w:p>
        </w:tc>
        <w:tc>
          <w:tcPr>
            <w:tcW w:w="2260" w:type="dxa"/>
            <w:gridSpan w:val="2"/>
            <w:vMerge w:val="restart"/>
            <w:tcBorders>
              <w:top w:val="nil"/>
              <w:left w:val="single" w:color="auto" w:sz="8" w:space="0"/>
              <w:bottom w:val="single" w:color="auto" w:sz="8" w:space="0"/>
              <w:right w:val="single" w:color="auto" w:sz="8" w:space="0"/>
            </w:tcBorders>
            <w:shd w:val="clear" w:color="auto" w:fill="auto"/>
            <w:vAlign w:val="center"/>
          </w:tcPr>
          <w:p w14:paraId="0038C9C8">
            <w:pPr>
              <w:widowControl/>
              <w:jc w:val="center"/>
              <w:rPr>
                <w:rFonts w:ascii="宋体" w:hAnsi="宋体" w:cs="宋体"/>
                <w:color w:val="000000"/>
                <w:kern w:val="0"/>
                <w:sz w:val="20"/>
                <w:szCs w:val="20"/>
              </w:rPr>
            </w:pPr>
            <w:r>
              <w:rPr>
                <w:rFonts w:hint="eastAsia" w:ascii="宋体" w:hAnsi="宋体" w:cs="宋体"/>
                <w:color w:val="000000"/>
                <w:kern w:val="0"/>
                <w:sz w:val="20"/>
                <w:szCs w:val="20"/>
              </w:rPr>
              <w:t>经济效益指标</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14:paraId="721B9F3D">
            <w:pPr>
              <w:keepNext w:val="0"/>
              <w:keepLines w:val="0"/>
              <w:widowControl/>
              <w:suppressLineNumbers w:val="0"/>
              <w:jc w:val="left"/>
              <w:textAlignment w:val="center"/>
              <w:rPr>
                <w:rFonts w:hint="eastAsia"/>
              </w:rPr>
            </w:pPr>
            <w:r>
              <w:rPr>
                <w:rFonts w:hint="eastAsia" w:ascii="宋体" w:hAnsi="宋体" w:eastAsia="宋体" w:cs="宋体"/>
                <w:i w:val="0"/>
                <w:iCs w:val="0"/>
                <w:color w:val="000000"/>
                <w:kern w:val="0"/>
                <w:sz w:val="20"/>
                <w:szCs w:val="20"/>
                <w:u w:val="none"/>
                <w:lang w:val="en-US" w:eastAsia="zh-CN" w:bidi="ar"/>
              </w:rPr>
              <w:t>全县</w:t>
            </w:r>
            <w:r>
              <w:rPr>
                <w:rFonts w:hint="eastAsia" w:ascii="宋体" w:hAnsi="宋体" w:cs="宋体"/>
                <w:i w:val="0"/>
                <w:iCs w:val="0"/>
                <w:color w:val="000000"/>
                <w:kern w:val="0"/>
                <w:sz w:val="20"/>
                <w:szCs w:val="20"/>
                <w:u w:val="none"/>
                <w:lang w:val="en-US" w:eastAsia="zh-CN" w:bidi="ar"/>
              </w:rPr>
              <w:t>困难困难退役军人补助</w:t>
            </w:r>
            <w:r>
              <w:rPr>
                <w:rFonts w:hint="eastAsia" w:ascii="宋体" w:hAnsi="宋体" w:eastAsia="宋体" w:cs="宋体"/>
                <w:i w:val="0"/>
                <w:iCs w:val="0"/>
                <w:color w:val="000000"/>
                <w:kern w:val="0"/>
                <w:sz w:val="20"/>
                <w:szCs w:val="20"/>
                <w:u w:val="none"/>
                <w:lang w:val="en-US" w:eastAsia="zh-CN" w:bidi="ar"/>
              </w:rPr>
              <w:t>提升情况</w:t>
            </w:r>
          </w:p>
        </w:tc>
        <w:tc>
          <w:tcPr>
            <w:tcW w:w="3920" w:type="dxa"/>
            <w:gridSpan w:val="2"/>
            <w:vMerge w:val="restart"/>
            <w:tcBorders>
              <w:top w:val="single" w:color="auto" w:sz="8" w:space="0"/>
              <w:left w:val="single" w:color="auto" w:sz="8" w:space="0"/>
              <w:bottom w:val="single" w:color="000000" w:sz="8" w:space="0"/>
              <w:right w:val="single" w:color="000000" w:sz="8" w:space="0"/>
            </w:tcBorders>
            <w:shd w:val="clear" w:color="auto" w:fill="auto"/>
            <w:vAlign w:val="center"/>
          </w:tcPr>
          <w:p w14:paraId="284CDA35">
            <w:pPr>
              <w:keepNext w:val="0"/>
              <w:keepLines w:val="0"/>
              <w:widowControl/>
              <w:suppressLineNumbers w:val="0"/>
              <w:jc w:val="center"/>
              <w:textAlignment w:val="center"/>
              <w:rPr>
                <w:rFonts w:hint="eastAsia"/>
              </w:rPr>
            </w:pPr>
            <w:r>
              <w:rPr>
                <w:rFonts w:hint="eastAsia" w:ascii="宋体" w:hAnsi="宋体" w:eastAsia="宋体" w:cs="宋体"/>
                <w:i w:val="0"/>
                <w:iCs w:val="0"/>
                <w:color w:val="000000"/>
                <w:kern w:val="0"/>
                <w:sz w:val="20"/>
                <w:szCs w:val="20"/>
                <w:u w:val="none"/>
                <w:lang w:val="en-US" w:eastAsia="zh-CN" w:bidi="ar"/>
              </w:rPr>
              <w:t>稳步提升</w:t>
            </w:r>
          </w:p>
        </w:tc>
      </w:tr>
      <w:tr w14:paraId="26EDF2D3">
        <w:tblPrEx>
          <w:tblCellMar>
            <w:top w:w="0" w:type="dxa"/>
            <w:left w:w="108" w:type="dxa"/>
            <w:bottom w:w="0" w:type="dxa"/>
            <w:right w:w="108" w:type="dxa"/>
          </w:tblCellMar>
        </w:tblPrEx>
        <w:trPr>
          <w:trHeight w:val="402" w:hRule="atLeast"/>
        </w:trPr>
        <w:tc>
          <w:tcPr>
            <w:tcW w:w="1020" w:type="dxa"/>
            <w:tcBorders>
              <w:top w:val="nil"/>
              <w:left w:val="single" w:color="auto" w:sz="8" w:space="0"/>
              <w:bottom w:val="nil"/>
              <w:right w:val="single" w:color="auto" w:sz="8" w:space="0"/>
            </w:tcBorders>
            <w:shd w:val="clear" w:color="auto" w:fill="auto"/>
            <w:noWrap/>
            <w:vAlign w:val="center"/>
          </w:tcPr>
          <w:p w14:paraId="1DE051B7">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020" w:type="dxa"/>
            <w:vMerge w:val="continue"/>
            <w:tcBorders>
              <w:top w:val="nil"/>
              <w:left w:val="single" w:color="auto" w:sz="8" w:space="0"/>
              <w:bottom w:val="single" w:color="auto" w:sz="8" w:space="0"/>
              <w:right w:val="single" w:color="auto" w:sz="8" w:space="0"/>
            </w:tcBorders>
            <w:vAlign w:val="center"/>
          </w:tcPr>
          <w:p w14:paraId="0DE68426">
            <w:pPr>
              <w:widowControl/>
              <w:jc w:val="left"/>
              <w:rPr>
                <w:rFonts w:ascii="宋体" w:hAnsi="宋体" w:cs="宋体"/>
                <w:color w:val="000000"/>
                <w:kern w:val="0"/>
                <w:sz w:val="20"/>
                <w:szCs w:val="20"/>
              </w:rPr>
            </w:pPr>
          </w:p>
        </w:tc>
        <w:tc>
          <w:tcPr>
            <w:tcW w:w="2260" w:type="dxa"/>
            <w:gridSpan w:val="2"/>
            <w:vMerge w:val="continue"/>
            <w:tcBorders>
              <w:top w:val="nil"/>
              <w:left w:val="single" w:color="auto" w:sz="8" w:space="0"/>
              <w:bottom w:val="single" w:color="auto" w:sz="8" w:space="0"/>
              <w:right w:val="single" w:color="auto" w:sz="8" w:space="0"/>
            </w:tcBorders>
            <w:vAlign w:val="center"/>
          </w:tcPr>
          <w:p w14:paraId="58A4A73E">
            <w:pPr>
              <w:widowControl/>
              <w:jc w:val="left"/>
              <w:rPr>
                <w:rFonts w:ascii="宋体" w:hAnsi="宋体" w:cs="宋体"/>
                <w:color w:val="000000"/>
                <w:kern w:val="0"/>
                <w:sz w:val="20"/>
                <w:szCs w:val="20"/>
              </w:rPr>
            </w:pPr>
          </w:p>
        </w:tc>
        <w:tc>
          <w:tcPr>
            <w:tcW w:w="1240" w:type="dxa"/>
            <w:vMerge w:val="continue"/>
            <w:tcBorders>
              <w:top w:val="nil"/>
              <w:left w:val="single" w:color="auto" w:sz="8" w:space="0"/>
              <w:bottom w:val="single" w:color="000000" w:sz="8" w:space="0"/>
              <w:right w:val="single" w:color="auto" w:sz="8" w:space="0"/>
            </w:tcBorders>
            <w:vAlign w:val="center"/>
          </w:tcPr>
          <w:p w14:paraId="77774B5A">
            <w:pPr>
              <w:widowControl/>
              <w:jc w:val="left"/>
              <w:rPr>
                <w:rFonts w:ascii="宋体" w:hAnsi="宋体" w:cs="宋体"/>
                <w:color w:val="000000"/>
                <w:kern w:val="0"/>
                <w:sz w:val="20"/>
                <w:szCs w:val="20"/>
              </w:rPr>
            </w:pPr>
          </w:p>
        </w:tc>
        <w:tc>
          <w:tcPr>
            <w:tcW w:w="3920" w:type="dxa"/>
            <w:gridSpan w:val="2"/>
            <w:vMerge w:val="continue"/>
            <w:tcBorders>
              <w:top w:val="single" w:color="auto" w:sz="8" w:space="0"/>
              <w:left w:val="single" w:color="auto" w:sz="8" w:space="0"/>
              <w:bottom w:val="single" w:color="000000" w:sz="8" w:space="0"/>
              <w:right w:val="single" w:color="000000" w:sz="8" w:space="0"/>
            </w:tcBorders>
            <w:vAlign w:val="center"/>
          </w:tcPr>
          <w:p w14:paraId="2799707E">
            <w:pPr>
              <w:widowControl/>
              <w:jc w:val="left"/>
              <w:rPr>
                <w:rFonts w:ascii="宋体" w:hAnsi="宋体" w:cs="宋体"/>
                <w:color w:val="000000"/>
                <w:kern w:val="0"/>
                <w:sz w:val="20"/>
                <w:szCs w:val="20"/>
              </w:rPr>
            </w:pPr>
          </w:p>
        </w:tc>
      </w:tr>
      <w:tr w14:paraId="48C54B8D">
        <w:tblPrEx>
          <w:tblCellMar>
            <w:top w:w="0" w:type="dxa"/>
            <w:left w:w="108" w:type="dxa"/>
            <w:bottom w:w="0" w:type="dxa"/>
            <w:right w:w="108" w:type="dxa"/>
          </w:tblCellMar>
        </w:tblPrEx>
        <w:trPr>
          <w:trHeight w:val="402" w:hRule="atLeast"/>
        </w:trPr>
        <w:tc>
          <w:tcPr>
            <w:tcW w:w="1020" w:type="dxa"/>
            <w:tcBorders>
              <w:top w:val="nil"/>
              <w:left w:val="single" w:color="auto" w:sz="8" w:space="0"/>
              <w:bottom w:val="nil"/>
              <w:right w:val="single" w:color="auto" w:sz="8" w:space="0"/>
            </w:tcBorders>
            <w:shd w:val="clear" w:color="auto" w:fill="auto"/>
            <w:noWrap/>
            <w:vAlign w:val="center"/>
          </w:tcPr>
          <w:p w14:paraId="304AC040">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020" w:type="dxa"/>
            <w:vMerge w:val="continue"/>
            <w:tcBorders>
              <w:top w:val="nil"/>
              <w:left w:val="single" w:color="auto" w:sz="8" w:space="0"/>
              <w:bottom w:val="single" w:color="auto" w:sz="8" w:space="0"/>
              <w:right w:val="single" w:color="auto" w:sz="8" w:space="0"/>
            </w:tcBorders>
            <w:vAlign w:val="center"/>
          </w:tcPr>
          <w:p w14:paraId="04B39D4F">
            <w:pPr>
              <w:widowControl/>
              <w:jc w:val="left"/>
              <w:rPr>
                <w:rFonts w:ascii="宋体" w:hAnsi="宋体" w:cs="宋体"/>
                <w:color w:val="000000"/>
                <w:kern w:val="0"/>
                <w:sz w:val="20"/>
                <w:szCs w:val="20"/>
              </w:rPr>
            </w:pPr>
          </w:p>
        </w:tc>
        <w:tc>
          <w:tcPr>
            <w:tcW w:w="2260" w:type="dxa"/>
            <w:gridSpan w:val="2"/>
            <w:vMerge w:val="restart"/>
            <w:tcBorders>
              <w:top w:val="nil"/>
              <w:left w:val="single" w:color="auto" w:sz="8" w:space="0"/>
              <w:bottom w:val="single" w:color="auto" w:sz="8" w:space="0"/>
              <w:right w:val="single" w:color="auto" w:sz="8" w:space="0"/>
            </w:tcBorders>
            <w:shd w:val="clear" w:color="auto" w:fill="auto"/>
            <w:vAlign w:val="center"/>
          </w:tcPr>
          <w:p w14:paraId="4A6AA516">
            <w:pPr>
              <w:widowControl/>
              <w:jc w:val="center"/>
              <w:rPr>
                <w:rFonts w:ascii="宋体" w:hAnsi="宋体" w:cs="宋体"/>
                <w:color w:val="000000"/>
                <w:kern w:val="0"/>
                <w:sz w:val="20"/>
                <w:szCs w:val="20"/>
              </w:rPr>
            </w:pPr>
            <w:r>
              <w:rPr>
                <w:rFonts w:hint="eastAsia" w:ascii="宋体" w:hAnsi="宋体" w:cs="宋体"/>
                <w:color w:val="000000"/>
                <w:kern w:val="0"/>
                <w:sz w:val="20"/>
                <w:szCs w:val="20"/>
              </w:rPr>
              <w:t>社会效益指标</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14:paraId="50FF9E9A">
            <w:pPr>
              <w:keepNext w:val="0"/>
              <w:keepLines w:val="0"/>
              <w:widowControl/>
              <w:suppressLineNumbers w:val="0"/>
              <w:jc w:val="left"/>
              <w:textAlignment w:val="center"/>
              <w:rPr>
                <w:rFonts w:hint="eastAsia"/>
              </w:rPr>
            </w:pPr>
            <w:r>
              <w:rPr>
                <w:rFonts w:hint="eastAsia" w:ascii="宋体" w:hAnsi="宋体" w:eastAsia="宋体" w:cs="宋体"/>
                <w:i w:val="0"/>
                <w:iCs w:val="0"/>
                <w:color w:val="000000"/>
                <w:kern w:val="0"/>
                <w:sz w:val="20"/>
                <w:szCs w:val="20"/>
                <w:u w:val="none"/>
                <w:lang w:val="en-US" w:eastAsia="zh-CN" w:bidi="ar"/>
              </w:rPr>
              <w:t>政策知晓率</w:t>
            </w:r>
          </w:p>
        </w:tc>
        <w:tc>
          <w:tcPr>
            <w:tcW w:w="3920" w:type="dxa"/>
            <w:gridSpan w:val="2"/>
            <w:vMerge w:val="restart"/>
            <w:tcBorders>
              <w:top w:val="single" w:color="auto" w:sz="8" w:space="0"/>
              <w:left w:val="single" w:color="auto" w:sz="8" w:space="0"/>
              <w:bottom w:val="single" w:color="000000" w:sz="8" w:space="0"/>
              <w:right w:val="single" w:color="000000" w:sz="8" w:space="0"/>
            </w:tcBorders>
            <w:shd w:val="clear" w:color="auto" w:fill="auto"/>
            <w:vAlign w:val="center"/>
          </w:tcPr>
          <w:p w14:paraId="3246CDAF">
            <w:pPr>
              <w:keepNext w:val="0"/>
              <w:keepLines w:val="0"/>
              <w:widowControl/>
              <w:suppressLineNumbers w:val="0"/>
              <w:jc w:val="center"/>
              <w:textAlignment w:val="center"/>
              <w:rPr>
                <w:rFonts w:hint="eastAsia"/>
              </w:rPr>
            </w:pPr>
            <w:r>
              <w:rPr>
                <w:rFonts w:hint="eastAsia" w:ascii="宋体" w:hAnsi="宋体" w:eastAsia="宋体" w:cs="宋体"/>
                <w:i w:val="0"/>
                <w:iCs w:val="0"/>
                <w:color w:val="000000"/>
                <w:kern w:val="0"/>
                <w:sz w:val="20"/>
                <w:szCs w:val="20"/>
                <w:u w:val="none"/>
                <w:lang w:val="en-US" w:eastAsia="zh-CN" w:bidi="ar"/>
              </w:rPr>
              <w:t>≧95%</w:t>
            </w:r>
          </w:p>
        </w:tc>
      </w:tr>
      <w:tr w14:paraId="78439CD4">
        <w:tblPrEx>
          <w:tblCellMar>
            <w:top w:w="0" w:type="dxa"/>
            <w:left w:w="108" w:type="dxa"/>
            <w:bottom w:w="0" w:type="dxa"/>
            <w:right w:w="108" w:type="dxa"/>
          </w:tblCellMar>
        </w:tblPrEx>
        <w:trPr>
          <w:trHeight w:val="402" w:hRule="atLeast"/>
        </w:trPr>
        <w:tc>
          <w:tcPr>
            <w:tcW w:w="1020" w:type="dxa"/>
            <w:tcBorders>
              <w:top w:val="nil"/>
              <w:left w:val="single" w:color="auto" w:sz="8" w:space="0"/>
              <w:bottom w:val="nil"/>
              <w:right w:val="single" w:color="auto" w:sz="8" w:space="0"/>
            </w:tcBorders>
            <w:shd w:val="clear" w:color="auto" w:fill="auto"/>
            <w:noWrap/>
            <w:vAlign w:val="center"/>
          </w:tcPr>
          <w:p w14:paraId="05D5B8F0">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020" w:type="dxa"/>
            <w:vMerge w:val="continue"/>
            <w:tcBorders>
              <w:top w:val="nil"/>
              <w:left w:val="single" w:color="auto" w:sz="8" w:space="0"/>
              <w:bottom w:val="single" w:color="auto" w:sz="8" w:space="0"/>
              <w:right w:val="single" w:color="auto" w:sz="8" w:space="0"/>
            </w:tcBorders>
            <w:vAlign w:val="center"/>
          </w:tcPr>
          <w:p w14:paraId="6DFEDEB0">
            <w:pPr>
              <w:widowControl/>
              <w:jc w:val="left"/>
              <w:rPr>
                <w:rFonts w:ascii="宋体" w:hAnsi="宋体" w:cs="宋体"/>
                <w:color w:val="000000"/>
                <w:kern w:val="0"/>
                <w:sz w:val="20"/>
                <w:szCs w:val="20"/>
              </w:rPr>
            </w:pPr>
          </w:p>
        </w:tc>
        <w:tc>
          <w:tcPr>
            <w:tcW w:w="2260" w:type="dxa"/>
            <w:gridSpan w:val="2"/>
            <w:vMerge w:val="continue"/>
            <w:tcBorders>
              <w:top w:val="nil"/>
              <w:left w:val="single" w:color="auto" w:sz="8" w:space="0"/>
              <w:bottom w:val="single" w:color="auto" w:sz="8" w:space="0"/>
              <w:right w:val="single" w:color="auto" w:sz="8" w:space="0"/>
            </w:tcBorders>
            <w:vAlign w:val="center"/>
          </w:tcPr>
          <w:p w14:paraId="28B9B82B">
            <w:pPr>
              <w:widowControl/>
              <w:jc w:val="left"/>
              <w:rPr>
                <w:rFonts w:ascii="宋体" w:hAnsi="宋体" w:cs="宋体"/>
                <w:color w:val="000000"/>
                <w:kern w:val="0"/>
                <w:sz w:val="20"/>
                <w:szCs w:val="20"/>
              </w:rPr>
            </w:pPr>
          </w:p>
        </w:tc>
        <w:tc>
          <w:tcPr>
            <w:tcW w:w="1240" w:type="dxa"/>
            <w:vMerge w:val="continue"/>
            <w:tcBorders>
              <w:top w:val="nil"/>
              <w:left w:val="single" w:color="auto" w:sz="8" w:space="0"/>
              <w:bottom w:val="single" w:color="000000" w:sz="8" w:space="0"/>
              <w:right w:val="single" w:color="auto" w:sz="8" w:space="0"/>
            </w:tcBorders>
            <w:vAlign w:val="center"/>
          </w:tcPr>
          <w:p w14:paraId="344E5462">
            <w:pPr>
              <w:widowControl/>
              <w:jc w:val="left"/>
              <w:rPr>
                <w:rFonts w:ascii="宋体" w:hAnsi="宋体" w:cs="宋体"/>
                <w:color w:val="000000"/>
                <w:kern w:val="0"/>
                <w:sz w:val="20"/>
                <w:szCs w:val="20"/>
              </w:rPr>
            </w:pPr>
          </w:p>
        </w:tc>
        <w:tc>
          <w:tcPr>
            <w:tcW w:w="3920" w:type="dxa"/>
            <w:gridSpan w:val="2"/>
            <w:vMerge w:val="continue"/>
            <w:tcBorders>
              <w:top w:val="single" w:color="auto" w:sz="8" w:space="0"/>
              <w:left w:val="single" w:color="auto" w:sz="8" w:space="0"/>
              <w:bottom w:val="single" w:color="000000" w:sz="8" w:space="0"/>
              <w:right w:val="single" w:color="000000" w:sz="8" w:space="0"/>
            </w:tcBorders>
            <w:vAlign w:val="center"/>
          </w:tcPr>
          <w:p w14:paraId="71D52DE3">
            <w:pPr>
              <w:widowControl/>
              <w:jc w:val="left"/>
              <w:rPr>
                <w:rFonts w:ascii="宋体" w:hAnsi="宋体" w:cs="宋体"/>
                <w:color w:val="000000"/>
                <w:kern w:val="0"/>
                <w:sz w:val="20"/>
                <w:szCs w:val="20"/>
              </w:rPr>
            </w:pPr>
          </w:p>
        </w:tc>
      </w:tr>
      <w:tr w14:paraId="51A03AEE">
        <w:tblPrEx>
          <w:tblCellMar>
            <w:top w:w="0" w:type="dxa"/>
            <w:left w:w="108" w:type="dxa"/>
            <w:bottom w:w="0" w:type="dxa"/>
            <w:right w:w="108" w:type="dxa"/>
          </w:tblCellMar>
        </w:tblPrEx>
        <w:trPr>
          <w:trHeight w:val="402" w:hRule="atLeast"/>
        </w:trPr>
        <w:tc>
          <w:tcPr>
            <w:tcW w:w="1020" w:type="dxa"/>
            <w:tcBorders>
              <w:top w:val="nil"/>
              <w:left w:val="single" w:color="auto" w:sz="8" w:space="0"/>
              <w:bottom w:val="nil"/>
              <w:right w:val="single" w:color="auto" w:sz="8" w:space="0"/>
            </w:tcBorders>
            <w:shd w:val="clear" w:color="auto" w:fill="auto"/>
            <w:noWrap/>
            <w:vAlign w:val="center"/>
          </w:tcPr>
          <w:p w14:paraId="36C06E99">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020" w:type="dxa"/>
            <w:vMerge w:val="continue"/>
            <w:tcBorders>
              <w:top w:val="nil"/>
              <w:left w:val="single" w:color="auto" w:sz="8" w:space="0"/>
              <w:bottom w:val="single" w:color="auto" w:sz="8" w:space="0"/>
              <w:right w:val="single" w:color="auto" w:sz="8" w:space="0"/>
            </w:tcBorders>
            <w:vAlign w:val="center"/>
          </w:tcPr>
          <w:p w14:paraId="3D46A7F6">
            <w:pPr>
              <w:widowControl/>
              <w:jc w:val="left"/>
              <w:rPr>
                <w:rFonts w:ascii="宋体" w:hAnsi="宋体" w:cs="宋体"/>
                <w:color w:val="000000"/>
                <w:kern w:val="0"/>
                <w:sz w:val="20"/>
                <w:szCs w:val="20"/>
              </w:rPr>
            </w:pPr>
          </w:p>
        </w:tc>
        <w:tc>
          <w:tcPr>
            <w:tcW w:w="2260" w:type="dxa"/>
            <w:gridSpan w:val="2"/>
            <w:vMerge w:val="restart"/>
            <w:tcBorders>
              <w:top w:val="nil"/>
              <w:left w:val="single" w:color="auto" w:sz="8" w:space="0"/>
              <w:bottom w:val="single" w:color="auto" w:sz="8" w:space="0"/>
              <w:right w:val="single" w:color="auto" w:sz="8" w:space="0"/>
            </w:tcBorders>
            <w:shd w:val="clear" w:color="auto" w:fill="auto"/>
            <w:vAlign w:val="center"/>
          </w:tcPr>
          <w:p w14:paraId="7DDB44A4">
            <w:pPr>
              <w:widowControl/>
              <w:jc w:val="center"/>
              <w:rPr>
                <w:rFonts w:ascii="宋体" w:hAnsi="宋体" w:cs="宋体"/>
                <w:color w:val="000000"/>
                <w:kern w:val="0"/>
                <w:sz w:val="20"/>
                <w:szCs w:val="20"/>
              </w:rPr>
            </w:pPr>
            <w:r>
              <w:rPr>
                <w:rFonts w:hint="eastAsia" w:ascii="宋体" w:hAnsi="宋体" w:cs="宋体"/>
                <w:color w:val="000000"/>
                <w:kern w:val="0"/>
                <w:sz w:val="20"/>
                <w:szCs w:val="20"/>
              </w:rPr>
              <w:t>可持续影响指标</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14:paraId="2F1E87D9">
            <w:pPr>
              <w:keepNext w:val="0"/>
              <w:keepLines w:val="0"/>
              <w:widowControl/>
              <w:suppressLineNumbers w:val="0"/>
              <w:jc w:val="left"/>
              <w:textAlignment w:val="center"/>
              <w:rPr>
                <w:rFonts w:hint="eastAsia"/>
              </w:rPr>
            </w:pPr>
            <w:r>
              <w:rPr>
                <w:rFonts w:hint="eastAsia" w:ascii="宋体" w:hAnsi="宋体" w:eastAsia="宋体" w:cs="宋体"/>
                <w:i w:val="0"/>
                <w:iCs w:val="0"/>
                <w:color w:val="000000"/>
                <w:kern w:val="0"/>
                <w:sz w:val="20"/>
                <w:szCs w:val="20"/>
                <w:u w:val="none"/>
                <w:lang w:val="en-US" w:eastAsia="zh-CN" w:bidi="ar"/>
              </w:rPr>
              <w:t>政策知晓率</w:t>
            </w:r>
          </w:p>
        </w:tc>
        <w:tc>
          <w:tcPr>
            <w:tcW w:w="3920" w:type="dxa"/>
            <w:gridSpan w:val="2"/>
            <w:vMerge w:val="restart"/>
            <w:tcBorders>
              <w:top w:val="single" w:color="auto" w:sz="8" w:space="0"/>
              <w:left w:val="single" w:color="auto" w:sz="8" w:space="0"/>
              <w:bottom w:val="single" w:color="000000" w:sz="8" w:space="0"/>
              <w:right w:val="single" w:color="000000" w:sz="8" w:space="0"/>
            </w:tcBorders>
            <w:shd w:val="clear" w:color="auto" w:fill="auto"/>
            <w:vAlign w:val="center"/>
          </w:tcPr>
          <w:p w14:paraId="7F3341E7">
            <w:pPr>
              <w:keepNext w:val="0"/>
              <w:keepLines w:val="0"/>
              <w:widowControl/>
              <w:suppressLineNumbers w:val="0"/>
              <w:jc w:val="center"/>
              <w:textAlignment w:val="center"/>
              <w:rPr>
                <w:rFonts w:hint="eastAsia"/>
              </w:rPr>
            </w:pPr>
            <w:r>
              <w:rPr>
                <w:rFonts w:hint="eastAsia" w:ascii="宋体" w:hAnsi="宋体" w:eastAsia="宋体" w:cs="宋体"/>
                <w:i w:val="0"/>
                <w:iCs w:val="0"/>
                <w:color w:val="000000"/>
                <w:kern w:val="0"/>
                <w:sz w:val="20"/>
                <w:szCs w:val="20"/>
                <w:u w:val="none"/>
                <w:lang w:val="en-US" w:eastAsia="zh-CN" w:bidi="ar"/>
              </w:rPr>
              <w:t>≧95%</w:t>
            </w:r>
          </w:p>
        </w:tc>
      </w:tr>
      <w:tr w14:paraId="6428F19F">
        <w:tblPrEx>
          <w:tblCellMar>
            <w:top w:w="0" w:type="dxa"/>
            <w:left w:w="108" w:type="dxa"/>
            <w:bottom w:w="0" w:type="dxa"/>
            <w:right w:w="108" w:type="dxa"/>
          </w:tblCellMar>
        </w:tblPrEx>
        <w:trPr>
          <w:trHeight w:val="402" w:hRule="atLeast"/>
        </w:trPr>
        <w:tc>
          <w:tcPr>
            <w:tcW w:w="1020" w:type="dxa"/>
            <w:tcBorders>
              <w:top w:val="nil"/>
              <w:left w:val="single" w:color="auto" w:sz="8" w:space="0"/>
              <w:bottom w:val="nil"/>
              <w:right w:val="single" w:color="auto" w:sz="8" w:space="0"/>
            </w:tcBorders>
            <w:shd w:val="clear" w:color="auto" w:fill="auto"/>
            <w:noWrap/>
            <w:vAlign w:val="center"/>
          </w:tcPr>
          <w:p w14:paraId="0B6ADE55">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020" w:type="dxa"/>
            <w:vMerge w:val="continue"/>
            <w:tcBorders>
              <w:top w:val="nil"/>
              <w:left w:val="single" w:color="auto" w:sz="8" w:space="0"/>
              <w:bottom w:val="single" w:color="auto" w:sz="8" w:space="0"/>
              <w:right w:val="single" w:color="auto" w:sz="8" w:space="0"/>
            </w:tcBorders>
            <w:vAlign w:val="center"/>
          </w:tcPr>
          <w:p w14:paraId="16ED4FC9">
            <w:pPr>
              <w:widowControl/>
              <w:jc w:val="left"/>
              <w:rPr>
                <w:rFonts w:ascii="宋体" w:hAnsi="宋体" w:cs="宋体"/>
                <w:color w:val="000000"/>
                <w:kern w:val="0"/>
                <w:sz w:val="20"/>
                <w:szCs w:val="20"/>
              </w:rPr>
            </w:pPr>
          </w:p>
        </w:tc>
        <w:tc>
          <w:tcPr>
            <w:tcW w:w="2260" w:type="dxa"/>
            <w:gridSpan w:val="2"/>
            <w:vMerge w:val="continue"/>
            <w:tcBorders>
              <w:top w:val="nil"/>
              <w:left w:val="single" w:color="auto" w:sz="8" w:space="0"/>
              <w:bottom w:val="single" w:color="auto" w:sz="8" w:space="0"/>
              <w:right w:val="single" w:color="auto" w:sz="8" w:space="0"/>
            </w:tcBorders>
            <w:vAlign w:val="center"/>
          </w:tcPr>
          <w:p w14:paraId="48B0CAAC">
            <w:pPr>
              <w:widowControl/>
              <w:jc w:val="left"/>
              <w:rPr>
                <w:rFonts w:ascii="宋体" w:hAnsi="宋体" w:cs="宋体"/>
                <w:color w:val="000000"/>
                <w:kern w:val="0"/>
                <w:sz w:val="20"/>
                <w:szCs w:val="20"/>
              </w:rPr>
            </w:pPr>
          </w:p>
        </w:tc>
        <w:tc>
          <w:tcPr>
            <w:tcW w:w="1240" w:type="dxa"/>
            <w:vMerge w:val="continue"/>
            <w:tcBorders>
              <w:top w:val="nil"/>
              <w:left w:val="single" w:color="auto" w:sz="8" w:space="0"/>
              <w:bottom w:val="single" w:color="000000" w:sz="8" w:space="0"/>
              <w:right w:val="single" w:color="auto" w:sz="8" w:space="0"/>
            </w:tcBorders>
            <w:vAlign w:val="center"/>
          </w:tcPr>
          <w:p w14:paraId="7809A58E">
            <w:pPr>
              <w:widowControl/>
              <w:jc w:val="left"/>
              <w:rPr>
                <w:rFonts w:ascii="宋体" w:hAnsi="宋体" w:cs="宋体"/>
                <w:color w:val="000000"/>
                <w:kern w:val="0"/>
                <w:sz w:val="20"/>
                <w:szCs w:val="20"/>
              </w:rPr>
            </w:pPr>
          </w:p>
        </w:tc>
        <w:tc>
          <w:tcPr>
            <w:tcW w:w="3920" w:type="dxa"/>
            <w:gridSpan w:val="2"/>
            <w:vMerge w:val="continue"/>
            <w:tcBorders>
              <w:top w:val="single" w:color="auto" w:sz="8" w:space="0"/>
              <w:left w:val="single" w:color="auto" w:sz="8" w:space="0"/>
              <w:bottom w:val="single" w:color="000000" w:sz="8" w:space="0"/>
              <w:right w:val="single" w:color="000000" w:sz="8" w:space="0"/>
            </w:tcBorders>
            <w:vAlign w:val="center"/>
          </w:tcPr>
          <w:p w14:paraId="7BFE3735">
            <w:pPr>
              <w:widowControl/>
              <w:jc w:val="left"/>
              <w:rPr>
                <w:rFonts w:ascii="宋体" w:hAnsi="宋体" w:cs="宋体"/>
                <w:color w:val="000000"/>
                <w:kern w:val="0"/>
                <w:sz w:val="20"/>
                <w:szCs w:val="20"/>
              </w:rPr>
            </w:pPr>
          </w:p>
        </w:tc>
      </w:tr>
      <w:tr w14:paraId="6DD05637">
        <w:tblPrEx>
          <w:tblCellMar>
            <w:top w:w="0" w:type="dxa"/>
            <w:left w:w="108" w:type="dxa"/>
            <w:bottom w:w="0" w:type="dxa"/>
            <w:right w:w="108" w:type="dxa"/>
          </w:tblCellMar>
        </w:tblPrEx>
        <w:trPr>
          <w:trHeight w:val="402" w:hRule="atLeast"/>
        </w:trPr>
        <w:tc>
          <w:tcPr>
            <w:tcW w:w="1020" w:type="dxa"/>
            <w:tcBorders>
              <w:top w:val="nil"/>
              <w:left w:val="single" w:color="auto" w:sz="8" w:space="0"/>
              <w:bottom w:val="nil"/>
              <w:right w:val="single" w:color="auto" w:sz="8" w:space="0"/>
            </w:tcBorders>
            <w:shd w:val="clear" w:color="auto" w:fill="auto"/>
            <w:noWrap/>
            <w:vAlign w:val="center"/>
          </w:tcPr>
          <w:p w14:paraId="55F35B0C">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020" w:type="dxa"/>
            <w:vMerge w:val="restart"/>
            <w:tcBorders>
              <w:top w:val="nil"/>
              <w:left w:val="single" w:color="auto" w:sz="8" w:space="0"/>
              <w:bottom w:val="single" w:color="auto" w:sz="8" w:space="0"/>
              <w:right w:val="single" w:color="auto" w:sz="8" w:space="0"/>
            </w:tcBorders>
            <w:shd w:val="clear" w:color="auto" w:fill="auto"/>
            <w:vAlign w:val="center"/>
          </w:tcPr>
          <w:p w14:paraId="126C5BDF">
            <w:pPr>
              <w:widowControl/>
              <w:jc w:val="center"/>
              <w:rPr>
                <w:rFonts w:ascii="宋体" w:hAnsi="宋体" w:cs="宋体"/>
                <w:color w:val="000000"/>
                <w:kern w:val="0"/>
                <w:sz w:val="20"/>
                <w:szCs w:val="20"/>
              </w:rPr>
            </w:pPr>
            <w:r>
              <w:rPr>
                <w:rFonts w:hint="eastAsia" w:ascii="宋体" w:hAnsi="宋体" w:cs="宋体"/>
                <w:color w:val="000000"/>
                <w:kern w:val="0"/>
                <w:sz w:val="20"/>
                <w:szCs w:val="20"/>
              </w:rPr>
              <w:t>满意度指标</w:t>
            </w:r>
          </w:p>
        </w:tc>
        <w:tc>
          <w:tcPr>
            <w:tcW w:w="2260" w:type="dxa"/>
            <w:gridSpan w:val="2"/>
            <w:vMerge w:val="restart"/>
            <w:tcBorders>
              <w:top w:val="nil"/>
              <w:left w:val="single" w:color="auto" w:sz="8" w:space="0"/>
              <w:bottom w:val="single" w:color="auto" w:sz="8" w:space="0"/>
              <w:right w:val="single" w:color="auto" w:sz="8" w:space="0"/>
            </w:tcBorders>
            <w:shd w:val="clear" w:color="auto" w:fill="auto"/>
            <w:vAlign w:val="center"/>
          </w:tcPr>
          <w:p w14:paraId="006CAC3F">
            <w:pPr>
              <w:widowControl/>
              <w:jc w:val="center"/>
              <w:rPr>
                <w:rFonts w:ascii="宋体" w:hAnsi="宋体" w:cs="宋体"/>
                <w:color w:val="000000"/>
                <w:kern w:val="0"/>
                <w:sz w:val="20"/>
                <w:szCs w:val="20"/>
              </w:rPr>
            </w:pPr>
            <w:r>
              <w:rPr>
                <w:rFonts w:hint="eastAsia" w:ascii="宋体" w:hAnsi="宋体" w:cs="宋体"/>
                <w:color w:val="000000"/>
                <w:kern w:val="0"/>
                <w:sz w:val="20"/>
                <w:szCs w:val="20"/>
              </w:rPr>
              <w:t>满意度指标</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14:paraId="0B096721">
            <w:pPr>
              <w:jc w:val="left"/>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全县</w:t>
            </w:r>
            <w:r>
              <w:rPr>
                <w:rFonts w:hint="eastAsia" w:ascii="宋体" w:hAnsi="宋体" w:cs="宋体"/>
                <w:i w:val="0"/>
                <w:iCs w:val="0"/>
                <w:color w:val="000000"/>
                <w:kern w:val="0"/>
                <w:sz w:val="20"/>
                <w:szCs w:val="20"/>
                <w:u w:val="none"/>
                <w:lang w:val="en-US" w:eastAsia="zh-CN" w:bidi="ar"/>
              </w:rPr>
              <w:t>困难困难退役军人满意度</w:t>
            </w:r>
          </w:p>
        </w:tc>
        <w:tc>
          <w:tcPr>
            <w:tcW w:w="3920" w:type="dxa"/>
            <w:gridSpan w:val="2"/>
            <w:vMerge w:val="restart"/>
            <w:tcBorders>
              <w:top w:val="single" w:color="auto" w:sz="8" w:space="0"/>
              <w:left w:val="single" w:color="auto" w:sz="8" w:space="0"/>
              <w:bottom w:val="single" w:color="000000" w:sz="8" w:space="0"/>
              <w:right w:val="single" w:color="000000" w:sz="8" w:space="0"/>
            </w:tcBorders>
            <w:shd w:val="clear" w:color="auto" w:fill="auto"/>
            <w:vAlign w:val="center"/>
          </w:tcPr>
          <w:p w14:paraId="10EC46FE">
            <w:pPr>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100%</w:t>
            </w:r>
          </w:p>
        </w:tc>
      </w:tr>
      <w:tr w14:paraId="07A99C1A">
        <w:tblPrEx>
          <w:tblCellMar>
            <w:top w:w="0" w:type="dxa"/>
            <w:left w:w="108" w:type="dxa"/>
            <w:bottom w:w="0" w:type="dxa"/>
            <w:right w:w="108" w:type="dxa"/>
          </w:tblCellMar>
        </w:tblPrEx>
        <w:trPr>
          <w:trHeight w:val="402" w:hRule="atLeast"/>
        </w:trPr>
        <w:tc>
          <w:tcPr>
            <w:tcW w:w="1020" w:type="dxa"/>
            <w:tcBorders>
              <w:top w:val="nil"/>
              <w:left w:val="single" w:color="auto" w:sz="8" w:space="0"/>
              <w:bottom w:val="single" w:color="auto" w:sz="8" w:space="0"/>
              <w:right w:val="single" w:color="auto" w:sz="8" w:space="0"/>
            </w:tcBorders>
            <w:shd w:val="clear" w:color="auto" w:fill="auto"/>
            <w:noWrap/>
            <w:vAlign w:val="center"/>
          </w:tcPr>
          <w:p w14:paraId="455292BC">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020" w:type="dxa"/>
            <w:vMerge w:val="continue"/>
            <w:tcBorders>
              <w:top w:val="nil"/>
              <w:left w:val="single" w:color="auto" w:sz="8" w:space="0"/>
              <w:bottom w:val="single" w:color="auto" w:sz="8" w:space="0"/>
              <w:right w:val="single" w:color="auto" w:sz="8" w:space="0"/>
            </w:tcBorders>
            <w:vAlign w:val="center"/>
          </w:tcPr>
          <w:p w14:paraId="5C352C11">
            <w:pPr>
              <w:widowControl/>
              <w:jc w:val="left"/>
              <w:rPr>
                <w:rFonts w:ascii="宋体" w:hAnsi="宋体" w:cs="宋体"/>
                <w:color w:val="000000"/>
                <w:kern w:val="0"/>
                <w:sz w:val="20"/>
                <w:szCs w:val="20"/>
              </w:rPr>
            </w:pPr>
          </w:p>
        </w:tc>
        <w:tc>
          <w:tcPr>
            <w:tcW w:w="2260" w:type="dxa"/>
            <w:gridSpan w:val="2"/>
            <w:vMerge w:val="continue"/>
            <w:tcBorders>
              <w:top w:val="nil"/>
              <w:left w:val="single" w:color="auto" w:sz="8" w:space="0"/>
              <w:bottom w:val="single" w:color="auto" w:sz="8" w:space="0"/>
              <w:right w:val="single" w:color="auto" w:sz="8" w:space="0"/>
            </w:tcBorders>
            <w:vAlign w:val="center"/>
          </w:tcPr>
          <w:p w14:paraId="01075834">
            <w:pPr>
              <w:widowControl/>
              <w:jc w:val="left"/>
              <w:rPr>
                <w:rFonts w:ascii="宋体" w:hAnsi="宋体" w:cs="宋体"/>
                <w:color w:val="000000"/>
                <w:kern w:val="0"/>
                <w:sz w:val="20"/>
                <w:szCs w:val="20"/>
              </w:rPr>
            </w:pPr>
          </w:p>
        </w:tc>
        <w:tc>
          <w:tcPr>
            <w:tcW w:w="1240" w:type="dxa"/>
            <w:vMerge w:val="continue"/>
            <w:tcBorders>
              <w:top w:val="nil"/>
              <w:left w:val="single" w:color="auto" w:sz="8" w:space="0"/>
              <w:bottom w:val="single" w:color="000000" w:sz="8" w:space="0"/>
              <w:right w:val="single" w:color="auto" w:sz="8" w:space="0"/>
            </w:tcBorders>
            <w:vAlign w:val="center"/>
          </w:tcPr>
          <w:p w14:paraId="3D984814">
            <w:pPr>
              <w:widowControl/>
              <w:jc w:val="left"/>
              <w:rPr>
                <w:rFonts w:ascii="宋体" w:hAnsi="宋体" w:cs="宋体"/>
                <w:color w:val="000000"/>
                <w:kern w:val="0"/>
                <w:sz w:val="20"/>
                <w:szCs w:val="20"/>
              </w:rPr>
            </w:pPr>
          </w:p>
        </w:tc>
        <w:tc>
          <w:tcPr>
            <w:tcW w:w="3920" w:type="dxa"/>
            <w:gridSpan w:val="2"/>
            <w:vMerge w:val="continue"/>
            <w:tcBorders>
              <w:top w:val="single" w:color="auto" w:sz="8" w:space="0"/>
              <w:left w:val="single" w:color="auto" w:sz="8" w:space="0"/>
              <w:bottom w:val="single" w:color="000000" w:sz="8" w:space="0"/>
              <w:right w:val="single" w:color="000000" w:sz="8" w:space="0"/>
            </w:tcBorders>
            <w:vAlign w:val="center"/>
          </w:tcPr>
          <w:p w14:paraId="778D9EFB">
            <w:pPr>
              <w:widowControl/>
              <w:jc w:val="left"/>
              <w:rPr>
                <w:rFonts w:ascii="宋体" w:hAnsi="宋体" w:cs="宋体"/>
                <w:color w:val="000000"/>
                <w:kern w:val="0"/>
                <w:sz w:val="20"/>
                <w:szCs w:val="20"/>
              </w:rPr>
            </w:pPr>
          </w:p>
        </w:tc>
      </w:tr>
    </w:tbl>
    <w:p w14:paraId="2E91E4D3"/>
    <w:p w14:paraId="2EFD0C04">
      <w:pPr>
        <w:topLinePunct/>
        <w:adjustRightInd w:val="0"/>
        <w:snapToGrid w:val="0"/>
        <w:spacing w:line="560" w:lineRule="exact"/>
        <w:ind w:firstLine="640" w:firstLineChars="200"/>
        <w:rPr>
          <w:rFonts w:ascii="仿宋_GB2312" w:hAnsi="TimesNewRoman" w:eastAsia="仿宋_GB2312" w:cs="TimesNewRoman"/>
          <w:sz w:val="32"/>
          <w:szCs w:val="32"/>
        </w:rPr>
      </w:pPr>
    </w:p>
    <w:p w14:paraId="4E35A122">
      <w:pPr>
        <w:topLinePunct/>
        <w:adjustRightInd w:val="0"/>
        <w:snapToGrid w:val="0"/>
        <w:spacing w:line="560" w:lineRule="exact"/>
        <w:ind w:firstLine="640" w:firstLineChars="200"/>
        <w:rPr>
          <w:rFonts w:ascii="仿宋_GB2312" w:hAnsi="TimesNewRoman" w:eastAsia="仿宋_GB2312" w:cs="TimesNewRoman"/>
          <w:b/>
          <w:sz w:val="32"/>
          <w:szCs w:val="32"/>
        </w:rPr>
      </w:pPr>
      <w:r>
        <w:rPr>
          <w:rFonts w:hint="eastAsia" w:ascii="仿宋_GB2312" w:hAnsi="TimesNewRoman" w:eastAsia="仿宋_GB2312" w:cs="TimesNewRoman"/>
          <w:b/>
          <w:sz w:val="32"/>
          <w:szCs w:val="32"/>
        </w:rPr>
        <w:t>（二）机关运行经费。</w:t>
      </w:r>
    </w:p>
    <w:p w14:paraId="1B6E38CC">
      <w:pPr>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rPr>
        <w:t>寿县退役军人事务局2025年机关运行经费财政拨款预算18.75万元，比2024年减少1.2万元，下降6.02%，下降的主要原因是厉行节约,压缩公用支出。</w:t>
      </w:r>
    </w:p>
    <w:p w14:paraId="07BC76D1">
      <w:pPr>
        <w:topLinePunct/>
        <w:adjustRightInd w:val="0"/>
        <w:snapToGrid w:val="0"/>
        <w:spacing w:line="560" w:lineRule="exact"/>
        <w:ind w:firstLine="640" w:firstLineChars="200"/>
        <w:rPr>
          <w:rFonts w:ascii="仿宋_GB2312" w:hAnsi="TimesNewRoman" w:eastAsia="仿宋_GB2312" w:cs="TimesNewRoman"/>
          <w:b/>
          <w:sz w:val="32"/>
          <w:szCs w:val="32"/>
        </w:rPr>
      </w:pPr>
      <w:r>
        <w:rPr>
          <w:rFonts w:hint="eastAsia" w:ascii="仿宋_GB2312" w:hAnsi="TimesNewRoman" w:eastAsia="仿宋_GB2312" w:cs="TimesNewRoman"/>
          <w:b/>
          <w:sz w:val="32"/>
          <w:szCs w:val="32"/>
        </w:rPr>
        <w:t>（三）政府采购情况。</w:t>
      </w:r>
    </w:p>
    <w:p w14:paraId="71C67C10">
      <w:pPr>
        <w:topLinePunct/>
        <w:adjustRightInd w:val="0"/>
        <w:snapToGrid w:val="0"/>
        <w:spacing w:line="560" w:lineRule="exact"/>
        <w:ind w:firstLine="640" w:firstLineChars="200"/>
        <w:rPr>
          <w:rFonts w:ascii="仿宋_GB2312" w:hAnsi="TimesNewRoman" w:eastAsia="仿宋_GB2312" w:cs="TimesNewRoman"/>
          <w:sz w:val="32"/>
          <w:szCs w:val="32"/>
        </w:rPr>
      </w:pPr>
      <w:r>
        <w:rPr>
          <w:rFonts w:hint="eastAsia" w:ascii="仿宋" w:hAnsi="仿宋" w:eastAsia="仿宋"/>
          <w:sz w:val="32"/>
          <w:szCs w:val="32"/>
        </w:rPr>
        <w:t>寿县退役军人事务局</w:t>
      </w:r>
      <w:r>
        <w:rPr>
          <w:rFonts w:hint="eastAsia" w:ascii="仿宋_GB2312" w:hAnsi="TimesNewRoman" w:eastAsia="仿宋_GB2312" w:cs="TimesNewRoman"/>
          <w:sz w:val="32"/>
          <w:szCs w:val="32"/>
        </w:rPr>
        <w:t>2025年政府采购预算1.6万元。其中：政府采购货物预算1.6万元。</w:t>
      </w:r>
    </w:p>
    <w:p w14:paraId="4632F360">
      <w:pPr>
        <w:adjustRightInd w:val="0"/>
        <w:snapToGrid w:val="0"/>
        <w:spacing w:line="600" w:lineRule="exact"/>
        <w:ind w:firstLine="640" w:firstLineChars="200"/>
        <w:rPr>
          <w:rFonts w:ascii="仿宋_GB2312" w:hAnsi="TimesNewRoman" w:eastAsia="仿宋_GB2312" w:cs="TimesNewRoman"/>
          <w:b/>
          <w:sz w:val="32"/>
          <w:szCs w:val="32"/>
        </w:rPr>
      </w:pPr>
      <w:r>
        <w:rPr>
          <w:rFonts w:hint="eastAsia" w:ascii="仿宋_GB2312" w:hAnsi="TimesNewRoman" w:eastAsia="仿宋_GB2312" w:cs="TimesNewRoman"/>
          <w:b/>
          <w:sz w:val="32"/>
          <w:szCs w:val="32"/>
        </w:rPr>
        <w:t>（四）国有资产占有使用情况。</w:t>
      </w:r>
    </w:p>
    <w:p w14:paraId="58C64AAB">
      <w:pPr>
        <w:adjustRightInd w:val="0"/>
        <w:snapToGrid w:val="0"/>
        <w:spacing w:line="600" w:lineRule="exact"/>
        <w:ind w:firstLine="640" w:firstLineChars="200"/>
        <w:rPr>
          <w:rFonts w:ascii="仿宋_GB2312" w:hAnsi="楷体" w:eastAsia="仿宋_GB2312"/>
          <w:color w:val="3366FF"/>
          <w:sz w:val="32"/>
          <w:szCs w:val="32"/>
        </w:rPr>
      </w:pPr>
      <w:r>
        <w:rPr>
          <w:rFonts w:hint="eastAsia" w:ascii="仿宋_GB2312" w:hAnsi="仿宋" w:eastAsia="仿宋_GB2312"/>
          <w:sz w:val="32"/>
          <w:szCs w:val="32"/>
        </w:rPr>
        <w:t>截至2025年12月31日，</w:t>
      </w:r>
      <w:r>
        <w:rPr>
          <w:rFonts w:hint="eastAsia" w:ascii="仿宋" w:hAnsi="仿宋" w:eastAsia="仿宋"/>
          <w:sz w:val="32"/>
          <w:szCs w:val="32"/>
        </w:rPr>
        <w:t>寿县退役军人事务局</w:t>
      </w:r>
      <w:r>
        <w:rPr>
          <w:rFonts w:hint="eastAsia" w:ascii="仿宋_GB2312" w:hAnsi="楷体" w:eastAsia="仿宋_GB2312"/>
          <w:sz w:val="32"/>
          <w:szCs w:val="32"/>
        </w:rPr>
        <w:t>共有车辆0辆，其中：副部（省）级及以上领导用车0辆、主要领导干部用车0辆、机要通信用车0辆、应急保障用车0辆、执法执勤用车0辆、特种专业技术用车0辆、离退休干部用车0辆、其他用车0辆。单位价值50万元以上的通用设备0台（套），单位价值100万元以上的专用设备0台（套）。</w:t>
      </w:r>
    </w:p>
    <w:p w14:paraId="54E86123">
      <w:pPr>
        <w:adjustRightInd w:val="0"/>
        <w:snapToGrid w:val="0"/>
        <w:spacing w:line="600" w:lineRule="exact"/>
        <w:ind w:firstLine="640" w:firstLineChars="200"/>
        <w:rPr>
          <w:rFonts w:ascii="仿宋" w:hAnsi="仿宋" w:eastAsia="仿宋"/>
          <w:sz w:val="32"/>
          <w:szCs w:val="32"/>
        </w:rPr>
      </w:pPr>
      <w:r>
        <w:rPr>
          <w:rFonts w:hint="eastAsia" w:ascii="仿宋_GB2312" w:hAnsi="楷体" w:eastAsia="仿宋_GB2312"/>
          <w:sz w:val="32"/>
          <w:szCs w:val="32"/>
        </w:rPr>
        <w:t>2025年</w:t>
      </w:r>
      <w:r>
        <w:rPr>
          <w:rFonts w:hint="eastAsia" w:ascii="仿宋" w:hAnsi="仿宋" w:eastAsia="仿宋"/>
          <w:sz w:val="32"/>
          <w:szCs w:val="32"/>
        </w:rPr>
        <w:t>寿县退役军人事务局</w:t>
      </w:r>
      <w:r>
        <w:rPr>
          <w:rFonts w:hint="eastAsia" w:ascii="仿宋_GB2312" w:hAnsi="楷体" w:eastAsia="仿宋_GB2312"/>
          <w:sz w:val="32"/>
          <w:szCs w:val="32"/>
        </w:rPr>
        <w:t>预算安排购置公务用车0辆，购置费0万元，其中：副部（省）级及以上领导用车0辆、主要领导干部用车0辆、机要通信用车0辆、应急保障用车0辆、执法执勤用车0辆、特种专业技术用车0辆、离退休干部用车0辆、其他用车0辆；安排购置单位价值50万元以上的通用设备0台（套），购置费0万元；安排购置单位价值100万元以上专用设备0台（套），购置费0万元。</w:t>
      </w:r>
    </w:p>
    <w:p w14:paraId="6BDC82A7">
      <w:pPr>
        <w:topLinePunct/>
        <w:adjustRightInd w:val="0"/>
        <w:snapToGrid w:val="0"/>
        <w:spacing w:line="560" w:lineRule="exact"/>
        <w:ind w:firstLine="640" w:firstLineChars="200"/>
        <w:rPr>
          <w:rFonts w:ascii="仿宋_GB2312" w:hAnsi="TimesNewRoman" w:eastAsia="仿宋_GB2312" w:cs="TimesNewRoman"/>
          <w:b/>
          <w:sz w:val="32"/>
          <w:szCs w:val="32"/>
        </w:rPr>
      </w:pPr>
      <w:r>
        <w:rPr>
          <w:rFonts w:hint="eastAsia" w:ascii="仿宋_GB2312" w:hAnsi="TimesNewRoman" w:eastAsia="仿宋_GB2312" w:cs="TimesNewRoman"/>
          <w:b/>
          <w:sz w:val="32"/>
          <w:szCs w:val="32"/>
        </w:rPr>
        <w:t>（五）绩效目标设置情况。</w:t>
      </w:r>
    </w:p>
    <w:p w14:paraId="2A48B2D4">
      <w:pPr>
        <w:topLinePunct/>
        <w:adjustRightInd w:val="0"/>
        <w:snapToGrid w:val="0"/>
        <w:spacing w:line="560" w:lineRule="exact"/>
        <w:ind w:firstLine="640" w:firstLineChars="200"/>
        <w:rPr>
          <w:rFonts w:ascii="仿宋_GB2312" w:hAnsi="TimesNewRoman" w:eastAsia="仿宋_GB2312" w:cs="TimesNewRoman"/>
          <w:sz w:val="32"/>
          <w:szCs w:val="32"/>
        </w:rPr>
      </w:pPr>
      <w:r>
        <w:rPr>
          <w:rFonts w:hint="eastAsia" w:ascii="仿宋_GB2312" w:hAnsi="仿宋" w:eastAsia="仿宋_GB2312"/>
          <w:sz w:val="32"/>
          <w:szCs w:val="32"/>
        </w:rPr>
        <w:t>2025年，</w:t>
      </w:r>
      <w:r>
        <w:rPr>
          <w:rFonts w:hint="eastAsia" w:ascii="仿宋" w:hAnsi="仿宋" w:eastAsia="仿宋"/>
          <w:sz w:val="32"/>
          <w:szCs w:val="32"/>
        </w:rPr>
        <w:t>寿县退役军人事务局</w:t>
      </w:r>
      <w:r>
        <w:rPr>
          <w:rFonts w:hint="eastAsia" w:ascii="仿宋_GB2312" w:hAnsi="TimesNewRoman" w:eastAsia="仿宋_GB2312" w:cs="TimesNewRoman"/>
          <w:sz w:val="32"/>
          <w:szCs w:val="32"/>
        </w:rPr>
        <w:t>7个项目实行了绩效目标管理，涉及一般公共预算当年财政拨款11783.59万元。</w:t>
      </w:r>
    </w:p>
    <w:p w14:paraId="5C278064">
      <w:pPr>
        <w:topLinePunct/>
        <w:adjustRightInd w:val="0"/>
        <w:snapToGrid w:val="0"/>
        <w:spacing w:line="560" w:lineRule="exact"/>
        <w:jc w:val="center"/>
        <w:rPr>
          <w:rFonts w:ascii="仿宋_GB2312" w:hAnsi="TimesNewRoman" w:eastAsia="仿宋_GB2312" w:cs="TimesNewRoman"/>
          <w:sz w:val="32"/>
          <w:szCs w:val="32"/>
        </w:rPr>
      </w:pPr>
    </w:p>
    <w:p w14:paraId="108017D0">
      <w:pPr>
        <w:topLinePunct/>
        <w:adjustRightInd w:val="0"/>
        <w:snapToGrid w:val="0"/>
        <w:spacing w:line="560" w:lineRule="exact"/>
        <w:jc w:val="center"/>
        <w:rPr>
          <w:rFonts w:ascii="TimesNewRoman" w:hAnsi="TimesNewRoman" w:eastAsia="黑体" w:cs="TimesNewRoman"/>
          <w:sz w:val="36"/>
          <w:szCs w:val="36"/>
        </w:rPr>
      </w:pPr>
      <w:r>
        <w:rPr>
          <w:rFonts w:ascii="TimesNewRoman" w:hAnsi="TimesNewRoman" w:eastAsia="黑体" w:cs="TimesNewRoman"/>
          <w:sz w:val="36"/>
          <w:szCs w:val="36"/>
        </w:rPr>
        <w:t>第</w:t>
      </w:r>
      <w:r>
        <w:rPr>
          <w:rFonts w:hint="eastAsia" w:ascii="TimesNewRoman" w:hAnsi="TimesNewRoman" w:eastAsia="黑体" w:cs="TimesNewRoman"/>
          <w:sz w:val="36"/>
          <w:szCs w:val="36"/>
        </w:rPr>
        <w:t>三</w:t>
      </w:r>
      <w:r>
        <w:rPr>
          <w:rFonts w:ascii="TimesNewRoman" w:hAnsi="TimesNewRoman" w:eastAsia="黑体" w:cs="TimesNewRoman"/>
          <w:sz w:val="36"/>
          <w:szCs w:val="36"/>
        </w:rPr>
        <w:t>部分</w:t>
      </w:r>
      <w:r>
        <w:rPr>
          <w:rFonts w:hint="eastAsia" w:ascii="TimesNewRoman" w:hAnsi="TimesNewRoman" w:eastAsia="黑体" w:cs="TimesNewRoman"/>
          <w:sz w:val="36"/>
          <w:szCs w:val="36"/>
        </w:rPr>
        <w:t xml:space="preserve"> </w:t>
      </w:r>
      <w:r>
        <w:rPr>
          <w:rFonts w:ascii="TimesNewRoman" w:hAnsi="TimesNewRoman" w:eastAsia="黑体" w:cs="TimesNewRoman"/>
          <w:sz w:val="36"/>
          <w:szCs w:val="36"/>
        </w:rPr>
        <w:t>名词解释</w:t>
      </w:r>
    </w:p>
    <w:p w14:paraId="714A906C">
      <w:pPr>
        <w:topLinePunct/>
        <w:adjustRightInd w:val="0"/>
        <w:snapToGrid w:val="0"/>
        <w:spacing w:line="560" w:lineRule="exact"/>
        <w:rPr>
          <w:rFonts w:ascii="TimesNewRoman" w:hAnsi="TimesNewRoman" w:eastAsia="黑体" w:cs="TimesNewRoman"/>
          <w:szCs w:val="32"/>
        </w:rPr>
      </w:pPr>
    </w:p>
    <w:p w14:paraId="6B9BC0E9">
      <w:pPr>
        <w:topLinePunct/>
        <w:adjustRightInd w:val="0"/>
        <w:snapToGrid w:val="0"/>
        <w:spacing w:line="560" w:lineRule="exact"/>
        <w:ind w:firstLine="640" w:firstLineChars="200"/>
        <w:rPr>
          <w:rFonts w:ascii="仿宋" w:hAnsi="仿宋" w:eastAsia="仿宋" w:cs="TimesNewRoman"/>
          <w:sz w:val="32"/>
          <w:szCs w:val="32"/>
        </w:rPr>
      </w:pPr>
      <w:r>
        <w:rPr>
          <w:rFonts w:hint="eastAsia" w:ascii="仿宋" w:hAnsi="仿宋" w:eastAsia="仿宋" w:cs="TimesNewRoman"/>
          <w:b/>
          <w:sz w:val="32"/>
          <w:szCs w:val="32"/>
        </w:rPr>
        <w:t>一、财政拨款收入：</w:t>
      </w:r>
      <w:r>
        <w:rPr>
          <w:rFonts w:ascii="仿宋" w:hAnsi="仿宋" w:eastAsia="仿宋" w:cs="TimesNewRoman"/>
          <w:sz w:val="32"/>
          <w:szCs w:val="32"/>
        </w:rPr>
        <w:t>指部门或单位从同级财政部门取得的财政预算资金。</w:t>
      </w:r>
    </w:p>
    <w:p w14:paraId="6B57EE15">
      <w:pPr>
        <w:pStyle w:val="15"/>
        <w:topLinePunct/>
        <w:adjustRightInd w:val="0"/>
        <w:snapToGrid w:val="0"/>
        <w:spacing w:beforeAutospacing="0" w:afterAutospacing="0" w:line="560" w:lineRule="exact"/>
        <w:ind w:firstLine="627" w:firstLineChars="196"/>
        <w:jc w:val="both"/>
        <w:rPr>
          <w:rFonts w:ascii="仿宋" w:hAnsi="仿宋" w:eastAsia="仿宋" w:cs="TimesNewRoman"/>
          <w:sz w:val="32"/>
          <w:szCs w:val="32"/>
        </w:rPr>
      </w:pPr>
      <w:r>
        <w:rPr>
          <w:rFonts w:ascii="仿宋" w:hAnsi="仿宋" w:eastAsia="仿宋" w:cs="TimesNewRoman"/>
          <w:b/>
          <w:kern w:val="2"/>
          <w:sz w:val="32"/>
          <w:szCs w:val="32"/>
        </w:rPr>
        <w:t>二、事业收入</w:t>
      </w:r>
      <w:r>
        <w:rPr>
          <w:rFonts w:ascii="仿宋" w:hAnsi="仿宋" w:eastAsia="仿宋" w:cs="TimesNewRoman"/>
          <w:kern w:val="2"/>
          <w:sz w:val="32"/>
          <w:szCs w:val="32"/>
        </w:rPr>
        <w:t>：</w:t>
      </w:r>
      <w:r>
        <w:rPr>
          <w:rFonts w:ascii="仿宋" w:hAnsi="仿宋" w:eastAsia="仿宋" w:cs="TimesNewRoman"/>
          <w:sz w:val="32"/>
          <w:szCs w:val="32"/>
        </w:rPr>
        <w:t>指事业单位开展专业业务活动及辅助活动所取得的收入。</w:t>
      </w:r>
    </w:p>
    <w:p w14:paraId="3F8F2AAF">
      <w:pPr>
        <w:pStyle w:val="15"/>
        <w:topLinePunct/>
        <w:adjustRightInd w:val="0"/>
        <w:snapToGrid w:val="0"/>
        <w:spacing w:beforeAutospacing="0" w:afterAutospacing="0" w:line="560" w:lineRule="exact"/>
        <w:ind w:firstLine="627" w:firstLineChars="196"/>
        <w:jc w:val="both"/>
        <w:rPr>
          <w:rFonts w:ascii="仿宋" w:hAnsi="仿宋" w:eastAsia="仿宋" w:cs="TimesNewRoman"/>
          <w:sz w:val="32"/>
          <w:szCs w:val="32"/>
        </w:rPr>
      </w:pPr>
      <w:r>
        <w:rPr>
          <w:rFonts w:ascii="仿宋" w:hAnsi="仿宋" w:eastAsia="仿宋" w:cs="TimesNewRoman"/>
          <w:b/>
          <w:kern w:val="2"/>
          <w:sz w:val="32"/>
          <w:szCs w:val="32"/>
        </w:rPr>
        <w:t>三、财政专户管理资金</w:t>
      </w:r>
      <w:r>
        <w:rPr>
          <w:rFonts w:ascii="仿宋" w:hAnsi="仿宋" w:eastAsia="仿宋" w:cs="TimesNewRoman"/>
          <w:kern w:val="2"/>
          <w:sz w:val="32"/>
          <w:szCs w:val="32"/>
        </w:rPr>
        <w:t>：</w:t>
      </w:r>
      <w:r>
        <w:rPr>
          <w:rFonts w:ascii="仿宋" w:hAnsi="仿宋" w:eastAsia="仿宋" w:cs="TimesNewRoman"/>
          <w:sz w:val="32"/>
          <w:szCs w:val="32"/>
        </w:rPr>
        <w:t>指按照非税收入管理相关规定，纳入财政专户管理的教育收费等。</w:t>
      </w:r>
    </w:p>
    <w:p w14:paraId="5B597379">
      <w:pPr>
        <w:pStyle w:val="15"/>
        <w:topLinePunct/>
        <w:adjustRightInd w:val="0"/>
        <w:snapToGrid w:val="0"/>
        <w:spacing w:beforeAutospacing="0" w:afterAutospacing="0" w:line="560" w:lineRule="exact"/>
        <w:ind w:firstLine="627" w:firstLineChars="196"/>
        <w:jc w:val="both"/>
        <w:rPr>
          <w:rFonts w:ascii="仿宋" w:hAnsi="仿宋" w:eastAsia="仿宋" w:cs="TimesNewRoman"/>
          <w:sz w:val="32"/>
          <w:szCs w:val="32"/>
        </w:rPr>
      </w:pPr>
      <w:r>
        <w:rPr>
          <w:rFonts w:ascii="仿宋" w:hAnsi="仿宋" w:eastAsia="仿宋" w:cs="TimesNewRoman"/>
          <w:b/>
          <w:kern w:val="2"/>
          <w:sz w:val="32"/>
          <w:szCs w:val="32"/>
        </w:rPr>
        <w:t>四、事业单位经营收入</w:t>
      </w:r>
      <w:r>
        <w:rPr>
          <w:rFonts w:ascii="仿宋" w:hAnsi="仿宋" w:eastAsia="仿宋" w:cs="TimesNewRoman"/>
          <w:kern w:val="2"/>
          <w:sz w:val="32"/>
          <w:szCs w:val="32"/>
        </w:rPr>
        <w:t>：</w:t>
      </w:r>
      <w:r>
        <w:rPr>
          <w:rFonts w:ascii="仿宋" w:hAnsi="仿宋" w:eastAsia="仿宋" w:cs="TimesNewRoman"/>
          <w:sz w:val="32"/>
          <w:szCs w:val="32"/>
        </w:rPr>
        <w:t>指事业单位在专业业务活动及其辅助活动之外开展非独立核算经营活动取得的收入。</w:t>
      </w:r>
    </w:p>
    <w:p w14:paraId="11081D15">
      <w:pPr>
        <w:pStyle w:val="15"/>
        <w:topLinePunct/>
        <w:adjustRightInd w:val="0"/>
        <w:snapToGrid w:val="0"/>
        <w:spacing w:beforeAutospacing="0" w:afterAutospacing="0" w:line="560" w:lineRule="exact"/>
        <w:ind w:firstLine="627" w:firstLineChars="196"/>
        <w:jc w:val="both"/>
        <w:rPr>
          <w:rFonts w:ascii="仿宋" w:hAnsi="仿宋" w:eastAsia="仿宋" w:cs="TimesNewRoman"/>
          <w:sz w:val="32"/>
          <w:szCs w:val="32"/>
        </w:rPr>
      </w:pPr>
      <w:r>
        <w:rPr>
          <w:rFonts w:ascii="仿宋" w:hAnsi="仿宋" w:eastAsia="仿宋" w:cs="TimesNewRoman"/>
          <w:b/>
          <w:kern w:val="2"/>
          <w:sz w:val="32"/>
          <w:szCs w:val="32"/>
        </w:rPr>
        <w:t>五、附属单位上缴收入</w:t>
      </w:r>
      <w:r>
        <w:rPr>
          <w:rFonts w:ascii="仿宋" w:hAnsi="仿宋" w:eastAsia="仿宋" w:cs="TimesNewRoman"/>
          <w:kern w:val="2"/>
          <w:sz w:val="32"/>
          <w:szCs w:val="32"/>
        </w:rPr>
        <w:t>：</w:t>
      </w:r>
      <w:r>
        <w:rPr>
          <w:rFonts w:ascii="仿宋" w:hAnsi="仿宋" w:eastAsia="仿宋" w:cs="TimesNewRoman"/>
          <w:sz w:val="32"/>
          <w:szCs w:val="32"/>
        </w:rPr>
        <w:t>本单位所属下级单位上缴给本单位的全部收入。</w:t>
      </w:r>
    </w:p>
    <w:p w14:paraId="497814CA">
      <w:pPr>
        <w:pStyle w:val="15"/>
        <w:topLinePunct/>
        <w:adjustRightInd w:val="0"/>
        <w:snapToGrid w:val="0"/>
        <w:spacing w:beforeAutospacing="0" w:afterAutospacing="0" w:line="560" w:lineRule="exact"/>
        <w:ind w:firstLine="627" w:firstLineChars="196"/>
        <w:jc w:val="both"/>
        <w:rPr>
          <w:rFonts w:ascii="仿宋" w:hAnsi="仿宋" w:eastAsia="仿宋" w:cs="TimesNewRoman"/>
          <w:sz w:val="32"/>
          <w:szCs w:val="32"/>
        </w:rPr>
      </w:pPr>
      <w:r>
        <w:rPr>
          <w:rFonts w:ascii="仿宋" w:hAnsi="仿宋" w:eastAsia="仿宋" w:cs="TimesNewRoman"/>
          <w:b/>
          <w:kern w:val="2"/>
          <w:sz w:val="32"/>
          <w:szCs w:val="32"/>
        </w:rPr>
        <w:t>六、上年结转</w:t>
      </w:r>
      <w:r>
        <w:rPr>
          <w:rFonts w:ascii="仿宋" w:hAnsi="仿宋" w:eastAsia="仿宋" w:cs="TimesNewRoman"/>
          <w:kern w:val="2"/>
          <w:sz w:val="32"/>
          <w:szCs w:val="32"/>
        </w:rPr>
        <w:t>：</w:t>
      </w:r>
      <w:r>
        <w:rPr>
          <w:rFonts w:ascii="仿宋" w:hAnsi="仿宋" w:eastAsia="仿宋" w:cs="TimesNewRoman"/>
          <w:sz w:val="32"/>
          <w:szCs w:val="32"/>
        </w:rPr>
        <w:t>指以前年度安排、结转到本年仍按原用途继续使用的资金。</w:t>
      </w:r>
    </w:p>
    <w:p w14:paraId="10C8342E">
      <w:pPr>
        <w:pStyle w:val="15"/>
        <w:topLinePunct/>
        <w:adjustRightInd w:val="0"/>
        <w:snapToGrid w:val="0"/>
        <w:spacing w:beforeAutospacing="0" w:afterAutospacing="0" w:line="560" w:lineRule="exact"/>
        <w:ind w:firstLine="627" w:firstLineChars="196"/>
        <w:jc w:val="both"/>
        <w:rPr>
          <w:rFonts w:ascii="仿宋" w:hAnsi="仿宋" w:eastAsia="仿宋" w:cs="TimesNewRoman"/>
          <w:sz w:val="32"/>
          <w:szCs w:val="32"/>
        </w:rPr>
      </w:pPr>
      <w:r>
        <w:rPr>
          <w:rFonts w:ascii="仿宋" w:hAnsi="仿宋" w:eastAsia="仿宋" w:cs="TimesNewRoman"/>
          <w:b/>
          <w:kern w:val="2"/>
          <w:sz w:val="32"/>
          <w:szCs w:val="32"/>
        </w:rPr>
        <w:t>七、结转下年</w:t>
      </w:r>
      <w:r>
        <w:rPr>
          <w:rFonts w:ascii="仿宋" w:hAnsi="仿宋" w:eastAsia="仿宋" w:cs="TimesNewRoman"/>
          <w:kern w:val="2"/>
          <w:sz w:val="32"/>
          <w:szCs w:val="32"/>
        </w:rPr>
        <w:t>：</w:t>
      </w:r>
      <w:r>
        <w:rPr>
          <w:rFonts w:ascii="仿宋" w:hAnsi="仿宋" w:eastAsia="仿宋" w:cs="TimesNewRoman"/>
          <w:sz w:val="32"/>
          <w:szCs w:val="32"/>
        </w:rPr>
        <w:t>指以前年度预算安排、因客观条件发生变化无法按原计划实施，需以后年度按原用途继续使用的资金。</w:t>
      </w:r>
    </w:p>
    <w:p w14:paraId="3BF5CC44">
      <w:pPr>
        <w:pStyle w:val="15"/>
        <w:topLinePunct/>
        <w:adjustRightInd w:val="0"/>
        <w:snapToGrid w:val="0"/>
        <w:spacing w:beforeAutospacing="0" w:afterAutospacing="0" w:line="560" w:lineRule="exact"/>
        <w:ind w:firstLine="627" w:firstLineChars="196"/>
        <w:jc w:val="both"/>
        <w:rPr>
          <w:rFonts w:ascii="仿宋" w:hAnsi="仿宋" w:eastAsia="仿宋" w:cs="TimesNewRoman"/>
          <w:sz w:val="32"/>
          <w:szCs w:val="32"/>
        </w:rPr>
      </w:pPr>
      <w:r>
        <w:rPr>
          <w:rFonts w:ascii="仿宋" w:hAnsi="仿宋" w:eastAsia="仿宋" w:cs="TimesNewRoman"/>
          <w:b/>
          <w:kern w:val="2"/>
          <w:sz w:val="32"/>
          <w:szCs w:val="32"/>
        </w:rPr>
        <w:t>八、基本支出</w:t>
      </w:r>
      <w:r>
        <w:rPr>
          <w:rFonts w:ascii="仿宋" w:hAnsi="仿宋" w:eastAsia="仿宋" w:cs="TimesNewRoman"/>
          <w:kern w:val="2"/>
          <w:sz w:val="32"/>
          <w:szCs w:val="32"/>
        </w:rPr>
        <w:t>：</w:t>
      </w:r>
      <w:r>
        <w:rPr>
          <w:rFonts w:ascii="仿宋" w:hAnsi="仿宋" w:eastAsia="仿宋" w:cs="TimesNewRoman"/>
          <w:sz w:val="32"/>
          <w:szCs w:val="32"/>
        </w:rPr>
        <w:t>指为保障机构正常运转、完成日常工作任务而发生的人员支出和公用支出。</w:t>
      </w:r>
    </w:p>
    <w:p w14:paraId="6F2518AB">
      <w:pPr>
        <w:pStyle w:val="15"/>
        <w:topLinePunct/>
        <w:spacing w:beforeAutospacing="0" w:afterAutospacing="0" w:line="560" w:lineRule="exact"/>
        <w:ind w:firstLine="627" w:firstLineChars="196"/>
        <w:jc w:val="both"/>
        <w:rPr>
          <w:rFonts w:ascii="仿宋" w:hAnsi="仿宋" w:eastAsia="仿宋" w:cs="TimesNewRoman"/>
          <w:sz w:val="32"/>
          <w:szCs w:val="32"/>
        </w:rPr>
      </w:pPr>
      <w:r>
        <w:rPr>
          <w:rFonts w:ascii="仿宋" w:hAnsi="仿宋" w:eastAsia="仿宋" w:cs="TimesNewRoman"/>
          <w:b/>
          <w:kern w:val="2"/>
          <w:sz w:val="32"/>
          <w:szCs w:val="32"/>
        </w:rPr>
        <w:t>九、项目支出</w:t>
      </w:r>
      <w:r>
        <w:rPr>
          <w:rFonts w:ascii="仿宋" w:hAnsi="仿宋" w:eastAsia="仿宋" w:cs="TimesNewRoman"/>
          <w:kern w:val="2"/>
          <w:sz w:val="32"/>
          <w:szCs w:val="32"/>
        </w:rPr>
        <w:t>：</w:t>
      </w:r>
      <w:r>
        <w:rPr>
          <w:rFonts w:ascii="仿宋" w:hAnsi="仿宋" w:eastAsia="仿宋" w:cs="TimesNewRoman"/>
          <w:sz w:val="32"/>
          <w:szCs w:val="32"/>
        </w:rPr>
        <w:t>指在除基本支出之外的支出，主要用于完成特定的工作任务和事业发展目标。</w:t>
      </w:r>
      <w:r>
        <w:rPr>
          <w:rFonts w:ascii="仿宋" w:hAnsi="仿宋" w:eastAsia="仿宋" w:cs="TimesNewRoman"/>
          <w:sz w:val="32"/>
          <w:szCs w:val="32"/>
        </w:rPr>
        <w:br w:type="textWrapping"/>
      </w:r>
      <w:r>
        <w:rPr>
          <w:rFonts w:ascii="仿宋" w:hAnsi="仿宋" w:eastAsia="仿宋" w:cs="TimesNewRoman"/>
          <w:kern w:val="2"/>
          <w:sz w:val="32"/>
          <w:szCs w:val="32"/>
        </w:rPr>
        <w:t xml:space="preserve">    </w:t>
      </w:r>
      <w:r>
        <w:rPr>
          <w:rFonts w:ascii="仿宋" w:hAnsi="仿宋" w:eastAsia="仿宋" w:cs="TimesNewRoman"/>
          <w:b/>
          <w:kern w:val="2"/>
          <w:sz w:val="32"/>
          <w:szCs w:val="32"/>
        </w:rPr>
        <w:t>十、机关运行经费</w:t>
      </w:r>
      <w:r>
        <w:rPr>
          <w:rFonts w:ascii="仿宋" w:hAnsi="仿宋" w:eastAsia="仿宋" w:cs="TimesNewRoman"/>
          <w:kern w:val="2"/>
          <w:sz w:val="32"/>
          <w:szCs w:val="32"/>
        </w:rPr>
        <w:t>:</w:t>
      </w:r>
      <w:r>
        <w:rPr>
          <w:rFonts w:ascii="仿宋" w:hAnsi="仿宋" w:eastAsia="仿宋" w:cs="TimesNewRoman"/>
          <w:sz w:val="32"/>
          <w:szCs w:val="32"/>
        </w:rPr>
        <w:t>为保障行政单位（包括参照公务员法管理的事业单位）运行用于购买货物和服务的各项资金，包括办公及印刷费、邮电费、差旅费、会议费、福利费、日常维修费、一般设备购置费、办公用房水电费、办公用房取暖费、办公用房物业管理费、公务用车运行维护费以及其他费用。</w:t>
      </w:r>
    </w:p>
    <w:p w14:paraId="3D8541CD">
      <w:pPr>
        <w:rPr>
          <w:szCs w:val="28"/>
        </w:rPr>
      </w:pPr>
    </w:p>
    <w:sectPr>
      <w:footerReference r:id="rId3" w:type="default"/>
      <w:footerReference r:id="rId4" w:type="even"/>
      <w:pgSz w:w="11907" w:h="16840"/>
      <w:pgMar w:top="2098" w:right="1474" w:bottom="1985" w:left="1588" w:header="851" w:footer="1134"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ourier New">
    <w:panose1 w:val="02070309020205020404"/>
    <w:charset w:val="00"/>
    <w:family w:val="modern"/>
    <w:pitch w:val="default"/>
    <w:sig w:usb0="E0002EFF" w:usb1="C0007843" w:usb2="00000009" w:usb3="00000000" w:csb0="400001FF" w:csb1="FFFF0000"/>
  </w:font>
  <w:font w:name="PMingLiU">
    <w:altName w:val="PMingLiU-ExtB"/>
    <w:panose1 w:val="02020500000000000000"/>
    <w:charset w:val="88"/>
    <w:family w:val="roman"/>
    <w:pitch w:val="default"/>
    <w:sig w:usb0="00000000" w:usb1="00000000" w:usb2="00000016" w:usb3="00000000" w:csb0="00100001" w:csb1="00000000"/>
  </w:font>
  <w:font w:name="PMingLiU">
    <w:altName w:val="Segoe Print"/>
    <w:panose1 w:val="00000000000000000000"/>
    <w:charset w:val="00"/>
    <w:family w:val="auto"/>
    <w:pitch w:val="default"/>
    <w:sig w:usb0="00000000" w:usb1="00000000" w:usb2="00000000" w:usb3="00000000" w:csb0="00000000" w:csb1="00000000"/>
  </w:font>
  <w:font w:name="Arial Unicode MS">
    <w:panose1 w:val="020B0604020202020204"/>
    <w:charset w:val="86"/>
    <w:family w:val="roman"/>
    <w:pitch w:val="default"/>
    <w:sig w:usb0="FFFFFFFF" w:usb1="E9FFFFFF" w:usb2="0000003F" w:usb3="00000000" w:csb0="603F01FF" w:csb1="FFFF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小标宋_GBK">
    <w:altName w:val="微软雅黑"/>
    <w:panose1 w:val="00000000000000000000"/>
    <w:charset w:val="86"/>
    <w:family w:val="script"/>
    <w:pitch w:val="default"/>
    <w:sig w:usb0="00000000" w:usb1="00000000" w:usb2="00000010" w:usb3="00000000" w:csb0="00040000" w:csb1="00000000"/>
  </w:font>
  <w:font w:name="TimesNewRoman">
    <w:altName w:val="Arial"/>
    <w:panose1 w:val="00000000000000000000"/>
    <w:charset w:val="00"/>
    <w:family w:val="auto"/>
    <w:pitch w:val="default"/>
    <w:sig w:usb0="00000000" w:usb1="00000000" w:usb2="00000029" w:usb3="00000000" w:csb0="600001FF" w:csb1="FFFF0000"/>
  </w:font>
  <w:font w:name="Arial">
    <w:panose1 w:val="020B0604020202020204"/>
    <w:charset w:val="00"/>
    <w:family w:val="auto"/>
    <w:pitch w:val="default"/>
    <w:sig w:usb0="E0002EFF" w:usb1="C000785B" w:usb2="00000009" w:usb3="00000000" w:csb0="400001FF" w:csb1="FFFF0000"/>
  </w:font>
  <w:font w:name="方正小标宋简体">
    <w:altName w:val="微软雅黑"/>
    <w:panose1 w:val="00000000000000000000"/>
    <w:charset w:val="86"/>
    <w:family w:val="auto"/>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PMingLiU-ExtB">
    <w:panose1 w:val="02020500000000000000"/>
    <w:charset w:val="88"/>
    <w:family w:val="auto"/>
    <w:pitch w:val="default"/>
    <w:sig w:usb0="8000002F" w:usb1="02000008" w:usb2="00000000" w:usb3="00000000" w:csb0="0010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B7F4C9">
    <w:pPr>
      <w:pStyle w:val="12"/>
      <w:ind w:right="180"/>
      <w:jc w:val="right"/>
    </w:pPr>
    <w:r>
      <w:rPr>
        <w:rFonts w:hint="eastAsia" w:ascii="宋体" w:hAnsi="宋体"/>
        <w:sz w:val="28"/>
        <w:szCs w:val="28"/>
      </w:rPr>
      <w:t>—</w:t>
    </w: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lang w:val="zh-CN"/>
      </w:rPr>
      <w:t>11</w:t>
    </w:r>
    <w:r>
      <w:rPr>
        <w:sz w:val="28"/>
        <w:szCs w:val="28"/>
      </w:rPr>
      <w:fldChar w:fldCharType="end"/>
    </w:r>
    <w:r>
      <w:rPr>
        <w:rFonts w:hint="eastAsia"/>
        <w:sz w:val="28"/>
        <w:szCs w:val="28"/>
      </w:rPr>
      <w:t xml:space="preserve"> </w:t>
    </w:r>
    <w:r>
      <w:rPr>
        <w:rFonts w:hint="eastAsia" w:ascii="宋体" w:hAnsi="宋体"/>
        <w:sz w:val="28"/>
        <w:szCs w:val="28"/>
      </w:rPr>
      <w:t xml:space="preserve">— </w:t>
    </w:r>
  </w:p>
  <w:p w14:paraId="48A12D03">
    <w:pPr>
      <w:pStyle w:val="1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392655">
    <w:pPr>
      <w:pStyle w:val="12"/>
      <w:ind w:left="420" w:leftChars="200"/>
      <w:rPr>
        <w:rFonts w:ascii="宋体" w:hAnsi="宋体"/>
        <w:sz w:val="28"/>
        <w:szCs w:val="28"/>
      </w:rPr>
    </w:pPr>
    <w:r>
      <w:rPr>
        <w:rFonts w:hint="eastAsia" w:ascii="宋体" w:hAnsi="宋体"/>
        <w:sz w:val="28"/>
        <w:szCs w:val="28"/>
      </w:rPr>
      <w:t xml:space="preserve">— </w:t>
    </w:r>
    <w:r>
      <w:rPr>
        <w:rFonts w:hint="eastAsia" w:ascii="宋体" w:hAnsi="宋体"/>
        <w:sz w:val="28"/>
        <w:szCs w:val="28"/>
      </w:rPr>
      <w:fldChar w:fldCharType="begin"/>
    </w:r>
    <w:r>
      <w:rPr>
        <w:rFonts w:hint="eastAsia" w:ascii="宋体" w:hAnsi="宋体"/>
        <w:sz w:val="28"/>
        <w:szCs w:val="28"/>
      </w:rPr>
      <w:instrText xml:space="preserve"> PAGE   \* MERGEFORMAT </w:instrText>
    </w:r>
    <w:r>
      <w:rPr>
        <w:rFonts w:hint="eastAsia" w:ascii="宋体" w:hAnsi="宋体"/>
        <w:sz w:val="28"/>
        <w:szCs w:val="28"/>
      </w:rPr>
      <w:fldChar w:fldCharType="separate"/>
    </w:r>
    <w:r>
      <w:rPr>
        <w:rFonts w:ascii="宋体" w:hAnsi="宋体"/>
        <w:sz w:val="28"/>
        <w:szCs w:val="28"/>
        <w:lang w:val="zh-CN"/>
      </w:rPr>
      <w:t>12</w:t>
    </w:r>
    <w:r>
      <w:rPr>
        <w:rFonts w:hint="eastAsia" w:ascii="宋体" w:hAnsi="宋体"/>
        <w:sz w:val="28"/>
        <w:szCs w:val="28"/>
      </w:rPr>
      <w:fldChar w:fldCharType="end"/>
    </w:r>
    <w:r>
      <w:rPr>
        <w:rFonts w:hint="eastAsia" w:ascii="宋体" w:hAnsi="宋体"/>
        <w:sz w:val="28"/>
        <w:szCs w:val="28"/>
      </w:rPr>
      <w:t xml:space="preserve"> —</w:t>
    </w:r>
  </w:p>
  <w:p w14:paraId="1B8CAA77">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NotTrackMoves/>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04E3F"/>
    <w:rsid w:val="0000232A"/>
    <w:rsid w:val="00010698"/>
    <w:rsid w:val="00015EBA"/>
    <w:rsid w:val="00016C9C"/>
    <w:rsid w:val="00017D67"/>
    <w:rsid w:val="00024256"/>
    <w:rsid w:val="00027E92"/>
    <w:rsid w:val="000317EE"/>
    <w:rsid w:val="0004045B"/>
    <w:rsid w:val="00047204"/>
    <w:rsid w:val="00054053"/>
    <w:rsid w:val="00056870"/>
    <w:rsid w:val="0006198A"/>
    <w:rsid w:val="000641D7"/>
    <w:rsid w:val="00067428"/>
    <w:rsid w:val="000816DB"/>
    <w:rsid w:val="000826B6"/>
    <w:rsid w:val="000856A0"/>
    <w:rsid w:val="00090956"/>
    <w:rsid w:val="00090C2B"/>
    <w:rsid w:val="000929BA"/>
    <w:rsid w:val="000A2CBC"/>
    <w:rsid w:val="000A7B8C"/>
    <w:rsid w:val="000B27D8"/>
    <w:rsid w:val="000C2198"/>
    <w:rsid w:val="000C2532"/>
    <w:rsid w:val="000E6A6B"/>
    <w:rsid w:val="000F1F41"/>
    <w:rsid w:val="000F4C68"/>
    <w:rsid w:val="000F78CA"/>
    <w:rsid w:val="001025DC"/>
    <w:rsid w:val="001041A9"/>
    <w:rsid w:val="00106094"/>
    <w:rsid w:val="001076D0"/>
    <w:rsid w:val="00114B22"/>
    <w:rsid w:val="00115FA0"/>
    <w:rsid w:val="001172E4"/>
    <w:rsid w:val="0013208E"/>
    <w:rsid w:val="0013671C"/>
    <w:rsid w:val="00147333"/>
    <w:rsid w:val="001521AF"/>
    <w:rsid w:val="001542E6"/>
    <w:rsid w:val="00155E48"/>
    <w:rsid w:val="001645F9"/>
    <w:rsid w:val="00166D42"/>
    <w:rsid w:val="00171590"/>
    <w:rsid w:val="00173919"/>
    <w:rsid w:val="0018379A"/>
    <w:rsid w:val="00183A3A"/>
    <w:rsid w:val="00184793"/>
    <w:rsid w:val="00184BAF"/>
    <w:rsid w:val="00185520"/>
    <w:rsid w:val="00195B5B"/>
    <w:rsid w:val="001978B4"/>
    <w:rsid w:val="001A3D2A"/>
    <w:rsid w:val="001A52C2"/>
    <w:rsid w:val="001B03C4"/>
    <w:rsid w:val="001B694E"/>
    <w:rsid w:val="001C45A8"/>
    <w:rsid w:val="001C6A11"/>
    <w:rsid w:val="001D4D10"/>
    <w:rsid w:val="001D4E96"/>
    <w:rsid w:val="001D727A"/>
    <w:rsid w:val="001E0044"/>
    <w:rsid w:val="001E35D2"/>
    <w:rsid w:val="002049B3"/>
    <w:rsid w:val="00207369"/>
    <w:rsid w:val="00215700"/>
    <w:rsid w:val="00222F50"/>
    <w:rsid w:val="0022408D"/>
    <w:rsid w:val="00233F27"/>
    <w:rsid w:val="00244B05"/>
    <w:rsid w:val="002503CA"/>
    <w:rsid w:val="00251C3B"/>
    <w:rsid w:val="00255D60"/>
    <w:rsid w:val="00255F80"/>
    <w:rsid w:val="002576A1"/>
    <w:rsid w:val="00262599"/>
    <w:rsid w:val="002629C6"/>
    <w:rsid w:val="00262D76"/>
    <w:rsid w:val="00266CFB"/>
    <w:rsid w:val="00281714"/>
    <w:rsid w:val="002823D8"/>
    <w:rsid w:val="00282567"/>
    <w:rsid w:val="00282DBF"/>
    <w:rsid w:val="00282FB5"/>
    <w:rsid w:val="002861C6"/>
    <w:rsid w:val="0028773F"/>
    <w:rsid w:val="00287EB7"/>
    <w:rsid w:val="002946DB"/>
    <w:rsid w:val="002960DD"/>
    <w:rsid w:val="002A10B6"/>
    <w:rsid w:val="002A19D9"/>
    <w:rsid w:val="002A4A87"/>
    <w:rsid w:val="002A51B7"/>
    <w:rsid w:val="002A65E2"/>
    <w:rsid w:val="002A6E75"/>
    <w:rsid w:val="002A6EDB"/>
    <w:rsid w:val="002A7EA6"/>
    <w:rsid w:val="002B2A8E"/>
    <w:rsid w:val="002B5B3C"/>
    <w:rsid w:val="002B6771"/>
    <w:rsid w:val="002C23C3"/>
    <w:rsid w:val="002D19C7"/>
    <w:rsid w:val="002D3200"/>
    <w:rsid w:val="002E18B1"/>
    <w:rsid w:val="002E1C6C"/>
    <w:rsid w:val="002E5B2B"/>
    <w:rsid w:val="002E64D6"/>
    <w:rsid w:val="003041EC"/>
    <w:rsid w:val="00304917"/>
    <w:rsid w:val="00306E22"/>
    <w:rsid w:val="003070AF"/>
    <w:rsid w:val="00307133"/>
    <w:rsid w:val="00310D47"/>
    <w:rsid w:val="003232F6"/>
    <w:rsid w:val="00327655"/>
    <w:rsid w:val="003278E6"/>
    <w:rsid w:val="00327EA3"/>
    <w:rsid w:val="00331A28"/>
    <w:rsid w:val="00331E02"/>
    <w:rsid w:val="0034225D"/>
    <w:rsid w:val="003455BC"/>
    <w:rsid w:val="0034617D"/>
    <w:rsid w:val="00350088"/>
    <w:rsid w:val="003503B4"/>
    <w:rsid w:val="00352D7E"/>
    <w:rsid w:val="00353046"/>
    <w:rsid w:val="00354FB8"/>
    <w:rsid w:val="00360A44"/>
    <w:rsid w:val="00361598"/>
    <w:rsid w:val="00362A04"/>
    <w:rsid w:val="003713E8"/>
    <w:rsid w:val="00373B39"/>
    <w:rsid w:val="00386720"/>
    <w:rsid w:val="0039221C"/>
    <w:rsid w:val="00392C9C"/>
    <w:rsid w:val="003932D0"/>
    <w:rsid w:val="00395974"/>
    <w:rsid w:val="003A14CA"/>
    <w:rsid w:val="003B58A1"/>
    <w:rsid w:val="003B68D1"/>
    <w:rsid w:val="003B6CDE"/>
    <w:rsid w:val="003B6E7A"/>
    <w:rsid w:val="003C37B6"/>
    <w:rsid w:val="003C63E5"/>
    <w:rsid w:val="003C739C"/>
    <w:rsid w:val="003D75D1"/>
    <w:rsid w:val="003D7D24"/>
    <w:rsid w:val="003E47AD"/>
    <w:rsid w:val="003F135D"/>
    <w:rsid w:val="003F7095"/>
    <w:rsid w:val="003F72F2"/>
    <w:rsid w:val="0040512A"/>
    <w:rsid w:val="00405642"/>
    <w:rsid w:val="00405DFC"/>
    <w:rsid w:val="004068BA"/>
    <w:rsid w:val="00415D0F"/>
    <w:rsid w:val="0041651B"/>
    <w:rsid w:val="00431628"/>
    <w:rsid w:val="004330AB"/>
    <w:rsid w:val="00434B9B"/>
    <w:rsid w:val="00437DD1"/>
    <w:rsid w:val="0044132D"/>
    <w:rsid w:val="00452C1A"/>
    <w:rsid w:val="00456DE2"/>
    <w:rsid w:val="00460261"/>
    <w:rsid w:val="00471E18"/>
    <w:rsid w:val="00474D75"/>
    <w:rsid w:val="00477779"/>
    <w:rsid w:val="004900A3"/>
    <w:rsid w:val="00490D5D"/>
    <w:rsid w:val="00492453"/>
    <w:rsid w:val="00496864"/>
    <w:rsid w:val="004A4500"/>
    <w:rsid w:val="004A4AE8"/>
    <w:rsid w:val="004C09F0"/>
    <w:rsid w:val="004C2239"/>
    <w:rsid w:val="004C5C63"/>
    <w:rsid w:val="004D0512"/>
    <w:rsid w:val="004D3F38"/>
    <w:rsid w:val="004E05B6"/>
    <w:rsid w:val="004E27FD"/>
    <w:rsid w:val="004E2E7B"/>
    <w:rsid w:val="004E3E03"/>
    <w:rsid w:val="004E40B8"/>
    <w:rsid w:val="004E678E"/>
    <w:rsid w:val="004E738E"/>
    <w:rsid w:val="004E7C81"/>
    <w:rsid w:val="004F0D61"/>
    <w:rsid w:val="004F172C"/>
    <w:rsid w:val="004F28E6"/>
    <w:rsid w:val="004F3FC0"/>
    <w:rsid w:val="004F5F37"/>
    <w:rsid w:val="00500381"/>
    <w:rsid w:val="005007CB"/>
    <w:rsid w:val="00501118"/>
    <w:rsid w:val="00506D43"/>
    <w:rsid w:val="00507DC4"/>
    <w:rsid w:val="0052516D"/>
    <w:rsid w:val="00526D8B"/>
    <w:rsid w:val="00527A10"/>
    <w:rsid w:val="00530C6C"/>
    <w:rsid w:val="0053317E"/>
    <w:rsid w:val="00533F3F"/>
    <w:rsid w:val="005360CA"/>
    <w:rsid w:val="005378ED"/>
    <w:rsid w:val="00543CF0"/>
    <w:rsid w:val="00544A04"/>
    <w:rsid w:val="005458A5"/>
    <w:rsid w:val="00551CF0"/>
    <w:rsid w:val="00552B1D"/>
    <w:rsid w:val="00555658"/>
    <w:rsid w:val="005608ED"/>
    <w:rsid w:val="005616E9"/>
    <w:rsid w:val="005643DB"/>
    <w:rsid w:val="00564A24"/>
    <w:rsid w:val="00565E35"/>
    <w:rsid w:val="00571EB4"/>
    <w:rsid w:val="00574E9F"/>
    <w:rsid w:val="00580F5C"/>
    <w:rsid w:val="005913A3"/>
    <w:rsid w:val="00597E64"/>
    <w:rsid w:val="005A36E3"/>
    <w:rsid w:val="005A58BE"/>
    <w:rsid w:val="005B288C"/>
    <w:rsid w:val="005B32C2"/>
    <w:rsid w:val="005B4A39"/>
    <w:rsid w:val="005B6780"/>
    <w:rsid w:val="005C32DC"/>
    <w:rsid w:val="005C4469"/>
    <w:rsid w:val="005D1411"/>
    <w:rsid w:val="005D54F6"/>
    <w:rsid w:val="005D7114"/>
    <w:rsid w:val="005E1834"/>
    <w:rsid w:val="005E360D"/>
    <w:rsid w:val="005E743E"/>
    <w:rsid w:val="005F18FB"/>
    <w:rsid w:val="005F4B44"/>
    <w:rsid w:val="00601CC4"/>
    <w:rsid w:val="006027A6"/>
    <w:rsid w:val="006124D4"/>
    <w:rsid w:val="0062014E"/>
    <w:rsid w:val="00621DD7"/>
    <w:rsid w:val="0062286C"/>
    <w:rsid w:val="00623B7D"/>
    <w:rsid w:val="00632793"/>
    <w:rsid w:val="0063671C"/>
    <w:rsid w:val="00636A65"/>
    <w:rsid w:val="00636F19"/>
    <w:rsid w:val="0064175E"/>
    <w:rsid w:val="0064211F"/>
    <w:rsid w:val="00644C2E"/>
    <w:rsid w:val="0065143A"/>
    <w:rsid w:val="00652A7F"/>
    <w:rsid w:val="006539FD"/>
    <w:rsid w:val="00661556"/>
    <w:rsid w:val="00662384"/>
    <w:rsid w:val="00666478"/>
    <w:rsid w:val="00667DDC"/>
    <w:rsid w:val="00670B66"/>
    <w:rsid w:val="00670EA3"/>
    <w:rsid w:val="0067147D"/>
    <w:rsid w:val="00674D75"/>
    <w:rsid w:val="006808D8"/>
    <w:rsid w:val="006865D6"/>
    <w:rsid w:val="0069149A"/>
    <w:rsid w:val="00691FB3"/>
    <w:rsid w:val="00696C1F"/>
    <w:rsid w:val="00697B19"/>
    <w:rsid w:val="006A4913"/>
    <w:rsid w:val="006B2DFD"/>
    <w:rsid w:val="006B62CE"/>
    <w:rsid w:val="006B7323"/>
    <w:rsid w:val="006C2608"/>
    <w:rsid w:val="006C4FBF"/>
    <w:rsid w:val="006C5F43"/>
    <w:rsid w:val="006C6981"/>
    <w:rsid w:val="006D1D0F"/>
    <w:rsid w:val="006D6310"/>
    <w:rsid w:val="006D710E"/>
    <w:rsid w:val="006E1868"/>
    <w:rsid w:val="006E2099"/>
    <w:rsid w:val="006E4DAD"/>
    <w:rsid w:val="006F39F8"/>
    <w:rsid w:val="006F7761"/>
    <w:rsid w:val="00701217"/>
    <w:rsid w:val="00705D45"/>
    <w:rsid w:val="00706BA7"/>
    <w:rsid w:val="00712917"/>
    <w:rsid w:val="00713712"/>
    <w:rsid w:val="0072528F"/>
    <w:rsid w:val="007270A9"/>
    <w:rsid w:val="00730690"/>
    <w:rsid w:val="007312A1"/>
    <w:rsid w:val="007322F0"/>
    <w:rsid w:val="0073320F"/>
    <w:rsid w:val="00735D3A"/>
    <w:rsid w:val="00736E25"/>
    <w:rsid w:val="007420C1"/>
    <w:rsid w:val="00744B44"/>
    <w:rsid w:val="0074527F"/>
    <w:rsid w:val="00760F8D"/>
    <w:rsid w:val="00763AE0"/>
    <w:rsid w:val="00765CCF"/>
    <w:rsid w:val="00771F64"/>
    <w:rsid w:val="0077216F"/>
    <w:rsid w:val="00773599"/>
    <w:rsid w:val="00775C90"/>
    <w:rsid w:val="00775E5A"/>
    <w:rsid w:val="007762FB"/>
    <w:rsid w:val="00781F28"/>
    <w:rsid w:val="00783B2D"/>
    <w:rsid w:val="00787CA8"/>
    <w:rsid w:val="00795685"/>
    <w:rsid w:val="00795F52"/>
    <w:rsid w:val="007A1AB1"/>
    <w:rsid w:val="007A5B40"/>
    <w:rsid w:val="007B3D43"/>
    <w:rsid w:val="007B4FE4"/>
    <w:rsid w:val="007B5098"/>
    <w:rsid w:val="007C1C69"/>
    <w:rsid w:val="007C3052"/>
    <w:rsid w:val="007C667B"/>
    <w:rsid w:val="007C7F71"/>
    <w:rsid w:val="007D5300"/>
    <w:rsid w:val="007E1FD8"/>
    <w:rsid w:val="007E3448"/>
    <w:rsid w:val="007E3E29"/>
    <w:rsid w:val="007E7BB1"/>
    <w:rsid w:val="007F4B6A"/>
    <w:rsid w:val="007F70F2"/>
    <w:rsid w:val="007F7831"/>
    <w:rsid w:val="00801518"/>
    <w:rsid w:val="00803279"/>
    <w:rsid w:val="00804E3F"/>
    <w:rsid w:val="00807C87"/>
    <w:rsid w:val="00810FC9"/>
    <w:rsid w:val="00815327"/>
    <w:rsid w:val="00815BCC"/>
    <w:rsid w:val="00815E0F"/>
    <w:rsid w:val="00820A39"/>
    <w:rsid w:val="00826B4D"/>
    <w:rsid w:val="008319CC"/>
    <w:rsid w:val="00831CC0"/>
    <w:rsid w:val="0084035D"/>
    <w:rsid w:val="00842861"/>
    <w:rsid w:val="00842BED"/>
    <w:rsid w:val="00844C50"/>
    <w:rsid w:val="008477B8"/>
    <w:rsid w:val="008609B4"/>
    <w:rsid w:val="00860D5D"/>
    <w:rsid w:val="00862924"/>
    <w:rsid w:val="0086321F"/>
    <w:rsid w:val="0086779B"/>
    <w:rsid w:val="00876B5D"/>
    <w:rsid w:val="008812EC"/>
    <w:rsid w:val="008837A8"/>
    <w:rsid w:val="0089067A"/>
    <w:rsid w:val="00897F2A"/>
    <w:rsid w:val="008A13CF"/>
    <w:rsid w:val="008A3D1F"/>
    <w:rsid w:val="008A5893"/>
    <w:rsid w:val="008B0646"/>
    <w:rsid w:val="008B1591"/>
    <w:rsid w:val="008B1916"/>
    <w:rsid w:val="008B4C5B"/>
    <w:rsid w:val="008C21BB"/>
    <w:rsid w:val="008D3985"/>
    <w:rsid w:val="008D3DDE"/>
    <w:rsid w:val="008D4D79"/>
    <w:rsid w:val="008D7724"/>
    <w:rsid w:val="008E0B9B"/>
    <w:rsid w:val="008E1783"/>
    <w:rsid w:val="008E4780"/>
    <w:rsid w:val="008E5937"/>
    <w:rsid w:val="008F1E7D"/>
    <w:rsid w:val="00901239"/>
    <w:rsid w:val="009040A7"/>
    <w:rsid w:val="00905B68"/>
    <w:rsid w:val="00907320"/>
    <w:rsid w:val="00907A80"/>
    <w:rsid w:val="00907E2D"/>
    <w:rsid w:val="00914521"/>
    <w:rsid w:val="00921E57"/>
    <w:rsid w:val="00923EB2"/>
    <w:rsid w:val="00924A9C"/>
    <w:rsid w:val="00926DBC"/>
    <w:rsid w:val="00932009"/>
    <w:rsid w:val="00934481"/>
    <w:rsid w:val="0093613D"/>
    <w:rsid w:val="00941B09"/>
    <w:rsid w:val="0094235F"/>
    <w:rsid w:val="00952B0B"/>
    <w:rsid w:val="00955EC9"/>
    <w:rsid w:val="00961DC4"/>
    <w:rsid w:val="00961E01"/>
    <w:rsid w:val="009675AD"/>
    <w:rsid w:val="00967FB2"/>
    <w:rsid w:val="009736DA"/>
    <w:rsid w:val="009753FE"/>
    <w:rsid w:val="009768EE"/>
    <w:rsid w:val="0097694A"/>
    <w:rsid w:val="00984E06"/>
    <w:rsid w:val="00985A51"/>
    <w:rsid w:val="009876FB"/>
    <w:rsid w:val="00996462"/>
    <w:rsid w:val="009A65B1"/>
    <w:rsid w:val="009C117E"/>
    <w:rsid w:val="009C20D0"/>
    <w:rsid w:val="009C7FD9"/>
    <w:rsid w:val="009D1436"/>
    <w:rsid w:val="009D1DE8"/>
    <w:rsid w:val="009D2142"/>
    <w:rsid w:val="009D2AC4"/>
    <w:rsid w:val="009D404E"/>
    <w:rsid w:val="009E1FE5"/>
    <w:rsid w:val="009E250F"/>
    <w:rsid w:val="009E40F4"/>
    <w:rsid w:val="009E50C3"/>
    <w:rsid w:val="009E5235"/>
    <w:rsid w:val="009F02BA"/>
    <w:rsid w:val="009F0EC1"/>
    <w:rsid w:val="009F6863"/>
    <w:rsid w:val="009F6B49"/>
    <w:rsid w:val="00A0050D"/>
    <w:rsid w:val="00A10BF4"/>
    <w:rsid w:val="00A11F4A"/>
    <w:rsid w:val="00A12074"/>
    <w:rsid w:val="00A126B0"/>
    <w:rsid w:val="00A142B3"/>
    <w:rsid w:val="00A21044"/>
    <w:rsid w:val="00A2325B"/>
    <w:rsid w:val="00A2431A"/>
    <w:rsid w:val="00A26D82"/>
    <w:rsid w:val="00A2782E"/>
    <w:rsid w:val="00A3573F"/>
    <w:rsid w:val="00A37D1F"/>
    <w:rsid w:val="00A41F93"/>
    <w:rsid w:val="00A448FA"/>
    <w:rsid w:val="00A46BA4"/>
    <w:rsid w:val="00A46D60"/>
    <w:rsid w:val="00A52C1C"/>
    <w:rsid w:val="00A66634"/>
    <w:rsid w:val="00A76E4C"/>
    <w:rsid w:val="00A77491"/>
    <w:rsid w:val="00A77575"/>
    <w:rsid w:val="00A83F75"/>
    <w:rsid w:val="00A84406"/>
    <w:rsid w:val="00A84E58"/>
    <w:rsid w:val="00A90719"/>
    <w:rsid w:val="00A93DE5"/>
    <w:rsid w:val="00AA57F6"/>
    <w:rsid w:val="00AB0625"/>
    <w:rsid w:val="00AB1310"/>
    <w:rsid w:val="00AB2A85"/>
    <w:rsid w:val="00AB3893"/>
    <w:rsid w:val="00AB3C90"/>
    <w:rsid w:val="00AC346D"/>
    <w:rsid w:val="00AC3651"/>
    <w:rsid w:val="00AC4DE1"/>
    <w:rsid w:val="00AC672C"/>
    <w:rsid w:val="00AD37C9"/>
    <w:rsid w:val="00AD66F4"/>
    <w:rsid w:val="00AE493F"/>
    <w:rsid w:val="00AF54F0"/>
    <w:rsid w:val="00B01C14"/>
    <w:rsid w:val="00B02A69"/>
    <w:rsid w:val="00B02C2E"/>
    <w:rsid w:val="00B03001"/>
    <w:rsid w:val="00B03AB4"/>
    <w:rsid w:val="00B10C4A"/>
    <w:rsid w:val="00B11F8C"/>
    <w:rsid w:val="00B12235"/>
    <w:rsid w:val="00B2142B"/>
    <w:rsid w:val="00B2273C"/>
    <w:rsid w:val="00B23A99"/>
    <w:rsid w:val="00B30E40"/>
    <w:rsid w:val="00B323B5"/>
    <w:rsid w:val="00B368DF"/>
    <w:rsid w:val="00B41B79"/>
    <w:rsid w:val="00B43C4B"/>
    <w:rsid w:val="00B50700"/>
    <w:rsid w:val="00B50DB7"/>
    <w:rsid w:val="00B526C5"/>
    <w:rsid w:val="00B53B9A"/>
    <w:rsid w:val="00B57A50"/>
    <w:rsid w:val="00B612F0"/>
    <w:rsid w:val="00B61833"/>
    <w:rsid w:val="00B634BE"/>
    <w:rsid w:val="00B670CA"/>
    <w:rsid w:val="00B722BF"/>
    <w:rsid w:val="00B72578"/>
    <w:rsid w:val="00B7330A"/>
    <w:rsid w:val="00B76C32"/>
    <w:rsid w:val="00B84855"/>
    <w:rsid w:val="00B879A1"/>
    <w:rsid w:val="00B94554"/>
    <w:rsid w:val="00B945A9"/>
    <w:rsid w:val="00BA120C"/>
    <w:rsid w:val="00BA25FD"/>
    <w:rsid w:val="00BB01E5"/>
    <w:rsid w:val="00BB5306"/>
    <w:rsid w:val="00BC4BC9"/>
    <w:rsid w:val="00BC76D2"/>
    <w:rsid w:val="00BC7C40"/>
    <w:rsid w:val="00BD2C60"/>
    <w:rsid w:val="00BE0161"/>
    <w:rsid w:val="00BE20E9"/>
    <w:rsid w:val="00BE6343"/>
    <w:rsid w:val="00BE7764"/>
    <w:rsid w:val="00BF1E9B"/>
    <w:rsid w:val="00BF744A"/>
    <w:rsid w:val="00C02B47"/>
    <w:rsid w:val="00C11B5E"/>
    <w:rsid w:val="00C13D24"/>
    <w:rsid w:val="00C17CCE"/>
    <w:rsid w:val="00C2319C"/>
    <w:rsid w:val="00C23C2F"/>
    <w:rsid w:val="00C24169"/>
    <w:rsid w:val="00C24F93"/>
    <w:rsid w:val="00C27BE1"/>
    <w:rsid w:val="00C30FC5"/>
    <w:rsid w:val="00C4309A"/>
    <w:rsid w:val="00C44F2A"/>
    <w:rsid w:val="00C47394"/>
    <w:rsid w:val="00C5040A"/>
    <w:rsid w:val="00C55735"/>
    <w:rsid w:val="00C55E87"/>
    <w:rsid w:val="00C63B2E"/>
    <w:rsid w:val="00C64827"/>
    <w:rsid w:val="00C702AE"/>
    <w:rsid w:val="00C706FB"/>
    <w:rsid w:val="00C74511"/>
    <w:rsid w:val="00C76C49"/>
    <w:rsid w:val="00C77988"/>
    <w:rsid w:val="00C803CA"/>
    <w:rsid w:val="00C80E7E"/>
    <w:rsid w:val="00C81630"/>
    <w:rsid w:val="00C82EF1"/>
    <w:rsid w:val="00C91952"/>
    <w:rsid w:val="00C93B01"/>
    <w:rsid w:val="00C965CF"/>
    <w:rsid w:val="00C96C10"/>
    <w:rsid w:val="00C97439"/>
    <w:rsid w:val="00CA68E2"/>
    <w:rsid w:val="00CA7964"/>
    <w:rsid w:val="00CC650B"/>
    <w:rsid w:val="00CD2A13"/>
    <w:rsid w:val="00CD391C"/>
    <w:rsid w:val="00CD7A85"/>
    <w:rsid w:val="00CE0214"/>
    <w:rsid w:val="00CE6C7E"/>
    <w:rsid w:val="00CE6E4F"/>
    <w:rsid w:val="00CF17E0"/>
    <w:rsid w:val="00CF2FF7"/>
    <w:rsid w:val="00CF3582"/>
    <w:rsid w:val="00CF4E72"/>
    <w:rsid w:val="00CF51ED"/>
    <w:rsid w:val="00D02B1E"/>
    <w:rsid w:val="00D12260"/>
    <w:rsid w:val="00D2422B"/>
    <w:rsid w:val="00D330E8"/>
    <w:rsid w:val="00D35ABC"/>
    <w:rsid w:val="00D442E3"/>
    <w:rsid w:val="00D44E68"/>
    <w:rsid w:val="00D47DD0"/>
    <w:rsid w:val="00D52856"/>
    <w:rsid w:val="00D54164"/>
    <w:rsid w:val="00D61080"/>
    <w:rsid w:val="00D62E29"/>
    <w:rsid w:val="00D67F8D"/>
    <w:rsid w:val="00D70FE4"/>
    <w:rsid w:val="00D718D2"/>
    <w:rsid w:val="00D71E88"/>
    <w:rsid w:val="00D72E25"/>
    <w:rsid w:val="00D767F3"/>
    <w:rsid w:val="00D81AB3"/>
    <w:rsid w:val="00D8250E"/>
    <w:rsid w:val="00D82C41"/>
    <w:rsid w:val="00D91B0E"/>
    <w:rsid w:val="00D9215E"/>
    <w:rsid w:val="00D92A4C"/>
    <w:rsid w:val="00D93242"/>
    <w:rsid w:val="00D96B59"/>
    <w:rsid w:val="00DA7EC7"/>
    <w:rsid w:val="00DB21EA"/>
    <w:rsid w:val="00DB4B2F"/>
    <w:rsid w:val="00DB5D52"/>
    <w:rsid w:val="00DB5E06"/>
    <w:rsid w:val="00DC0935"/>
    <w:rsid w:val="00DC0AC4"/>
    <w:rsid w:val="00DC1908"/>
    <w:rsid w:val="00DD0B73"/>
    <w:rsid w:val="00DD103A"/>
    <w:rsid w:val="00DD145F"/>
    <w:rsid w:val="00DD1F7E"/>
    <w:rsid w:val="00DD4A6C"/>
    <w:rsid w:val="00DD7134"/>
    <w:rsid w:val="00DD71EA"/>
    <w:rsid w:val="00DD782C"/>
    <w:rsid w:val="00DE0D0C"/>
    <w:rsid w:val="00DE3FE8"/>
    <w:rsid w:val="00DE6CCB"/>
    <w:rsid w:val="00DE7DF6"/>
    <w:rsid w:val="00DE7F40"/>
    <w:rsid w:val="00E006E2"/>
    <w:rsid w:val="00E00C36"/>
    <w:rsid w:val="00E00CD7"/>
    <w:rsid w:val="00E026E6"/>
    <w:rsid w:val="00E03ADB"/>
    <w:rsid w:val="00E0749F"/>
    <w:rsid w:val="00E13891"/>
    <w:rsid w:val="00E13A67"/>
    <w:rsid w:val="00E14A7A"/>
    <w:rsid w:val="00E250DD"/>
    <w:rsid w:val="00E256D4"/>
    <w:rsid w:val="00E37D65"/>
    <w:rsid w:val="00E43D5E"/>
    <w:rsid w:val="00E46255"/>
    <w:rsid w:val="00E51281"/>
    <w:rsid w:val="00E51A8A"/>
    <w:rsid w:val="00E55818"/>
    <w:rsid w:val="00E572CF"/>
    <w:rsid w:val="00E61ED1"/>
    <w:rsid w:val="00E67AF8"/>
    <w:rsid w:val="00E7470E"/>
    <w:rsid w:val="00E74BFD"/>
    <w:rsid w:val="00E753AC"/>
    <w:rsid w:val="00E76659"/>
    <w:rsid w:val="00E77F14"/>
    <w:rsid w:val="00E815A3"/>
    <w:rsid w:val="00E8398D"/>
    <w:rsid w:val="00E84042"/>
    <w:rsid w:val="00E90F7E"/>
    <w:rsid w:val="00EA6A4C"/>
    <w:rsid w:val="00EB0B89"/>
    <w:rsid w:val="00EC3ABB"/>
    <w:rsid w:val="00EC6ABC"/>
    <w:rsid w:val="00EC6CA7"/>
    <w:rsid w:val="00ED445E"/>
    <w:rsid w:val="00ED6336"/>
    <w:rsid w:val="00EE58CE"/>
    <w:rsid w:val="00EF0FB6"/>
    <w:rsid w:val="00EF361A"/>
    <w:rsid w:val="00EF6645"/>
    <w:rsid w:val="00EF7F92"/>
    <w:rsid w:val="00F0001B"/>
    <w:rsid w:val="00F01B3E"/>
    <w:rsid w:val="00F02567"/>
    <w:rsid w:val="00F028DD"/>
    <w:rsid w:val="00F02B6C"/>
    <w:rsid w:val="00F0667C"/>
    <w:rsid w:val="00F10CFE"/>
    <w:rsid w:val="00F1140C"/>
    <w:rsid w:val="00F14E50"/>
    <w:rsid w:val="00F16850"/>
    <w:rsid w:val="00F172EC"/>
    <w:rsid w:val="00F2579A"/>
    <w:rsid w:val="00F264E5"/>
    <w:rsid w:val="00F2680D"/>
    <w:rsid w:val="00F30A52"/>
    <w:rsid w:val="00F33284"/>
    <w:rsid w:val="00F348D3"/>
    <w:rsid w:val="00F42506"/>
    <w:rsid w:val="00F458A1"/>
    <w:rsid w:val="00F4792A"/>
    <w:rsid w:val="00F51C68"/>
    <w:rsid w:val="00F707AF"/>
    <w:rsid w:val="00F748D9"/>
    <w:rsid w:val="00F754F3"/>
    <w:rsid w:val="00F775C5"/>
    <w:rsid w:val="00F815C2"/>
    <w:rsid w:val="00F81D33"/>
    <w:rsid w:val="00F83C6B"/>
    <w:rsid w:val="00F87902"/>
    <w:rsid w:val="00F87F0F"/>
    <w:rsid w:val="00FA3BEB"/>
    <w:rsid w:val="00FA74E1"/>
    <w:rsid w:val="00FB2A91"/>
    <w:rsid w:val="00FB65E4"/>
    <w:rsid w:val="00FB6873"/>
    <w:rsid w:val="00FB775C"/>
    <w:rsid w:val="00FD03E4"/>
    <w:rsid w:val="00FD0E19"/>
    <w:rsid w:val="00FD130E"/>
    <w:rsid w:val="00FD2C8D"/>
    <w:rsid w:val="00FE4249"/>
    <w:rsid w:val="00FE456A"/>
    <w:rsid w:val="00FE7FAA"/>
    <w:rsid w:val="00FF1061"/>
    <w:rsid w:val="00FF15CF"/>
    <w:rsid w:val="00FF272F"/>
    <w:rsid w:val="00FF67A0"/>
    <w:rsid w:val="0C433405"/>
    <w:rsid w:val="4B796578"/>
    <w:rsid w:val="71601990"/>
    <w:rsid w:val="7D3C673B"/>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2"/>
    <w:qFormat/>
    <w:uiPriority w:val="0"/>
    <w:pPr>
      <w:keepNext/>
      <w:keepLines/>
      <w:spacing w:line="576" w:lineRule="auto"/>
      <w:outlineLvl w:val="0"/>
    </w:pPr>
    <w:rPr>
      <w:rFonts w:ascii="Calibri" w:hAnsi="Calibri"/>
      <w:b/>
      <w:kern w:val="44"/>
      <w:sz w:val="44"/>
    </w:rPr>
  </w:style>
  <w:style w:type="paragraph" w:styleId="3">
    <w:name w:val="heading 2"/>
    <w:basedOn w:val="1"/>
    <w:next w:val="1"/>
    <w:link w:val="23"/>
    <w:qFormat/>
    <w:uiPriority w:val="0"/>
    <w:pPr>
      <w:keepNext/>
      <w:keepLines/>
      <w:spacing w:before="260" w:after="260" w:line="416" w:lineRule="auto"/>
      <w:outlineLvl w:val="1"/>
    </w:pPr>
    <w:rPr>
      <w:rFonts w:ascii="Cambria" w:hAnsi="Cambria"/>
      <w:b/>
      <w:bCs/>
      <w:sz w:val="32"/>
      <w:szCs w:val="32"/>
    </w:rPr>
  </w:style>
  <w:style w:type="paragraph" w:styleId="4">
    <w:name w:val="heading 3"/>
    <w:basedOn w:val="1"/>
    <w:next w:val="1"/>
    <w:link w:val="24"/>
    <w:qFormat/>
    <w:uiPriority w:val="0"/>
    <w:pPr>
      <w:keepNext/>
      <w:keepLines/>
      <w:spacing w:before="260" w:after="260" w:line="416" w:lineRule="auto"/>
      <w:outlineLvl w:val="2"/>
    </w:pPr>
    <w:rPr>
      <w:b/>
      <w:bCs/>
      <w:sz w:val="32"/>
      <w:szCs w:val="32"/>
    </w:rPr>
  </w:style>
  <w:style w:type="character" w:default="1" w:styleId="19">
    <w:name w:val="Default Paragraph Font"/>
    <w:semiHidden/>
    <w:unhideWhenUsed/>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5">
    <w:name w:val="Normal Indent"/>
    <w:basedOn w:val="1"/>
    <w:qFormat/>
    <w:uiPriority w:val="0"/>
    <w:pPr>
      <w:ind w:firstLine="420" w:firstLineChars="200"/>
    </w:pPr>
    <w:rPr>
      <w:szCs w:val="21"/>
    </w:rPr>
  </w:style>
  <w:style w:type="paragraph" w:styleId="6">
    <w:name w:val="Body Text"/>
    <w:basedOn w:val="1"/>
    <w:link w:val="25"/>
    <w:qFormat/>
    <w:uiPriority w:val="0"/>
    <w:pPr>
      <w:jc w:val="center"/>
    </w:pPr>
    <w:rPr>
      <w:rFonts w:eastAsia="黑体"/>
      <w:sz w:val="36"/>
      <w:szCs w:val="20"/>
    </w:rPr>
  </w:style>
  <w:style w:type="paragraph" w:styleId="7">
    <w:name w:val="Body Text Indent"/>
    <w:basedOn w:val="1"/>
    <w:link w:val="36"/>
    <w:qFormat/>
    <w:uiPriority w:val="0"/>
    <w:pPr>
      <w:spacing w:after="120"/>
      <w:ind w:left="420" w:leftChars="200"/>
    </w:pPr>
  </w:style>
  <w:style w:type="paragraph" w:styleId="8">
    <w:name w:val="Plain Text"/>
    <w:basedOn w:val="1"/>
    <w:link w:val="27"/>
    <w:qFormat/>
    <w:uiPriority w:val="0"/>
    <w:rPr>
      <w:rFonts w:ascii="宋体" w:hAnsi="Courier New"/>
    </w:rPr>
  </w:style>
  <w:style w:type="paragraph" w:styleId="9">
    <w:name w:val="Date"/>
    <w:basedOn w:val="1"/>
    <w:next w:val="1"/>
    <w:link w:val="28"/>
    <w:qFormat/>
    <w:uiPriority w:val="0"/>
    <w:pPr>
      <w:ind w:left="100" w:leftChars="2500"/>
    </w:pPr>
  </w:style>
  <w:style w:type="paragraph" w:styleId="10">
    <w:name w:val="Body Text Indent 2"/>
    <w:basedOn w:val="1"/>
    <w:link w:val="29"/>
    <w:uiPriority w:val="0"/>
    <w:pPr>
      <w:spacing w:after="120" w:line="480" w:lineRule="auto"/>
      <w:ind w:left="420" w:leftChars="200"/>
    </w:pPr>
  </w:style>
  <w:style w:type="paragraph" w:styleId="11">
    <w:name w:val="Balloon Text"/>
    <w:basedOn w:val="1"/>
    <w:link w:val="30"/>
    <w:uiPriority w:val="0"/>
    <w:rPr>
      <w:sz w:val="18"/>
      <w:szCs w:val="18"/>
    </w:rPr>
  </w:style>
  <w:style w:type="paragraph" w:styleId="12">
    <w:name w:val="footer"/>
    <w:basedOn w:val="1"/>
    <w:link w:val="31"/>
    <w:qFormat/>
    <w:uiPriority w:val="0"/>
    <w:pPr>
      <w:tabs>
        <w:tab w:val="center" w:pos="4153"/>
        <w:tab w:val="right" w:pos="8306"/>
      </w:tabs>
      <w:snapToGrid w:val="0"/>
      <w:jc w:val="left"/>
    </w:pPr>
    <w:rPr>
      <w:sz w:val="18"/>
      <w:szCs w:val="18"/>
    </w:rPr>
  </w:style>
  <w:style w:type="paragraph" w:styleId="13">
    <w:name w:val="header"/>
    <w:basedOn w:val="1"/>
    <w:link w:val="32"/>
    <w:qFormat/>
    <w:uiPriority w:val="0"/>
    <w:pPr>
      <w:pBdr>
        <w:bottom w:val="single" w:color="auto" w:sz="6" w:space="1"/>
      </w:pBdr>
      <w:tabs>
        <w:tab w:val="center" w:pos="4153"/>
        <w:tab w:val="right" w:pos="8306"/>
      </w:tabs>
      <w:snapToGrid w:val="0"/>
      <w:jc w:val="center"/>
    </w:pPr>
    <w:rPr>
      <w:sz w:val="18"/>
      <w:szCs w:val="18"/>
    </w:rPr>
  </w:style>
  <w:style w:type="paragraph" w:styleId="14">
    <w:name w:val="footnote text"/>
    <w:basedOn w:val="1"/>
    <w:link w:val="33"/>
    <w:qFormat/>
    <w:uiPriority w:val="99"/>
    <w:pPr>
      <w:snapToGrid w:val="0"/>
      <w:jc w:val="left"/>
    </w:pPr>
    <w:rPr>
      <w:sz w:val="18"/>
      <w:szCs w:val="18"/>
    </w:rPr>
  </w:style>
  <w:style w:type="paragraph" w:styleId="15">
    <w:name w:val="Normal (Web)"/>
    <w:basedOn w:val="1"/>
    <w:qFormat/>
    <w:uiPriority w:val="0"/>
    <w:pPr>
      <w:spacing w:beforeAutospacing="1" w:afterAutospacing="1"/>
      <w:jc w:val="left"/>
    </w:pPr>
    <w:rPr>
      <w:rFonts w:ascii="Calibri" w:hAnsi="Calibri"/>
      <w:kern w:val="0"/>
      <w:sz w:val="24"/>
    </w:rPr>
  </w:style>
  <w:style w:type="paragraph" w:styleId="16">
    <w:name w:val="Body Text First Indent"/>
    <w:basedOn w:val="6"/>
    <w:link w:val="34"/>
    <w:uiPriority w:val="0"/>
    <w:pPr>
      <w:spacing w:after="120"/>
      <w:ind w:firstLine="420" w:firstLineChars="100"/>
      <w:jc w:val="both"/>
    </w:pPr>
    <w:rPr>
      <w:rFonts w:eastAsia="宋体"/>
      <w:sz w:val="21"/>
      <w:szCs w:val="24"/>
    </w:rPr>
  </w:style>
  <w:style w:type="paragraph" w:styleId="17">
    <w:name w:val="Body Text First Indent 2"/>
    <w:basedOn w:val="7"/>
    <w:next w:val="16"/>
    <w:link w:val="35"/>
    <w:unhideWhenUsed/>
    <w:qFormat/>
    <w:uiPriority w:val="0"/>
    <w:pPr>
      <w:ind w:firstLine="420" w:firstLineChars="200"/>
    </w:pPr>
    <w:rPr>
      <w:rFonts w:ascii="Calibri" w:hAnsi="Calibri"/>
      <w:szCs w:val="22"/>
    </w:rPr>
  </w:style>
  <w:style w:type="character" w:styleId="20">
    <w:name w:val="Strong"/>
    <w:basedOn w:val="19"/>
    <w:qFormat/>
    <w:uiPriority w:val="0"/>
    <w:rPr>
      <w:b/>
      <w:bCs/>
    </w:rPr>
  </w:style>
  <w:style w:type="character" w:styleId="21">
    <w:name w:val="Hyperlink"/>
    <w:basedOn w:val="19"/>
    <w:qFormat/>
    <w:uiPriority w:val="0"/>
    <w:rPr>
      <w:color w:val="0000FF"/>
      <w:u w:val="single"/>
    </w:rPr>
  </w:style>
  <w:style w:type="character" w:customStyle="1" w:styleId="22">
    <w:name w:val="标题 1 Char"/>
    <w:basedOn w:val="19"/>
    <w:link w:val="2"/>
    <w:uiPriority w:val="0"/>
    <w:rPr>
      <w:rFonts w:ascii="Calibri" w:hAnsi="Calibri" w:eastAsia="宋体" w:cs="Times New Roman"/>
      <w:b/>
      <w:kern w:val="44"/>
      <w:sz w:val="44"/>
      <w:szCs w:val="24"/>
    </w:rPr>
  </w:style>
  <w:style w:type="character" w:customStyle="1" w:styleId="23">
    <w:name w:val="标题 2 Char"/>
    <w:basedOn w:val="19"/>
    <w:link w:val="3"/>
    <w:semiHidden/>
    <w:uiPriority w:val="0"/>
    <w:rPr>
      <w:rFonts w:ascii="Cambria" w:hAnsi="Cambria" w:eastAsia="宋体" w:cs="Times New Roman"/>
      <w:b/>
      <w:bCs/>
      <w:kern w:val="2"/>
      <w:sz w:val="32"/>
      <w:szCs w:val="32"/>
    </w:rPr>
  </w:style>
  <w:style w:type="character" w:customStyle="1" w:styleId="24">
    <w:name w:val="标题 3 Char"/>
    <w:basedOn w:val="19"/>
    <w:link w:val="4"/>
    <w:semiHidden/>
    <w:uiPriority w:val="0"/>
    <w:rPr>
      <w:b/>
      <w:bCs/>
      <w:kern w:val="2"/>
      <w:sz w:val="32"/>
      <w:szCs w:val="32"/>
    </w:rPr>
  </w:style>
  <w:style w:type="character" w:customStyle="1" w:styleId="25">
    <w:name w:val="正文文本 Char"/>
    <w:basedOn w:val="19"/>
    <w:link w:val="6"/>
    <w:qFormat/>
    <w:uiPriority w:val="0"/>
    <w:rPr>
      <w:rFonts w:eastAsia="黑体"/>
      <w:kern w:val="2"/>
      <w:sz w:val="36"/>
    </w:rPr>
  </w:style>
  <w:style w:type="character" w:customStyle="1" w:styleId="26">
    <w:name w:val="正文文本缩进 Char1"/>
    <w:basedOn w:val="19"/>
    <w:link w:val="7"/>
    <w:uiPriority w:val="0"/>
    <w:rPr>
      <w:kern w:val="2"/>
      <w:sz w:val="21"/>
      <w:szCs w:val="24"/>
    </w:rPr>
  </w:style>
  <w:style w:type="character" w:customStyle="1" w:styleId="27">
    <w:name w:val="纯文本 Char"/>
    <w:basedOn w:val="19"/>
    <w:link w:val="8"/>
    <w:uiPriority w:val="0"/>
    <w:rPr>
      <w:rFonts w:ascii="宋体" w:hAnsi="Courier New"/>
      <w:kern w:val="2"/>
      <w:sz w:val="21"/>
      <w:szCs w:val="24"/>
    </w:rPr>
  </w:style>
  <w:style w:type="character" w:customStyle="1" w:styleId="28">
    <w:name w:val="日期 Char"/>
    <w:basedOn w:val="19"/>
    <w:link w:val="9"/>
    <w:uiPriority w:val="0"/>
    <w:rPr>
      <w:kern w:val="2"/>
      <w:sz w:val="21"/>
      <w:szCs w:val="24"/>
    </w:rPr>
  </w:style>
  <w:style w:type="character" w:customStyle="1" w:styleId="29">
    <w:name w:val="正文文本缩进 2 Char"/>
    <w:basedOn w:val="19"/>
    <w:link w:val="10"/>
    <w:uiPriority w:val="0"/>
    <w:rPr>
      <w:kern w:val="2"/>
      <w:sz w:val="21"/>
      <w:szCs w:val="24"/>
    </w:rPr>
  </w:style>
  <w:style w:type="character" w:customStyle="1" w:styleId="30">
    <w:name w:val="批注框文本 Char"/>
    <w:basedOn w:val="19"/>
    <w:link w:val="11"/>
    <w:uiPriority w:val="0"/>
    <w:rPr>
      <w:kern w:val="2"/>
      <w:sz w:val="18"/>
      <w:szCs w:val="18"/>
    </w:rPr>
  </w:style>
  <w:style w:type="character" w:customStyle="1" w:styleId="31">
    <w:name w:val="页脚 Char"/>
    <w:basedOn w:val="19"/>
    <w:link w:val="12"/>
    <w:qFormat/>
    <w:uiPriority w:val="99"/>
    <w:rPr>
      <w:kern w:val="2"/>
      <w:sz w:val="18"/>
      <w:szCs w:val="18"/>
    </w:rPr>
  </w:style>
  <w:style w:type="character" w:customStyle="1" w:styleId="32">
    <w:name w:val="页眉 Char"/>
    <w:basedOn w:val="19"/>
    <w:link w:val="13"/>
    <w:qFormat/>
    <w:uiPriority w:val="99"/>
    <w:rPr>
      <w:kern w:val="2"/>
      <w:sz w:val="18"/>
      <w:szCs w:val="18"/>
    </w:rPr>
  </w:style>
  <w:style w:type="character" w:customStyle="1" w:styleId="33">
    <w:name w:val="脚注文本 Char"/>
    <w:basedOn w:val="19"/>
    <w:link w:val="14"/>
    <w:uiPriority w:val="99"/>
    <w:rPr>
      <w:kern w:val="2"/>
      <w:sz w:val="18"/>
      <w:szCs w:val="18"/>
    </w:rPr>
  </w:style>
  <w:style w:type="character" w:customStyle="1" w:styleId="34">
    <w:name w:val="正文首行缩进 Char"/>
    <w:basedOn w:val="25"/>
    <w:link w:val="16"/>
    <w:qFormat/>
    <w:uiPriority w:val="0"/>
    <w:rPr>
      <w:sz w:val="21"/>
      <w:szCs w:val="24"/>
    </w:rPr>
  </w:style>
  <w:style w:type="character" w:customStyle="1" w:styleId="35">
    <w:name w:val="正文首行缩进 2 Char"/>
    <w:basedOn w:val="36"/>
    <w:link w:val="17"/>
    <w:qFormat/>
    <w:uiPriority w:val="99"/>
    <w:rPr>
      <w:rFonts w:ascii="Calibri" w:hAnsi="Calibri"/>
      <w:szCs w:val="22"/>
    </w:rPr>
  </w:style>
  <w:style w:type="character" w:customStyle="1" w:styleId="36">
    <w:name w:val="正文文本缩进 Char"/>
    <w:basedOn w:val="19"/>
    <w:link w:val="7"/>
    <w:uiPriority w:val="0"/>
    <w:rPr>
      <w:kern w:val="2"/>
      <w:sz w:val="21"/>
      <w:szCs w:val="24"/>
    </w:rPr>
  </w:style>
  <w:style w:type="paragraph" w:customStyle="1" w:styleId="37">
    <w:name w:val="Heading 2"/>
    <w:basedOn w:val="1"/>
    <w:qFormat/>
    <w:uiPriority w:val="1"/>
    <w:pPr>
      <w:jc w:val="left"/>
      <w:outlineLvl w:val="2"/>
    </w:pPr>
    <w:rPr>
      <w:rFonts w:ascii="宋体" w:hAnsi="宋体"/>
      <w:kern w:val="0"/>
      <w:sz w:val="31"/>
      <w:szCs w:val="31"/>
      <w:lang w:eastAsia="en-US"/>
    </w:rPr>
  </w:style>
  <w:style w:type="paragraph" w:customStyle="1" w:styleId="38">
    <w:name w:val="Heading 1"/>
    <w:basedOn w:val="1"/>
    <w:qFormat/>
    <w:uiPriority w:val="1"/>
    <w:pPr>
      <w:spacing w:before="38"/>
      <w:ind w:left="118"/>
      <w:jc w:val="left"/>
      <w:outlineLvl w:val="1"/>
    </w:pPr>
    <w:rPr>
      <w:rFonts w:ascii="宋体" w:hAnsi="宋体"/>
      <w:kern w:val="0"/>
      <w:sz w:val="32"/>
      <w:szCs w:val="32"/>
      <w:lang w:eastAsia="en-US"/>
    </w:rPr>
  </w:style>
  <w:style w:type="character" w:customStyle="1" w:styleId="39">
    <w:name w:val="MSG_EN_FONT_STYLE_NAME_TEMPLATE_ROLE_NUMBER MSG_EN_FONT_STYLE_NAME_BY_ROLE_TEXT 2_"/>
    <w:basedOn w:val="19"/>
    <w:link w:val="40"/>
    <w:unhideWhenUsed/>
    <w:qFormat/>
    <w:locked/>
    <w:uiPriority w:val="99"/>
    <w:rPr>
      <w:rFonts w:ascii="PMingLiU" w:eastAsia="PMingLiU"/>
      <w:sz w:val="30"/>
      <w:shd w:val="clear" w:color="auto" w:fill="FFFFFF"/>
    </w:rPr>
  </w:style>
  <w:style w:type="paragraph" w:customStyle="1" w:styleId="40">
    <w:name w:val="MSG_EN_FONT_STYLE_NAME_TEMPLATE_ROLE_NUMBER MSG_EN_FONT_STYLE_NAME_BY_ROLE_TEXT 21"/>
    <w:basedOn w:val="1"/>
    <w:link w:val="39"/>
    <w:unhideWhenUsed/>
    <w:qFormat/>
    <w:uiPriority w:val="99"/>
    <w:pPr>
      <w:shd w:val="clear" w:color="auto" w:fill="FFFFFF"/>
      <w:spacing w:before="560" w:after="280" w:line="300" w:lineRule="exact"/>
    </w:pPr>
    <w:rPr>
      <w:rFonts w:hint="eastAsia" w:ascii="PMingLiU" w:eastAsia="PMingLiU"/>
      <w:kern w:val="0"/>
      <w:sz w:val="30"/>
      <w:szCs w:val="20"/>
    </w:rPr>
  </w:style>
  <w:style w:type="character" w:customStyle="1" w:styleId="41">
    <w:name w:val="正文文本_"/>
    <w:basedOn w:val="19"/>
    <w:link w:val="42"/>
    <w:qFormat/>
    <w:uiPriority w:val="0"/>
    <w:rPr>
      <w:rFonts w:ascii="Arial Unicode MS" w:hAnsi="Arial Unicode MS" w:eastAsia="Arial Unicode MS" w:cs="Arial Unicode MS"/>
      <w:sz w:val="30"/>
      <w:szCs w:val="30"/>
      <w:shd w:val="clear" w:color="auto" w:fill="FFFFFF"/>
    </w:rPr>
  </w:style>
  <w:style w:type="paragraph" w:customStyle="1" w:styleId="42">
    <w:name w:val="正文文本1"/>
    <w:basedOn w:val="1"/>
    <w:link w:val="41"/>
    <w:qFormat/>
    <w:uiPriority w:val="0"/>
    <w:pPr>
      <w:shd w:val="clear" w:color="auto" w:fill="FFFFFF"/>
      <w:spacing w:line="619" w:lineRule="exact"/>
      <w:ind w:hanging="1100"/>
      <w:jc w:val="left"/>
    </w:pPr>
    <w:rPr>
      <w:rFonts w:ascii="Arial Unicode MS" w:hAnsi="Arial Unicode MS" w:eastAsia="Arial Unicode MS" w:cs="Arial Unicode MS"/>
      <w:kern w:val="0"/>
      <w:sz w:val="30"/>
      <w:szCs w:val="30"/>
    </w:rPr>
  </w:style>
  <w:style w:type="character" w:customStyle="1" w:styleId="43">
    <w:name w:val="正文文本 + 17 pt"/>
    <w:basedOn w:val="41"/>
    <w:qFormat/>
    <w:uiPriority w:val="0"/>
    <w:rPr>
      <w:color w:val="000000"/>
      <w:spacing w:val="0"/>
      <w:w w:val="80"/>
      <w:position w:val="0"/>
      <w:sz w:val="34"/>
      <w:szCs w:val="34"/>
      <w:lang w:val="zh-CN"/>
    </w:rPr>
  </w:style>
  <w:style w:type="character" w:customStyle="1" w:styleId="44">
    <w:name w:val="正文文本 + 17 pt1"/>
    <w:basedOn w:val="41"/>
    <w:qFormat/>
    <w:uiPriority w:val="0"/>
    <w:rPr>
      <w:color w:val="000000"/>
      <w:spacing w:val="0"/>
      <w:w w:val="80"/>
      <w:position w:val="0"/>
      <w:sz w:val="34"/>
      <w:szCs w:val="34"/>
      <w:lang w:val="zh-CN"/>
    </w:rPr>
  </w:style>
  <w:style w:type="character" w:customStyle="1" w:styleId="45">
    <w:name w:val="正文文本 (4)_"/>
    <w:basedOn w:val="19"/>
    <w:link w:val="46"/>
    <w:uiPriority w:val="0"/>
    <w:rPr>
      <w:rFonts w:ascii="Arial Unicode MS" w:hAnsi="Arial Unicode MS" w:eastAsia="Arial Unicode MS" w:cs="Arial Unicode MS"/>
      <w:sz w:val="30"/>
      <w:szCs w:val="30"/>
      <w:shd w:val="clear" w:color="auto" w:fill="FFFFFF"/>
    </w:rPr>
  </w:style>
  <w:style w:type="paragraph" w:customStyle="1" w:styleId="46">
    <w:name w:val="正文文本 (4)"/>
    <w:basedOn w:val="1"/>
    <w:link w:val="45"/>
    <w:uiPriority w:val="0"/>
    <w:pPr>
      <w:shd w:val="clear" w:color="auto" w:fill="FFFFFF"/>
      <w:spacing w:line="619" w:lineRule="exact"/>
      <w:jc w:val="distribute"/>
    </w:pPr>
    <w:rPr>
      <w:rFonts w:ascii="Arial Unicode MS" w:hAnsi="Arial Unicode MS" w:eastAsia="Arial Unicode MS" w:cs="Arial Unicode MS"/>
      <w:kern w:val="0"/>
      <w:sz w:val="30"/>
      <w:szCs w:val="30"/>
    </w:rPr>
  </w:style>
  <w:style w:type="character" w:customStyle="1" w:styleId="47">
    <w:name w:val="正文文本 + 缩放 80%"/>
    <w:basedOn w:val="41"/>
    <w:qFormat/>
    <w:uiPriority w:val="0"/>
    <w:rPr>
      <w:color w:val="000000"/>
      <w:spacing w:val="0"/>
      <w:w w:val="80"/>
      <w:position w:val="0"/>
      <w:lang w:val="zh-CN"/>
    </w:rPr>
  </w:style>
  <w:style w:type="character" w:customStyle="1" w:styleId="48">
    <w:name w:val="正文文本 (9)_"/>
    <w:basedOn w:val="19"/>
    <w:link w:val="49"/>
    <w:qFormat/>
    <w:uiPriority w:val="0"/>
    <w:rPr>
      <w:rFonts w:ascii="Arial Unicode MS" w:hAnsi="Arial Unicode MS" w:eastAsia="Arial Unicode MS" w:cs="Arial Unicode MS"/>
      <w:spacing w:val="20"/>
      <w:w w:val="80"/>
      <w:sz w:val="30"/>
      <w:szCs w:val="30"/>
      <w:shd w:val="clear" w:color="auto" w:fill="FFFFFF"/>
    </w:rPr>
  </w:style>
  <w:style w:type="paragraph" w:customStyle="1" w:styleId="49">
    <w:name w:val="正文文本 (9)"/>
    <w:basedOn w:val="1"/>
    <w:link w:val="48"/>
    <w:uiPriority w:val="0"/>
    <w:pPr>
      <w:shd w:val="clear" w:color="auto" w:fill="FFFFFF"/>
      <w:spacing w:line="0" w:lineRule="atLeast"/>
      <w:jc w:val="left"/>
    </w:pPr>
    <w:rPr>
      <w:rFonts w:ascii="Arial Unicode MS" w:hAnsi="Arial Unicode MS" w:eastAsia="Arial Unicode MS" w:cs="Arial Unicode MS"/>
      <w:spacing w:val="20"/>
      <w:w w:val="80"/>
      <w:kern w:val="0"/>
      <w:sz w:val="30"/>
      <w:szCs w:val="30"/>
    </w:rPr>
  </w:style>
  <w:style w:type="character" w:customStyle="1" w:styleId="50">
    <w:name w:val="标题 #2_"/>
    <w:basedOn w:val="19"/>
    <w:link w:val="51"/>
    <w:qFormat/>
    <w:uiPriority w:val="0"/>
    <w:rPr>
      <w:rFonts w:ascii="Arial Unicode MS" w:hAnsi="Arial Unicode MS" w:eastAsia="Arial Unicode MS" w:cs="Arial Unicode MS"/>
      <w:sz w:val="36"/>
      <w:szCs w:val="36"/>
      <w:shd w:val="clear" w:color="auto" w:fill="FFFFFF"/>
    </w:rPr>
  </w:style>
  <w:style w:type="paragraph" w:customStyle="1" w:styleId="51">
    <w:name w:val="标题 #2"/>
    <w:basedOn w:val="1"/>
    <w:link w:val="50"/>
    <w:qFormat/>
    <w:uiPriority w:val="0"/>
    <w:pPr>
      <w:shd w:val="clear" w:color="auto" w:fill="FFFFFF"/>
      <w:spacing w:after="420" w:line="0" w:lineRule="atLeast"/>
      <w:jc w:val="center"/>
      <w:outlineLvl w:val="1"/>
    </w:pPr>
    <w:rPr>
      <w:rFonts w:ascii="Arial Unicode MS" w:hAnsi="Arial Unicode MS" w:eastAsia="Arial Unicode MS" w:cs="Arial Unicode MS"/>
      <w:kern w:val="0"/>
      <w:sz w:val="36"/>
      <w:szCs w:val="36"/>
    </w:rPr>
  </w:style>
  <w:style w:type="character" w:customStyle="1" w:styleId="52">
    <w:name w:val="正文文本 (13)_"/>
    <w:basedOn w:val="19"/>
    <w:link w:val="53"/>
    <w:qFormat/>
    <w:uiPriority w:val="0"/>
    <w:rPr>
      <w:rFonts w:ascii="Arial Unicode MS" w:hAnsi="Arial Unicode MS" w:eastAsia="Arial Unicode MS" w:cs="Arial Unicode MS"/>
      <w:sz w:val="28"/>
      <w:szCs w:val="28"/>
      <w:shd w:val="clear" w:color="auto" w:fill="FFFFFF"/>
    </w:rPr>
  </w:style>
  <w:style w:type="paragraph" w:customStyle="1" w:styleId="53">
    <w:name w:val="正文文本 (13)"/>
    <w:basedOn w:val="1"/>
    <w:link w:val="52"/>
    <w:qFormat/>
    <w:uiPriority w:val="0"/>
    <w:pPr>
      <w:shd w:val="clear" w:color="auto" w:fill="FFFFFF"/>
      <w:spacing w:after="360" w:line="0" w:lineRule="atLeast"/>
      <w:jc w:val="left"/>
    </w:pPr>
    <w:rPr>
      <w:rFonts w:ascii="Arial Unicode MS" w:hAnsi="Arial Unicode MS" w:eastAsia="Arial Unicode MS" w:cs="Arial Unicode MS"/>
      <w:kern w:val="0"/>
      <w:sz w:val="28"/>
      <w:szCs w:val="28"/>
    </w:rPr>
  </w:style>
  <w:style w:type="character" w:customStyle="1" w:styleId="54">
    <w:name w:val="标题 #1_"/>
    <w:basedOn w:val="19"/>
    <w:link w:val="55"/>
    <w:qFormat/>
    <w:uiPriority w:val="0"/>
    <w:rPr>
      <w:rFonts w:ascii="Arial Unicode MS" w:hAnsi="Arial Unicode MS" w:eastAsia="Arial Unicode MS" w:cs="Arial Unicode MS"/>
      <w:sz w:val="46"/>
      <w:szCs w:val="46"/>
      <w:shd w:val="clear" w:color="auto" w:fill="FFFFFF"/>
    </w:rPr>
  </w:style>
  <w:style w:type="paragraph" w:customStyle="1" w:styleId="55">
    <w:name w:val="标题 #1"/>
    <w:basedOn w:val="1"/>
    <w:link w:val="54"/>
    <w:qFormat/>
    <w:uiPriority w:val="0"/>
    <w:pPr>
      <w:shd w:val="clear" w:color="auto" w:fill="FFFFFF"/>
      <w:spacing w:before="360" w:after="1020" w:line="946" w:lineRule="exact"/>
      <w:jc w:val="center"/>
      <w:outlineLvl w:val="0"/>
    </w:pPr>
    <w:rPr>
      <w:rFonts w:ascii="Arial Unicode MS" w:hAnsi="Arial Unicode MS" w:eastAsia="Arial Unicode MS" w:cs="Arial Unicode MS"/>
      <w:kern w:val="0"/>
      <w:sz w:val="46"/>
      <w:szCs w:val="46"/>
    </w:rPr>
  </w:style>
  <w:style w:type="character" w:customStyle="1" w:styleId="56">
    <w:name w:val="正文文本 (9) + 间距 0 pt1"/>
    <w:basedOn w:val="48"/>
    <w:uiPriority w:val="0"/>
    <w:rPr>
      <w:color w:val="000000"/>
      <w:spacing w:val="0"/>
      <w:w w:val="100"/>
      <w:position w:val="0"/>
      <w:lang w:val="zh-CN"/>
    </w:rPr>
  </w:style>
  <w:style w:type="character" w:customStyle="1" w:styleId="57">
    <w:name w:val="正文文本 (9) + 缩放 100%"/>
    <w:basedOn w:val="48"/>
    <w:qFormat/>
    <w:uiPriority w:val="0"/>
    <w:rPr>
      <w:color w:val="000000"/>
      <w:w w:val="100"/>
      <w:position w:val="0"/>
      <w:lang w:val="zh-CN"/>
    </w:rPr>
  </w:style>
  <w:style w:type="character" w:customStyle="1" w:styleId="58">
    <w:name w:val="font11"/>
    <w:basedOn w:val="19"/>
    <w:qFormat/>
    <w:uiPriority w:val="0"/>
    <w:rPr>
      <w:rFonts w:hint="eastAsia" w:ascii="仿宋_GB2312" w:eastAsia="仿宋_GB2312" w:cs="仿宋_GB2312"/>
      <w:color w:val="000000"/>
      <w:sz w:val="32"/>
      <w:szCs w:val="32"/>
      <w:u w:val="none"/>
    </w:rPr>
  </w:style>
  <w:style w:type="character" w:customStyle="1" w:styleId="59">
    <w:name w:val="font41"/>
    <w:basedOn w:val="19"/>
    <w:qFormat/>
    <w:uiPriority w:val="0"/>
    <w:rPr>
      <w:rFonts w:hint="eastAsia" w:ascii="宋体" w:hAnsi="宋体" w:eastAsia="宋体" w:cs="宋体"/>
      <w:color w:val="000000"/>
      <w:sz w:val="32"/>
      <w:szCs w:val="32"/>
      <w:u w:val="none"/>
    </w:rPr>
  </w:style>
  <w:style w:type="paragraph" w:styleId="60">
    <w:name w:val="List Paragraph"/>
    <w:basedOn w:val="1"/>
    <w:qFormat/>
    <w:uiPriority w:val="34"/>
    <w:pPr>
      <w:ind w:firstLine="420" w:firstLineChars="200"/>
    </w:pPr>
    <w:rPr>
      <w:rFonts w:ascii="Calibri" w:hAnsi="Calibri"/>
      <w:szCs w:val="22"/>
    </w:rPr>
  </w:style>
  <w:style w:type="paragraph" w:customStyle="1" w:styleId="61">
    <w:name w:val="paragraph text-align-type-center pap-line-28pt pap-line-rule-exact pap-spacing-before-0pt pap-spacing-after-0pt"/>
    <w:basedOn w:val="1"/>
    <w:uiPriority w:val="0"/>
    <w:pPr>
      <w:widowControl/>
      <w:spacing w:before="100" w:beforeAutospacing="1" w:after="100" w:afterAutospacing="1"/>
      <w:jc w:val="left"/>
    </w:pPr>
    <w:rPr>
      <w:rFonts w:ascii="宋体" w:hAnsi="宋体" w:cs="宋体"/>
      <w:kern w:val="0"/>
      <w:sz w:val="24"/>
    </w:rPr>
  </w:style>
  <w:style w:type="paragraph" w:customStyle="1" w:styleId="62">
    <w:name w:val="paragraph text-align-type-justify pap-line-28pt pap-line-rule-exact pap-spacing-before-0pt pap-spacing-after-0pt"/>
    <w:basedOn w:val="1"/>
    <w:uiPriority w:val="0"/>
    <w:pPr>
      <w:widowControl/>
      <w:spacing w:before="100" w:beforeAutospacing="1" w:after="100" w:afterAutospacing="1"/>
      <w:jc w:val="left"/>
    </w:pPr>
    <w:rPr>
      <w:rFonts w:ascii="宋体" w:hAnsi="宋体" w:cs="宋体"/>
      <w:kern w:val="0"/>
      <w:sz w:val="24"/>
    </w:rPr>
  </w:style>
  <w:style w:type="character" w:customStyle="1" w:styleId="63">
    <w:name w:val="NormalCharacter"/>
    <w:qFormat/>
    <w:uiPriority w:val="0"/>
  </w:style>
  <w:style w:type="paragraph" w:customStyle="1" w:styleId="64">
    <w:name w:val="默认段落字体 Para Char Char Char Char"/>
    <w:basedOn w:val="1"/>
    <w:uiPriority w:val="0"/>
    <w:rPr>
      <w:szCs w:val="21"/>
    </w:rPr>
  </w:style>
  <w:style w:type="paragraph" w:customStyle="1" w:styleId="65">
    <w:name w:val="Default"/>
    <w:qFormat/>
    <w:uiPriority w:val="99"/>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character" w:customStyle="1" w:styleId="66">
    <w:name w:val="15"/>
    <w:basedOn w:val="19"/>
    <w:qFormat/>
    <w:uiPriority w:val="0"/>
    <w:rPr>
      <w:rFonts w:hint="default" w:ascii="Times New Roman" w:hAnsi="Times New Roman" w:cs="Times New Roman"/>
    </w:rPr>
  </w:style>
  <w:style w:type="paragraph" w:customStyle="1" w:styleId="67">
    <w:name w:val="p0"/>
    <w:basedOn w:val="1"/>
    <w:qFormat/>
    <w:uiPriority w:val="0"/>
    <w:rPr>
      <w:kern w:val="0"/>
      <w:szCs w:val="21"/>
    </w:rPr>
  </w:style>
  <w:style w:type="character" w:customStyle="1" w:styleId="68">
    <w:name w:val="16"/>
    <w:basedOn w:val="19"/>
    <w:qFormat/>
    <w:uiPriority w:val="0"/>
    <w:rPr>
      <w:rFonts w:hint="default" w:ascii="Times New Roman" w:hAnsi="Times New Roman" w:eastAsia="楷体_GB2312" w:cs="楷体_GB2312"/>
      <w:sz w:val="32"/>
      <w:szCs w:val="32"/>
    </w:rPr>
  </w:style>
  <w:style w:type="paragraph" w:customStyle="1" w:styleId="69">
    <w:name w:val="正文格式"/>
    <w:basedOn w:val="1"/>
    <w:qFormat/>
    <w:uiPriority w:val="0"/>
    <w:pPr>
      <w:tabs>
        <w:tab w:val="left" w:pos="992"/>
      </w:tabs>
      <w:ind w:firstLine="200" w:firstLineChars="200"/>
    </w:pPr>
    <w:rPr>
      <w:rFonts w:ascii="宋体" w:hAnsi="宋体"/>
    </w:rPr>
  </w:style>
  <w:style w:type="paragraph" w:customStyle="1" w:styleId="70">
    <w:name w:val="样式1"/>
    <w:basedOn w:val="1"/>
    <w:qFormat/>
    <w:uiPriority w:val="0"/>
    <w:pPr>
      <w:spacing w:line="560" w:lineRule="exact"/>
    </w:pPr>
    <w:rPr>
      <w:rFonts w:ascii="Calibri" w:hAnsi="Calibri" w:eastAsia="仿宋_GB2312"/>
      <w:sz w:val="32"/>
    </w:rPr>
  </w:style>
  <w:style w:type="paragraph" w:customStyle="1" w:styleId="71">
    <w:name w:val="NormalIndent"/>
    <w:qFormat/>
    <w:uiPriority w:val="0"/>
    <w:pPr>
      <w:ind w:firstLine="420" w:firstLineChars="200"/>
      <w:jc w:val="both"/>
      <w:textAlignment w:val="baseline"/>
    </w:pPr>
    <w:rPr>
      <w:rFonts w:ascii="Times New Roman" w:hAnsi="Times New Roman" w:eastAsia="仿宋_GB2312" w:cs="Times New Roman"/>
      <w:kern w:val="2"/>
      <w:sz w:val="32"/>
      <w:szCs w:val="32"/>
      <w:lang w:val="en-US" w:eastAsia="zh-CN" w:bidi="ar-SA"/>
    </w:rPr>
  </w:style>
  <w:style w:type="paragraph" w:customStyle="1" w:styleId="72">
    <w:name w:val="样式 四号 首行缩进:  0.99 厘米 行距: 固定值 22 磅"/>
    <w:basedOn w:val="1"/>
    <w:qFormat/>
    <w:uiPriority w:val="0"/>
    <w:pPr>
      <w:spacing w:line="520" w:lineRule="exact"/>
      <w:ind w:firstLine="567"/>
    </w:pPr>
    <w:rPr>
      <w:rFonts w:ascii="Calibri" w:hAnsi="Calibri" w:cs="宋体"/>
      <w:szCs w:val="20"/>
    </w:rPr>
  </w:style>
  <w:style w:type="character" w:customStyle="1" w:styleId="73">
    <w:name w:val="bjh-p"/>
    <w:basedOn w:val="19"/>
    <w:uiPriority w:val="0"/>
  </w:style>
  <w:style w:type="paragraph" w:customStyle="1" w:styleId="74">
    <w:name w:val="普通(网站) Char"/>
    <w:basedOn w:val="1"/>
    <w:uiPriority w:val="0"/>
    <w:pPr>
      <w:widowControl/>
      <w:spacing w:before="100" w:beforeAutospacing="1" w:after="100" w:afterAutospacing="1"/>
      <w:jc w:val="left"/>
    </w:pPr>
    <w:rPr>
      <w:rFonts w:ascii="宋体" w:hAnsi="宋体" w:cs="宋体"/>
      <w:kern w:val="0"/>
      <w:sz w:val="24"/>
    </w:rPr>
  </w:style>
  <w:style w:type="paragraph" w:customStyle="1" w:styleId="75">
    <w:name w:val="列出段落1"/>
    <w:basedOn w:val="1"/>
    <w:qFormat/>
    <w:uiPriority w:val="0"/>
    <w:pPr>
      <w:ind w:firstLine="420" w:firstLineChars="200"/>
    </w:pPr>
    <w:rPr>
      <w:rFonts w:ascii="Calibri" w:hAnsi="Calibri"/>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19</Pages>
  <Words>4306</Words>
  <Characters>4992</Characters>
  <Lines>36</Lines>
  <Paragraphs>10</Paragraphs>
  <TotalTime>2</TotalTime>
  <ScaleCrop>false</ScaleCrop>
  <LinksUpToDate>false</LinksUpToDate>
  <CharactersWithSpaces>5032</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2025-01-20T02:57:00Z</dcterms:created>
  <dc:creator>AutoBVT</dc:creator>
  <cp:lastModifiedBy>Administrator</cp:lastModifiedBy>
  <cp:lastPrinted>2025-01-06T07:12:00Z</cp:lastPrinted>
  <dcterms:modified xsi:type="dcterms:W3CDTF">2025-01-20T07:39:48Z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eyJoZGlkIjoiYjgwNDBhYmM2OGQxOWNmNWFiNmRmNGZjOWUxZDhhNDQifQ==</vt:lpwstr>
  </property>
  <property fmtid="{D5CDD505-2E9C-101B-9397-08002B2CF9AE}" pid="3" name="KSOProductBuildVer">
    <vt:lpwstr>2052-12.1.0.19770</vt:lpwstr>
  </property>
  <property fmtid="{D5CDD505-2E9C-101B-9397-08002B2CF9AE}" pid="4" name="ICV">
    <vt:lpwstr>24083EBAA45445668EB51981926494FB_12</vt:lpwstr>
  </property>
</Properties>
</file>