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9C3A1F">
      <w:pPr>
        <w:spacing w:line="560" w:lineRule="exact"/>
        <w:jc w:val="center"/>
        <w:rPr>
          <w:rFonts w:hint="eastAsia" w:ascii="方正小标宋_GBK" w:hAnsi="TimesNewRoman" w:eastAsia="方正小标宋_GBK" w:cs="TimesNewRoman"/>
          <w:sz w:val="44"/>
          <w:szCs w:val="44"/>
        </w:rPr>
      </w:pPr>
    </w:p>
    <w:p w14:paraId="48260F54">
      <w:pPr>
        <w:spacing w:line="560" w:lineRule="exact"/>
        <w:jc w:val="center"/>
        <w:rPr>
          <w:rFonts w:hint="eastAsia" w:ascii="方正小标宋_GBK" w:hAnsi="TimesNewRoman" w:eastAsia="方正小标宋_GBK" w:cs="TimesNewRoman"/>
          <w:sz w:val="44"/>
          <w:szCs w:val="44"/>
        </w:rPr>
      </w:pPr>
    </w:p>
    <w:p w14:paraId="162826CE">
      <w:pPr>
        <w:spacing w:line="560" w:lineRule="exact"/>
        <w:jc w:val="center"/>
        <w:rPr>
          <w:rFonts w:hint="eastAsia" w:ascii="方正小标宋_GBK" w:hAnsi="TimesNewRoman" w:eastAsia="方正小标宋_GBK" w:cs="TimesNewRoman"/>
          <w:sz w:val="44"/>
          <w:szCs w:val="44"/>
        </w:rPr>
      </w:pPr>
    </w:p>
    <w:p w14:paraId="3EB03E39">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_GBK" w:hAnsi="TimesNewRoman" w:eastAsia="方正小标宋_GBK" w:cs="TimesNewRoman"/>
          <w:spacing w:val="51"/>
          <w:sz w:val="44"/>
          <w:szCs w:val="44"/>
        </w:rPr>
      </w:pPr>
    </w:p>
    <w:p w14:paraId="6450960E">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简体" w:hAnsi="方正小标宋简体" w:eastAsia="方正小标宋简体" w:cs="TimesNewRoman"/>
          <w:spacing w:val="51"/>
          <w:sz w:val="44"/>
          <w:szCs w:val="44"/>
        </w:rPr>
      </w:pPr>
      <w:r>
        <w:rPr>
          <w:rFonts w:hint="eastAsia" w:ascii="方正小标宋简体" w:hAnsi="方正小标宋简体" w:eastAsia="方正小标宋简体" w:cs="TimesNewRoman"/>
          <w:spacing w:val="51"/>
          <w:sz w:val="44"/>
          <w:szCs w:val="44"/>
          <w:lang w:val="en-US" w:eastAsia="zh-CN"/>
        </w:rPr>
        <w:t>寿县文学艺术院（寿州循理书院）</w:t>
      </w:r>
      <w:r>
        <w:rPr>
          <w:rFonts w:hint="eastAsia" w:ascii="方正小标宋简体" w:hAnsi="方正小标宋简体" w:eastAsia="方正小标宋简体" w:cs="TimesNewRoman"/>
          <w:spacing w:val="51"/>
          <w:sz w:val="44"/>
          <w:szCs w:val="44"/>
        </w:rPr>
        <w:t>2025年</w:t>
      </w:r>
      <w:r>
        <w:rPr>
          <w:rFonts w:hint="eastAsia" w:ascii="方正小标宋简体" w:hAnsi="方正小标宋简体" w:eastAsia="方正小标宋简体" w:cs="TimesNewRoman"/>
          <w:spacing w:val="51"/>
          <w:sz w:val="44"/>
          <w:szCs w:val="44"/>
          <w:lang w:val="en-US" w:eastAsia="zh-CN"/>
        </w:rPr>
        <w:t>单位</w:t>
      </w:r>
      <w:r>
        <w:rPr>
          <w:rFonts w:hint="eastAsia" w:ascii="方正小标宋简体" w:hAnsi="方正小标宋简体" w:eastAsia="方正小标宋简体" w:cs="TimesNewRoman"/>
          <w:spacing w:val="51"/>
          <w:sz w:val="44"/>
          <w:szCs w:val="44"/>
        </w:rPr>
        <w:t>预算</w:t>
      </w:r>
    </w:p>
    <w:p w14:paraId="4761790D">
      <w:pPr>
        <w:pStyle w:val="3"/>
        <w:adjustRightInd w:val="0"/>
        <w:snapToGrid w:val="0"/>
        <w:spacing w:line="560" w:lineRule="exact"/>
        <w:jc w:val="center"/>
        <w:outlineLvl w:val="0"/>
        <w:rPr>
          <w:rFonts w:hint="eastAsia" w:ascii="方正小标宋简体" w:hAnsi="方正小标宋简体" w:eastAsia="方正小标宋简体" w:cs="TimesNewRoman"/>
          <w:sz w:val="32"/>
          <w:szCs w:val="32"/>
        </w:rPr>
      </w:pPr>
    </w:p>
    <w:p w14:paraId="2251BDF1">
      <w:pPr>
        <w:pStyle w:val="3"/>
        <w:adjustRightInd w:val="0"/>
        <w:snapToGrid w:val="0"/>
        <w:spacing w:line="560" w:lineRule="exact"/>
        <w:jc w:val="center"/>
        <w:rPr>
          <w:rFonts w:hint="eastAsia" w:ascii="仿宋_GB2312" w:hAnsi="TimesNewRoman" w:eastAsia="仿宋_GB2312" w:cs="TimesNewRoman"/>
          <w:bCs/>
          <w:sz w:val="32"/>
          <w:szCs w:val="32"/>
        </w:rPr>
      </w:pPr>
    </w:p>
    <w:p w14:paraId="1DB939B1">
      <w:pPr>
        <w:pStyle w:val="3"/>
        <w:adjustRightInd w:val="0"/>
        <w:snapToGrid w:val="0"/>
        <w:spacing w:line="560" w:lineRule="exact"/>
        <w:jc w:val="center"/>
        <w:rPr>
          <w:rFonts w:hint="eastAsia" w:ascii="仿宋_GB2312" w:hAnsi="TimesNewRoman" w:eastAsia="仿宋_GB2312" w:cs="TimesNewRoman"/>
          <w:bCs/>
          <w:sz w:val="32"/>
          <w:szCs w:val="32"/>
        </w:rPr>
      </w:pPr>
    </w:p>
    <w:p w14:paraId="3A43F779">
      <w:pPr>
        <w:pStyle w:val="3"/>
        <w:adjustRightInd w:val="0"/>
        <w:snapToGrid w:val="0"/>
        <w:spacing w:line="560" w:lineRule="exact"/>
        <w:jc w:val="center"/>
        <w:rPr>
          <w:rFonts w:hint="eastAsia" w:ascii="仿宋_GB2312" w:hAnsi="TimesNewRoman" w:eastAsia="仿宋_GB2312" w:cs="TimesNewRoman"/>
          <w:bCs/>
          <w:sz w:val="32"/>
          <w:szCs w:val="32"/>
        </w:rPr>
      </w:pPr>
    </w:p>
    <w:p w14:paraId="2231B56C">
      <w:pPr>
        <w:pStyle w:val="3"/>
        <w:adjustRightInd w:val="0"/>
        <w:snapToGrid w:val="0"/>
        <w:spacing w:line="560" w:lineRule="exact"/>
        <w:jc w:val="center"/>
        <w:rPr>
          <w:rFonts w:hint="eastAsia" w:ascii="仿宋_GB2312" w:hAnsi="TimesNewRoman" w:eastAsia="仿宋_GB2312" w:cs="TimesNewRoman"/>
          <w:bCs/>
          <w:sz w:val="32"/>
          <w:szCs w:val="32"/>
        </w:rPr>
      </w:pPr>
    </w:p>
    <w:p w14:paraId="314C78B0">
      <w:pPr>
        <w:pStyle w:val="3"/>
        <w:adjustRightInd w:val="0"/>
        <w:snapToGrid w:val="0"/>
        <w:spacing w:line="560" w:lineRule="exact"/>
        <w:jc w:val="center"/>
        <w:rPr>
          <w:rFonts w:hint="eastAsia" w:ascii="仿宋_GB2312" w:hAnsi="TimesNewRoman" w:eastAsia="仿宋_GB2312" w:cs="TimesNewRoman"/>
          <w:bCs/>
          <w:sz w:val="32"/>
          <w:szCs w:val="32"/>
        </w:rPr>
      </w:pPr>
    </w:p>
    <w:p w14:paraId="413A9238">
      <w:pPr>
        <w:pStyle w:val="3"/>
        <w:adjustRightInd w:val="0"/>
        <w:snapToGrid w:val="0"/>
        <w:spacing w:line="560" w:lineRule="exact"/>
        <w:jc w:val="center"/>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 xml:space="preserve">                       </w:t>
      </w:r>
    </w:p>
    <w:p w14:paraId="08BA2047">
      <w:pPr>
        <w:pStyle w:val="3"/>
        <w:adjustRightInd w:val="0"/>
        <w:snapToGrid w:val="0"/>
        <w:spacing w:line="560" w:lineRule="exact"/>
        <w:jc w:val="center"/>
        <w:rPr>
          <w:rFonts w:hint="eastAsia" w:ascii="仿宋_GB2312" w:hAnsi="TimesNewRoman" w:eastAsia="仿宋_GB2312" w:cs="TimesNewRoman"/>
          <w:bCs/>
          <w:sz w:val="32"/>
          <w:szCs w:val="32"/>
        </w:rPr>
      </w:pPr>
    </w:p>
    <w:p w14:paraId="6120BB2B">
      <w:pPr>
        <w:pStyle w:val="3"/>
        <w:adjustRightInd w:val="0"/>
        <w:snapToGrid w:val="0"/>
        <w:spacing w:line="560" w:lineRule="exact"/>
        <w:jc w:val="center"/>
        <w:rPr>
          <w:rFonts w:hint="eastAsia" w:ascii="仿宋_GB2312" w:hAnsi="TimesNewRoman" w:eastAsia="仿宋_GB2312" w:cs="TimesNewRoman"/>
          <w:bCs/>
          <w:sz w:val="32"/>
          <w:szCs w:val="32"/>
        </w:rPr>
      </w:pPr>
    </w:p>
    <w:p w14:paraId="2BCAB71E">
      <w:pPr>
        <w:pStyle w:val="3"/>
        <w:adjustRightInd w:val="0"/>
        <w:snapToGrid w:val="0"/>
        <w:spacing w:line="560" w:lineRule="exact"/>
        <w:jc w:val="center"/>
        <w:rPr>
          <w:rFonts w:hint="eastAsia" w:ascii="仿宋_GB2312" w:hAnsi="TimesNewRoman" w:eastAsia="仿宋_GB2312" w:cs="TimesNewRoman"/>
          <w:bCs/>
          <w:sz w:val="32"/>
          <w:szCs w:val="32"/>
        </w:rPr>
      </w:pPr>
    </w:p>
    <w:p w14:paraId="562793CB">
      <w:pPr>
        <w:pStyle w:val="3"/>
        <w:adjustRightInd w:val="0"/>
        <w:snapToGrid w:val="0"/>
        <w:spacing w:line="560" w:lineRule="exact"/>
        <w:jc w:val="center"/>
        <w:rPr>
          <w:rFonts w:hint="default" w:ascii="仿宋_GB2312" w:hAnsi="TimesNewRoman" w:eastAsia="仿宋_GB2312" w:cs="TimesNewRoman"/>
          <w:bCs/>
          <w:sz w:val="32"/>
          <w:szCs w:val="32"/>
          <w:lang w:val="en-US" w:eastAsia="zh-CN"/>
        </w:rPr>
      </w:pPr>
      <w:r>
        <w:rPr>
          <w:rFonts w:hint="eastAsia" w:ascii="仿宋_GB2312" w:hAnsi="TimesNewRoman" w:eastAsia="仿宋_GB2312" w:cs="TimesNewRoman"/>
          <w:bCs/>
          <w:sz w:val="32"/>
          <w:szCs w:val="32"/>
          <w:lang w:val="en-US" w:eastAsia="zh-CN"/>
        </w:rPr>
        <w:t>2025年1月</w:t>
      </w:r>
    </w:p>
    <w:p w14:paraId="62E3BA96">
      <w:pPr>
        <w:pStyle w:val="3"/>
        <w:adjustRightInd w:val="0"/>
        <w:snapToGrid w:val="0"/>
        <w:spacing w:line="560" w:lineRule="exact"/>
        <w:jc w:val="center"/>
        <w:rPr>
          <w:rFonts w:hint="eastAsia" w:ascii="方正小标宋_GBK" w:hAnsi="TimesNewRoman" w:eastAsia="方正小标宋_GBK" w:cs="TimesNewRoman"/>
          <w:bCs/>
          <w:sz w:val="40"/>
          <w:szCs w:val="44"/>
        </w:rPr>
      </w:pPr>
      <w:r>
        <w:rPr>
          <w:rFonts w:hint="eastAsia" w:ascii="方正小标宋_GBK" w:hAnsi="TimesNewRoman" w:eastAsia="方正小标宋_GBK" w:cs="TimesNewRoman"/>
          <w:bCs/>
          <w:sz w:val="40"/>
          <w:szCs w:val="44"/>
        </w:rPr>
        <w:t>目  录</w:t>
      </w:r>
    </w:p>
    <w:p w14:paraId="32BE1952">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p>
    <w:p w14:paraId="585ECA65">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第一部分 部门概况</w:t>
      </w:r>
    </w:p>
    <w:p w14:paraId="5EDF0199">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1.主要职责</w:t>
      </w:r>
    </w:p>
    <w:p w14:paraId="27FBAF7F">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2.部门预算构成</w:t>
      </w:r>
    </w:p>
    <w:p w14:paraId="4850C690">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3.2025年度主要工作任务</w:t>
      </w:r>
    </w:p>
    <w:p w14:paraId="2F1B4D53">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二</w:t>
      </w:r>
      <w:r>
        <w:rPr>
          <w:rFonts w:ascii="黑体" w:hAnsi="黑体" w:eastAsia="黑体" w:cs="TimesNewRoman"/>
          <w:sz w:val="32"/>
          <w:szCs w:val="32"/>
        </w:rPr>
        <w:t xml:space="preserve">部分 </w:t>
      </w:r>
      <w:r>
        <w:rPr>
          <w:rFonts w:hint="eastAsia" w:ascii="黑体" w:hAnsi="黑体" w:eastAsia="黑体" w:cs="TimesNewRoman"/>
          <w:sz w:val="32"/>
          <w:szCs w:val="32"/>
        </w:rPr>
        <w:t>2025</w:t>
      </w:r>
      <w:r>
        <w:rPr>
          <w:rFonts w:ascii="黑体" w:hAnsi="黑体" w:eastAsia="黑体" w:cs="TimesNewRoman"/>
          <w:sz w:val="32"/>
          <w:szCs w:val="32"/>
        </w:rPr>
        <w:t>年部门预算情况说明</w:t>
      </w:r>
    </w:p>
    <w:p w14:paraId="4CDE65EB">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年收支总表的说明</w:t>
      </w:r>
    </w:p>
    <w:p w14:paraId="30C56F15">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年收入总表的说明</w:t>
      </w:r>
    </w:p>
    <w:p w14:paraId="7B889FAA">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年支出总表的说明</w:t>
      </w:r>
    </w:p>
    <w:p w14:paraId="2A8F7645">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年财政拨款收支总表的说明</w:t>
      </w:r>
    </w:p>
    <w:p w14:paraId="6764B9CB">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年一般公共预算支出表的说明</w:t>
      </w:r>
    </w:p>
    <w:p w14:paraId="081DEDB8">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年一般公共预算基本支出表的说明</w:t>
      </w:r>
    </w:p>
    <w:p w14:paraId="14A34225">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年政府性基金预算支出表的说明</w:t>
      </w:r>
    </w:p>
    <w:p w14:paraId="7B5D1E29">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年国有资本经营预算支出表的说明</w:t>
      </w:r>
    </w:p>
    <w:p w14:paraId="3AED907B">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年项目支出表的说明</w:t>
      </w:r>
    </w:p>
    <w:p w14:paraId="356A4E76">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年政府采购支出表的说明</w:t>
      </w:r>
    </w:p>
    <w:p w14:paraId="2B17C4F4">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年政府购买服务支出表的说明</w:t>
      </w:r>
    </w:p>
    <w:p w14:paraId="532477D4">
      <w:pPr>
        <w:pStyle w:val="3"/>
        <w:topLinePunct/>
        <w:adjustRightInd w:val="0"/>
        <w:snapToGrid w:val="0"/>
        <w:spacing w:beforeAutospacing="0" w:afterAutospacing="0" w:line="560" w:lineRule="exact"/>
        <w:ind w:firstLine="640" w:firstLineChars="200"/>
        <w:jc w:val="both"/>
        <w:rPr>
          <w:rFonts w:hint="default" w:ascii="仿宋_GB2312" w:hAnsi="TimesNewRoman" w:eastAsia="仿宋_GB2312" w:cs="TimesNewRoman"/>
          <w:bCs/>
          <w:sz w:val="32"/>
          <w:szCs w:val="32"/>
          <w:lang w:val="en-US" w:eastAsia="zh-CN"/>
        </w:rPr>
      </w:pPr>
      <w:r>
        <w:rPr>
          <w:rFonts w:hint="eastAsia" w:ascii="仿宋_GB2312" w:hAnsi="TimesNewRoman" w:eastAsia="仿宋_GB2312" w:cs="TimesNewRoman"/>
          <w:bCs/>
          <w:sz w:val="32"/>
          <w:szCs w:val="32"/>
          <w:lang w:val="en-US" w:eastAsia="zh-CN"/>
        </w:rPr>
        <w:t>12.关于2025年一般公共预算“三公”经费支出情况说明</w:t>
      </w:r>
    </w:p>
    <w:p w14:paraId="54615ECA">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仿宋_GB2312" w:hAnsi="TimesNewRoman" w:eastAsia="仿宋_GB2312" w:cs="TimesNewRoman"/>
          <w:bCs/>
          <w:sz w:val="32"/>
          <w:szCs w:val="32"/>
        </w:rPr>
        <w:t>1</w:t>
      </w:r>
      <w:r>
        <w:rPr>
          <w:rFonts w:hint="eastAsia" w:ascii="仿宋_GB2312" w:hAnsi="TimesNewRoman" w:eastAsia="仿宋_GB2312" w:cs="TimesNewRoman"/>
          <w:bCs/>
          <w:sz w:val="32"/>
          <w:szCs w:val="32"/>
          <w:lang w:val="en-US" w:eastAsia="zh-CN"/>
        </w:rPr>
        <w:t>3</w:t>
      </w:r>
      <w:r>
        <w:rPr>
          <w:rFonts w:ascii="仿宋_GB2312" w:hAnsi="TimesNewRoman" w:eastAsia="仿宋_GB2312" w:cs="TimesNewRoman"/>
          <w:bCs/>
          <w:sz w:val="32"/>
          <w:szCs w:val="32"/>
        </w:rPr>
        <w:t>.其他重要事项情况说明</w:t>
      </w:r>
    </w:p>
    <w:p w14:paraId="0F82857B">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三</w:t>
      </w:r>
      <w:r>
        <w:rPr>
          <w:rFonts w:ascii="黑体" w:hAnsi="黑体" w:eastAsia="黑体" w:cs="TimesNewRoman"/>
          <w:sz w:val="32"/>
          <w:szCs w:val="32"/>
        </w:rPr>
        <w:t>部分 名词解释</w:t>
      </w:r>
    </w:p>
    <w:p w14:paraId="558825A6">
      <w:pPr>
        <w:pStyle w:val="3"/>
        <w:topLinePunct/>
        <w:adjustRightInd w:val="0"/>
        <w:snapToGrid w:val="0"/>
        <w:spacing w:beforeAutospacing="0" w:afterAutospacing="0" w:line="560" w:lineRule="exact"/>
        <w:ind w:firstLine="643" w:firstLineChars="200"/>
        <w:jc w:val="both"/>
        <w:rPr>
          <w:rFonts w:ascii="TimesNewRoman" w:hAnsi="TimesNewRoman" w:eastAsia="仿宋_GB2312" w:cs="TimesNewRoman"/>
          <w:b/>
          <w:sz w:val="32"/>
          <w:szCs w:val="32"/>
        </w:rPr>
      </w:pPr>
    </w:p>
    <w:p w14:paraId="02D723A0">
      <w:pPr>
        <w:pStyle w:val="3"/>
        <w:topLinePunct/>
        <w:adjustRightInd w:val="0"/>
        <w:snapToGrid w:val="0"/>
        <w:spacing w:beforeAutospacing="0" w:afterAutospacing="0" w:line="560" w:lineRule="exact"/>
        <w:jc w:val="both"/>
        <w:rPr>
          <w:rFonts w:ascii="TimesNewRoman" w:hAnsi="TimesNewRoman" w:eastAsia="黑体" w:cs="TimesNewRoman"/>
          <w:bCs/>
          <w:sz w:val="36"/>
          <w:szCs w:val="36"/>
        </w:rPr>
      </w:pPr>
    </w:p>
    <w:p w14:paraId="08B745E0">
      <w:pPr>
        <w:pStyle w:val="3"/>
        <w:topLinePunct/>
        <w:adjustRightInd w:val="0"/>
        <w:snapToGrid w:val="0"/>
        <w:spacing w:beforeAutospacing="0" w:afterAutospacing="0" w:line="560" w:lineRule="exact"/>
        <w:jc w:val="both"/>
        <w:rPr>
          <w:rFonts w:ascii="TimesNewRoman" w:hAnsi="TimesNewRoman" w:eastAsia="黑体" w:cs="TimesNewRoman"/>
          <w:bCs/>
          <w:sz w:val="36"/>
          <w:szCs w:val="36"/>
        </w:rPr>
      </w:pPr>
    </w:p>
    <w:p w14:paraId="18F564CF">
      <w:pPr>
        <w:pStyle w:val="3"/>
        <w:topLinePunct/>
        <w:adjustRightInd w:val="0"/>
        <w:snapToGrid w:val="0"/>
        <w:spacing w:beforeAutospacing="0" w:afterAutospacing="0" w:line="560" w:lineRule="exact"/>
        <w:ind w:firstLine="2520" w:firstLineChars="700"/>
        <w:jc w:val="both"/>
        <w:rPr>
          <w:rFonts w:ascii="TimesNewRoman" w:hAnsi="TimesNewRoman" w:eastAsia="黑体" w:cs="TimesNewRoman"/>
          <w:bCs/>
          <w:sz w:val="36"/>
          <w:szCs w:val="36"/>
        </w:rPr>
      </w:pPr>
      <w:r>
        <w:rPr>
          <w:rFonts w:ascii="TimesNewRoman" w:hAnsi="TimesNewRoman" w:eastAsia="黑体" w:cs="TimesNewRoman"/>
          <w:bCs/>
          <w:sz w:val="36"/>
          <w:szCs w:val="36"/>
        </w:rPr>
        <w:t>第一部分 部门概况</w:t>
      </w:r>
    </w:p>
    <w:p w14:paraId="0C0EE618">
      <w:pPr>
        <w:pStyle w:val="3"/>
        <w:keepNext w:val="0"/>
        <w:keepLines w:val="0"/>
        <w:pageBreakBefore w:val="0"/>
        <w:widowControl w:val="0"/>
        <w:kinsoku/>
        <w:wordWrap/>
        <w:overflowPunct/>
        <w:topLinePunct/>
        <w:autoSpaceDE/>
        <w:autoSpaceDN/>
        <w:bidi w:val="0"/>
        <w:adjustRightInd w:val="0"/>
        <w:snapToGrid w:val="0"/>
        <w:spacing w:beforeAutospacing="0" w:afterAutospacing="0" w:line="600" w:lineRule="exact"/>
        <w:ind w:firstLine="627" w:firstLineChars="196"/>
        <w:jc w:val="both"/>
        <w:textAlignment w:val="auto"/>
        <w:outlineLvl w:val="9"/>
        <w:rPr>
          <w:rFonts w:ascii="TimesNewRoman" w:hAnsi="TimesNewRoman" w:eastAsia="黑体" w:cs="TimesNewRoman"/>
          <w:bCs/>
          <w:sz w:val="32"/>
          <w:szCs w:val="32"/>
        </w:rPr>
      </w:pPr>
    </w:p>
    <w:p w14:paraId="742BDEDC">
      <w:pPr>
        <w:pStyle w:val="3"/>
        <w:keepNext w:val="0"/>
        <w:keepLines w:val="0"/>
        <w:pageBreakBefore w:val="0"/>
        <w:widowControl w:val="0"/>
        <w:kinsoku/>
        <w:wordWrap/>
        <w:overflowPunct/>
        <w:topLinePunct/>
        <w:autoSpaceDE/>
        <w:autoSpaceDN/>
        <w:bidi w:val="0"/>
        <w:adjustRightInd w:val="0"/>
        <w:snapToGrid w:val="0"/>
        <w:spacing w:beforeAutospacing="0" w:afterAutospacing="0" w:line="600" w:lineRule="exact"/>
        <w:ind w:firstLine="643" w:firstLineChars="200"/>
        <w:jc w:val="both"/>
        <w:textAlignment w:val="auto"/>
        <w:outlineLvl w:val="9"/>
        <w:rPr>
          <w:rFonts w:hint="eastAsia" w:ascii="楷体_GB2312" w:hAnsi="TimesNewRoman" w:eastAsia="楷体_GB2312" w:cs="TimesNewRoman"/>
          <w:b/>
          <w:bCs/>
          <w:sz w:val="32"/>
          <w:szCs w:val="32"/>
        </w:rPr>
      </w:pPr>
      <w:r>
        <w:rPr>
          <w:rFonts w:hint="eastAsia" w:ascii="楷体_GB2312" w:hAnsi="TimesNewRoman" w:eastAsia="楷体_GB2312" w:cs="TimesNewRoman"/>
          <w:b/>
          <w:bCs/>
          <w:sz w:val="32"/>
          <w:szCs w:val="32"/>
        </w:rPr>
        <w:t>一、主要职责</w:t>
      </w:r>
    </w:p>
    <w:p w14:paraId="32182B5F">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1.负责中国“文学之乡”的申创及日常管理工作，依托中国“文学之乡”平台，组织、承办各类文学赛事，组织、指导全县文学艺术创作活动;</w:t>
      </w:r>
    </w:p>
    <w:p w14:paraId="343D16C8">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9"/>
        <w:rPr>
          <w:rFonts w:hint="eastAsia" w:ascii="仿宋" w:hAnsi="仿宋" w:eastAsia="仿宋"/>
          <w:sz w:val="32"/>
          <w:szCs w:val="32"/>
          <w:lang w:val="en-US" w:eastAsia="zh-CN"/>
        </w:rPr>
      </w:pPr>
      <w:r>
        <w:rPr>
          <w:rFonts w:hint="eastAsia" w:ascii="仿宋" w:hAnsi="仿宋" w:eastAsia="仿宋"/>
          <w:sz w:val="32"/>
          <w:szCs w:val="32"/>
        </w:rPr>
        <w:t>2</w:t>
      </w:r>
      <w:r>
        <w:rPr>
          <w:rFonts w:hint="eastAsia" w:ascii="仿宋" w:hAnsi="仿宋" w:eastAsia="仿宋"/>
          <w:sz w:val="32"/>
          <w:szCs w:val="32"/>
          <w:lang w:eastAsia="zh-CN"/>
        </w:rPr>
        <w:t>.</w:t>
      </w:r>
      <w:r>
        <w:rPr>
          <w:rFonts w:hint="eastAsia" w:ascii="仿宋" w:hAnsi="仿宋" w:eastAsia="仿宋"/>
          <w:sz w:val="32"/>
          <w:szCs w:val="32"/>
          <w:lang w:val="en-US" w:eastAsia="zh-CN"/>
        </w:rPr>
        <w:t>开展文艺作品创作、文艺理论研究，组织专题创作采风活动;</w:t>
      </w:r>
    </w:p>
    <w:p w14:paraId="096F448A">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9"/>
        <w:rPr>
          <w:rFonts w:hint="eastAsia" w:ascii="仿宋" w:hAnsi="仿宋" w:eastAsia="仿宋"/>
          <w:sz w:val="32"/>
          <w:szCs w:val="32"/>
          <w:lang w:val="en-US" w:eastAsia="zh-CN"/>
        </w:rPr>
      </w:pPr>
      <w:r>
        <w:rPr>
          <w:rFonts w:hint="eastAsia" w:ascii="仿宋" w:hAnsi="仿宋" w:eastAsia="仿宋"/>
          <w:sz w:val="32"/>
          <w:szCs w:val="32"/>
        </w:rPr>
        <w:t>3</w:t>
      </w:r>
      <w:r>
        <w:rPr>
          <w:rFonts w:hint="eastAsia" w:ascii="仿宋" w:hAnsi="仿宋" w:eastAsia="仿宋"/>
          <w:sz w:val="32"/>
          <w:szCs w:val="32"/>
          <w:lang w:eastAsia="zh-CN"/>
        </w:rPr>
        <w:t>.</w:t>
      </w:r>
      <w:r>
        <w:rPr>
          <w:rFonts w:hint="eastAsia" w:ascii="仿宋" w:hAnsi="仿宋" w:eastAsia="仿宋"/>
          <w:sz w:val="32"/>
          <w:szCs w:val="32"/>
          <w:lang w:val="en-US" w:eastAsia="zh-CN"/>
        </w:rPr>
        <w:t>承担寿县文艺丛书、公益性文学刊物的策划、组织、编辑、出版、研讨、展览、宣传推广工作;</w:t>
      </w:r>
    </w:p>
    <w:p w14:paraId="759FE12F">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9"/>
        <w:rPr>
          <w:rFonts w:hint="eastAsia" w:ascii="仿宋" w:hAnsi="仿宋" w:eastAsia="仿宋"/>
          <w:sz w:val="32"/>
          <w:szCs w:val="32"/>
          <w:lang w:val="en-US" w:eastAsia="zh-CN"/>
        </w:rPr>
      </w:pPr>
      <w:r>
        <w:rPr>
          <w:rFonts w:hint="eastAsia" w:ascii="仿宋" w:hAnsi="仿宋" w:eastAsia="仿宋"/>
          <w:sz w:val="32"/>
          <w:szCs w:val="32"/>
        </w:rPr>
        <w:t>4</w:t>
      </w:r>
      <w:r>
        <w:rPr>
          <w:rFonts w:hint="eastAsia" w:ascii="仿宋" w:hAnsi="仿宋" w:eastAsia="仿宋"/>
          <w:sz w:val="32"/>
          <w:szCs w:val="32"/>
          <w:lang w:eastAsia="zh-CN"/>
        </w:rPr>
        <w:t>.</w:t>
      </w:r>
      <w:r>
        <w:rPr>
          <w:rFonts w:hint="eastAsia" w:ascii="仿宋" w:hAnsi="仿宋" w:eastAsia="仿宋"/>
          <w:sz w:val="32"/>
          <w:szCs w:val="32"/>
          <w:lang w:val="en-US" w:eastAsia="zh-CN"/>
        </w:rPr>
        <w:t>组织实施各类文艺选题的作品创作、举办文艺作品交流活动，组织开展文艺培训、调研等活动，为文艺家创作提供设立签约作家机制、组建文艺名家工作室等相关服务;</w:t>
      </w:r>
    </w:p>
    <w:p w14:paraId="725D4581">
      <w:pPr>
        <w:keepNext w:val="0"/>
        <w:keepLines w:val="0"/>
        <w:pageBreakBefore w:val="0"/>
        <w:widowControl w:val="0"/>
        <w:kinsoku/>
        <w:wordWrap/>
        <w:overflowPunct/>
        <w:autoSpaceDE/>
        <w:autoSpaceDN/>
        <w:bidi w:val="0"/>
        <w:adjustRightInd w:val="0"/>
        <w:snapToGrid w:val="0"/>
        <w:spacing w:line="600" w:lineRule="exact"/>
        <w:ind w:firstLine="640" w:firstLineChars="200"/>
        <w:textAlignment w:val="auto"/>
        <w:outlineLvl w:val="9"/>
        <w:rPr>
          <w:rFonts w:hint="eastAsia" w:ascii="仿宋" w:hAnsi="仿宋" w:eastAsia="仿宋"/>
          <w:sz w:val="32"/>
          <w:szCs w:val="32"/>
          <w:lang w:eastAsia="zh-CN"/>
        </w:rPr>
      </w:pPr>
      <w:r>
        <w:rPr>
          <w:rFonts w:hint="eastAsia" w:ascii="仿宋" w:hAnsi="仿宋" w:eastAsia="仿宋"/>
          <w:sz w:val="32"/>
          <w:szCs w:val="32"/>
        </w:rPr>
        <w:t>5</w:t>
      </w:r>
      <w:r>
        <w:rPr>
          <w:rFonts w:hint="eastAsia" w:ascii="仿宋" w:hAnsi="仿宋" w:eastAsia="仿宋"/>
          <w:sz w:val="32"/>
          <w:szCs w:val="32"/>
          <w:lang w:eastAsia="zh-CN"/>
        </w:rPr>
        <w:t>.</w:t>
      </w:r>
      <w:r>
        <w:rPr>
          <w:rFonts w:hint="eastAsia" w:ascii="仿宋" w:hAnsi="仿宋" w:eastAsia="仿宋"/>
          <w:sz w:val="32"/>
          <w:szCs w:val="32"/>
          <w:lang w:val="en-US" w:eastAsia="zh-CN"/>
        </w:rPr>
        <w:t>负责寿州循理书院的日常管理运营等相关工作。</w:t>
      </w:r>
    </w:p>
    <w:p w14:paraId="478DED2A">
      <w:pPr>
        <w:pStyle w:val="3"/>
        <w:topLinePunct/>
        <w:adjustRightInd w:val="0"/>
        <w:snapToGrid w:val="0"/>
        <w:spacing w:beforeAutospacing="0" w:afterAutospacing="0" w:line="580" w:lineRule="exact"/>
        <w:ind w:firstLine="643" w:firstLineChars="200"/>
        <w:jc w:val="both"/>
        <w:rPr>
          <w:rFonts w:ascii="楷体_GB2312" w:hAnsi="TimesNewRoman" w:eastAsia="楷体_GB2312" w:cs="TimesNewRoman"/>
          <w:b/>
          <w:bCs/>
          <w:sz w:val="32"/>
          <w:szCs w:val="32"/>
        </w:rPr>
      </w:pPr>
      <w:r>
        <w:rPr>
          <w:rFonts w:hint="eastAsia" w:ascii="楷体_GB2312" w:hAnsi="TimesNewRoman" w:eastAsia="楷体_GB2312" w:cs="TimesNewRoman"/>
          <w:b/>
          <w:bCs/>
          <w:sz w:val="32"/>
          <w:szCs w:val="32"/>
        </w:rPr>
        <w:t>二、</w:t>
      </w:r>
      <w:r>
        <w:rPr>
          <w:rFonts w:hint="eastAsia" w:ascii="楷体_GB2312" w:hAnsi="TimesNewRoman" w:eastAsia="楷体_GB2312" w:cs="TimesNewRoman"/>
          <w:b/>
          <w:bCs/>
          <w:sz w:val="32"/>
          <w:szCs w:val="32"/>
          <w:lang w:val="en-US" w:eastAsia="zh-CN"/>
        </w:rPr>
        <w:t>单位</w:t>
      </w:r>
      <w:r>
        <w:rPr>
          <w:rFonts w:ascii="楷体_GB2312" w:hAnsi="TimesNewRoman" w:eastAsia="楷体_GB2312" w:cs="TimesNewRoman"/>
          <w:b/>
          <w:bCs/>
          <w:sz w:val="32"/>
          <w:szCs w:val="32"/>
        </w:rPr>
        <w:t>预算构成</w:t>
      </w:r>
    </w:p>
    <w:p w14:paraId="7695C0DC">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从预算单位构成看，</w:t>
      </w:r>
      <w:r>
        <w:rPr>
          <w:rFonts w:hint="eastAsia" w:ascii="仿宋_GB2312" w:hAnsi="TimesNewRoman" w:eastAsia="仿宋_GB2312" w:cs="TimesNewRoman"/>
          <w:bCs/>
          <w:sz w:val="32"/>
          <w:szCs w:val="32"/>
        </w:rPr>
        <w:t>寿县</w:t>
      </w:r>
      <w:r>
        <w:rPr>
          <w:rFonts w:hint="eastAsia" w:ascii="仿宋_GB2312" w:hAnsi="TimesNewRoman" w:eastAsia="仿宋_GB2312" w:cs="TimesNewRoman"/>
          <w:sz w:val="32"/>
          <w:szCs w:val="32"/>
        </w:rPr>
        <w:t>2025年度</w:t>
      </w:r>
      <w:r>
        <w:rPr>
          <w:rFonts w:hint="eastAsia" w:ascii="仿宋_GB2312" w:hAnsi="TimesNewRoman" w:eastAsia="仿宋_GB2312" w:cs="TimesNewRoman"/>
          <w:sz w:val="32"/>
          <w:szCs w:val="32"/>
          <w:lang w:val="en-US" w:eastAsia="zh-CN"/>
        </w:rPr>
        <w:t>单位</w:t>
      </w:r>
      <w:r>
        <w:rPr>
          <w:rFonts w:hint="eastAsia" w:ascii="仿宋_GB2312" w:hAnsi="TimesNewRoman" w:eastAsia="仿宋_GB2312" w:cs="TimesNewRoman"/>
          <w:sz w:val="32"/>
          <w:szCs w:val="32"/>
        </w:rPr>
        <w:t>预算仅包括</w:t>
      </w:r>
      <w:r>
        <w:rPr>
          <w:rFonts w:hint="eastAsia" w:ascii="仿宋_GB2312" w:hAnsi="TimesNewRoman" w:eastAsia="仿宋_GB2312" w:cs="TimesNewRoman"/>
          <w:sz w:val="32"/>
          <w:szCs w:val="32"/>
          <w:lang w:val="en-US" w:eastAsia="zh-CN"/>
        </w:rPr>
        <w:t>县文学院</w:t>
      </w:r>
      <w:r>
        <w:rPr>
          <w:rFonts w:hint="eastAsia" w:ascii="仿宋_GB2312" w:hAnsi="TimesNewRoman" w:eastAsia="仿宋_GB2312" w:cs="TimesNewRoman"/>
          <w:sz w:val="32"/>
          <w:szCs w:val="32"/>
        </w:rPr>
        <w:t>本级预算，无其他下属单位预算。</w:t>
      </w:r>
    </w:p>
    <w:p w14:paraId="4165C218">
      <w:pPr>
        <w:pStyle w:val="3"/>
        <w:topLinePunct/>
        <w:adjustRightInd w:val="0"/>
        <w:snapToGrid w:val="0"/>
        <w:spacing w:beforeAutospacing="0" w:afterAutospacing="0" w:line="580" w:lineRule="exact"/>
        <w:ind w:firstLine="643" w:firstLineChars="200"/>
        <w:jc w:val="both"/>
        <w:rPr>
          <w:rFonts w:ascii="TimesNewRoman" w:hAnsi="TimesNewRoman" w:eastAsia="仿宋_GB2312" w:cs="TimesNewRoman"/>
          <w:bCs/>
          <w:sz w:val="32"/>
          <w:szCs w:val="32"/>
        </w:rPr>
      </w:pPr>
      <w:r>
        <w:rPr>
          <w:rFonts w:hint="eastAsia" w:ascii="楷体_GB2312" w:hAnsi="TimesNewRoman" w:eastAsia="楷体_GB2312" w:cs="TimesNewRoman"/>
          <w:b/>
          <w:bCs/>
          <w:sz w:val="32"/>
          <w:szCs w:val="32"/>
        </w:rPr>
        <w:t>三、2025年度主要工作任务</w:t>
      </w:r>
    </w:p>
    <w:p w14:paraId="0DA543E0">
      <w:pPr>
        <w:spacing w:line="600" w:lineRule="exact"/>
        <w:ind w:firstLine="800" w:firstLineChars="250"/>
        <w:rPr>
          <w:rFonts w:hint="default" w:ascii="仿宋" w:hAnsi="仿宋" w:eastAsia="仿宋"/>
          <w:color w:val="000000"/>
          <w:sz w:val="32"/>
          <w:szCs w:val="32"/>
          <w:lang w:val="en-US"/>
        </w:rPr>
      </w:pPr>
      <w:r>
        <w:rPr>
          <w:rFonts w:hint="eastAsia" w:ascii="仿宋" w:hAnsi="仿宋" w:eastAsia="仿宋"/>
          <w:color w:val="000000"/>
          <w:sz w:val="32"/>
          <w:szCs w:val="32"/>
        </w:rPr>
        <w:t>1</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举办“寿春杯《小说选刊》年度大奖”颁奖典礼系列活动；</w:t>
      </w:r>
    </w:p>
    <w:p w14:paraId="4900C19E">
      <w:pPr>
        <w:spacing w:line="60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rPr>
        <w:t>2</w:t>
      </w:r>
      <w:r>
        <w:rPr>
          <w:rFonts w:hint="eastAsia" w:ascii="仿宋" w:hAnsi="仿宋" w:eastAsia="仿宋"/>
          <w:color w:val="000000"/>
          <w:sz w:val="32"/>
          <w:szCs w:val="32"/>
          <w:lang w:eastAsia="zh-CN"/>
        </w:rPr>
        <w:t>.寿州循理书院logo及“循理杯”奖杯设计大赛;</w:t>
      </w:r>
    </w:p>
    <w:p w14:paraId="3046C38D">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3</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举办</w:t>
      </w:r>
      <w:r>
        <w:rPr>
          <w:rFonts w:hint="eastAsia" w:ascii="仿宋" w:hAnsi="仿宋" w:eastAsia="仿宋"/>
          <w:color w:val="000000"/>
          <w:sz w:val="32"/>
          <w:szCs w:val="32"/>
          <w:lang w:eastAsia="zh-CN"/>
        </w:rPr>
        <w:t>“两节”文艺活动；</w:t>
      </w:r>
    </w:p>
    <w:p w14:paraId="37427019">
      <w:pPr>
        <w:spacing w:line="600" w:lineRule="exact"/>
        <w:ind w:firstLine="640" w:firstLineChars="200"/>
        <w:rPr>
          <w:rFonts w:hint="default" w:ascii="仿宋" w:hAnsi="仿宋" w:eastAsia="仿宋"/>
          <w:color w:val="000000"/>
          <w:sz w:val="32"/>
          <w:szCs w:val="32"/>
          <w:lang w:val="en-US"/>
        </w:rPr>
      </w:pPr>
      <w:r>
        <w:rPr>
          <w:rFonts w:hint="eastAsia" w:ascii="仿宋" w:hAnsi="仿宋" w:eastAsia="仿宋"/>
          <w:color w:val="000000"/>
          <w:sz w:val="32"/>
          <w:szCs w:val="32"/>
        </w:rPr>
        <w:t>4</w:t>
      </w:r>
      <w:r>
        <w:rPr>
          <w:rFonts w:hint="eastAsia" w:ascii="仿宋" w:hAnsi="仿宋" w:eastAsia="仿宋"/>
          <w:color w:val="000000"/>
          <w:sz w:val="32"/>
          <w:szCs w:val="32"/>
          <w:lang w:eastAsia="zh-CN"/>
        </w:rPr>
        <w:t>.承接中国作协、省作协活动</w:t>
      </w:r>
      <w:r>
        <w:rPr>
          <w:rFonts w:hint="eastAsia" w:ascii="仿宋" w:hAnsi="仿宋" w:eastAsia="仿宋"/>
          <w:color w:val="000000"/>
          <w:sz w:val="32"/>
          <w:szCs w:val="32"/>
          <w:lang w:val="en-US" w:eastAsia="zh-CN"/>
        </w:rPr>
        <w:t>;</w:t>
      </w:r>
    </w:p>
    <w:p w14:paraId="40C5EC8F">
      <w:pPr>
        <w:spacing w:line="600" w:lineRule="exact"/>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rPr>
        <w:t>5</w:t>
      </w:r>
      <w:r>
        <w:rPr>
          <w:rFonts w:hint="eastAsia" w:ascii="仿宋" w:hAnsi="仿宋" w:eastAsia="仿宋"/>
          <w:color w:val="000000"/>
          <w:sz w:val="32"/>
          <w:szCs w:val="32"/>
          <w:lang w:eastAsia="zh-CN"/>
        </w:rPr>
        <w:t>..印发文学期刊(内刊)春季刊、夏季刊、秋季刊、冬季刊</w:t>
      </w:r>
      <w:r>
        <w:rPr>
          <w:rFonts w:hint="eastAsia" w:ascii="仿宋" w:hAnsi="仿宋" w:eastAsia="仿宋"/>
          <w:color w:val="000000"/>
          <w:sz w:val="32"/>
          <w:szCs w:val="32"/>
          <w:lang w:val="en-US" w:eastAsia="zh-CN"/>
        </w:rPr>
        <w:t>;</w:t>
      </w:r>
    </w:p>
    <w:p w14:paraId="169BAC54">
      <w:pPr>
        <w:spacing w:line="60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rPr>
        <w:t>6</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举办</w:t>
      </w:r>
      <w:r>
        <w:rPr>
          <w:rFonts w:hint="eastAsia" w:ascii="仿宋" w:hAnsi="仿宋" w:eastAsia="仿宋"/>
          <w:color w:val="000000"/>
          <w:sz w:val="32"/>
          <w:szCs w:val="32"/>
          <w:lang w:eastAsia="zh-CN"/>
        </w:rPr>
        <w:t>“四月文学月”活动；</w:t>
      </w:r>
    </w:p>
    <w:p w14:paraId="3084D127">
      <w:pPr>
        <w:spacing w:line="60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rPr>
        <w:t>7</w:t>
      </w:r>
      <w:r>
        <w:rPr>
          <w:rFonts w:hint="eastAsia" w:ascii="仿宋" w:hAnsi="仿宋" w:eastAsia="仿宋"/>
          <w:color w:val="000000"/>
          <w:sz w:val="32"/>
          <w:szCs w:val="32"/>
          <w:lang w:eastAsia="zh-CN"/>
        </w:rPr>
        <w:t>.与国家级期刊等开展主题采风等活动；</w:t>
      </w:r>
    </w:p>
    <w:p w14:paraId="66E31196">
      <w:pPr>
        <w:spacing w:line="600" w:lineRule="exact"/>
        <w:ind w:firstLine="640" w:firstLineChars="200"/>
        <w:rPr>
          <w:rFonts w:hint="default" w:ascii="仿宋" w:hAnsi="仿宋" w:eastAsia="仿宋"/>
          <w:color w:val="000000"/>
          <w:sz w:val="32"/>
          <w:szCs w:val="32"/>
          <w:lang w:val="en-US" w:eastAsia="zh-CN"/>
        </w:rPr>
      </w:pPr>
      <w:r>
        <w:rPr>
          <w:rFonts w:hint="eastAsia" w:ascii="仿宋" w:hAnsi="仿宋" w:eastAsia="仿宋"/>
          <w:color w:val="000000"/>
          <w:sz w:val="32"/>
          <w:szCs w:val="32"/>
        </w:rPr>
        <w:t>8</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开展</w:t>
      </w:r>
      <w:r>
        <w:rPr>
          <w:rFonts w:hint="eastAsia" w:ascii="仿宋" w:hAnsi="仿宋" w:eastAsia="仿宋"/>
          <w:color w:val="000000"/>
          <w:sz w:val="32"/>
          <w:szCs w:val="32"/>
          <w:lang w:eastAsia="zh-CN"/>
        </w:rPr>
        <w:t>文艺人才引进工作、</w:t>
      </w:r>
      <w:r>
        <w:rPr>
          <w:rFonts w:hint="eastAsia" w:ascii="仿宋" w:hAnsi="仿宋" w:eastAsia="仿宋"/>
          <w:color w:val="000000"/>
          <w:sz w:val="32"/>
          <w:szCs w:val="32"/>
          <w:lang w:val="en-US" w:eastAsia="zh-CN"/>
        </w:rPr>
        <w:t>作家培训班；</w:t>
      </w:r>
    </w:p>
    <w:p w14:paraId="350EB553">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9</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举办</w:t>
      </w:r>
      <w:r>
        <w:rPr>
          <w:rFonts w:hint="eastAsia" w:ascii="仿宋" w:hAnsi="仿宋" w:eastAsia="仿宋"/>
          <w:color w:val="000000"/>
          <w:sz w:val="32"/>
          <w:szCs w:val="32"/>
          <w:lang w:eastAsia="zh-CN"/>
        </w:rPr>
        <w:t>主题采风、</w:t>
      </w:r>
      <w:r>
        <w:rPr>
          <w:rFonts w:hint="eastAsia" w:ascii="仿宋" w:hAnsi="仿宋" w:eastAsia="仿宋"/>
          <w:color w:val="000000"/>
          <w:sz w:val="32"/>
          <w:szCs w:val="32"/>
          <w:lang w:val="en-US" w:eastAsia="zh-CN"/>
        </w:rPr>
        <w:t>文艺作品交流研讨、</w:t>
      </w:r>
      <w:r>
        <w:rPr>
          <w:rFonts w:hint="eastAsia" w:ascii="仿宋" w:hAnsi="仿宋" w:eastAsia="仿宋"/>
          <w:color w:val="000000"/>
          <w:sz w:val="32"/>
          <w:szCs w:val="32"/>
          <w:lang w:eastAsia="zh-CN"/>
        </w:rPr>
        <w:t>抗日战争胜利80周年文学纪念活动等活动；</w:t>
      </w:r>
    </w:p>
    <w:p w14:paraId="4769F1A9">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1</w:t>
      </w:r>
      <w:r>
        <w:rPr>
          <w:rFonts w:hint="eastAsia" w:ascii="仿宋" w:hAnsi="仿宋" w:eastAsia="仿宋"/>
          <w:color w:val="000000"/>
          <w:sz w:val="32"/>
          <w:szCs w:val="32"/>
          <w:lang w:val="en-US" w:eastAsia="zh-CN"/>
        </w:rPr>
        <w:t>0</w:t>
      </w:r>
      <w:r>
        <w:rPr>
          <w:rFonts w:hint="eastAsia" w:ascii="仿宋" w:hAnsi="仿宋" w:eastAsia="仿宋"/>
          <w:color w:val="000000"/>
          <w:sz w:val="32"/>
          <w:szCs w:val="32"/>
          <w:lang w:eastAsia="zh-CN"/>
        </w:rPr>
        <w:t>.编撰、出版寿县文艺丛书</w:t>
      </w:r>
      <w:r>
        <w:rPr>
          <w:rFonts w:hint="eastAsia" w:ascii="仿宋" w:hAnsi="仿宋" w:eastAsia="仿宋"/>
          <w:color w:val="000000"/>
          <w:sz w:val="32"/>
          <w:szCs w:val="32"/>
        </w:rPr>
        <w:t>。</w:t>
      </w:r>
    </w:p>
    <w:p w14:paraId="387DE933">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4D9ADAA5">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第</w:t>
      </w:r>
      <w:r>
        <w:rPr>
          <w:rFonts w:hint="eastAsia" w:ascii="TimesNewRoman" w:hAnsi="TimesNewRoman" w:eastAsia="黑体" w:cs="TimesNewRoman"/>
          <w:bCs/>
          <w:sz w:val="36"/>
          <w:szCs w:val="36"/>
        </w:rPr>
        <w:t>二</w:t>
      </w:r>
      <w:r>
        <w:rPr>
          <w:rFonts w:ascii="TimesNewRoman" w:hAnsi="TimesNewRoman" w:eastAsia="黑体" w:cs="TimesNewRoman"/>
          <w:bCs/>
          <w:sz w:val="36"/>
          <w:szCs w:val="36"/>
        </w:rPr>
        <w:t xml:space="preserve">部分 </w:t>
      </w:r>
      <w:r>
        <w:rPr>
          <w:rFonts w:hint="eastAsia" w:ascii="TimesNewRoman" w:hAnsi="TimesNewRoman" w:eastAsia="黑体" w:cs="TimesNewRoman"/>
          <w:bCs/>
          <w:sz w:val="36"/>
          <w:szCs w:val="36"/>
        </w:rPr>
        <w:t>2025</w:t>
      </w:r>
      <w:r>
        <w:rPr>
          <w:rFonts w:ascii="TimesNewRoman" w:hAnsi="TimesNewRoman" w:eastAsia="黑体" w:cs="TimesNewRoman"/>
          <w:bCs/>
          <w:sz w:val="36"/>
          <w:szCs w:val="36"/>
        </w:rPr>
        <w:t>年部门预算情况说明</w:t>
      </w:r>
    </w:p>
    <w:p w14:paraId="2104D4DC">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p>
    <w:p w14:paraId="715D7847">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一、关于2025年收支总表的说明</w:t>
      </w:r>
    </w:p>
    <w:p w14:paraId="41376E14">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按照综合预算的原则，</w:t>
      </w: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所有收入和支出均纳入</w:t>
      </w:r>
      <w:r>
        <w:rPr>
          <w:rFonts w:hint="eastAsia" w:ascii="仿宋_GB2312" w:hAnsi="TimesNewRoman" w:eastAsia="仿宋_GB2312" w:cs="TimesNewRoman"/>
          <w:sz w:val="32"/>
          <w:szCs w:val="32"/>
          <w:lang w:val="en-US" w:eastAsia="zh-CN"/>
        </w:rPr>
        <w:t>单位</w:t>
      </w:r>
      <w:r>
        <w:rPr>
          <w:rFonts w:hint="eastAsia" w:ascii="仿宋_GB2312" w:hAnsi="TimesNewRoman" w:eastAsia="仿宋_GB2312" w:cs="TimesNewRoman"/>
          <w:sz w:val="32"/>
          <w:szCs w:val="32"/>
        </w:rPr>
        <w:t>预算管理。</w:t>
      </w:r>
      <w:r>
        <w:rPr>
          <w:rFonts w:hint="eastAsia" w:ascii="仿宋_GB2312" w:hAnsi="TimesNewRoman" w:eastAsia="仿宋_GB2312" w:cs="TimesNewRoman"/>
          <w:sz w:val="32"/>
          <w:szCs w:val="32"/>
          <w:lang w:val="en-US" w:eastAsia="zh-CN"/>
        </w:rPr>
        <w:t>寿县文学艺术院</w:t>
      </w:r>
      <w:r>
        <w:rPr>
          <w:rFonts w:hint="eastAsia" w:ascii="仿宋_GB2312" w:hAnsi="TimesNewRoman" w:eastAsia="仿宋_GB2312" w:cs="TimesNewRoman"/>
          <w:sz w:val="32"/>
          <w:szCs w:val="32"/>
        </w:rPr>
        <w:t>2025年收支总预算</w:t>
      </w:r>
      <w:r>
        <w:rPr>
          <w:rFonts w:hint="eastAsia" w:ascii="仿宋_GB2312" w:hAnsi="TimesNewRoman" w:eastAsia="仿宋_GB2312" w:cs="TimesNewRoman"/>
          <w:sz w:val="32"/>
          <w:szCs w:val="32"/>
          <w:lang w:val="en-US" w:eastAsia="zh-CN"/>
        </w:rPr>
        <w:t>51.79</w:t>
      </w:r>
      <w:r>
        <w:rPr>
          <w:rFonts w:hint="eastAsia" w:ascii="仿宋_GB2312" w:hAnsi="TimesNewRoman" w:eastAsia="仿宋_GB2312" w:cs="TimesNewRoman"/>
          <w:sz w:val="32"/>
          <w:szCs w:val="32"/>
        </w:rPr>
        <w:t>万元，收入全部是一般公共预算拨款收入，支出包括：</w:t>
      </w:r>
      <w:r>
        <w:rPr>
          <w:rFonts w:hint="eastAsia" w:ascii="仿宋_GB2312" w:hAnsi="TimesNewRoman" w:eastAsia="仿宋_GB2312" w:cs="TimesNewRoman"/>
          <w:sz w:val="32"/>
          <w:szCs w:val="32"/>
          <w:lang w:val="en-US" w:eastAsia="zh-CN"/>
        </w:rPr>
        <w:t>文化旅游体育与传媒支出</w:t>
      </w:r>
      <w:r>
        <w:rPr>
          <w:rFonts w:hint="eastAsia" w:ascii="仿宋_GB2312" w:hAnsi="TimesNewRoman" w:eastAsia="仿宋_GB2312" w:cs="TimesNewRoman"/>
          <w:sz w:val="32"/>
          <w:szCs w:val="32"/>
        </w:rPr>
        <w:t>、社会保障和就业支出、卫生健康支出、住房保障支出。</w:t>
      </w:r>
    </w:p>
    <w:p w14:paraId="02C3DA92">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二、关于2025年收入总表的说明</w:t>
      </w:r>
    </w:p>
    <w:p w14:paraId="077F664F">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2025年收入预算</w:t>
      </w:r>
      <w:r>
        <w:rPr>
          <w:rFonts w:hint="eastAsia" w:ascii="仿宋_GB2312" w:hAnsi="TimesNewRoman" w:eastAsia="仿宋_GB2312" w:cs="TimesNewRoman"/>
          <w:sz w:val="32"/>
          <w:szCs w:val="32"/>
          <w:lang w:val="en-US" w:eastAsia="zh-CN"/>
        </w:rPr>
        <w:t>51.79</w:t>
      </w:r>
      <w:r>
        <w:rPr>
          <w:rFonts w:hint="eastAsia" w:ascii="仿宋_GB2312" w:hAnsi="TimesNewRoman" w:eastAsia="仿宋_GB2312" w:cs="TimesNewRoman"/>
          <w:sz w:val="32"/>
          <w:szCs w:val="32"/>
        </w:rPr>
        <w:t>万元，其中，本年收入</w:t>
      </w:r>
      <w:r>
        <w:rPr>
          <w:rFonts w:hint="eastAsia" w:ascii="仿宋_GB2312" w:hAnsi="TimesNewRoman" w:eastAsia="仿宋_GB2312" w:cs="TimesNewRoman"/>
          <w:sz w:val="32"/>
          <w:szCs w:val="32"/>
          <w:lang w:val="en-US" w:eastAsia="zh-CN"/>
        </w:rPr>
        <w:t>51.79</w:t>
      </w:r>
      <w:r>
        <w:rPr>
          <w:rFonts w:hint="eastAsia" w:ascii="仿宋_GB2312" w:hAnsi="TimesNewRoman" w:eastAsia="仿宋_GB2312" w:cs="TimesNewRoman"/>
          <w:sz w:val="32"/>
          <w:szCs w:val="32"/>
        </w:rPr>
        <w:t>万元，上年结转收入</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199DA108">
      <w:pPr>
        <w:topLinePunct/>
        <w:adjustRightInd w:val="0"/>
        <w:snapToGrid w:val="0"/>
        <w:spacing w:line="58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（一）本年收入</w:t>
      </w:r>
      <w:r>
        <w:rPr>
          <w:rFonts w:hint="eastAsia" w:ascii="仿宋_GB2312" w:hAnsi="TimesNewRoman" w:eastAsia="仿宋_GB2312" w:cs="TimesNewRoman"/>
          <w:sz w:val="32"/>
          <w:szCs w:val="32"/>
          <w:lang w:val="en-US" w:eastAsia="zh-CN"/>
        </w:rPr>
        <w:t>51.79</w:t>
      </w:r>
      <w:r>
        <w:rPr>
          <w:rFonts w:hint="eastAsia" w:ascii="仿宋_GB2312" w:hAnsi="TimesNewRoman" w:eastAsia="仿宋_GB2312" w:cs="TimesNewRoman"/>
          <w:sz w:val="32"/>
          <w:szCs w:val="32"/>
        </w:rPr>
        <w:t>万元，全部为一般公共预算拨款收入</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本单位为2024年9月新成立单位，无2024年预算经费，因此无2024年预算对比数据。</w:t>
      </w:r>
    </w:p>
    <w:p w14:paraId="6CC0353D">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三、关于2025年支出总表的说明</w:t>
      </w:r>
    </w:p>
    <w:p w14:paraId="72187640">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2025年支出预算</w:t>
      </w:r>
      <w:r>
        <w:rPr>
          <w:rFonts w:hint="eastAsia" w:ascii="仿宋_GB2312" w:hAnsi="TimesNewRoman" w:eastAsia="仿宋_GB2312" w:cs="TimesNewRoman"/>
          <w:sz w:val="32"/>
          <w:szCs w:val="32"/>
          <w:lang w:val="en-US" w:eastAsia="zh-CN"/>
        </w:rPr>
        <w:t>51.79</w:t>
      </w:r>
      <w:r>
        <w:rPr>
          <w:rFonts w:hint="eastAsia" w:ascii="仿宋_GB2312" w:hAnsi="TimesNewRoman" w:eastAsia="仿宋_GB2312" w:cs="TimesNewRoman"/>
          <w:sz w:val="32"/>
          <w:szCs w:val="32"/>
        </w:rPr>
        <w:t>万元，其中，基本支出</w:t>
      </w:r>
      <w:r>
        <w:rPr>
          <w:rFonts w:hint="eastAsia" w:ascii="仿宋_GB2312" w:hAnsi="TimesNewRoman" w:eastAsia="仿宋_GB2312" w:cs="TimesNewRoman"/>
          <w:sz w:val="32"/>
          <w:szCs w:val="32"/>
          <w:lang w:val="en-US" w:eastAsia="zh-CN"/>
        </w:rPr>
        <w:t>31.79</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61.38</w:t>
      </w:r>
      <w:r>
        <w:rPr>
          <w:rFonts w:hint="eastAsia" w:ascii="仿宋_GB2312" w:hAnsi="TimesNewRoman" w:eastAsia="仿宋_GB2312" w:cs="TimesNewRoman"/>
          <w:sz w:val="32"/>
          <w:szCs w:val="32"/>
        </w:rPr>
        <w:t>%，主要用于保障机构日常运转、完成日常工作任务；项目支出</w:t>
      </w:r>
      <w:r>
        <w:rPr>
          <w:rFonts w:hint="eastAsia" w:ascii="仿宋_GB2312" w:hAnsi="TimesNewRoman" w:eastAsia="仿宋_GB2312" w:cs="TimesNewRoman"/>
          <w:sz w:val="32"/>
          <w:szCs w:val="32"/>
          <w:lang w:val="en-US" w:eastAsia="zh-CN"/>
        </w:rPr>
        <w:t>20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38.62</w:t>
      </w:r>
      <w:r>
        <w:rPr>
          <w:rFonts w:hint="eastAsia" w:ascii="仿宋_GB2312" w:hAnsi="TimesNewRoman" w:eastAsia="仿宋_GB2312" w:cs="TimesNewRoman"/>
          <w:sz w:val="32"/>
          <w:szCs w:val="32"/>
        </w:rPr>
        <w:t>%，主要用于</w:t>
      </w:r>
      <w:r>
        <w:rPr>
          <w:rFonts w:hint="eastAsia" w:ascii="仿宋_GB2312" w:hAnsi="TimesNewRoman" w:eastAsia="仿宋_GB2312" w:cs="TimesNewRoman"/>
          <w:sz w:val="32"/>
          <w:szCs w:val="32"/>
          <w:lang w:val="en-US" w:eastAsia="zh-CN"/>
        </w:rPr>
        <w:t>保障单位常规文学工作和文学活动相关支出</w:t>
      </w:r>
      <w:r>
        <w:rPr>
          <w:rFonts w:hint="eastAsia" w:ascii="仿宋_GB2312" w:hAnsi="TimesNewRoman" w:eastAsia="仿宋_GB2312" w:cs="TimesNewRoman"/>
          <w:sz w:val="32"/>
          <w:szCs w:val="32"/>
        </w:rPr>
        <w:t>；事业单位经营支出</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%；上缴上级支出</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%；对附属单位补助支出</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w:t>
      </w:r>
    </w:p>
    <w:p w14:paraId="4FF433F1">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四、关于2025年财政拨款收支总表的说明</w:t>
      </w:r>
    </w:p>
    <w:p w14:paraId="57E6D2EB">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2025年财政拨款收支预算</w:t>
      </w:r>
      <w:r>
        <w:rPr>
          <w:rFonts w:hint="eastAsia" w:ascii="仿宋_GB2312" w:hAnsi="TimesNewRoman" w:eastAsia="仿宋_GB2312" w:cs="TimesNewRoman"/>
          <w:sz w:val="32"/>
          <w:szCs w:val="32"/>
          <w:lang w:val="en-US" w:eastAsia="zh-CN"/>
        </w:rPr>
        <w:t>51.79</w:t>
      </w:r>
      <w:r>
        <w:rPr>
          <w:rFonts w:hint="eastAsia" w:ascii="仿宋_GB2312" w:hAnsi="TimesNewRoman" w:eastAsia="仿宋_GB2312" w:cs="TimesNewRoman"/>
          <w:sz w:val="32"/>
          <w:szCs w:val="32"/>
        </w:rPr>
        <w:t>万元。收入按资金来源分全部为一般公共预算拨款；按资金年度分全部为当年财政拨款收入。支出按功能分类分为：</w:t>
      </w:r>
      <w:r>
        <w:rPr>
          <w:rFonts w:hint="eastAsia" w:ascii="仿宋_GB2312" w:hAnsi="TimesNewRoman" w:eastAsia="仿宋_GB2312" w:cs="TimesNewRoman"/>
          <w:sz w:val="32"/>
          <w:szCs w:val="32"/>
          <w:lang w:val="en-US" w:eastAsia="zh-CN"/>
        </w:rPr>
        <w:t>文化旅游体育与传媒</w:t>
      </w:r>
      <w:r>
        <w:rPr>
          <w:rFonts w:hint="eastAsia" w:ascii="仿宋_GB2312" w:hAnsi="TimesNewRoman" w:eastAsia="仿宋_GB2312" w:cs="TimesNewRoman"/>
          <w:sz w:val="32"/>
          <w:szCs w:val="32"/>
        </w:rPr>
        <w:t>支出</w:t>
      </w:r>
      <w:r>
        <w:rPr>
          <w:rFonts w:hint="eastAsia" w:ascii="仿宋_GB2312" w:hAnsi="TimesNewRoman" w:eastAsia="仿宋_GB2312" w:cs="TimesNewRoman"/>
          <w:sz w:val="32"/>
          <w:szCs w:val="32"/>
          <w:lang w:val="en-US" w:eastAsia="zh-CN"/>
        </w:rPr>
        <w:t>44.64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86.19</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3.51</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6.78</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1.09</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2.10</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2.55</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4.92</w:t>
      </w:r>
      <w:r>
        <w:rPr>
          <w:rFonts w:hint="eastAsia" w:ascii="仿宋_GB2312" w:hAnsi="TimesNewRoman" w:eastAsia="仿宋_GB2312" w:cs="TimesNewRoman"/>
          <w:sz w:val="32"/>
          <w:szCs w:val="32"/>
        </w:rPr>
        <w:t>%。</w:t>
      </w:r>
    </w:p>
    <w:p w14:paraId="00C80B38">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五、关于2025年一般公共预算支出表的说明</w:t>
      </w:r>
    </w:p>
    <w:p w14:paraId="5AFFF71A">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（一）一般公共预算支出规模变化情况。</w:t>
      </w:r>
    </w:p>
    <w:p w14:paraId="4F56C278">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2025年一般公共预算支出</w:t>
      </w:r>
      <w:r>
        <w:rPr>
          <w:rFonts w:hint="eastAsia" w:ascii="仿宋_GB2312" w:hAnsi="TimesNewRoman" w:eastAsia="仿宋_GB2312" w:cs="TimesNewRoman"/>
          <w:sz w:val="32"/>
          <w:szCs w:val="32"/>
          <w:lang w:val="en-US" w:eastAsia="zh-CN"/>
        </w:rPr>
        <w:t>51.79</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本单位为2024年9月新成立单位，无2024年预算经费，因此无2024年预算对比数据。</w:t>
      </w:r>
    </w:p>
    <w:p w14:paraId="73A9EC24">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（二）一般公共预算支出结构情况。</w:t>
      </w:r>
    </w:p>
    <w:p w14:paraId="05C22B1C">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文化旅游体育与传媒</w:t>
      </w:r>
      <w:r>
        <w:rPr>
          <w:rFonts w:hint="eastAsia" w:ascii="仿宋_GB2312" w:hAnsi="TimesNewRoman" w:eastAsia="仿宋_GB2312" w:cs="TimesNewRoman"/>
          <w:sz w:val="32"/>
          <w:szCs w:val="32"/>
        </w:rPr>
        <w:t>支出</w:t>
      </w:r>
      <w:r>
        <w:rPr>
          <w:rFonts w:hint="eastAsia" w:ascii="仿宋_GB2312" w:hAnsi="TimesNewRoman" w:eastAsia="仿宋_GB2312" w:cs="TimesNewRoman"/>
          <w:sz w:val="32"/>
          <w:szCs w:val="32"/>
          <w:lang w:val="en-US" w:eastAsia="zh-CN"/>
        </w:rPr>
        <w:t>44.64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86.19</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3.51</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6.78</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1.09</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2.10</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2.55</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4.92</w:t>
      </w:r>
      <w:r>
        <w:rPr>
          <w:rFonts w:hint="eastAsia" w:ascii="仿宋_GB2312" w:hAnsi="TimesNewRoman" w:eastAsia="仿宋_GB2312" w:cs="TimesNewRoman"/>
          <w:sz w:val="32"/>
          <w:szCs w:val="32"/>
        </w:rPr>
        <w:t>%。</w:t>
      </w:r>
    </w:p>
    <w:p w14:paraId="37CACFA9">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（三）一般公共预算支出具体使用情况。</w:t>
      </w:r>
    </w:p>
    <w:p w14:paraId="4B098D1B">
      <w:pPr>
        <w:pStyle w:val="3"/>
        <w:adjustRightInd w:val="0"/>
        <w:snapToGrid w:val="0"/>
        <w:spacing w:before="0" w:beforeAutospacing="0" w:after="0" w:afterAutospacing="0" w:line="600" w:lineRule="exact"/>
        <w:ind w:firstLine="630" w:firstLineChars="196"/>
        <w:rPr>
          <w:rFonts w:hint="eastAsia" w:ascii="仿宋_GB2312" w:hAnsi="仿宋" w:eastAsia="仿宋_GB2312"/>
          <w:sz w:val="32"/>
          <w:szCs w:val="32"/>
          <w:lang w:eastAsia="zh-CN"/>
        </w:rPr>
      </w:pPr>
      <w:r>
        <w:rPr>
          <w:rFonts w:hint="eastAsia" w:ascii="仿宋" w:hAnsi="仿宋" w:eastAsia="仿宋"/>
          <w:b/>
          <w:sz w:val="32"/>
          <w:szCs w:val="32"/>
        </w:rPr>
        <w:t>1.</w:t>
      </w:r>
      <w:r>
        <w:rPr>
          <w:rFonts w:hint="eastAsia" w:ascii="仿宋" w:hAnsi="仿宋" w:eastAsia="仿宋"/>
          <w:b/>
          <w:sz w:val="32"/>
          <w:szCs w:val="32"/>
          <w:lang w:val="en-US" w:eastAsia="zh-CN"/>
        </w:rPr>
        <w:t>文化旅游体育与传媒支出</w:t>
      </w:r>
      <w:r>
        <w:rPr>
          <w:rFonts w:hint="eastAsia" w:ascii="仿宋" w:hAnsi="仿宋" w:eastAsia="仿宋"/>
          <w:b/>
          <w:sz w:val="32"/>
          <w:szCs w:val="32"/>
        </w:rPr>
        <w:t>（类）</w:t>
      </w:r>
      <w:r>
        <w:rPr>
          <w:rFonts w:hint="eastAsia" w:ascii="仿宋" w:hAnsi="仿宋" w:eastAsia="仿宋"/>
          <w:b/>
          <w:sz w:val="32"/>
          <w:szCs w:val="32"/>
          <w:lang w:val="en-US" w:eastAsia="zh-CN"/>
        </w:rPr>
        <w:t>文化和旅游</w:t>
      </w:r>
      <w:r>
        <w:rPr>
          <w:rFonts w:hint="eastAsia" w:ascii="仿宋" w:hAnsi="仿宋" w:eastAsia="仿宋"/>
          <w:b/>
          <w:sz w:val="32"/>
          <w:szCs w:val="32"/>
        </w:rPr>
        <w:t>（款）</w:t>
      </w:r>
      <w:r>
        <w:rPr>
          <w:rFonts w:hint="eastAsia" w:ascii="仿宋" w:hAnsi="仿宋" w:eastAsia="仿宋"/>
          <w:b/>
          <w:sz w:val="32"/>
          <w:szCs w:val="32"/>
          <w:lang w:val="en-US" w:eastAsia="zh-CN"/>
        </w:rPr>
        <w:t>其他文化和旅游支出</w:t>
      </w:r>
      <w:r>
        <w:rPr>
          <w:rFonts w:hint="eastAsia" w:ascii="仿宋" w:hAnsi="仿宋" w:eastAsia="仿宋"/>
          <w:b/>
          <w:sz w:val="32"/>
          <w:szCs w:val="32"/>
        </w:rPr>
        <w:t>（项）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44.64</w:t>
      </w:r>
      <w:r>
        <w:rPr>
          <w:rFonts w:hint="eastAsia" w:ascii="仿宋_GB2312" w:hAnsi="仿宋" w:eastAsia="仿宋_GB2312"/>
          <w:sz w:val="32"/>
          <w:szCs w:val="32"/>
        </w:rPr>
        <w:t>万元</w:t>
      </w:r>
      <w:r>
        <w:rPr>
          <w:rFonts w:hint="eastAsia" w:ascii="仿宋_GB2312" w:hAnsi="仿宋" w:eastAsia="仿宋_GB2312"/>
          <w:sz w:val="32"/>
          <w:szCs w:val="32"/>
          <w:lang w:eastAsia="zh-CN"/>
        </w:rPr>
        <w:t>。</w:t>
      </w:r>
    </w:p>
    <w:p w14:paraId="5346AA6C">
      <w:pPr>
        <w:pStyle w:val="3"/>
        <w:adjustRightInd w:val="0"/>
        <w:snapToGrid w:val="0"/>
        <w:spacing w:before="0" w:beforeAutospacing="0" w:after="0" w:afterAutospacing="0" w:line="600" w:lineRule="exact"/>
        <w:ind w:firstLine="630" w:firstLineChars="196"/>
        <w:rPr>
          <w:rFonts w:hint="eastAsia" w:ascii="仿宋_GB2312" w:hAnsi="仿宋" w:eastAsia="仿宋_GB2312"/>
          <w:sz w:val="32"/>
          <w:szCs w:val="32"/>
          <w:lang w:eastAsia="zh-CN"/>
        </w:rPr>
      </w:pPr>
      <w:r>
        <w:rPr>
          <w:rFonts w:hint="eastAsia" w:ascii="仿宋_GB2312" w:hAnsi="TimesNewRoman" w:eastAsia="仿宋_GB2312" w:cs="TimesNewRoman"/>
          <w:b/>
          <w:sz w:val="32"/>
          <w:szCs w:val="32"/>
        </w:rPr>
        <w:t>2.</w:t>
      </w:r>
      <w:r>
        <w:rPr>
          <w:rFonts w:hint="eastAsia" w:ascii="仿宋" w:hAnsi="仿宋" w:eastAsia="仿宋"/>
          <w:b/>
          <w:sz w:val="32"/>
          <w:szCs w:val="32"/>
        </w:rPr>
        <w:t>社会保障和就业支出（类） 行政事业单位养老支出（款）  机关事业单位基本养老保险缴费支出（项）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3.4</w:t>
      </w:r>
      <w:r>
        <w:rPr>
          <w:rFonts w:hint="eastAsia" w:ascii="仿宋_GB2312" w:hAnsi="仿宋" w:eastAsia="仿宋_GB2312"/>
          <w:sz w:val="32"/>
          <w:szCs w:val="32"/>
        </w:rPr>
        <w:t>万元</w:t>
      </w:r>
      <w:r>
        <w:rPr>
          <w:rFonts w:hint="eastAsia" w:ascii="仿宋_GB2312" w:hAnsi="仿宋" w:eastAsia="仿宋_GB2312"/>
          <w:sz w:val="32"/>
          <w:szCs w:val="32"/>
          <w:lang w:eastAsia="zh-CN"/>
        </w:rPr>
        <w:t>。</w:t>
      </w:r>
    </w:p>
    <w:p w14:paraId="65C25BD5">
      <w:pPr>
        <w:pStyle w:val="3"/>
        <w:adjustRightInd w:val="0"/>
        <w:snapToGrid w:val="0"/>
        <w:spacing w:before="0" w:beforeAutospacing="0" w:after="0" w:afterAutospacing="0" w:line="600" w:lineRule="exact"/>
        <w:ind w:firstLine="630" w:firstLineChars="196"/>
        <w:rPr>
          <w:rFonts w:ascii="仿宋_GB2312" w:hAnsi="仿宋" w:eastAsia="仿宋_GB2312"/>
          <w:sz w:val="32"/>
          <w:szCs w:val="32"/>
        </w:rPr>
      </w:pPr>
      <w:r>
        <w:rPr>
          <w:rFonts w:hint="eastAsia" w:ascii="仿宋" w:hAnsi="仿宋" w:eastAsia="仿宋"/>
          <w:b/>
          <w:sz w:val="32"/>
          <w:szCs w:val="32"/>
          <w:lang w:val="en-US" w:eastAsia="zh-CN"/>
        </w:rPr>
        <w:t>3</w:t>
      </w:r>
      <w:r>
        <w:rPr>
          <w:rFonts w:hint="eastAsia" w:ascii="仿宋" w:hAnsi="仿宋" w:eastAsia="仿宋"/>
          <w:b/>
          <w:sz w:val="32"/>
          <w:szCs w:val="32"/>
        </w:rPr>
        <w:t>.社会保障和就业支出（类） 其他社会保障和就业支出（款）其他社会保障和就业支出（项）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ascii="仿宋_GB2312" w:hAnsi="仿宋" w:eastAsia="仿宋_GB2312"/>
          <w:sz w:val="32"/>
          <w:szCs w:val="32"/>
        </w:rPr>
        <w:t>0.</w:t>
      </w:r>
      <w:r>
        <w:rPr>
          <w:rFonts w:hint="eastAsia" w:ascii="仿宋_GB2312" w:hAnsi="仿宋" w:eastAsia="仿宋_GB2312"/>
          <w:sz w:val="32"/>
          <w:szCs w:val="32"/>
          <w:lang w:val="en-US" w:eastAsia="zh-CN"/>
        </w:rPr>
        <w:t>11</w:t>
      </w:r>
      <w:r>
        <w:rPr>
          <w:rFonts w:hint="eastAsia" w:ascii="仿宋_GB2312" w:hAnsi="仿宋" w:eastAsia="仿宋_GB2312"/>
          <w:sz w:val="32"/>
          <w:szCs w:val="32"/>
        </w:rPr>
        <w:t>万元。</w:t>
      </w:r>
    </w:p>
    <w:p w14:paraId="407106FD">
      <w:pPr>
        <w:pStyle w:val="3"/>
        <w:adjustRightInd w:val="0"/>
        <w:snapToGrid w:val="0"/>
        <w:spacing w:before="0" w:beforeAutospacing="0" w:after="0" w:afterAutospacing="0" w:line="600" w:lineRule="exact"/>
        <w:ind w:firstLine="630" w:firstLineChars="196"/>
        <w:rPr>
          <w:rFonts w:ascii="仿宋_GB2312" w:hAnsi="仿宋" w:eastAsia="仿宋_GB2312"/>
          <w:sz w:val="32"/>
          <w:szCs w:val="32"/>
        </w:rPr>
      </w:pPr>
      <w:r>
        <w:rPr>
          <w:rFonts w:hint="eastAsia" w:ascii="仿宋" w:hAnsi="仿宋" w:eastAsia="仿宋"/>
          <w:b/>
          <w:sz w:val="32"/>
          <w:szCs w:val="32"/>
          <w:lang w:val="en-US" w:eastAsia="zh-CN"/>
        </w:rPr>
        <w:t>4</w:t>
      </w:r>
      <w:r>
        <w:rPr>
          <w:rFonts w:hint="eastAsia" w:ascii="仿宋" w:hAnsi="仿宋" w:eastAsia="仿宋"/>
          <w:b/>
          <w:sz w:val="32"/>
          <w:szCs w:val="32"/>
        </w:rPr>
        <w:t>.卫生健康支出（类）行政</w:t>
      </w:r>
      <w:r>
        <w:rPr>
          <w:rFonts w:hint="eastAsia" w:ascii="仿宋" w:hAnsi="仿宋" w:eastAsia="仿宋"/>
          <w:b/>
          <w:sz w:val="32"/>
          <w:szCs w:val="32"/>
          <w:lang w:val="en-US" w:eastAsia="zh-CN"/>
        </w:rPr>
        <w:t>事业</w:t>
      </w:r>
      <w:r>
        <w:rPr>
          <w:rFonts w:hint="eastAsia" w:ascii="仿宋" w:hAnsi="仿宋" w:eastAsia="仿宋"/>
          <w:b/>
          <w:sz w:val="32"/>
          <w:szCs w:val="32"/>
        </w:rPr>
        <w:t>单位医疗（款）</w:t>
      </w:r>
      <w:r>
        <w:rPr>
          <w:rFonts w:hint="eastAsia" w:ascii="仿宋" w:hAnsi="仿宋" w:eastAsia="仿宋"/>
          <w:b/>
          <w:sz w:val="32"/>
          <w:szCs w:val="32"/>
          <w:lang w:val="en-US" w:eastAsia="zh-CN"/>
        </w:rPr>
        <w:t>事业</w:t>
      </w:r>
      <w:r>
        <w:rPr>
          <w:rFonts w:hint="eastAsia" w:ascii="仿宋" w:hAnsi="仿宋" w:eastAsia="仿宋"/>
          <w:b/>
          <w:sz w:val="32"/>
          <w:szCs w:val="32"/>
        </w:rPr>
        <w:t>单位医疗（项）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1.09</w:t>
      </w:r>
      <w:r>
        <w:rPr>
          <w:rFonts w:hint="eastAsia" w:ascii="仿宋_GB2312" w:hAnsi="仿宋" w:eastAsia="仿宋_GB2312"/>
          <w:sz w:val="32"/>
          <w:szCs w:val="32"/>
        </w:rPr>
        <w:t>万元。</w:t>
      </w:r>
    </w:p>
    <w:p w14:paraId="0621BB59">
      <w:pPr>
        <w:adjustRightInd w:val="0"/>
        <w:snapToGrid w:val="0"/>
        <w:spacing w:line="600" w:lineRule="exact"/>
        <w:ind w:firstLine="643" w:firstLineChars="200"/>
        <w:rPr>
          <w:rFonts w:ascii="仿宋_GB2312" w:hAnsi="仿宋" w:eastAsia="仿宋_GB2312"/>
          <w:sz w:val="32"/>
          <w:szCs w:val="32"/>
        </w:rPr>
      </w:pPr>
      <w:r>
        <w:rPr>
          <w:rFonts w:hint="eastAsia" w:ascii="仿宋_GB2312" w:hAnsi="仿宋" w:eastAsia="仿宋_GB2312"/>
          <w:b/>
          <w:sz w:val="32"/>
          <w:szCs w:val="32"/>
          <w:lang w:val="en-US" w:eastAsia="zh-CN"/>
        </w:rPr>
        <w:t>5</w:t>
      </w:r>
      <w:r>
        <w:rPr>
          <w:rFonts w:hint="eastAsia" w:ascii="仿宋_GB2312" w:hAnsi="仿宋" w:eastAsia="仿宋_GB2312"/>
          <w:b/>
          <w:sz w:val="32"/>
          <w:szCs w:val="32"/>
        </w:rPr>
        <w:t>.住房保障支出（类）住房改革支出（款）住房公积金（项）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2.55</w:t>
      </w:r>
      <w:r>
        <w:rPr>
          <w:rFonts w:hint="eastAsia" w:ascii="仿宋_GB2312" w:hAnsi="仿宋" w:eastAsia="仿宋_GB2312"/>
          <w:sz w:val="32"/>
          <w:szCs w:val="32"/>
        </w:rPr>
        <w:t>万元。</w:t>
      </w:r>
    </w:p>
    <w:p w14:paraId="53B37942">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六、关于2025年一般公共预算基本支出表的说明</w:t>
      </w:r>
    </w:p>
    <w:p w14:paraId="6A88F30F">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2025年一般公共预算基本支出</w:t>
      </w:r>
      <w:r>
        <w:rPr>
          <w:rFonts w:hint="eastAsia" w:ascii="仿宋_GB2312" w:hAnsi="TimesNewRoman" w:eastAsia="仿宋_GB2312" w:cs="TimesNewRoman"/>
          <w:sz w:val="32"/>
          <w:szCs w:val="32"/>
          <w:lang w:val="en-US" w:eastAsia="zh-CN"/>
        </w:rPr>
        <w:t>31.79</w:t>
      </w:r>
      <w:r>
        <w:rPr>
          <w:rFonts w:hint="eastAsia" w:ascii="仿宋_GB2312" w:hAnsi="TimesNewRoman" w:eastAsia="仿宋_GB2312" w:cs="TimesNewRoman"/>
          <w:sz w:val="32"/>
          <w:szCs w:val="32"/>
        </w:rPr>
        <w:t>万元，其中，人员经费</w:t>
      </w:r>
      <w:r>
        <w:rPr>
          <w:rFonts w:hint="eastAsia" w:ascii="仿宋_GB2312" w:hAnsi="TimesNewRoman" w:eastAsia="仿宋_GB2312" w:cs="TimesNewRoman"/>
          <w:sz w:val="32"/>
          <w:szCs w:val="32"/>
          <w:lang w:val="en-US" w:eastAsia="zh-CN"/>
        </w:rPr>
        <w:t>30.13</w:t>
      </w:r>
      <w:r>
        <w:rPr>
          <w:rFonts w:hint="eastAsia" w:ascii="仿宋_GB2312" w:hAnsi="TimesNewRoman" w:eastAsia="仿宋_GB2312" w:cs="TimesNewRoman"/>
          <w:sz w:val="32"/>
          <w:szCs w:val="32"/>
        </w:rPr>
        <w:t>万元，公用经费</w:t>
      </w:r>
      <w:r>
        <w:rPr>
          <w:rFonts w:hint="eastAsia" w:ascii="仿宋_GB2312" w:hAnsi="TimesNewRoman" w:eastAsia="仿宋_GB2312" w:cs="TimesNewRoman"/>
          <w:sz w:val="32"/>
          <w:szCs w:val="32"/>
          <w:lang w:val="en-US" w:eastAsia="zh-CN"/>
        </w:rPr>
        <w:t>1.67</w:t>
      </w:r>
      <w:r>
        <w:rPr>
          <w:rFonts w:hint="eastAsia" w:ascii="仿宋_GB2312" w:hAnsi="TimesNewRoman" w:eastAsia="仿宋_GB2312" w:cs="TimesNewRoman"/>
          <w:sz w:val="32"/>
          <w:szCs w:val="32"/>
        </w:rPr>
        <w:t>万元。</w:t>
      </w:r>
    </w:p>
    <w:p w14:paraId="187F820C">
      <w:pPr>
        <w:topLinePunct/>
        <w:spacing w:line="580" w:lineRule="exact"/>
        <w:ind w:firstLine="640" w:firstLineChars="200"/>
        <w:rPr>
          <w:rFonts w:hint="eastAsia" w:ascii="仿宋_GB2312" w:hAnsi="TimesNewRoman" w:eastAsia="仿宋_GB2312" w:cs="TimesNewRoman"/>
          <w:sz w:val="32"/>
          <w:szCs w:val="32"/>
          <w:u w:val="none"/>
        </w:rPr>
      </w:pPr>
      <w:r>
        <w:rPr>
          <w:rFonts w:hint="eastAsia" w:ascii="仿宋_GB2312" w:hAnsi="TimesNewRoman" w:eastAsia="仿宋_GB2312" w:cs="TimesNewRoman"/>
          <w:sz w:val="32"/>
          <w:szCs w:val="32"/>
        </w:rPr>
        <w:t>（一）人员经费</w:t>
      </w:r>
      <w:r>
        <w:rPr>
          <w:rFonts w:hint="eastAsia" w:ascii="仿宋_GB2312" w:hAnsi="TimesNewRoman" w:eastAsia="仿宋_GB2312" w:cs="TimesNewRoman"/>
          <w:sz w:val="32"/>
          <w:szCs w:val="32"/>
          <w:lang w:val="en-US" w:eastAsia="zh-CN"/>
        </w:rPr>
        <w:t>30.13</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none"/>
        </w:rPr>
        <w:t>基本工资、奖金、</w:t>
      </w:r>
      <w:r>
        <w:rPr>
          <w:rFonts w:hint="eastAsia" w:ascii="仿宋_GB2312" w:hAnsi="TimesNewRoman" w:eastAsia="仿宋_GB2312" w:cs="TimesNewRoman"/>
          <w:sz w:val="32"/>
          <w:szCs w:val="32"/>
          <w:u w:val="none"/>
          <w:lang w:val="en-US" w:eastAsia="zh-CN"/>
        </w:rPr>
        <w:t>绩效工资、</w:t>
      </w:r>
      <w:r>
        <w:rPr>
          <w:rFonts w:hint="eastAsia" w:ascii="仿宋_GB2312" w:hAnsi="TimesNewRoman" w:eastAsia="仿宋_GB2312" w:cs="TimesNewRoman"/>
          <w:sz w:val="32"/>
          <w:szCs w:val="32"/>
          <w:u w:val="none"/>
        </w:rPr>
        <w:t>机关事业单位基本养老保险费、职业年金缴费、职工基本医疗保险缴费、其他社会保障缴费、住房公积金</w:t>
      </w:r>
      <w:r>
        <w:rPr>
          <w:rFonts w:hint="eastAsia" w:ascii="仿宋_GB2312" w:hAnsi="TimesNewRoman" w:eastAsia="仿宋_GB2312" w:cs="TimesNewRoman"/>
          <w:sz w:val="32"/>
          <w:szCs w:val="32"/>
          <w:u w:val="none"/>
          <w:lang w:val="en-US" w:eastAsia="zh-CN"/>
        </w:rPr>
        <w:t>等</w:t>
      </w:r>
      <w:r>
        <w:rPr>
          <w:rFonts w:hint="eastAsia" w:ascii="仿宋_GB2312" w:hAnsi="TimesNewRoman" w:eastAsia="仿宋_GB2312" w:cs="TimesNewRoman"/>
          <w:sz w:val="32"/>
          <w:szCs w:val="32"/>
          <w:u w:val="none"/>
        </w:rPr>
        <w:t>。</w:t>
      </w:r>
    </w:p>
    <w:p w14:paraId="5A7FD048">
      <w:pPr>
        <w:topLinePunct/>
        <w:spacing w:line="580" w:lineRule="exact"/>
        <w:ind w:firstLine="640" w:firstLineChars="200"/>
        <w:rPr>
          <w:rFonts w:hint="eastAsia" w:ascii="仿宋_GB2312" w:hAnsi="TimesNewRoman" w:eastAsia="仿宋_GB2312" w:cs="TimesNewRoman"/>
          <w:sz w:val="32"/>
          <w:szCs w:val="32"/>
          <w:u w:val="none"/>
        </w:rPr>
      </w:pPr>
      <w:r>
        <w:rPr>
          <w:rFonts w:hint="eastAsia" w:ascii="仿宋_GB2312" w:hAnsi="TimesNewRoman" w:eastAsia="仿宋_GB2312" w:cs="TimesNewRoman"/>
          <w:sz w:val="32"/>
          <w:szCs w:val="32"/>
        </w:rPr>
        <w:t>（二）公用经费</w:t>
      </w:r>
      <w:r>
        <w:rPr>
          <w:rFonts w:hint="eastAsia" w:ascii="仿宋_GB2312" w:hAnsi="TimesNewRoman" w:eastAsia="仿宋_GB2312" w:cs="TimesNewRoman"/>
          <w:sz w:val="32"/>
          <w:szCs w:val="32"/>
          <w:lang w:val="en-US" w:eastAsia="zh-CN"/>
        </w:rPr>
        <w:t>1.67</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none"/>
        </w:rPr>
        <w:t>办公费、</w:t>
      </w:r>
      <w:r>
        <w:rPr>
          <w:rFonts w:hint="eastAsia" w:ascii="仿宋_GB2312" w:hAnsi="TimesNewRoman" w:eastAsia="仿宋_GB2312" w:cs="TimesNewRoman"/>
          <w:sz w:val="32"/>
          <w:szCs w:val="32"/>
          <w:u w:val="none"/>
          <w:lang w:val="en-US" w:eastAsia="zh-CN"/>
        </w:rPr>
        <w:t>维修（护）费、</w:t>
      </w:r>
      <w:r>
        <w:rPr>
          <w:rFonts w:hint="eastAsia" w:ascii="仿宋_GB2312" w:hAnsi="TimesNewRoman" w:eastAsia="仿宋_GB2312" w:cs="TimesNewRoman"/>
          <w:sz w:val="32"/>
          <w:szCs w:val="32"/>
          <w:u w:val="none"/>
        </w:rPr>
        <w:t>工会经费、</w:t>
      </w:r>
      <w:r>
        <w:rPr>
          <w:rFonts w:hint="eastAsia" w:ascii="仿宋_GB2312" w:hAnsi="TimesNewRoman" w:eastAsia="仿宋_GB2312" w:cs="TimesNewRoman"/>
          <w:sz w:val="32"/>
          <w:szCs w:val="32"/>
          <w:u w:val="none"/>
          <w:lang w:val="en-US" w:eastAsia="zh-CN"/>
        </w:rPr>
        <w:t>福利费、</w:t>
      </w:r>
      <w:r>
        <w:rPr>
          <w:rFonts w:hint="eastAsia" w:ascii="仿宋_GB2312" w:hAnsi="TimesNewRoman" w:eastAsia="仿宋_GB2312" w:cs="TimesNewRoman"/>
          <w:sz w:val="32"/>
          <w:szCs w:val="32"/>
          <w:u w:val="none"/>
        </w:rPr>
        <w:t>其他</w:t>
      </w:r>
      <w:r>
        <w:rPr>
          <w:rFonts w:hint="eastAsia" w:ascii="仿宋_GB2312" w:hAnsi="TimesNewRoman" w:eastAsia="仿宋_GB2312" w:cs="TimesNewRoman"/>
          <w:sz w:val="32"/>
          <w:szCs w:val="32"/>
          <w:u w:val="none"/>
          <w:lang w:val="en-US" w:eastAsia="zh-CN"/>
        </w:rPr>
        <w:t>商品和服务支出</w:t>
      </w:r>
      <w:r>
        <w:rPr>
          <w:rFonts w:hint="eastAsia" w:ascii="仿宋_GB2312" w:hAnsi="TimesNewRoman" w:eastAsia="仿宋_GB2312" w:cs="TimesNewRoman"/>
          <w:sz w:val="32"/>
          <w:szCs w:val="32"/>
          <w:u w:val="none"/>
        </w:rPr>
        <w:t>等。</w:t>
      </w:r>
    </w:p>
    <w:p w14:paraId="4514FC73">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七、关于2025年政府性基金预算支出表的说明</w:t>
      </w:r>
    </w:p>
    <w:p w14:paraId="4DBB3DBF">
      <w:pPr>
        <w:pStyle w:val="3"/>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2025年没有政府性基金预算拨款收入，也没有使用政府性基金预算拨款安排的支出。</w:t>
      </w:r>
    </w:p>
    <w:p w14:paraId="54BA3E46">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八、关于2025年国有资本经营预算支出表的说明</w:t>
      </w:r>
    </w:p>
    <w:p w14:paraId="7CC597A1">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2025年没有国有资本经营预算拨款收入，也没有使用国有资本经营预算拨款安排的支出。</w:t>
      </w:r>
    </w:p>
    <w:p w14:paraId="223B024E">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九、关于2025年项目支出表的说明</w:t>
      </w:r>
    </w:p>
    <w:p w14:paraId="6F45238D">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文学艺术院2</w:t>
      </w:r>
      <w:r>
        <w:rPr>
          <w:rFonts w:hint="eastAsia" w:ascii="仿宋_GB2312" w:hAnsi="TimesNewRoman" w:eastAsia="仿宋_GB2312" w:cs="TimesNewRoman"/>
          <w:sz w:val="32"/>
          <w:szCs w:val="32"/>
        </w:rPr>
        <w:t>025年预算共安排项目支出</w:t>
      </w:r>
      <w:r>
        <w:rPr>
          <w:rFonts w:hint="eastAsia" w:ascii="仿宋_GB2312" w:hAnsi="TimesNewRoman" w:eastAsia="仿宋_GB2312" w:cs="TimesNewRoman"/>
          <w:sz w:val="32"/>
          <w:szCs w:val="32"/>
          <w:lang w:val="en-US" w:eastAsia="zh-CN"/>
        </w:rPr>
        <w:t>20</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本单位为2024年9月新成立单位，无2024年预算经费，因此无2024年预算对比数据。</w:t>
      </w:r>
      <w:r>
        <w:rPr>
          <w:rFonts w:hint="eastAsia" w:ascii="仿宋_GB2312" w:hAnsi="TimesNewRoman" w:eastAsia="仿宋_GB2312" w:cs="TimesNewRoman"/>
          <w:sz w:val="32"/>
          <w:szCs w:val="32"/>
        </w:rPr>
        <w:t>主要包括：本年财政拨款安排</w:t>
      </w:r>
      <w:r>
        <w:rPr>
          <w:rFonts w:hint="eastAsia" w:ascii="仿宋_GB2312" w:hAnsi="TimesNewRoman" w:eastAsia="仿宋_GB2312" w:cs="TimesNewRoman"/>
          <w:sz w:val="32"/>
          <w:szCs w:val="32"/>
          <w:lang w:val="en-US" w:eastAsia="zh-CN"/>
        </w:rPr>
        <w:t>20</w:t>
      </w:r>
      <w:r>
        <w:rPr>
          <w:rFonts w:hint="eastAsia" w:ascii="仿宋_GB2312" w:hAnsi="TimesNewRoman" w:eastAsia="仿宋_GB2312" w:cs="TimesNewRoman"/>
          <w:sz w:val="32"/>
          <w:szCs w:val="32"/>
        </w:rPr>
        <w:t>万元（其中，一般公共预算拨款安排</w:t>
      </w:r>
      <w:r>
        <w:rPr>
          <w:rFonts w:hint="eastAsia" w:ascii="仿宋_GB2312" w:hAnsi="TimesNewRoman" w:eastAsia="仿宋_GB2312" w:cs="TimesNewRoman"/>
          <w:sz w:val="32"/>
          <w:szCs w:val="32"/>
          <w:lang w:val="en-US" w:eastAsia="zh-CN"/>
        </w:rPr>
        <w:t>20</w:t>
      </w:r>
      <w:r>
        <w:rPr>
          <w:rFonts w:hint="eastAsia" w:ascii="仿宋_GB2312" w:hAnsi="TimesNewRoman" w:eastAsia="仿宋_GB2312" w:cs="TimesNewRoman"/>
          <w:sz w:val="32"/>
          <w:szCs w:val="32"/>
        </w:rPr>
        <w:t xml:space="preserve">万元），财政拨款上年结转安排 </w:t>
      </w:r>
      <w:r>
        <w:rPr>
          <w:rFonts w:hint="eastAsia" w:ascii="仿宋_GB2312" w:hAnsi="TimesNewRoman" w:eastAsia="仿宋_GB2312" w:cs="TimesNewRoman"/>
          <w:sz w:val="32"/>
          <w:szCs w:val="32"/>
          <w:lang w:val="en-US" w:eastAsia="zh-CN"/>
        </w:rPr>
        <w:t>00</w:t>
      </w:r>
      <w:r>
        <w:rPr>
          <w:rFonts w:hint="eastAsia" w:ascii="仿宋_GB2312" w:hAnsi="TimesNewRoman" w:eastAsia="仿宋_GB2312" w:cs="TimesNewRoman"/>
          <w:sz w:val="32"/>
          <w:szCs w:val="32"/>
        </w:rPr>
        <w:t>万元、财政专户管理资金安排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万元和单位资金安排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33539F9F">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十、关于2025年政府采购支出表的说明</w:t>
      </w:r>
    </w:p>
    <w:p w14:paraId="6E53645C">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文学艺术院2</w:t>
      </w:r>
      <w:r>
        <w:rPr>
          <w:rFonts w:hint="eastAsia" w:ascii="仿宋_GB2312" w:hAnsi="TimesNewRoman" w:eastAsia="仿宋_GB2312" w:cs="TimesNewRoman"/>
          <w:sz w:val="32"/>
          <w:szCs w:val="32"/>
        </w:rPr>
        <w:t>025年预算安排政府采购支出</w:t>
      </w:r>
      <w:r>
        <w:rPr>
          <w:rFonts w:hint="eastAsia" w:ascii="仿宋_GB2312" w:hAnsi="TimesNewRoman" w:eastAsia="仿宋_GB2312" w:cs="TimesNewRoman"/>
          <w:sz w:val="32"/>
          <w:szCs w:val="32"/>
          <w:lang w:val="en-US" w:eastAsia="zh-CN"/>
        </w:rPr>
        <w:t>2.50</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本单位为2024年9月新成立单位，无2024年预算经费，因此无2024年预算对比数据。</w:t>
      </w:r>
      <w:r>
        <w:rPr>
          <w:rFonts w:hint="eastAsia" w:ascii="仿宋_GB2312" w:hAnsi="TimesNewRoman" w:eastAsia="仿宋_GB2312" w:cs="TimesNewRoman"/>
          <w:sz w:val="32"/>
          <w:szCs w:val="32"/>
        </w:rPr>
        <w:t>其中，一般公共预算安排</w:t>
      </w:r>
      <w:r>
        <w:rPr>
          <w:rFonts w:hint="eastAsia" w:ascii="仿宋_GB2312" w:hAnsi="TimesNewRoman" w:eastAsia="仿宋_GB2312" w:cs="TimesNewRoman"/>
          <w:sz w:val="32"/>
          <w:szCs w:val="32"/>
          <w:lang w:val="en-US" w:eastAsia="zh-CN"/>
        </w:rPr>
        <w:t>2.50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100</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没有使用政府性基金预算拨款、国有资本经营预算拨款、财政专户管理资金和单位资金安排的政府采购支出。</w:t>
      </w:r>
    </w:p>
    <w:p w14:paraId="325DAF8E">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十一、关于2025年政府购买服务支出表的说明</w:t>
      </w:r>
    </w:p>
    <w:p w14:paraId="3C4C169F">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2025年没有安排政府购买服务支出。</w:t>
      </w:r>
    </w:p>
    <w:p w14:paraId="3CB64707">
      <w:pPr>
        <w:pStyle w:val="3"/>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十二、</w:t>
      </w:r>
      <w:r>
        <w:rPr>
          <w:rFonts w:hint="eastAsia" w:ascii="楷体_GB2312" w:hAnsi="TimesNewRoman" w:eastAsia="楷体_GB2312" w:cs="TimesNewRoman"/>
          <w:b/>
          <w:sz w:val="32"/>
          <w:szCs w:val="32"/>
          <w:lang w:eastAsia="zh-CN"/>
        </w:rPr>
        <w:t>关于</w:t>
      </w:r>
      <w:r>
        <w:rPr>
          <w:rFonts w:hint="eastAsia" w:ascii="楷体_GB2312" w:hAnsi="TimesNewRoman" w:eastAsia="楷体_GB2312" w:cs="TimesNewRoman"/>
          <w:b/>
          <w:sz w:val="32"/>
          <w:szCs w:val="32"/>
        </w:rPr>
        <w:t>2025</w:t>
      </w:r>
      <w:r>
        <w:rPr>
          <w:rFonts w:ascii="楷体_GB2312" w:hAnsi="TimesNewRoman" w:eastAsia="楷体_GB2312" w:cs="TimesNewRoman"/>
          <w:b/>
          <w:sz w:val="32"/>
          <w:szCs w:val="32"/>
        </w:rPr>
        <w:t>年一般公共预算“三公”经费支出情况说明</w:t>
      </w:r>
    </w:p>
    <w:p w14:paraId="2FF297AF">
      <w:pPr>
        <w:adjustRightInd w:val="0"/>
        <w:snapToGrid w:val="0"/>
        <w:spacing w:line="560" w:lineRule="exact"/>
        <w:ind w:firstLine="640" w:firstLineChars="200"/>
        <w:rPr>
          <w:rFonts w:ascii="仿宋_GB2312" w:hAnsi="TimesNewRoman" w:eastAsia="仿宋_GB2312" w:cs="TimesNewRoman"/>
          <w:kern w:val="0"/>
          <w:sz w:val="32"/>
          <w:szCs w:val="32"/>
        </w:rPr>
      </w:pPr>
      <w:r>
        <w:rPr>
          <w:rFonts w:hint="eastAsia" w:ascii="仿宋_GB2312" w:hAnsi="TimesNewRoman" w:eastAsia="仿宋_GB2312" w:cs="TimesNewRoman"/>
          <w:sz w:val="32"/>
          <w:szCs w:val="32"/>
          <w:lang w:eastAsia="zh-CN"/>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kern w:val="0"/>
          <w:sz w:val="32"/>
          <w:szCs w:val="32"/>
        </w:rPr>
        <w:t>2025</w:t>
      </w:r>
      <w:r>
        <w:rPr>
          <w:rFonts w:ascii="仿宋_GB2312" w:hAnsi="TimesNewRoman" w:eastAsia="仿宋_GB2312" w:cs="TimesNewRoman"/>
          <w:kern w:val="0"/>
          <w:sz w:val="32"/>
          <w:szCs w:val="32"/>
        </w:rPr>
        <w:t>年一般公共预算“三公”经费支出预算为</w:t>
      </w:r>
      <w:r>
        <w:rPr>
          <w:rFonts w:hint="eastAsia" w:ascii="仿宋_GB2312" w:hAnsi="TimesNewRoman" w:eastAsia="仿宋_GB2312" w:cs="TimesNewRoman"/>
          <w:kern w:val="0"/>
          <w:sz w:val="32"/>
          <w:szCs w:val="32"/>
          <w:lang w:val="en-US" w:eastAsia="zh-CN"/>
        </w:rPr>
        <w:t>2.90</w:t>
      </w:r>
      <w:r>
        <w:rPr>
          <w:rFonts w:ascii="仿宋_GB2312" w:hAnsi="TimesNewRoman" w:eastAsia="仿宋_GB2312" w:cs="TimesNewRoman"/>
          <w:kern w:val="0"/>
          <w:sz w:val="32"/>
          <w:szCs w:val="32"/>
        </w:rPr>
        <w:t>万元，</w:t>
      </w:r>
      <w:r>
        <w:rPr>
          <w:rFonts w:hint="eastAsia" w:ascii="仿宋_GB2312" w:hAnsi="TimesNewRoman" w:eastAsia="仿宋_GB2312" w:cs="TimesNewRoman"/>
          <w:sz w:val="32"/>
          <w:szCs w:val="32"/>
          <w:lang w:val="en-US" w:eastAsia="zh-CN"/>
        </w:rPr>
        <w:t>本单位为2024年9月新成立单位，无2024年预算经费，因此无2024年预算对比数据。</w:t>
      </w:r>
      <w:r>
        <w:rPr>
          <w:rFonts w:ascii="仿宋_GB2312" w:hAnsi="TimesNewRoman" w:eastAsia="仿宋_GB2312" w:cs="TimesNewRoman"/>
          <w:kern w:val="0"/>
          <w:sz w:val="32"/>
          <w:szCs w:val="32"/>
        </w:rPr>
        <w:t>其中：因公出国（境）费支出预算为</w:t>
      </w:r>
      <w:r>
        <w:rPr>
          <w:rFonts w:hint="eastAsia" w:ascii="仿宋_GB2312" w:hAnsi="TimesNewRoman" w:eastAsia="仿宋_GB2312" w:cs="TimesNewRoman"/>
          <w:kern w:val="0"/>
          <w:sz w:val="32"/>
          <w:szCs w:val="32"/>
          <w:lang w:val="en-US" w:eastAsia="zh-CN"/>
        </w:rPr>
        <w:t>0</w:t>
      </w:r>
      <w:r>
        <w:rPr>
          <w:rFonts w:ascii="仿宋_GB2312" w:hAnsi="TimesNewRoman" w:eastAsia="仿宋_GB2312" w:cs="TimesNewRoman"/>
          <w:kern w:val="0"/>
          <w:sz w:val="32"/>
          <w:szCs w:val="32"/>
        </w:rPr>
        <w:t>万元，公务接待费支出预算为</w:t>
      </w:r>
      <w:r>
        <w:rPr>
          <w:rFonts w:hint="eastAsia" w:ascii="仿宋_GB2312" w:hAnsi="TimesNewRoman" w:eastAsia="仿宋_GB2312" w:cs="TimesNewRoman"/>
          <w:kern w:val="0"/>
          <w:sz w:val="32"/>
          <w:szCs w:val="32"/>
          <w:lang w:val="en-US" w:eastAsia="zh-CN"/>
        </w:rPr>
        <w:t>2.90</w:t>
      </w:r>
      <w:r>
        <w:rPr>
          <w:rFonts w:ascii="仿宋_GB2312" w:hAnsi="TimesNewRoman" w:eastAsia="仿宋_GB2312" w:cs="TimesNewRoman"/>
          <w:kern w:val="0"/>
          <w:sz w:val="32"/>
          <w:szCs w:val="32"/>
        </w:rPr>
        <w:t>万元，公务用车购置及运行费支出预算为</w:t>
      </w:r>
      <w:r>
        <w:rPr>
          <w:rFonts w:hint="eastAsia" w:ascii="仿宋_GB2312" w:hAnsi="TimesNewRoman" w:eastAsia="仿宋_GB2312" w:cs="TimesNewRoman"/>
          <w:kern w:val="0"/>
          <w:sz w:val="32"/>
          <w:szCs w:val="32"/>
          <w:lang w:val="en-US" w:eastAsia="zh-CN"/>
        </w:rPr>
        <w:t>0</w:t>
      </w:r>
      <w:r>
        <w:rPr>
          <w:rFonts w:ascii="仿宋_GB2312" w:hAnsi="TimesNewRoman" w:eastAsia="仿宋_GB2312" w:cs="TimesNewRoman"/>
          <w:kern w:val="0"/>
          <w:sz w:val="32"/>
          <w:szCs w:val="32"/>
        </w:rPr>
        <w:t>万元。具体情况如下：</w:t>
      </w:r>
    </w:p>
    <w:p w14:paraId="787905DE">
      <w:pPr>
        <w:pStyle w:val="3"/>
        <w:numPr>
          <w:ilvl w:val="0"/>
          <w:numId w:val="1"/>
        </w:numPr>
        <w:adjustRightInd w:val="0"/>
        <w:snapToGrid w:val="0"/>
        <w:spacing w:beforeAutospacing="0" w:afterAutospacing="0" w:line="560" w:lineRule="exact"/>
        <w:ind w:firstLine="643" w:firstLineChars="200"/>
        <w:rPr>
          <w:rFonts w:hint="eastAsia" w:ascii="TimesNewRoman" w:hAnsi="TimesNewRoman" w:eastAsia="仿宋_GB2312" w:cs="TimesNewRoman"/>
          <w:sz w:val="32"/>
          <w:szCs w:val="32"/>
          <w:lang w:eastAsia="zh-CN"/>
        </w:rPr>
      </w:pPr>
      <w:r>
        <w:rPr>
          <w:rFonts w:ascii="仿宋_GB2312" w:hAnsi="TimesNewRoman" w:eastAsia="仿宋_GB2312" w:cs="TimesNewRoman"/>
          <w:b/>
          <w:bCs/>
          <w:sz w:val="32"/>
          <w:szCs w:val="32"/>
        </w:rPr>
        <w:t>因公出国（境）费</w:t>
      </w:r>
      <w:r>
        <w:rPr>
          <w:rFonts w:ascii="仿宋_GB2312" w:hAnsi="TimesNewRoman" w:eastAsia="仿宋_GB2312" w:cs="TimesNewRoman"/>
          <w:sz w:val="32"/>
          <w:szCs w:val="32"/>
        </w:rPr>
        <w:t>支</w:t>
      </w:r>
      <w:r>
        <w:rPr>
          <w:rFonts w:ascii="TimesNewRoman" w:hAnsi="TimesNewRoman" w:eastAsia="仿宋_GB2312" w:cs="TimesNewRoman"/>
          <w:sz w:val="32"/>
          <w:szCs w:val="32"/>
        </w:rPr>
        <w:t>出预算</w:t>
      </w:r>
      <w:r>
        <w:rPr>
          <w:rFonts w:hint="eastAsia" w:ascii="TimesNewRoman" w:hAnsi="TimesNewRoman" w:eastAsia="仿宋_GB2312" w:cs="TimesNewRoman"/>
          <w:sz w:val="32"/>
          <w:szCs w:val="32"/>
          <w:lang w:val="en-US" w:eastAsia="zh-CN"/>
        </w:rPr>
        <w:t>0</w:t>
      </w:r>
      <w:r>
        <w:rPr>
          <w:rFonts w:ascii="TimesNewRoman" w:hAnsi="TimesNewRoman" w:eastAsia="仿宋_GB2312" w:cs="TimesNewRoman"/>
          <w:sz w:val="32"/>
          <w:szCs w:val="32"/>
        </w:rPr>
        <w:t>万元</w:t>
      </w:r>
      <w:r>
        <w:rPr>
          <w:rFonts w:hint="eastAsia" w:ascii="TimesNewRoman" w:hAnsi="TimesNewRoman" w:eastAsia="仿宋_GB2312" w:cs="TimesNewRoman"/>
          <w:sz w:val="32"/>
          <w:szCs w:val="32"/>
          <w:lang w:eastAsia="zh-CN"/>
        </w:rPr>
        <w:t>。</w:t>
      </w:r>
    </w:p>
    <w:p w14:paraId="28114B33">
      <w:pPr>
        <w:pStyle w:val="3"/>
        <w:numPr>
          <w:ilvl w:val="0"/>
          <w:numId w:val="0"/>
        </w:numPr>
        <w:adjustRightInd w:val="0"/>
        <w:snapToGrid w:val="0"/>
        <w:spacing w:beforeAutospacing="0" w:afterAutospacing="0" w:line="560" w:lineRule="exact"/>
        <w:ind w:firstLine="643" w:firstLineChars="200"/>
        <w:rPr>
          <w:rFonts w:hint="eastAsia" w:ascii="仿宋_GB2312" w:hAnsi="TimesNewRoman" w:eastAsia="仿宋_GB2312" w:cs="TimesNewRoman"/>
          <w:sz w:val="32"/>
          <w:szCs w:val="32"/>
          <w:lang w:eastAsia="zh-CN"/>
        </w:rPr>
      </w:pPr>
      <w:r>
        <w:rPr>
          <w:rFonts w:ascii="仿宋_GB2312" w:hAnsi="TimesNewRoman" w:eastAsia="仿宋_GB2312" w:cs="TimesNewRoman"/>
          <w:b/>
          <w:bCs/>
          <w:sz w:val="32"/>
          <w:szCs w:val="32"/>
        </w:rPr>
        <w:t>（二）公务用车购置及运行费</w:t>
      </w:r>
      <w:r>
        <w:rPr>
          <w:rFonts w:ascii="仿宋_GB2312" w:hAnsi="TimesNewRoman" w:eastAsia="仿宋_GB2312" w:cs="TimesNewRoman"/>
          <w:sz w:val="32"/>
          <w:szCs w:val="32"/>
        </w:rPr>
        <w:t>支出预算</w:t>
      </w:r>
      <w:r>
        <w:rPr>
          <w:rFonts w:hint="eastAsia" w:ascii="仿宋_GB2312" w:hAnsi="TimesNewRoman" w:eastAsia="仿宋_GB2312" w:cs="TimesNewRoman"/>
          <w:sz w:val="32"/>
          <w:szCs w:val="32"/>
          <w:lang w:val="en-US" w:eastAsia="zh-CN"/>
        </w:rPr>
        <w:t>0</w:t>
      </w:r>
      <w:r>
        <w:rPr>
          <w:rFonts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w:t>
      </w:r>
    </w:p>
    <w:p w14:paraId="5685ADFD">
      <w:pPr>
        <w:pStyle w:val="3"/>
        <w:spacing w:beforeAutospacing="0" w:afterAutospacing="0" w:line="560" w:lineRule="exact"/>
        <w:ind w:firstLine="643"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（三）公务接待费</w:t>
      </w:r>
      <w:r>
        <w:rPr>
          <w:rFonts w:hint="eastAsia" w:ascii="仿宋_GB2312" w:hAnsi="TimesNewRoman" w:eastAsia="仿宋_GB2312" w:cs="TimesNewRoman"/>
          <w:sz w:val="32"/>
          <w:szCs w:val="32"/>
        </w:rPr>
        <w:t>支出预算</w:t>
      </w:r>
      <w:r>
        <w:rPr>
          <w:rFonts w:hint="eastAsia" w:ascii="仿宋_GB2312" w:hAnsi="TimesNewRoman" w:eastAsia="仿宋_GB2312" w:cs="TimesNewRoman"/>
          <w:sz w:val="32"/>
          <w:szCs w:val="32"/>
          <w:lang w:val="en-US" w:eastAsia="zh-CN"/>
        </w:rPr>
        <w:t>2.90</w:t>
      </w:r>
      <w:r>
        <w:rPr>
          <w:rFonts w:hint="eastAsia" w:ascii="仿宋_GB2312" w:hAnsi="TimesNewRoman" w:eastAsia="仿宋_GB2312" w:cs="TimesNewRoman"/>
          <w:sz w:val="32"/>
          <w:szCs w:val="32"/>
        </w:rPr>
        <w:t>万元，</w:t>
      </w:r>
      <w:r>
        <w:rPr>
          <w:rFonts w:hint="default" w:ascii="TimesNewRoman" w:hAnsi="TimesNewRoman" w:eastAsia="仿宋_GB2312" w:cs="TimesNewRoman"/>
          <w:sz w:val="32"/>
          <w:szCs w:val="32"/>
        </w:rPr>
        <w:t>该项经费主要用于</w:t>
      </w:r>
      <w:r>
        <w:rPr>
          <w:rFonts w:hint="eastAsia" w:ascii="仿宋" w:hAnsi="仿宋" w:eastAsia="仿宋"/>
          <w:color w:val="000000"/>
          <w:sz w:val="32"/>
          <w:szCs w:val="32"/>
        </w:rPr>
        <w:t>因</w:t>
      </w:r>
      <w:r>
        <w:rPr>
          <w:rFonts w:hint="eastAsia" w:ascii="仿宋" w:hAnsi="仿宋" w:eastAsia="仿宋"/>
          <w:color w:val="000000"/>
          <w:sz w:val="32"/>
          <w:szCs w:val="32"/>
          <w:lang w:val="en-US" w:eastAsia="zh-CN"/>
        </w:rPr>
        <w:t>工作</w:t>
      </w:r>
      <w:r>
        <w:rPr>
          <w:rFonts w:hint="eastAsia" w:ascii="仿宋" w:hAnsi="仿宋" w:eastAsia="仿宋"/>
          <w:color w:val="000000"/>
          <w:sz w:val="32"/>
          <w:szCs w:val="32"/>
        </w:rPr>
        <w:t>需要招待</w:t>
      </w:r>
      <w:r>
        <w:rPr>
          <w:rFonts w:hint="eastAsia" w:ascii="仿宋" w:hAnsi="仿宋" w:eastAsia="仿宋"/>
          <w:color w:val="000000"/>
          <w:sz w:val="32"/>
          <w:szCs w:val="32"/>
          <w:lang w:val="en-US" w:eastAsia="zh-CN"/>
        </w:rPr>
        <w:t>上级来人调研、文学活动</w:t>
      </w:r>
      <w:r>
        <w:rPr>
          <w:rFonts w:hint="eastAsia" w:ascii="仿宋_GB2312" w:hAnsi="仿宋" w:eastAsia="仿宋_GB2312"/>
          <w:color w:val="000000"/>
          <w:sz w:val="32"/>
          <w:szCs w:val="32"/>
        </w:rPr>
        <w:t>等公务</w:t>
      </w:r>
      <w:r>
        <w:rPr>
          <w:rFonts w:hint="eastAsia" w:ascii="仿宋_GB2312" w:hAnsi="仿宋" w:eastAsia="仿宋_GB2312"/>
          <w:color w:val="000000"/>
          <w:sz w:val="32"/>
          <w:szCs w:val="32"/>
          <w:lang w:val="en-US" w:eastAsia="zh-CN"/>
        </w:rPr>
        <w:t>接待</w:t>
      </w:r>
      <w:r>
        <w:rPr>
          <w:rFonts w:hint="eastAsia" w:ascii="仿宋_GB2312" w:hAnsi="仿宋" w:eastAsia="仿宋_GB2312"/>
          <w:color w:val="000000"/>
          <w:sz w:val="32"/>
          <w:szCs w:val="32"/>
        </w:rPr>
        <w:t>支出</w:t>
      </w:r>
      <w:r>
        <w:rPr>
          <w:rFonts w:hint="eastAsia" w:ascii="仿宋_GB2312" w:hAnsi="TimesNewRoman" w:eastAsia="仿宋_GB2312" w:cs="TimesNewRoman"/>
          <w:sz w:val="32"/>
          <w:szCs w:val="32"/>
        </w:rPr>
        <w:t>。经费使用严格执行《党政机关厉行节约反对浪费条例》</w:t>
      </w:r>
      <w:r>
        <w:rPr>
          <w:rFonts w:hint="eastAsia" w:ascii="仿宋_GB2312" w:hAnsi="仿宋" w:eastAsia="仿宋_GB2312"/>
          <w:color w:val="000000"/>
          <w:sz w:val="32"/>
          <w:szCs w:val="32"/>
        </w:rPr>
        <w:t>（中发〔2013〕13号）</w:t>
      </w:r>
      <w:r>
        <w:rPr>
          <w:rFonts w:hint="eastAsia" w:ascii="仿宋_GB2312" w:hAnsi="TimesNewRoman" w:eastAsia="仿宋_GB2312" w:cs="TimesNewRoman"/>
          <w:sz w:val="32"/>
          <w:szCs w:val="32"/>
        </w:rPr>
        <w:t>和</w:t>
      </w:r>
      <w:r>
        <w:rPr>
          <w:rFonts w:hint="eastAsia" w:ascii="仿宋_GB2312" w:hAnsi="仿宋" w:eastAsia="仿宋_GB2312"/>
          <w:color w:val="000000"/>
          <w:sz w:val="32"/>
          <w:szCs w:val="32"/>
        </w:rPr>
        <w:t>《寿县党政机关公务接待管理规定</w:t>
      </w:r>
      <w:r>
        <w:rPr>
          <w:rFonts w:hint="eastAsia" w:ascii="仿宋_GB2312" w:hAnsi="TimesNewRoman" w:eastAsia="仿宋_GB2312" w:cs="TimesNewRoman"/>
          <w:sz w:val="32"/>
          <w:szCs w:val="32"/>
        </w:rPr>
        <w:t>》</w:t>
      </w:r>
      <w:r>
        <w:rPr>
          <w:rFonts w:hint="eastAsia" w:ascii="仿宋_GB2312" w:hAnsi="仿宋" w:eastAsia="仿宋_GB2312"/>
          <w:color w:val="000000"/>
          <w:sz w:val="32"/>
          <w:szCs w:val="32"/>
        </w:rPr>
        <w:t>（寿办发〔2015〕2号）规定。</w:t>
      </w:r>
    </w:p>
    <w:p w14:paraId="21C038D6">
      <w:pPr>
        <w:pStyle w:val="3"/>
        <w:topLinePunct/>
        <w:adjustRightInd w:val="0"/>
        <w:snapToGrid w:val="0"/>
        <w:spacing w:beforeAutospacing="0" w:afterAutospacing="0" w:line="56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十三、其他重要事项情况说明</w:t>
      </w:r>
    </w:p>
    <w:p w14:paraId="1B02044A">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（一）项目及绩效目标情况。</w:t>
      </w:r>
    </w:p>
    <w:p w14:paraId="0462F247">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1.“</w:t>
      </w:r>
      <w:r>
        <w:rPr>
          <w:rFonts w:hint="eastAsia" w:ascii="仿宋_GB2312" w:hAnsi="TimesNewRoman" w:eastAsia="仿宋_GB2312" w:cs="TimesNewRoman"/>
          <w:b/>
          <w:sz w:val="32"/>
          <w:szCs w:val="32"/>
          <w:lang w:val="en-US" w:eastAsia="zh-CN"/>
        </w:rPr>
        <w:t>文学艺术</w:t>
      </w:r>
      <w:r>
        <w:rPr>
          <w:rFonts w:hint="eastAsia" w:ascii="仿宋_GB2312" w:hAnsi="楷体" w:eastAsia="仿宋_GB2312"/>
          <w:b/>
          <w:sz w:val="32"/>
          <w:szCs w:val="32"/>
        </w:rPr>
        <w:t>工作经费</w:t>
      </w:r>
      <w:r>
        <w:rPr>
          <w:rFonts w:hint="eastAsia" w:ascii="仿宋_GB2312" w:hAnsi="TimesNewRoman" w:eastAsia="仿宋_GB2312" w:cs="TimesNewRoman"/>
          <w:b/>
          <w:sz w:val="32"/>
          <w:szCs w:val="32"/>
        </w:rPr>
        <w:t>”项目。</w:t>
      </w:r>
    </w:p>
    <w:p w14:paraId="0393CE74">
      <w:pPr>
        <w:topLinePunct/>
        <w:adjustRightInd w:val="0"/>
        <w:snapToGrid w:val="0"/>
        <w:spacing w:line="580" w:lineRule="exact"/>
        <w:ind w:firstLine="640" w:firstLineChars="200"/>
        <w:rPr>
          <w:rFonts w:hint="default" w:ascii="仿宋" w:hAnsi="仿宋" w:eastAsia="仿宋" w:cs="宋体"/>
          <w:color w:val="000000" w:themeColor="text1"/>
          <w:kern w:val="0"/>
          <w:sz w:val="32"/>
          <w:szCs w:val="32"/>
          <w:lang w:val="en-US" w:eastAsia="zh-CN"/>
          <w14:textFill>
            <w14:solidFill>
              <w14:schemeClr w14:val="tx1"/>
            </w14:solidFill>
          </w14:textFill>
        </w:rPr>
      </w:pPr>
      <w:r>
        <w:rPr>
          <w:rFonts w:hint="eastAsia" w:ascii="仿宋_GB2312" w:hAnsi="TimesNewRoman" w:eastAsia="仿宋_GB2312" w:cs="TimesNewRoman"/>
          <w:sz w:val="32"/>
          <w:szCs w:val="32"/>
        </w:rPr>
        <w:t>（1）项目概述</w:t>
      </w:r>
      <w:r>
        <w:rPr>
          <w:rFonts w:hint="eastAsia" w:ascii="仿宋_GB2312" w:hAnsi="TimesNewRoman" w:eastAsia="仿宋_GB2312" w:cs="TimesNewRoman"/>
          <w:sz w:val="32"/>
          <w:szCs w:val="32"/>
          <w:lang w:val="en-US" w:eastAsia="zh-CN"/>
        </w:rPr>
        <w:t>:</w:t>
      </w:r>
      <w:r>
        <w:rPr>
          <w:rFonts w:hint="eastAsia" w:ascii="仿宋" w:hAnsi="仿宋" w:eastAsia="仿宋" w:cs="宋体"/>
          <w:color w:val="000000" w:themeColor="text1"/>
          <w:kern w:val="0"/>
          <w:sz w:val="32"/>
          <w:szCs w:val="32"/>
          <w14:textFill>
            <w14:solidFill>
              <w14:schemeClr w14:val="tx1"/>
            </w14:solidFill>
          </w14:textFill>
        </w:rPr>
        <w:t>寿县</w:t>
      </w:r>
      <w:r>
        <w:rPr>
          <w:rFonts w:hint="eastAsia" w:ascii="仿宋" w:hAnsi="仿宋" w:eastAsia="仿宋" w:cs="宋体"/>
          <w:color w:val="000000" w:themeColor="text1"/>
          <w:kern w:val="0"/>
          <w:sz w:val="32"/>
          <w:szCs w:val="32"/>
          <w:lang w:val="en-US" w:eastAsia="zh-CN"/>
          <w14:textFill>
            <w14:solidFill>
              <w14:schemeClr w14:val="tx1"/>
            </w14:solidFill>
          </w14:textFill>
        </w:rPr>
        <w:t>文学艺术院</w:t>
      </w:r>
      <w:r>
        <w:rPr>
          <w:rFonts w:hint="eastAsia" w:ascii="仿宋" w:hAnsi="仿宋" w:eastAsia="仿宋" w:cs="宋体"/>
          <w:color w:val="000000" w:themeColor="text1"/>
          <w:kern w:val="0"/>
          <w:sz w:val="32"/>
          <w:szCs w:val="32"/>
          <w14:textFill>
            <w14:solidFill>
              <w14:schemeClr w14:val="tx1"/>
            </w14:solidFill>
          </w14:textFill>
        </w:rPr>
        <w:t>始终坚持以习近平新时代中国特色社会主义思想为指导，围绕县委、县政府的中心工作，认真贯彻</w:t>
      </w:r>
      <w:r>
        <w:rPr>
          <w:rFonts w:hint="eastAsia" w:ascii="仿宋" w:hAnsi="仿宋" w:eastAsia="仿宋" w:cs="宋体"/>
          <w:color w:val="000000" w:themeColor="text1"/>
          <w:kern w:val="0"/>
          <w:sz w:val="32"/>
          <w:szCs w:val="32"/>
          <w:lang w:val="en-US" w:eastAsia="zh-CN"/>
          <w14:textFill>
            <w14:solidFill>
              <w14:schemeClr w14:val="tx1"/>
            </w14:solidFill>
          </w14:textFill>
        </w:rPr>
        <w:t>执行党的文艺路线、方针、政策，团结和组织广大文艺家和文艺爱好者</w:t>
      </w:r>
      <w:r>
        <w:rPr>
          <w:rFonts w:hint="eastAsia" w:ascii="仿宋" w:hAnsi="仿宋" w:eastAsia="仿宋" w:cs="宋体"/>
          <w:color w:val="000000" w:themeColor="text1"/>
          <w:kern w:val="0"/>
          <w:sz w:val="32"/>
          <w:szCs w:val="32"/>
          <w14:textFill>
            <w14:solidFill>
              <w14:schemeClr w14:val="tx1"/>
            </w14:solidFill>
          </w14:textFill>
        </w:rPr>
        <w:t>，</w:t>
      </w:r>
      <w:r>
        <w:rPr>
          <w:rFonts w:hint="eastAsia" w:ascii="仿宋" w:hAnsi="仿宋" w:eastAsia="仿宋" w:cs="宋体"/>
          <w:color w:val="000000" w:themeColor="text1"/>
          <w:kern w:val="0"/>
          <w:sz w:val="32"/>
          <w:szCs w:val="32"/>
          <w:lang w:val="en-US" w:eastAsia="zh-CN"/>
          <w14:textFill>
            <w14:solidFill>
              <w14:schemeClr w14:val="tx1"/>
            </w14:solidFill>
          </w14:textFill>
        </w:rPr>
        <w:t>繁荣和发展社会主义文艺事业，为建设现代化五大发展美好寿县做贡献。</w:t>
      </w:r>
    </w:p>
    <w:p w14:paraId="619E15A3">
      <w:pPr>
        <w:topLinePunct/>
        <w:adjustRightInd w:val="0"/>
        <w:snapToGrid w:val="0"/>
        <w:spacing w:line="56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（2）立项依据</w:t>
      </w:r>
      <w:r>
        <w:rPr>
          <w:rFonts w:hint="eastAsia" w:ascii="仿宋_GB2312" w:hAnsi="TimesNewRoman" w:eastAsia="仿宋_GB2312" w:cs="TimesNewRoman"/>
          <w:sz w:val="32"/>
          <w:szCs w:val="32"/>
          <w:lang w:eastAsia="zh-CN"/>
        </w:rPr>
        <w:t>：中共寿县县委办公室关于印发《</w:t>
      </w:r>
      <w:r>
        <w:rPr>
          <w:rFonts w:hint="eastAsia" w:ascii="仿宋_GB2312" w:hAnsi="TimesNewRoman" w:eastAsia="仿宋_GB2312" w:cs="TimesNewRoman"/>
          <w:sz w:val="32"/>
          <w:szCs w:val="32"/>
          <w:lang w:val="en-US" w:eastAsia="zh-CN"/>
        </w:rPr>
        <w:t>关于成立寿县文学艺术院（寿州循理书院）的批复</w:t>
      </w:r>
      <w:r>
        <w:rPr>
          <w:rFonts w:hint="eastAsia" w:ascii="仿宋_GB2312" w:hAnsi="TimesNewRoman" w:eastAsia="仿宋_GB2312" w:cs="TimesNewRoman"/>
          <w:sz w:val="32"/>
          <w:szCs w:val="32"/>
          <w:lang w:eastAsia="zh-CN"/>
        </w:rPr>
        <w:t>》（寿</w:t>
      </w:r>
      <w:r>
        <w:rPr>
          <w:rFonts w:hint="eastAsia" w:ascii="仿宋_GB2312" w:hAnsi="TimesNewRoman" w:eastAsia="仿宋_GB2312" w:cs="TimesNewRoman"/>
          <w:sz w:val="32"/>
          <w:szCs w:val="32"/>
          <w:lang w:val="en-US" w:eastAsia="zh-CN"/>
        </w:rPr>
        <w:t>编</w:t>
      </w:r>
      <w:r>
        <w:rPr>
          <w:rFonts w:hint="eastAsia" w:ascii="仿宋_GB2312" w:hAnsi="TimesNewRoman" w:eastAsia="仿宋_GB2312" w:cs="TimesNewRoman"/>
          <w:sz w:val="32"/>
          <w:szCs w:val="32"/>
          <w:lang w:eastAsia="zh-CN"/>
        </w:rPr>
        <w:t>﹝20</w:t>
      </w:r>
      <w:r>
        <w:rPr>
          <w:rFonts w:hint="eastAsia" w:ascii="仿宋_GB2312" w:hAnsi="TimesNewRoman" w:eastAsia="仿宋_GB2312" w:cs="TimesNewRoman"/>
          <w:sz w:val="32"/>
          <w:szCs w:val="32"/>
          <w:lang w:val="en-US" w:eastAsia="zh-CN"/>
        </w:rPr>
        <w:t>23</w:t>
      </w:r>
      <w:r>
        <w:rPr>
          <w:rFonts w:hint="eastAsia" w:ascii="仿宋_GB2312" w:hAnsi="TimesNewRoman" w:eastAsia="仿宋_GB2312" w:cs="TimesNewRoman"/>
          <w:sz w:val="32"/>
          <w:szCs w:val="32"/>
          <w:lang w:eastAsia="zh-CN"/>
        </w:rPr>
        <w:t>﹞3</w:t>
      </w:r>
      <w:r>
        <w:rPr>
          <w:rFonts w:hint="eastAsia" w:ascii="仿宋_GB2312" w:hAnsi="TimesNewRoman" w:eastAsia="仿宋_GB2312" w:cs="TimesNewRoman"/>
          <w:sz w:val="32"/>
          <w:szCs w:val="32"/>
          <w:lang w:val="en-US" w:eastAsia="zh-CN"/>
        </w:rPr>
        <w:t>9</w:t>
      </w:r>
      <w:r>
        <w:rPr>
          <w:rFonts w:hint="eastAsia" w:ascii="仿宋_GB2312" w:hAnsi="TimesNewRoman" w:eastAsia="仿宋_GB2312" w:cs="TimesNewRoman"/>
          <w:sz w:val="32"/>
          <w:szCs w:val="32"/>
          <w:lang w:eastAsia="zh-CN"/>
        </w:rPr>
        <w:t>号）</w:t>
      </w:r>
      <w:r>
        <w:rPr>
          <w:rFonts w:hint="eastAsia" w:ascii="仿宋_GB2312" w:hAnsi="TimesNewRoman" w:eastAsia="仿宋_GB2312" w:cs="TimesNewRoman"/>
          <w:sz w:val="32"/>
          <w:szCs w:val="32"/>
          <w:lang w:val="en-US" w:eastAsia="zh-CN"/>
        </w:rPr>
        <w:t>文件</w:t>
      </w:r>
      <w:r>
        <w:rPr>
          <w:rFonts w:hint="eastAsia" w:ascii="仿宋_GB2312" w:hAnsi="TimesNewRoman" w:eastAsia="仿宋_GB2312" w:cs="TimesNewRoman"/>
          <w:sz w:val="32"/>
          <w:szCs w:val="32"/>
          <w:lang w:eastAsia="zh-CN"/>
        </w:rPr>
        <w:t>。</w:t>
      </w:r>
    </w:p>
    <w:p w14:paraId="4897BA98">
      <w:pPr>
        <w:numPr>
          <w:ilvl w:val="0"/>
          <w:numId w:val="0"/>
        </w:numPr>
        <w:topLinePunct/>
        <w:adjustRightInd w:val="0"/>
        <w:snapToGrid w:val="0"/>
        <w:spacing w:line="58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（3）实施主体</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寿县文学艺术院</w:t>
      </w:r>
    </w:p>
    <w:p w14:paraId="43D84B86">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2025年度</w:t>
      </w:r>
    </w:p>
    <w:p w14:paraId="7CA004A7">
      <w:pPr>
        <w:spacing w:line="600" w:lineRule="exact"/>
        <w:ind w:firstLine="640" w:firstLineChars="200"/>
        <w:rPr>
          <w:rFonts w:hint="eastAsia" w:ascii="仿宋" w:hAnsi="仿宋" w:eastAsia="仿宋"/>
          <w:color w:val="000000"/>
          <w:sz w:val="32"/>
          <w:szCs w:val="32"/>
          <w:lang w:val="en-US" w:eastAsia="zh-CN"/>
        </w:rPr>
      </w:pPr>
      <w:r>
        <w:rPr>
          <w:rFonts w:hint="eastAsia" w:ascii="仿宋_GB2312" w:hAnsi="TimesNewRoman" w:eastAsia="仿宋_GB2312" w:cs="TimesNewRoman"/>
          <w:sz w:val="32"/>
          <w:szCs w:val="32"/>
        </w:rPr>
        <w:t>（5）项目内容</w:t>
      </w:r>
      <w:r>
        <w:rPr>
          <w:rFonts w:hint="eastAsia" w:ascii="仿宋_GB2312" w:hAnsi="TimesNewRoman" w:eastAsia="仿宋_GB2312" w:cs="TimesNewRoman"/>
          <w:sz w:val="32"/>
          <w:szCs w:val="32"/>
          <w:lang w:eastAsia="zh-CN"/>
        </w:rPr>
        <w:t>：</w:t>
      </w:r>
      <w:r>
        <w:rPr>
          <w:rFonts w:hint="eastAsia" w:ascii="仿宋" w:hAnsi="仿宋" w:eastAsia="仿宋"/>
          <w:color w:val="000000"/>
          <w:sz w:val="32"/>
          <w:szCs w:val="32"/>
        </w:rPr>
        <w:t>1</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举办“寿春杯《小说选刊》年度大奖”颁奖典礼系列活动；2.</w:t>
      </w:r>
      <w:r>
        <w:rPr>
          <w:rFonts w:hint="eastAsia" w:ascii="仿宋" w:hAnsi="仿宋" w:eastAsia="仿宋"/>
          <w:color w:val="000000"/>
          <w:sz w:val="32"/>
          <w:szCs w:val="32"/>
          <w:lang w:eastAsia="zh-CN"/>
        </w:rPr>
        <w:t>寿州循理书院logo及“循理杯”奖杯设计大赛;</w:t>
      </w:r>
      <w:r>
        <w:rPr>
          <w:rFonts w:hint="eastAsia" w:ascii="仿宋" w:hAnsi="仿宋" w:eastAsia="仿宋"/>
          <w:color w:val="000000"/>
          <w:sz w:val="32"/>
          <w:szCs w:val="32"/>
        </w:rPr>
        <w:t>3</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举办</w:t>
      </w:r>
      <w:r>
        <w:rPr>
          <w:rFonts w:hint="eastAsia" w:ascii="仿宋" w:hAnsi="仿宋" w:eastAsia="仿宋"/>
          <w:color w:val="000000"/>
          <w:sz w:val="32"/>
          <w:szCs w:val="32"/>
          <w:lang w:eastAsia="zh-CN"/>
        </w:rPr>
        <w:t>“两节”文艺活动；</w:t>
      </w:r>
      <w:r>
        <w:rPr>
          <w:rFonts w:hint="eastAsia" w:ascii="仿宋" w:hAnsi="仿宋" w:eastAsia="仿宋"/>
          <w:color w:val="000000"/>
          <w:sz w:val="32"/>
          <w:szCs w:val="32"/>
        </w:rPr>
        <w:t>4</w:t>
      </w:r>
      <w:r>
        <w:rPr>
          <w:rFonts w:hint="eastAsia" w:ascii="仿宋" w:hAnsi="仿宋" w:eastAsia="仿宋"/>
          <w:color w:val="000000"/>
          <w:sz w:val="32"/>
          <w:szCs w:val="32"/>
          <w:lang w:eastAsia="zh-CN"/>
        </w:rPr>
        <w:t>.承接中国作协、省作协活动</w:t>
      </w:r>
      <w:r>
        <w:rPr>
          <w:rFonts w:hint="eastAsia" w:ascii="仿宋" w:hAnsi="仿宋" w:eastAsia="仿宋"/>
          <w:color w:val="000000"/>
          <w:sz w:val="32"/>
          <w:szCs w:val="32"/>
          <w:lang w:val="en-US" w:eastAsia="zh-CN"/>
        </w:rPr>
        <w:t>;</w:t>
      </w:r>
      <w:r>
        <w:rPr>
          <w:rFonts w:hint="eastAsia" w:ascii="仿宋" w:hAnsi="仿宋" w:eastAsia="仿宋"/>
          <w:color w:val="000000"/>
          <w:sz w:val="32"/>
          <w:szCs w:val="32"/>
        </w:rPr>
        <w:t>5</w:t>
      </w:r>
      <w:r>
        <w:rPr>
          <w:rFonts w:hint="eastAsia" w:ascii="仿宋" w:hAnsi="仿宋" w:eastAsia="仿宋"/>
          <w:color w:val="000000"/>
          <w:sz w:val="32"/>
          <w:szCs w:val="32"/>
          <w:lang w:eastAsia="zh-CN"/>
        </w:rPr>
        <w:t>..印发文学期刊(内刊)春季刊、夏季刊、秋季刊、冬季刊</w:t>
      </w:r>
      <w:r>
        <w:rPr>
          <w:rFonts w:hint="eastAsia" w:ascii="仿宋" w:hAnsi="仿宋" w:eastAsia="仿宋"/>
          <w:color w:val="000000"/>
          <w:sz w:val="32"/>
          <w:szCs w:val="32"/>
          <w:lang w:val="en-US" w:eastAsia="zh-CN"/>
        </w:rPr>
        <w:t>;</w:t>
      </w:r>
    </w:p>
    <w:p w14:paraId="1EED9208">
      <w:pPr>
        <w:spacing w:line="600" w:lineRule="exact"/>
        <w:rPr>
          <w:rFonts w:hint="eastAsia" w:ascii="仿宋" w:hAnsi="仿宋" w:eastAsia="仿宋"/>
          <w:color w:val="000000"/>
          <w:sz w:val="32"/>
          <w:szCs w:val="32"/>
        </w:rPr>
      </w:pPr>
      <w:r>
        <w:rPr>
          <w:rFonts w:hint="eastAsia" w:ascii="仿宋" w:hAnsi="仿宋" w:eastAsia="仿宋"/>
          <w:color w:val="000000"/>
          <w:sz w:val="32"/>
          <w:szCs w:val="32"/>
        </w:rPr>
        <w:t>6</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举办</w:t>
      </w:r>
      <w:r>
        <w:rPr>
          <w:rFonts w:hint="eastAsia" w:ascii="仿宋" w:hAnsi="仿宋" w:eastAsia="仿宋"/>
          <w:color w:val="000000"/>
          <w:sz w:val="32"/>
          <w:szCs w:val="32"/>
          <w:lang w:eastAsia="zh-CN"/>
        </w:rPr>
        <w:t>“四月文学月”活动；</w:t>
      </w:r>
      <w:r>
        <w:rPr>
          <w:rFonts w:hint="eastAsia" w:ascii="仿宋" w:hAnsi="仿宋" w:eastAsia="仿宋"/>
          <w:color w:val="000000"/>
          <w:sz w:val="32"/>
          <w:szCs w:val="32"/>
        </w:rPr>
        <w:t>7</w:t>
      </w:r>
      <w:r>
        <w:rPr>
          <w:rFonts w:hint="eastAsia" w:ascii="仿宋" w:hAnsi="仿宋" w:eastAsia="仿宋"/>
          <w:color w:val="000000"/>
          <w:sz w:val="32"/>
          <w:szCs w:val="32"/>
          <w:lang w:eastAsia="zh-CN"/>
        </w:rPr>
        <w:t>.与国家级期刊等开展主题采风等活动；</w:t>
      </w:r>
      <w:r>
        <w:rPr>
          <w:rFonts w:hint="eastAsia" w:ascii="仿宋" w:hAnsi="仿宋" w:eastAsia="仿宋"/>
          <w:color w:val="000000"/>
          <w:sz w:val="32"/>
          <w:szCs w:val="32"/>
        </w:rPr>
        <w:t>8</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开展</w:t>
      </w:r>
      <w:r>
        <w:rPr>
          <w:rFonts w:hint="eastAsia" w:ascii="仿宋" w:hAnsi="仿宋" w:eastAsia="仿宋"/>
          <w:color w:val="000000"/>
          <w:sz w:val="32"/>
          <w:szCs w:val="32"/>
          <w:lang w:eastAsia="zh-CN"/>
        </w:rPr>
        <w:t>文艺人才引进工作、</w:t>
      </w:r>
      <w:r>
        <w:rPr>
          <w:rFonts w:hint="eastAsia" w:ascii="仿宋" w:hAnsi="仿宋" w:eastAsia="仿宋"/>
          <w:color w:val="000000"/>
          <w:sz w:val="32"/>
          <w:szCs w:val="32"/>
          <w:lang w:val="en-US" w:eastAsia="zh-CN"/>
        </w:rPr>
        <w:t>作家培训班；</w:t>
      </w:r>
      <w:r>
        <w:rPr>
          <w:rFonts w:hint="eastAsia" w:ascii="仿宋" w:hAnsi="仿宋" w:eastAsia="仿宋"/>
          <w:color w:val="000000"/>
          <w:sz w:val="32"/>
          <w:szCs w:val="32"/>
        </w:rPr>
        <w:t>9</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举办</w:t>
      </w:r>
      <w:r>
        <w:rPr>
          <w:rFonts w:hint="eastAsia" w:ascii="仿宋" w:hAnsi="仿宋" w:eastAsia="仿宋"/>
          <w:color w:val="000000"/>
          <w:sz w:val="32"/>
          <w:szCs w:val="32"/>
          <w:lang w:eastAsia="zh-CN"/>
        </w:rPr>
        <w:t>主题采风、</w:t>
      </w:r>
      <w:r>
        <w:rPr>
          <w:rFonts w:hint="eastAsia" w:ascii="仿宋" w:hAnsi="仿宋" w:eastAsia="仿宋"/>
          <w:color w:val="000000"/>
          <w:sz w:val="32"/>
          <w:szCs w:val="32"/>
          <w:lang w:val="en-US" w:eastAsia="zh-CN"/>
        </w:rPr>
        <w:t>文艺作品交流研讨、</w:t>
      </w:r>
      <w:r>
        <w:rPr>
          <w:rFonts w:hint="eastAsia" w:ascii="仿宋" w:hAnsi="仿宋" w:eastAsia="仿宋"/>
          <w:color w:val="000000"/>
          <w:sz w:val="32"/>
          <w:szCs w:val="32"/>
          <w:lang w:eastAsia="zh-CN"/>
        </w:rPr>
        <w:t>抗日战争胜利80周年文学纪念活动等活动；</w:t>
      </w:r>
      <w:r>
        <w:rPr>
          <w:rFonts w:hint="eastAsia" w:ascii="仿宋" w:hAnsi="仿宋" w:eastAsia="仿宋"/>
          <w:color w:val="000000"/>
          <w:sz w:val="32"/>
          <w:szCs w:val="32"/>
        </w:rPr>
        <w:t>1</w:t>
      </w:r>
      <w:r>
        <w:rPr>
          <w:rFonts w:hint="eastAsia" w:ascii="仿宋" w:hAnsi="仿宋" w:eastAsia="仿宋"/>
          <w:color w:val="000000"/>
          <w:sz w:val="32"/>
          <w:szCs w:val="32"/>
          <w:lang w:val="en-US" w:eastAsia="zh-CN"/>
        </w:rPr>
        <w:t>0</w:t>
      </w:r>
      <w:r>
        <w:rPr>
          <w:rFonts w:hint="eastAsia" w:ascii="仿宋" w:hAnsi="仿宋" w:eastAsia="仿宋"/>
          <w:color w:val="000000"/>
          <w:sz w:val="32"/>
          <w:szCs w:val="32"/>
          <w:lang w:eastAsia="zh-CN"/>
        </w:rPr>
        <w:t>.编撰、出版寿县文艺丛书</w:t>
      </w:r>
      <w:r>
        <w:rPr>
          <w:rFonts w:hint="eastAsia" w:ascii="仿宋" w:hAnsi="仿宋" w:eastAsia="仿宋"/>
          <w:color w:val="000000"/>
          <w:sz w:val="32"/>
          <w:szCs w:val="32"/>
        </w:rPr>
        <w:t>。</w:t>
      </w:r>
    </w:p>
    <w:p w14:paraId="62C6819F">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20万元</w:t>
      </w:r>
    </w:p>
    <w:p w14:paraId="0D87BED5">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（7）绩效目标。</w:t>
      </w:r>
    </w:p>
    <w:p w14:paraId="3D00A195">
      <w:pPr>
        <w:topLinePunct/>
        <w:adjustRightInd w:val="0"/>
        <w:snapToGrid w:val="0"/>
        <w:spacing w:line="560" w:lineRule="exact"/>
        <w:ind w:firstLine="640" w:firstLineChars="200"/>
        <w:rPr>
          <w:rFonts w:hint="eastAsia" w:ascii="仿宋_GB2312" w:hAnsi="楷体" w:eastAsia="仿宋_GB2312"/>
          <w:sz w:val="32"/>
          <w:szCs w:val="32"/>
        </w:rPr>
      </w:pPr>
    </w:p>
    <w:tbl>
      <w:tblPr>
        <w:tblStyle w:val="4"/>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822"/>
        <w:gridCol w:w="183"/>
        <w:gridCol w:w="1036"/>
        <w:gridCol w:w="2719"/>
        <w:gridCol w:w="1442"/>
        <w:gridCol w:w="469"/>
        <w:gridCol w:w="1911"/>
      </w:tblGrid>
      <w:tr w14:paraId="1F175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8"/>
            <w:tcBorders>
              <w:top w:val="nil"/>
              <w:left w:val="nil"/>
              <w:bottom w:val="nil"/>
              <w:right w:val="nil"/>
            </w:tcBorders>
            <w:vAlign w:val="center"/>
          </w:tcPr>
          <w:p w14:paraId="64CCBD11">
            <w:pPr>
              <w:widowControl/>
              <w:jc w:val="center"/>
              <w:textAlignment w:val="center"/>
              <w:rPr>
                <w:rFonts w:hint="eastAsia" w:ascii="方正小标宋_GBK" w:eastAsia="方正小标宋_GBK" w:cs="宋体"/>
                <w:bCs/>
                <w:szCs w:val="32"/>
              </w:rPr>
            </w:pPr>
            <w:r>
              <w:rPr>
                <w:rFonts w:hint="eastAsia" w:ascii="方正小标宋_GBK" w:hAnsi="宋体" w:eastAsia="方正小标宋_GBK" w:cs="宋体"/>
                <w:color w:val="000000"/>
                <w:kern w:val="0"/>
                <w:sz w:val="28"/>
                <w:szCs w:val="28"/>
                <w:lang w:bidi="ar"/>
              </w:rPr>
              <w:t>项目支出绩效目标表</w:t>
            </w:r>
          </w:p>
        </w:tc>
      </w:tr>
      <w:tr w14:paraId="4E60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8"/>
            <w:tcBorders>
              <w:top w:val="nil"/>
              <w:left w:val="nil"/>
              <w:right w:val="nil"/>
            </w:tcBorders>
            <w:vAlign w:val="center"/>
          </w:tcPr>
          <w:p w14:paraId="08403B8C">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（2025年度）                                </w:t>
            </w:r>
          </w:p>
        </w:tc>
      </w:tr>
      <w:tr w14:paraId="3C3C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Align w:val="center"/>
          </w:tcPr>
          <w:p w14:paraId="6B2BFB1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5"/>
            <w:vAlign w:val="center"/>
          </w:tcPr>
          <w:p w14:paraId="2D85A2F4">
            <w:pPr>
              <w:spacing w:line="260" w:lineRule="exact"/>
              <w:jc w:val="center"/>
              <w:rPr>
                <w:rFonts w:ascii="宋体" w:cs="宋体"/>
                <w:sz w:val="18"/>
                <w:szCs w:val="18"/>
              </w:rPr>
            </w:pPr>
            <w:r>
              <w:rPr>
                <w:rFonts w:hint="eastAsia" w:ascii="宋体" w:cs="宋体"/>
                <w:sz w:val="18"/>
                <w:szCs w:val="18"/>
                <w:lang w:val="en-US" w:eastAsia="zh-CN"/>
              </w:rPr>
              <w:t>文学艺术活动</w:t>
            </w:r>
            <w:r>
              <w:rPr>
                <w:rFonts w:hint="eastAsia" w:ascii="宋体" w:cs="宋体"/>
                <w:sz w:val="18"/>
                <w:szCs w:val="18"/>
              </w:rPr>
              <w:t>经费</w:t>
            </w:r>
          </w:p>
        </w:tc>
      </w:tr>
      <w:tr w14:paraId="422EE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vAlign w:val="center"/>
          </w:tcPr>
          <w:p w14:paraId="2742DCBE">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755" w:type="dxa"/>
            <w:gridSpan w:val="2"/>
            <w:vAlign w:val="center"/>
          </w:tcPr>
          <w:p w14:paraId="6A3F5D15">
            <w:pPr>
              <w:spacing w:line="260" w:lineRule="exact"/>
              <w:jc w:val="center"/>
              <w:rPr>
                <w:rFonts w:hint="default" w:ascii="宋体" w:eastAsia="宋体" w:cs="宋体"/>
                <w:sz w:val="18"/>
                <w:szCs w:val="18"/>
                <w:lang w:val="en-US" w:eastAsia="zh-CN"/>
              </w:rPr>
            </w:pPr>
            <w:r>
              <w:rPr>
                <w:rFonts w:hint="eastAsia" w:ascii="宋体" w:cs="宋体"/>
                <w:sz w:val="18"/>
                <w:szCs w:val="18"/>
              </w:rPr>
              <w:t>寿县</w:t>
            </w:r>
            <w:r>
              <w:rPr>
                <w:rFonts w:hint="eastAsia" w:ascii="宋体" w:cs="宋体"/>
                <w:sz w:val="18"/>
                <w:szCs w:val="18"/>
                <w:lang w:val="en-US" w:eastAsia="zh-CN"/>
              </w:rPr>
              <w:t>文学艺术界联合会 178</w:t>
            </w:r>
          </w:p>
        </w:tc>
        <w:tc>
          <w:tcPr>
            <w:tcW w:w="1442" w:type="dxa"/>
            <w:vAlign w:val="center"/>
          </w:tcPr>
          <w:p w14:paraId="76585BFE">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gridSpan w:val="2"/>
            <w:vAlign w:val="center"/>
          </w:tcPr>
          <w:p w14:paraId="14F42EB8">
            <w:pPr>
              <w:spacing w:line="260" w:lineRule="exact"/>
              <w:jc w:val="center"/>
              <w:rPr>
                <w:rFonts w:hint="eastAsia" w:eastAsia="宋体"/>
                <w:sz w:val="18"/>
                <w:szCs w:val="18"/>
                <w:lang w:val="en-US" w:eastAsia="zh-CN"/>
              </w:rPr>
            </w:pPr>
            <w:r>
              <w:rPr>
                <w:rFonts w:hint="eastAsia"/>
                <w:sz w:val="18"/>
                <w:szCs w:val="18"/>
              </w:rPr>
              <w:t>寿县</w:t>
            </w:r>
            <w:r>
              <w:rPr>
                <w:rFonts w:hint="eastAsia"/>
                <w:sz w:val="18"/>
                <w:szCs w:val="18"/>
                <w:lang w:val="en-US" w:eastAsia="zh-CN"/>
              </w:rPr>
              <w:t>文学艺术院</w:t>
            </w:r>
          </w:p>
        </w:tc>
      </w:tr>
      <w:tr w14:paraId="1AC95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Align w:val="center"/>
          </w:tcPr>
          <w:p w14:paraId="661C908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755" w:type="dxa"/>
            <w:gridSpan w:val="2"/>
            <w:vAlign w:val="center"/>
          </w:tcPr>
          <w:p w14:paraId="43AF00BD">
            <w:pPr>
              <w:spacing w:line="260" w:lineRule="exact"/>
              <w:jc w:val="center"/>
              <w:rPr>
                <w:rFonts w:ascii="宋体" w:cs="宋体"/>
                <w:sz w:val="18"/>
                <w:szCs w:val="18"/>
              </w:rPr>
            </w:pPr>
            <w:r>
              <w:rPr>
                <w:rFonts w:hint="eastAsia" w:ascii="宋体" w:cs="宋体"/>
                <w:sz w:val="18"/>
                <w:szCs w:val="18"/>
                <w:lang w:val="en-US" w:eastAsia="zh-CN"/>
              </w:rPr>
              <w:t>本级项目</w:t>
            </w:r>
          </w:p>
        </w:tc>
        <w:tc>
          <w:tcPr>
            <w:tcW w:w="1442" w:type="dxa"/>
            <w:vAlign w:val="center"/>
          </w:tcPr>
          <w:p w14:paraId="003299F2">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gridSpan w:val="2"/>
            <w:vAlign w:val="center"/>
          </w:tcPr>
          <w:p w14:paraId="4F221751">
            <w:pPr>
              <w:spacing w:line="260" w:lineRule="exact"/>
              <w:jc w:val="center"/>
              <w:rPr>
                <w:sz w:val="18"/>
                <w:szCs w:val="18"/>
              </w:rPr>
            </w:pPr>
            <w:r>
              <w:rPr>
                <w:rFonts w:hint="eastAsia"/>
                <w:sz w:val="18"/>
                <w:szCs w:val="18"/>
                <w:lang w:val="en-US" w:eastAsia="zh-CN"/>
              </w:rPr>
              <w:t>2025年</w:t>
            </w:r>
          </w:p>
        </w:tc>
      </w:tr>
      <w:tr w14:paraId="0E838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vAlign w:val="center"/>
          </w:tcPr>
          <w:p w14:paraId="6A0F678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755" w:type="dxa"/>
            <w:gridSpan w:val="2"/>
            <w:vAlign w:val="center"/>
          </w:tcPr>
          <w:p w14:paraId="01FC4050">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3822" w:type="dxa"/>
            <w:gridSpan w:val="3"/>
            <w:vAlign w:val="center"/>
          </w:tcPr>
          <w:p w14:paraId="7041C2C6">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20</w:t>
            </w:r>
          </w:p>
        </w:tc>
      </w:tr>
      <w:tr w14:paraId="1CDBA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14:paraId="4068C907">
            <w:pPr>
              <w:spacing w:line="260" w:lineRule="exact"/>
              <w:jc w:val="center"/>
              <w:rPr>
                <w:rFonts w:ascii="宋体" w:cs="宋体"/>
                <w:sz w:val="18"/>
                <w:szCs w:val="18"/>
              </w:rPr>
            </w:pPr>
          </w:p>
        </w:tc>
        <w:tc>
          <w:tcPr>
            <w:tcW w:w="3755" w:type="dxa"/>
            <w:gridSpan w:val="2"/>
            <w:vAlign w:val="center"/>
          </w:tcPr>
          <w:p w14:paraId="560C7507">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3822" w:type="dxa"/>
            <w:gridSpan w:val="3"/>
            <w:vAlign w:val="center"/>
          </w:tcPr>
          <w:p w14:paraId="3BF4D3D9">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20</w:t>
            </w:r>
          </w:p>
        </w:tc>
      </w:tr>
      <w:tr w14:paraId="2C84B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14:paraId="13996AA7">
            <w:pPr>
              <w:spacing w:line="260" w:lineRule="exact"/>
              <w:jc w:val="center"/>
              <w:rPr>
                <w:rFonts w:ascii="宋体" w:cs="宋体"/>
                <w:sz w:val="18"/>
                <w:szCs w:val="18"/>
              </w:rPr>
            </w:pPr>
          </w:p>
        </w:tc>
        <w:tc>
          <w:tcPr>
            <w:tcW w:w="3755" w:type="dxa"/>
            <w:gridSpan w:val="2"/>
            <w:vAlign w:val="center"/>
          </w:tcPr>
          <w:p w14:paraId="1F52CF1B">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3822" w:type="dxa"/>
            <w:gridSpan w:val="3"/>
            <w:vAlign w:val="center"/>
          </w:tcPr>
          <w:p w14:paraId="1C9C0096">
            <w:pPr>
              <w:spacing w:line="260" w:lineRule="exact"/>
              <w:jc w:val="center"/>
              <w:rPr>
                <w:rFonts w:ascii="宋体" w:cs="宋体"/>
                <w:sz w:val="18"/>
                <w:szCs w:val="18"/>
              </w:rPr>
            </w:pPr>
          </w:p>
        </w:tc>
      </w:tr>
      <w:tr w14:paraId="5F13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14:paraId="5E23666E">
            <w:pPr>
              <w:spacing w:line="260" w:lineRule="exact"/>
              <w:jc w:val="center"/>
              <w:rPr>
                <w:rFonts w:ascii="宋体" w:cs="宋体"/>
                <w:sz w:val="18"/>
                <w:szCs w:val="18"/>
              </w:rPr>
            </w:pPr>
          </w:p>
        </w:tc>
        <w:tc>
          <w:tcPr>
            <w:tcW w:w="3755" w:type="dxa"/>
            <w:gridSpan w:val="2"/>
            <w:vAlign w:val="center"/>
          </w:tcPr>
          <w:p w14:paraId="6C96AF80">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3822" w:type="dxa"/>
            <w:gridSpan w:val="3"/>
            <w:vAlign w:val="center"/>
          </w:tcPr>
          <w:p w14:paraId="4ADCA7DD">
            <w:pPr>
              <w:spacing w:line="260" w:lineRule="exact"/>
              <w:jc w:val="center"/>
              <w:rPr>
                <w:rFonts w:ascii="宋体" w:cs="宋体"/>
                <w:sz w:val="18"/>
                <w:szCs w:val="18"/>
              </w:rPr>
            </w:pPr>
          </w:p>
        </w:tc>
      </w:tr>
      <w:tr w14:paraId="7D70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vAlign w:val="center"/>
          </w:tcPr>
          <w:p w14:paraId="6A1AA25E">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7"/>
            <w:vAlign w:val="center"/>
          </w:tcPr>
          <w:p w14:paraId="5DD3E877">
            <w:pPr>
              <w:spacing w:line="260" w:lineRule="exact"/>
              <w:jc w:val="left"/>
              <w:rPr>
                <w:rFonts w:hint="default" w:ascii="宋体" w:eastAsia="宋体" w:cs="宋体"/>
                <w:sz w:val="18"/>
                <w:szCs w:val="18"/>
                <w:lang w:val="en-US" w:eastAsia="zh-CN"/>
              </w:rPr>
            </w:pPr>
            <w:r>
              <w:rPr>
                <w:rFonts w:hint="eastAsia" w:ascii="宋体" w:cs="宋体"/>
                <w:sz w:val="18"/>
                <w:szCs w:val="18"/>
                <w:lang w:val="en-US" w:eastAsia="zh-CN"/>
              </w:rPr>
              <w:t>提升全民文学艺术水平，繁荣和发展我县文艺事业</w:t>
            </w:r>
          </w:p>
        </w:tc>
      </w:tr>
      <w:tr w14:paraId="50AA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vAlign w:val="center"/>
          </w:tcPr>
          <w:p w14:paraId="6713604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822" w:type="dxa"/>
            <w:vAlign w:val="center"/>
          </w:tcPr>
          <w:p w14:paraId="1CD54C65">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1219" w:type="dxa"/>
            <w:gridSpan w:val="2"/>
            <w:vAlign w:val="center"/>
          </w:tcPr>
          <w:p w14:paraId="25AE63F4">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4630" w:type="dxa"/>
            <w:gridSpan w:val="3"/>
            <w:vAlign w:val="center"/>
          </w:tcPr>
          <w:p w14:paraId="3416E79F">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1911" w:type="dxa"/>
            <w:vAlign w:val="center"/>
          </w:tcPr>
          <w:p w14:paraId="12BB0879">
            <w:pPr>
              <w:spacing w:line="26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指标值</w:t>
            </w:r>
          </w:p>
        </w:tc>
      </w:tr>
      <w:tr w14:paraId="79FA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30E277AF">
            <w:pPr>
              <w:spacing w:line="260" w:lineRule="exact"/>
              <w:jc w:val="center"/>
              <w:rPr>
                <w:rFonts w:ascii="宋体" w:cs="宋体"/>
                <w:sz w:val="18"/>
                <w:szCs w:val="18"/>
              </w:rPr>
            </w:pPr>
          </w:p>
        </w:tc>
        <w:tc>
          <w:tcPr>
            <w:tcW w:w="822" w:type="dxa"/>
            <w:vMerge w:val="restart"/>
            <w:vAlign w:val="center"/>
          </w:tcPr>
          <w:p w14:paraId="6ED4EFFF">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1219" w:type="dxa"/>
            <w:gridSpan w:val="2"/>
            <w:vAlign w:val="center"/>
          </w:tcPr>
          <w:p w14:paraId="78B93243">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数量指标</w:t>
            </w:r>
          </w:p>
        </w:tc>
        <w:tc>
          <w:tcPr>
            <w:tcW w:w="4630" w:type="dxa"/>
            <w:gridSpan w:val="3"/>
            <w:vAlign w:val="center"/>
          </w:tcPr>
          <w:p w14:paraId="70FA2013">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开展</w:t>
            </w:r>
            <w:r>
              <w:rPr>
                <w:rFonts w:hint="eastAsia" w:ascii="宋体" w:hAnsi="宋体" w:cs="宋体"/>
                <w:i w:val="0"/>
                <w:color w:val="000000"/>
                <w:kern w:val="0"/>
                <w:sz w:val="20"/>
                <w:szCs w:val="20"/>
                <w:u w:val="none"/>
                <w:lang w:val="en-US" w:eastAsia="zh-CN" w:bidi="ar"/>
              </w:rPr>
              <w:t>文学艺术</w:t>
            </w:r>
            <w:r>
              <w:rPr>
                <w:rFonts w:hint="eastAsia" w:ascii="宋体" w:hAnsi="宋体" w:eastAsia="宋体" w:cs="宋体"/>
                <w:i w:val="0"/>
                <w:color w:val="000000"/>
                <w:kern w:val="0"/>
                <w:sz w:val="20"/>
                <w:szCs w:val="20"/>
                <w:u w:val="none"/>
                <w:lang w:val="en-US" w:eastAsia="zh-CN" w:bidi="ar"/>
              </w:rPr>
              <w:t>系列活动</w:t>
            </w:r>
          </w:p>
        </w:tc>
        <w:tc>
          <w:tcPr>
            <w:tcW w:w="1911" w:type="dxa"/>
            <w:vAlign w:val="center"/>
          </w:tcPr>
          <w:p w14:paraId="40683E0A">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≤14个</w:t>
            </w:r>
          </w:p>
        </w:tc>
      </w:tr>
      <w:tr w14:paraId="7D795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2B1F3214">
            <w:pPr>
              <w:spacing w:line="260" w:lineRule="exact"/>
              <w:jc w:val="center"/>
              <w:rPr>
                <w:rFonts w:ascii="宋体" w:cs="宋体"/>
                <w:sz w:val="18"/>
                <w:szCs w:val="18"/>
              </w:rPr>
            </w:pPr>
          </w:p>
        </w:tc>
        <w:tc>
          <w:tcPr>
            <w:tcW w:w="822" w:type="dxa"/>
            <w:vMerge w:val="continue"/>
            <w:vAlign w:val="center"/>
          </w:tcPr>
          <w:p w14:paraId="7FBE4B8E">
            <w:pPr>
              <w:spacing w:line="260" w:lineRule="exact"/>
              <w:jc w:val="center"/>
              <w:rPr>
                <w:rFonts w:ascii="宋体" w:cs="宋体"/>
                <w:sz w:val="18"/>
                <w:szCs w:val="18"/>
              </w:rPr>
            </w:pPr>
          </w:p>
        </w:tc>
        <w:tc>
          <w:tcPr>
            <w:tcW w:w="1219" w:type="dxa"/>
            <w:gridSpan w:val="2"/>
            <w:vAlign w:val="center"/>
          </w:tcPr>
          <w:p w14:paraId="060A35DE">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质量指标</w:t>
            </w:r>
          </w:p>
        </w:tc>
        <w:tc>
          <w:tcPr>
            <w:tcW w:w="4630" w:type="dxa"/>
            <w:gridSpan w:val="3"/>
            <w:vAlign w:val="center"/>
          </w:tcPr>
          <w:p w14:paraId="79014BE6">
            <w:pPr>
              <w:keepNext w:val="0"/>
              <w:keepLines w:val="0"/>
              <w:widowControl/>
              <w:suppressLineNumbers w:val="0"/>
              <w:jc w:val="left"/>
              <w:textAlignment w:val="center"/>
              <w:rPr>
                <w:rFonts w:hint="default" w:ascii="宋体" w:eastAsia="宋体" w:cs="宋体"/>
                <w:sz w:val="18"/>
                <w:szCs w:val="18"/>
                <w:lang w:val="en-US" w:eastAsia="zh-CN"/>
              </w:rPr>
            </w:pPr>
            <w:r>
              <w:rPr>
                <w:rFonts w:hint="eastAsia" w:ascii="宋体" w:cs="宋体"/>
                <w:sz w:val="18"/>
                <w:szCs w:val="18"/>
                <w:lang w:val="en-US" w:eastAsia="zh-CN"/>
              </w:rPr>
              <w:t>保障开展文学艺术活动</w:t>
            </w:r>
          </w:p>
        </w:tc>
        <w:tc>
          <w:tcPr>
            <w:tcW w:w="1911" w:type="dxa"/>
            <w:vAlign w:val="center"/>
          </w:tcPr>
          <w:p w14:paraId="1C3A9759">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完成年度工作任务</w:t>
            </w:r>
          </w:p>
        </w:tc>
      </w:tr>
      <w:tr w14:paraId="2AF74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08EEC041">
            <w:pPr>
              <w:spacing w:line="260" w:lineRule="exact"/>
              <w:jc w:val="center"/>
              <w:rPr>
                <w:rFonts w:ascii="宋体" w:cs="宋体"/>
                <w:sz w:val="18"/>
                <w:szCs w:val="18"/>
              </w:rPr>
            </w:pPr>
          </w:p>
        </w:tc>
        <w:tc>
          <w:tcPr>
            <w:tcW w:w="822" w:type="dxa"/>
            <w:vMerge w:val="continue"/>
            <w:vAlign w:val="center"/>
          </w:tcPr>
          <w:p w14:paraId="517D94A4">
            <w:pPr>
              <w:spacing w:line="260" w:lineRule="exact"/>
              <w:jc w:val="center"/>
              <w:rPr>
                <w:rFonts w:ascii="宋体" w:cs="宋体"/>
                <w:sz w:val="18"/>
                <w:szCs w:val="18"/>
              </w:rPr>
            </w:pPr>
          </w:p>
        </w:tc>
        <w:tc>
          <w:tcPr>
            <w:tcW w:w="1219" w:type="dxa"/>
            <w:gridSpan w:val="2"/>
            <w:vAlign w:val="center"/>
          </w:tcPr>
          <w:p w14:paraId="4FBA4E18">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时效指标</w:t>
            </w:r>
          </w:p>
        </w:tc>
        <w:tc>
          <w:tcPr>
            <w:tcW w:w="4630" w:type="dxa"/>
            <w:gridSpan w:val="3"/>
            <w:vAlign w:val="center"/>
          </w:tcPr>
          <w:p w14:paraId="2F934E5F">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各项工作任务完成时限</w:t>
            </w:r>
          </w:p>
        </w:tc>
        <w:tc>
          <w:tcPr>
            <w:tcW w:w="1911" w:type="dxa"/>
            <w:vAlign w:val="center"/>
          </w:tcPr>
          <w:p w14:paraId="6CF82415">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2025年12月</w:t>
            </w:r>
          </w:p>
        </w:tc>
      </w:tr>
      <w:tr w14:paraId="29BC1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7976FD33">
            <w:pPr>
              <w:spacing w:line="260" w:lineRule="exact"/>
              <w:jc w:val="center"/>
              <w:rPr>
                <w:rFonts w:ascii="宋体" w:cs="宋体"/>
                <w:sz w:val="18"/>
                <w:szCs w:val="18"/>
              </w:rPr>
            </w:pPr>
          </w:p>
        </w:tc>
        <w:tc>
          <w:tcPr>
            <w:tcW w:w="822" w:type="dxa"/>
            <w:vMerge w:val="continue"/>
            <w:vAlign w:val="center"/>
          </w:tcPr>
          <w:p w14:paraId="5C339728">
            <w:pPr>
              <w:spacing w:line="260" w:lineRule="exact"/>
              <w:jc w:val="center"/>
              <w:rPr>
                <w:rFonts w:ascii="宋体" w:cs="宋体"/>
                <w:sz w:val="18"/>
                <w:szCs w:val="18"/>
              </w:rPr>
            </w:pPr>
          </w:p>
        </w:tc>
        <w:tc>
          <w:tcPr>
            <w:tcW w:w="1219" w:type="dxa"/>
            <w:gridSpan w:val="2"/>
            <w:vAlign w:val="center"/>
          </w:tcPr>
          <w:p w14:paraId="3A31E2AE">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成本指标</w:t>
            </w:r>
          </w:p>
        </w:tc>
        <w:tc>
          <w:tcPr>
            <w:tcW w:w="4630" w:type="dxa"/>
            <w:gridSpan w:val="3"/>
            <w:vAlign w:val="center"/>
          </w:tcPr>
          <w:p w14:paraId="31BB64A2">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各项工作经费支出</w:t>
            </w:r>
          </w:p>
        </w:tc>
        <w:tc>
          <w:tcPr>
            <w:tcW w:w="1911" w:type="dxa"/>
            <w:vAlign w:val="center"/>
          </w:tcPr>
          <w:p w14:paraId="06E9C3A0">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在预算内从严控制</w:t>
            </w:r>
          </w:p>
        </w:tc>
      </w:tr>
      <w:tr w14:paraId="40C03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076DE497">
            <w:pPr>
              <w:spacing w:line="260" w:lineRule="exact"/>
              <w:jc w:val="center"/>
              <w:rPr>
                <w:rFonts w:ascii="宋体" w:cs="宋体"/>
                <w:sz w:val="18"/>
                <w:szCs w:val="18"/>
              </w:rPr>
            </w:pPr>
          </w:p>
        </w:tc>
        <w:tc>
          <w:tcPr>
            <w:tcW w:w="822" w:type="dxa"/>
            <w:vMerge w:val="restart"/>
            <w:vAlign w:val="center"/>
          </w:tcPr>
          <w:p w14:paraId="7CC9BD4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1219" w:type="dxa"/>
            <w:gridSpan w:val="2"/>
            <w:vAlign w:val="center"/>
          </w:tcPr>
          <w:p w14:paraId="68A86EB7">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经济效益指标</w:t>
            </w:r>
          </w:p>
        </w:tc>
        <w:tc>
          <w:tcPr>
            <w:tcW w:w="4630" w:type="dxa"/>
            <w:gridSpan w:val="3"/>
            <w:vAlign w:val="center"/>
          </w:tcPr>
          <w:p w14:paraId="2A3314DF">
            <w:pPr>
              <w:keepNext w:val="0"/>
              <w:keepLines w:val="0"/>
              <w:widowControl/>
              <w:suppressLineNumbers w:val="0"/>
              <w:jc w:val="center"/>
              <w:textAlignment w:val="center"/>
              <w:rPr>
                <w:rFonts w:hint="default" w:ascii="宋体" w:cs="宋体"/>
                <w:sz w:val="18"/>
                <w:szCs w:val="18"/>
                <w:lang w:val="en-US"/>
              </w:rPr>
            </w:pPr>
            <w:r>
              <w:rPr>
                <w:rFonts w:hint="eastAsia" w:ascii="宋体" w:hAnsi="宋体" w:cs="宋体"/>
                <w:i w:val="0"/>
                <w:color w:val="000000"/>
                <w:kern w:val="0"/>
                <w:sz w:val="20"/>
                <w:szCs w:val="20"/>
                <w:u w:val="none"/>
                <w:lang w:val="en-US" w:eastAsia="zh-CN" w:bidi="ar"/>
              </w:rPr>
              <w:t>营造文学氛围</w:t>
            </w:r>
            <w:r>
              <w:rPr>
                <w:rFonts w:hint="eastAsia" w:ascii="宋体" w:hAnsi="宋体" w:eastAsia="宋体" w:cs="宋体"/>
                <w:i w:val="0"/>
                <w:color w:val="000000"/>
                <w:kern w:val="0"/>
                <w:sz w:val="20"/>
                <w:szCs w:val="20"/>
                <w:u w:val="none"/>
                <w:lang w:val="en-US" w:eastAsia="zh-CN" w:bidi="ar"/>
              </w:rPr>
              <w:t>，传播</w:t>
            </w:r>
            <w:r>
              <w:rPr>
                <w:rFonts w:hint="eastAsia" w:ascii="宋体" w:hAnsi="宋体" w:cs="宋体"/>
                <w:i w:val="0"/>
                <w:color w:val="000000"/>
                <w:kern w:val="0"/>
                <w:sz w:val="20"/>
                <w:szCs w:val="20"/>
                <w:u w:val="none"/>
                <w:lang w:val="en-US" w:eastAsia="zh-CN" w:bidi="ar"/>
              </w:rPr>
              <w:t>文学</w:t>
            </w:r>
            <w:r>
              <w:rPr>
                <w:rFonts w:hint="eastAsia" w:ascii="宋体" w:hAnsi="宋体" w:eastAsia="宋体" w:cs="宋体"/>
                <w:i w:val="0"/>
                <w:color w:val="000000"/>
                <w:kern w:val="0"/>
                <w:sz w:val="20"/>
                <w:szCs w:val="20"/>
                <w:u w:val="none"/>
                <w:lang w:val="en-US" w:eastAsia="zh-CN" w:bidi="ar"/>
              </w:rPr>
              <w:t>思想，</w:t>
            </w:r>
            <w:r>
              <w:rPr>
                <w:rFonts w:hint="eastAsia" w:ascii="宋体" w:hAnsi="宋体" w:cs="宋体"/>
                <w:i w:val="0"/>
                <w:color w:val="000000"/>
                <w:kern w:val="0"/>
                <w:sz w:val="20"/>
                <w:szCs w:val="20"/>
                <w:u w:val="none"/>
                <w:lang w:val="en-US" w:eastAsia="zh-CN" w:bidi="ar"/>
              </w:rPr>
              <w:t>提升全民文学艺术水平，繁荣我县社会主义文艺事业</w:t>
            </w:r>
          </w:p>
        </w:tc>
        <w:tc>
          <w:tcPr>
            <w:tcW w:w="1911" w:type="dxa"/>
            <w:vAlign w:val="center"/>
          </w:tcPr>
          <w:p w14:paraId="73BC9C81">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效果显著</w:t>
            </w:r>
          </w:p>
        </w:tc>
      </w:tr>
      <w:tr w14:paraId="77184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1A49D919">
            <w:pPr>
              <w:spacing w:line="260" w:lineRule="exact"/>
              <w:jc w:val="center"/>
              <w:rPr>
                <w:rFonts w:ascii="宋体" w:cs="宋体"/>
                <w:sz w:val="18"/>
                <w:szCs w:val="18"/>
              </w:rPr>
            </w:pPr>
          </w:p>
        </w:tc>
        <w:tc>
          <w:tcPr>
            <w:tcW w:w="822" w:type="dxa"/>
            <w:vMerge w:val="continue"/>
            <w:vAlign w:val="center"/>
          </w:tcPr>
          <w:p w14:paraId="0E92D61B">
            <w:pPr>
              <w:spacing w:line="260" w:lineRule="exact"/>
              <w:jc w:val="center"/>
              <w:rPr>
                <w:rFonts w:ascii="宋体" w:cs="宋体"/>
                <w:sz w:val="18"/>
                <w:szCs w:val="18"/>
              </w:rPr>
            </w:pPr>
          </w:p>
        </w:tc>
        <w:tc>
          <w:tcPr>
            <w:tcW w:w="1219" w:type="dxa"/>
            <w:gridSpan w:val="2"/>
            <w:vAlign w:val="center"/>
          </w:tcPr>
          <w:p w14:paraId="54FDA6DA">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社会效益指标</w:t>
            </w:r>
          </w:p>
        </w:tc>
        <w:tc>
          <w:tcPr>
            <w:tcW w:w="4630" w:type="dxa"/>
            <w:gridSpan w:val="3"/>
            <w:vAlign w:val="center"/>
          </w:tcPr>
          <w:p w14:paraId="039CA7D3">
            <w:pPr>
              <w:keepNext w:val="0"/>
              <w:keepLines w:val="0"/>
              <w:widowControl/>
              <w:suppressLineNumbers w:val="0"/>
              <w:jc w:val="center"/>
              <w:textAlignment w:val="center"/>
              <w:rPr>
                <w:rFonts w:hint="default" w:ascii="宋体" w:cs="宋体"/>
                <w:sz w:val="18"/>
                <w:szCs w:val="18"/>
                <w:lang w:val="en-US"/>
              </w:rPr>
            </w:pPr>
            <w:r>
              <w:rPr>
                <w:rFonts w:hint="eastAsia" w:ascii="宋体" w:hAnsi="宋体" w:eastAsia="宋体" w:cs="宋体"/>
                <w:i w:val="0"/>
                <w:color w:val="000000"/>
                <w:kern w:val="0"/>
                <w:sz w:val="20"/>
                <w:szCs w:val="20"/>
                <w:u w:val="none"/>
                <w:lang w:val="en-US" w:eastAsia="zh-CN" w:bidi="ar"/>
              </w:rPr>
              <w:t>加强</w:t>
            </w:r>
            <w:r>
              <w:rPr>
                <w:rFonts w:hint="eastAsia" w:ascii="宋体" w:hAnsi="宋体" w:cs="宋体"/>
                <w:i w:val="0"/>
                <w:color w:val="000000"/>
                <w:kern w:val="0"/>
                <w:sz w:val="20"/>
                <w:szCs w:val="20"/>
                <w:u w:val="none"/>
                <w:lang w:val="en-US" w:eastAsia="zh-CN" w:bidi="ar"/>
              </w:rPr>
              <w:t>文艺</w:t>
            </w:r>
            <w:r>
              <w:rPr>
                <w:rFonts w:hint="eastAsia" w:ascii="宋体" w:hAnsi="宋体" w:eastAsia="宋体" w:cs="宋体"/>
                <w:i w:val="0"/>
                <w:color w:val="000000"/>
                <w:kern w:val="0"/>
                <w:sz w:val="20"/>
                <w:szCs w:val="20"/>
                <w:u w:val="none"/>
                <w:lang w:val="en-US" w:eastAsia="zh-CN" w:bidi="ar"/>
              </w:rPr>
              <w:t>工作队伍建设，</w:t>
            </w:r>
            <w:r>
              <w:rPr>
                <w:rFonts w:hint="eastAsia" w:ascii="宋体" w:hAnsi="宋体" w:cs="宋体"/>
                <w:i w:val="0"/>
                <w:color w:val="000000"/>
                <w:kern w:val="0"/>
                <w:sz w:val="20"/>
                <w:szCs w:val="20"/>
                <w:u w:val="none"/>
                <w:lang w:val="en-US" w:eastAsia="zh-CN" w:bidi="ar"/>
              </w:rPr>
              <w:t>营造文艺服务氛围</w:t>
            </w:r>
          </w:p>
        </w:tc>
        <w:tc>
          <w:tcPr>
            <w:tcW w:w="1911" w:type="dxa"/>
            <w:vAlign w:val="center"/>
          </w:tcPr>
          <w:p w14:paraId="68551DDE">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效果显著</w:t>
            </w:r>
          </w:p>
        </w:tc>
      </w:tr>
      <w:tr w14:paraId="1554B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08C3173A">
            <w:pPr>
              <w:spacing w:line="260" w:lineRule="exact"/>
              <w:jc w:val="center"/>
              <w:rPr>
                <w:rFonts w:ascii="宋体" w:cs="宋体"/>
                <w:sz w:val="18"/>
                <w:szCs w:val="18"/>
              </w:rPr>
            </w:pPr>
          </w:p>
        </w:tc>
        <w:tc>
          <w:tcPr>
            <w:tcW w:w="822" w:type="dxa"/>
            <w:vMerge w:val="continue"/>
            <w:vAlign w:val="center"/>
          </w:tcPr>
          <w:p w14:paraId="4590FA1C">
            <w:pPr>
              <w:spacing w:line="260" w:lineRule="exact"/>
              <w:jc w:val="center"/>
              <w:rPr>
                <w:rFonts w:ascii="宋体" w:cs="宋体"/>
                <w:sz w:val="18"/>
                <w:szCs w:val="18"/>
              </w:rPr>
            </w:pPr>
          </w:p>
        </w:tc>
        <w:tc>
          <w:tcPr>
            <w:tcW w:w="1219" w:type="dxa"/>
            <w:gridSpan w:val="2"/>
            <w:vAlign w:val="center"/>
          </w:tcPr>
          <w:p w14:paraId="0E339B8B">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生态效益指标</w:t>
            </w:r>
          </w:p>
        </w:tc>
        <w:tc>
          <w:tcPr>
            <w:tcW w:w="4630" w:type="dxa"/>
            <w:gridSpan w:val="3"/>
            <w:vAlign w:val="center"/>
          </w:tcPr>
          <w:p w14:paraId="3F7C5CF8">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不适用</w:t>
            </w:r>
          </w:p>
        </w:tc>
        <w:tc>
          <w:tcPr>
            <w:tcW w:w="1911" w:type="dxa"/>
            <w:vAlign w:val="center"/>
          </w:tcPr>
          <w:p w14:paraId="04EA961E">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不适用</w:t>
            </w:r>
          </w:p>
        </w:tc>
      </w:tr>
      <w:tr w14:paraId="71A89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vAlign w:val="center"/>
          </w:tcPr>
          <w:p w14:paraId="4BCB8EAE">
            <w:pPr>
              <w:spacing w:line="260" w:lineRule="exact"/>
              <w:jc w:val="center"/>
              <w:rPr>
                <w:rFonts w:ascii="宋体" w:cs="宋体"/>
                <w:sz w:val="18"/>
                <w:szCs w:val="18"/>
              </w:rPr>
            </w:pPr>
          </w:p>
        </w:tc>
        <w:tc>
          <w:tcPr>
            <w:tcW w:w="822" w:type="dxa"/>
            <w:vMerge w:val="continue"/>
            <w:vAlign w:val="center"/>
          </w:tcPr>
          <w:p w14:paraId="350EE86A">
            <w:pPr>
              <w:spacing w:line="260" w:lineRule="exact"/>
              <w:jc w:val="center"/>
              <w:rPr>
                <w:rFonts w:ascii="宋体" w:cs="宋体"/>
                <w:sz w:val="18"/>
                <w:szCs w:val="18"/>
              </w:rPr>
            </w:pPr>
          </w:p>
        </w:tc>
        <w:tc>
          <w:tcPr>
            <w:tcW w:w="1219" w:type="dxa"/>
            <w:gridSpan w:val="2"/>
            <w:vAlign w:val="center"/>
          </w:tcPr>
          <w:p w14:paraId="1E3F60C5">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color w:val="000000"/>
                <w:kern w:val="0"/>
                <w:sz w:val="20"/>
                <w:szCs w:val="20"/>
                <w:u w:val="none"/>
                <w:lang w:val="en-US" w:eastAsia="zh-CN" w:bidi="ar"/>
              </w:rPr>
              <w:t>可持续影响指标</w:t>
            </w:r>
          </w:p>
        </w:tc>
        <w:tc>
          <w:tcPr>
            <w:tcW w:w="4630" w:type="dxa"/>
            <w:gridSpan w:val="3"/>
            <w:vAlign w:val="center"/>
          </w:tcPr>
          <w:p w14:paraId="3BD295C4">
            <w:pPr>
              <w:keepNext w:val="0"/>
              <w:keepLines w:val="0"/>
              <w:widowControl/>
              <w:suppressLineNumbers w:val="0"/>
              <w:jc w:val="center"/>
              <w:textAlignment w:val="center"/>
              <w:rPr>
                <w:rFonts w:hint="default" w:ascii="宋体" w:cs="宋体"/>
                <w:sz w:val="18"/>
                <w:szCs w:val="18"/>
                <w:lang w:val="en-US"/>
              </w:rPr>
            </w:pPr>
            <w:r>
              <w:rPr>
                <w:rFonts w:hint="eastAsia" w:ascii="宋体" w:hAnsi="宋体" w:eastAsia="宋体" w:cs="宋体"/>
                <w:i w:val="0"/>
                <w:color w:val="000000"/>
                <w:kern w:val="0"/>
                <w:sz w:val="20"/>
                <w:szCs w:val="20"/>
                <w:u w:val="none"/>
                <w:lang w:val="en-US" w:eastAsia="zh-CN" w:bidi="ar"/>
              </w:rPr>
              <w:t>保障全民</w:t>
            </w:r>
            <w:r>
              <w:rPr>
                <w:rFonts w:hint="eastAsia" w:ascii="宋体" w:hAnsi="宋体" w:cs="宋体"/>
                <w:i w:val="0"/>
                <w:color w:val="000000"/>
                <w:kern w:val="0"/>
                <w:sz w:val="20"/>
                <w:szCs w:val="20"/>
                <w:u w:val="none"/>
                <w:lang w:val="en-US" w:eastAsia="zh-CN" w:bidi="ar"/>
              </w:rPr>
              <w:t>文学</w:t>
            </w:r>
            <w:r>
              <w:rPr>
                <w:rFonts w:hint="eastAsia" w:ascii="宋体" w:hAnsi="宋体" w:eastAsia="宋体" w:cs="宋体"/>
                <w:i w:val="0"/>
                <w:color w:val="000000"/>
                <w:kern w:val="0"/>
                <w:sz w:val="20"/>
                <w:szCs w:val="20"/>
                <w:u w:val="none"/>
                <w:lang w:val="en-US" w:eastAsia="zh-CN" w:bidi="ar"/>
              </w:rPr>
              <w:t>素质普及率和公民</w:t>
            </w:r>
            <w:r>
              <w:rPr>
                <w:rFonts w:hint="eastAsia" w:ascii="宋体" w:hAnsi="宋体" w:cs="宋体"/>
                <w:i w:val="0"/>
                <w:color w:val="000000"/>
                <w:kern w:val="0"/>
                <w:sz w:val="20"/>
                <w:szCs w:val="20"/>
                <w:u w:val="none"/>
                <w:lang w:val="en-US" w:eastAsia="zh-CN" w:bidi="ar"/>
              </w:rPr>
              <w:t>文学</w:t>
            </w:r>
            <w:r>
              <w:rPr>
                <w:rFonts w:hint="eastAsia" w:ascii="宋体" w:hAnsi="宋体" w:eastAsia="宋体" w:cs="宋体"/>
                <w:i w:val="0"/>
                <w:color w:val="000000"/>
                <w:kern w:val="0"/>
                <w:sz w:val="20"/>
                <w:szCs w:val="20"/>
                <w:u w:val="none"/>
                <w:lang w:val="en-US" w:eastAsia="zh-CN" w:bidi="ar"/>
              </w:rPr>
              <w:t>素质水平稳步提升</w:t>
            </w:r>
            <w:r>
              <w:rPr>
                <w:rFonts w:hint="eastAsia" w:ascii="宋体" w:hAnsi="宋体" w:cs="宋体"/>
                <w:i w:val="0"/>
                <w:color w:val="000000"/>
                <w:kern w:val="0"/>
                <w:sz w:val="20"/>
                <w:szCs w:val="20"/>
                <w:u w:val="none"/>
                <w:lang w:val="en-US" w:eastAsia="zh-CN" w:bidi="ar"/>
              </w:rPr>
              <w:t>，建立健全文学长效工作机制，巩固活动开展成果</w:t>
            </w:r>
          </w:p>
        </w:tc>
        <w:tc>
          <w:tcPr>
            <w:tcW w:w="1911" w:type="dxa"/>
            <w:vAlign w:val="center"/>
          </w:tcPr>
          <w:p w14:paraId="36686F20">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效果显著</w:t>
            </w:r>
          </w:p>
        </w:tc>
      </w:tr>
      <w:tr w14:paraId="16B2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14:paraId="2A81F125">
            <w:pPr>
              <w:spacing w:line="260" w:lineRule="exact"/>
              <w:jc w:val="center"/>
              <w:rPr>
                <w:rFonts w:ascii="宋体" w:cs="宋体"/>
                <w:sz w:val="18"/>
                <w:szCs w:val="18"/>
              </w:rPr>
            </w:pPr>
          </w:p>
        </w:tc>
        <w:tc>
          <w:tcPr>
            <w:tcW w:w="822" w:type="dxa"/>
            <w:vAlign w:val="center"/>
          </w:tcPr>
          <w:p w14:paraId="4C2E18B4">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1219" w:type="dxa"/>
            <w:gridSpan w:val="2"/>
            <w:vAlign w:val="center"/>
          </w:tcPr>
          <w:p w14:paraId="1C632141">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color w:val="000000"/>
                <w:kern w:val="0"/>
                <w:sz w:val="20"/>
                <w:szCs w:val="20"/>
                <w:u w:val="none"/>
                <w:lang w:val="en-US" w:eastAsia="zh-CN" w:bidi="ar"/>
              </w:rPr>
              <w:t>服务对象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满意度指标</w:t>
            </w:r>
          </w:p>
        </w:tc>
        <w:tc>
          <w:tcPr>
            <w:tcW w:w="4630" w:type="dxa"/>
            <w:gridSpan w:val="3"/>
            <w:vAlign w:val="center"/>
          </w:tcPr>
          <w:p w14:paraId="74A46AAE">
            <w:pPr>
              <w:keepNext w:val="0"/>
              <w:keepLines w:val="0"/>
              <w:widowControl/>
              <w:suppressLineNumbers w:val="0"/>
              <w:jc w:val="center"/>
              <w:textAlignment w:val="center"/>
              <w:rPr>
                <w:rFonts w:hint="default" w:ascii="宋体" w:eastAsia="宋体" w:cs="宋体"/>
                <w:sz w:val="18"/>
                <w:szCs w:val="18"/>
                <w:lang w:val="en-US" w:eastAsia="zh-CN"/>
              </w:rPr>
            </w:pPr>
            <w:r>
              <w:rPr>
                <w:rFonts w:hint="eastAsia" w:ascii="宋体" w:cs="宋体"/>
                <w:sz w:val="18"/>
                <w:szCs w:val="18"/>
                <w:lang w:val="en-US" w:eastAsia="zh-CN"/>
              </w:rPr>
              <w:t>全县人民群众满意度</w:t>
            </w:r>
          </w:p>
        </w:tc>
        <w:tc>
          <w:tcPr>
            <w:tcW w:w="1911" w:type="dxa"/>
            <w:vAlign w:val="center"/>
          </w:tcPr>
          <w:p w14:paraId="67C57A1D">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≥95%</w:t>
            </w:r>
          </w:p>
        </w:tc>
      </w:tr>
    </w:tbl>
    <w:p w14:paraId="783E643F">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（二）机关运行经费。</w:t>
      </w:r>
    </w:p>
    <w:p w14:paraId="2C71529D">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文学艺术院</w:t>
      </w:r>
      <w:r>
        <w:rPr>
          <w:rFonts w:hint="eastAsia" w:ascii="仿宋_GB2312" w:hAnsi="TimesNewRoman" w:eastAsia="仿宋_GB2312" w:cs="TimesNewRoman"/>
          <w:sz w:val="32"/>
          <w:szCs w:val="32"/>
        </w:rPr>
        <w:t>为非参照公务员法管理的事业单位，按照部门预算机关运行经费口径，2025年无</w:t>
      </w:r>
      <w:bookmarkStart w:id="0" w:name="_GoBack"/>
      <w:bookmarkEnd w:id="0"/>
      <w:r>
        <w:rPr>
          <w:rFonts w:hint="eastAsia" w:ascii="仿宋_GB2312" w:hAnsi="TimesNewRoman" w:eastAsia="仿宋_GB2312" w:cs="TimesNewRoman"/>
          <w:sz w:val="32"/>
          <w:szCs w:val="32"/>
        </w:rPr>
        <w:t>机关运行经费财政拨款预算。</w:t>
      </w:r>
    </w:p>
    <w:p w14:paraId="6F2A5E9E">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（三）政府采购情况。</w:t>
      </w:r>
    </w:p>
    <w:p w14:paraId="3BA26395">
      <w:pPr>
        <w:topLinePunct/>
        <w:adjustRightInd w:val="0"/>
        <w:snapToGrid w:val="0"/>
        <w:spacing w:line="56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kern w:val="0"/>
          <w:sz w:val="32"/>
          <w:szCs w:val="32"/>
          <w:lang w:eastAsia="zh-CN"/>
        </w:rPr>
        <w:t>寿县</w:t>
      </w:r>
      <w:r>
        <w:rPr>
          <w:rFonts w:hint="eastAsia" w:ascii="仿宋_GB2312" w:hAnsi="TimesNewRoman" w:eastAsia="仿宋_GB2312" w:cs="TimesNewRoman"/>
          <w:kern w:val="0"/>
          <w:sz w:val="32"/>
          <w:szCs w:val="32"/>
          <w:lang w:val="en-US" w:eastAsia="zh-CN"/>
        </w:rPr>
        <w:t>文学艺术院</w:t>
      </w:r>
      <w:r>
        <w:rPr>
          <w:rFonts w:hint="eastAsia" w:ascii="仿宋_GB2312" w:hAnsi="TimesNewRoman" w:eastAsia="仿宋_GB2312" w:cs="TimesNewRoman"/>
          <w:sz w:val="32"/>
          <w:szCs w:val="32"/>
        </w:rPr>
        <w:t>2025年政府采购预算</w:t>
      </w:r>
      <w:r>
        <w:rPr>
          <w:rFonts w:hint="eastAsia" w:ascii="仿宋_GB2312" w:hAnsi="TimesNewRoman" w:eastAsia="仿宋_GB2312" w:cs="TimesNewRoman"/>
          <w:sz w:val="32"/>
          <w:szCs w:val="32"/>
          <w:lang w:val="en-US" w:eastAsia="zh-CN"/>
        </w:rPr>
        <w:t>2.50</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其中，政府采购便携式计算机0.5万元，数字照相机1.2万元，台式计算机0.80万元。</w:t>
      </w:r>
    </w:p>
    <w:p w14:paraId="41987402">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（四）国有资产占有使用情况。</w:t>
      </w:r>
    </w:p>
    <w:p w14:paraId="663011A3">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截至2024年12月31日，</w:t>
      </w:r>
      <w:r>
        <w:rPr>
          <w:rFonts w:hint="eastAsia" w:ascii="仿宋_GB2312" w:hAnsi="TimesNewRoman" w:eastAsia="仿宋_GB2312" w:cs="TimesNewRoman"/>
          <w:kern w:val="0"/>
          <w:sz w:val="32"/>
          <w:szCs w:val="32"/>
          <w:lang w:eastAsia="zh-CN"/>
        </w:rPr>
        <w:t>寿县</w:t>
      </w:r>
      <w:r>
        <w:rPr>
          <w:rFonts w:hint="eastAsia" w:ascii="仿宋_GB2312" w:hAnsi="TimesNewRoman" w:eastAsia="仿宋_GB2312" w:cs="TimesNewRoman"/>
          <w:kern w:val="0"/>
          <w:sz w:val="32"/>
          <w:szCs w:val="32"/>
          <w:lang w:val="en-US" w:eastAsia="zh-CN"/>
        </w:rPr>
        <w:t>文学艺术院</w:t>
      </w:r>
      <w:r>
        <w:rPr>
          <w:rFonts w:hint="eastAsia" w:ascii="仿宋_GB2312" w:hAnsi="TimesNewRoman" w:eastAsia="仿宋_GB2312" w:cs="TimesNewRoman"/>
          <w:sz w:val="32"/>
          <w:szCs w:val="32"/>
        </w:rPr>
        <w:t>共有车辆</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台（套），单价100万元以上的专用设备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w:t>
      </w:r>
    </w:p>
    <w:p w14:paraId="23F2F66B">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2025年</w:t>
      </w:r>
      <w:r>
        <w:rPr>
          <w:rFonts w:hint="eastAsia" w:ascii="仿宋_GB2312" w:hAnsi="TimesNewRoman" w:eastAsia="仿宋_GB2312" w:cs="TimesNewRoman"/>
          <w:sz w:val="32"/>
          <w:szCs w:val="32"/>
          <w:lang w:val="en-US" w:eastAsia="zh-CN"/>
        </w:rPr>
        <w:t>单位</w:t>
      </w:r>
      <w:r>
        <w:rPr>
          <w:rFonts w:hint="eastAsia" w:ascii="仿宋_GB2312" w:hAnsi="TimesNewRoman" w:eastAsia="仿宋_GB2312" w:cs="TimesNewRoman"/>
          <w:sz w:val="32"/>
          <w:szCs w:val="32"/>
        </w:rPr>
        <w:t>预算安排购置公务用车</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万元；安排购置单价50万元以上的通用设备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万元；安排购置单价100万元以上专用设备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2FF4B21E">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14:paraId="6FDFFA74">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2025年，</w:t>
      </w:r>
      <w:r>
        <w:rPr>
          <w:rFonts w:hint="eastAsia" w:ascii="仿宋_GB2312" w:hAnsi="TimesNewRoman" w:eastAsia="仿宋_GB2312" w:cs="TimesNewRoman"/>
          <w:kern w:val="0"/>
          <w:sz w:val="32"/>
          <w:szCs w:val="32"/>
          <w:lang w:eastAsia="zh-CN"/>
        </w:rPr>
        <w:t>寿县</w:t>
      </w:r>
      <w:r>
        <w:rPr>
          <w:rFonts w:hint="eastAsia" w:ascii="仿宋_GB2312" w:hAnsi="TimesNewRoman" w:eastAsia="仿宋_GB2312" w:cs="TimesNewRoman"/>
          <w:kern w:val="0"/>
          <w:sz w:val="32"/>
          <w:szCs w:val="32"/>
          <w:lang w:val="en-US" w:eastAsia="zh-CN"/>
        </w:rPr>
        <w:t>文学艺术院</w:t>
      </w:r>
      <w:r>
        <w:rPr>
          <w:rFonts w:hint="eastAsia" w:ascii="仿宋_GB2312" w:hAnsi="TimesNewRoman" w:eastAsia="仿宋_GB2312" w:cs="TimesNewRoman"/>
          <w:sz w:val="32"/>
          <w:szCs w:val="32"/>
          <w:lang w:val="en-US" w:eastAsia="zh-CN"/>
        </w:rPr>
        <w:t>1</w:t>
      </w:r>
      <w:r>
        <w:rPr>
          <w:rFonts w:hint="eastAsia" w:ascii="仿宋_GB2312" w:hAnsi="TimesNewRoman" w:eastAsia="仿宋_GB2312" w:cs="TimesNewRoman"/>
          <w:sz w:val="32"/>
          <w:szCs w:val="32"/>
        </w:rPr>
        <w:t>个项目实行了绩效目标管理，涉及一般公共预算当年财政拨款</w:t>
      </w:r>
      <w:r>
        <w:rPr>
          <w:rFonts w:hint="eastAsia" w:ascii="仿宋_GB2312" w:hAnsi="TimesNewRoman" w:eastAsia="仿宋_GB2312" w:cs="TimesNewRoman"/>
          <w:sz w:val="32"/>
          <w:szCs w:val="32"/>
          <w:lang w:val="en-US" w:eastAsia="zh-CN"/>
        </w:rPr>
        <w:t>20</w:t>
      </w:r>
      <w:r>
        <w:rPr>
          <w:rFonts w:hint="eastAsia" w:ascii="仿宋_GB2312" w:hAnsi="TimesNewRoman" w:eastAsia="仿宋_GB2312" w:cs="TimesNewRoman"/>
          <w:sz w:val="32"/>
          <w:szCs w:val="32"/>
        </w:rPr>
        <w:t>万元、政府性基金预算当年财政拨款</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万元、国有资本经营预算当年财政拨款</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万元、财政专户管理资金当年安排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万元和单位资金当年安排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6E69C629">
      <w:pPr>
        <w:topLinePunct/>
        <w:adjustRightInd w:val="0"/>
        <w:snapToGrid w:val="0"/>
        <w:spacing w:line="560" w:lineRule="exact"/>
        <w:rPr>
          <w:rFonts w:ascii="TimesNewRoman" w:hAnsi="TimesNewRoman" w:eastAsia="黑体" w:cs="TimesNewRoman"/>
          <w:sz w:val="36"/>
          <w:szCs w:val="36"/>
        </w:rPr>
      </w:pPr>
    </w:p>
    <w:p w14:paraId="15C01D10">
      <w:pPr>
        <w:topLinePunct/>
        <w:adjustRightInd w:val="0"/>
        <w:snapToGrid w:val="0"/>
        <w:spacing w:line="560" w:lineRule="exact"/>
        <w:jc w:val="center"/>
        <w:rPr>
          <w:rFonts w:ascii="TimesNewRoman" w:hAnsi="TimesNewRoman" w:eastAsia="黑体" w:cs="TimesNewRoman"/>
          <w:sz w:val="36"/>
          <w:szCs w:val="36"/>
        </w:rPr>
      </w:pPr>
      <w:r>
        <w:rPr>
          <w:rFonts w:ascii="TimesNewRoman" w:hAnsi="TimesNewRoman" w:eastAsia="黑体" w:cs="TimesNewRoman"/>
          <w:sz w:val="36"/>
          <w:szCs w:val="36"/>
        </w:rPr>
        <w:t>第</w:t>
      </w:r>
      <w:r>
        <w:rPr>
          <w:rFonts w:hint="eastAsia" w:ascii="TimesNewRoman" w:hAnsi="TimesNewRoman" w:eastAsia="黑体" w:cs="TimesNewRoman"/>
          <w:sz w:val="36"/>
          <w:szCs w:val="36"/>
        </w:rPr>
        <w:t>三</w:t>
      </w:r>
      <w:r>
        <w:rPr>
          <w:rFonts w:ascii="TimesNewRoman" w:hAnsi="TimesNewRoman" w:eastAsia="黑体" w:cs="TimesNewRoman"/>
          <w:sz w:val="36"/>
          <w:szCs w:val="36"/>
        </w:rPr>
        <w:t>部分</w:t>
      </w:r>
      <w:r>
        <w:rPr>
          <w:rFonts w:hint="eastAsia" w:ascii="TimesNewRoman" w:hAnsi="TimesNewRoman" w:eastAsia="黑体" w:cs="TimesNewRoman"/>
          <w:sz w:val="36"/>
          <w:szCs w:val="36"/>
        </w:rPr>
        <w:t xml:space="preserve"> </w:t>
      </w:r>
      <w:r>
        <w:rPr>
          <w:rFonts w:ascii="TimesNewRoman" w:hAnsi="TimesNewRoman" w:eastAsia="黑体" w:cs="TimesNewRoman"/>
          <w:sz w:val="36"/>
          <w:szCs w:val="36"/>
        </w:rPr>
        <w:t>名词解释</w:t>
      </w:r>
    </w:p>
    <w:p w14:paraId="6FC14279">
      <w:pPr>
        <w:topLinePunct/>
        <w:adjustRightInd w:val="0"/>
        <w:snapToGrid w:val="0"/>
        <w:spacing w:line="560" w:lineRule="exact"/>
        <w:rPr>
          <w:rFonts w:ascii="TimesNewRoman" w:hAnsi="TimesNewRoman" w:eastAsia="黑体" w:cs="TimesNewRoman"/>
          <w:szCs w:val="32"/>
        </w:rPr>
      </w:pPr>
    </w:p>
    <w:p w14:paraId="4C0F4B86">
      <w:pPr>
        <w:topLinePunct/>
        <w:adjustRightInd w:val="0"/>
        <w:snapToGrid w:val="0"/>
        <w:spacing w:line="560" w:lineRule="exact"/>
        <w:ind w:firstLine="640" w:firstLineChars="200"/>
        <w:rPr>
          <w:rFonts w:ascii="TimesNewRoman" w:hAnsi="TimesNewRoman" w:eastAsia="仿宋_GB2312" w:cs="TimesNewRoman"/>
          <w:kern w:val="0"/>
          <w:sz w:val="32"/>
          <w:szCs w:val="32"/>
          <w:lang w:val="en-US" w:eastAsia="zh-CN" w:bidi="ar-SA"/>
        </w:rPr>
      </w:pPr>
      <w:r>
        <w:rPr>
          <w:rFonts w:hint="eastAsia" w:ascii="TimesNewRoman" w:hAnsi="TimesNewRoman" w:eastAsia="仿宋_GB2312" w:cs="TimesNewRoman"/>
          <w:kern w:val="0"/>
          <w:sz w:val="32"/>
          <w:szCs w:val="32"/>
          <w:lang w:val="en-US" w:eastAsia="zh-CN" w:bidi="ar-SA"/>
        </w:rPr>
        <w:t>一、财政拨款收入：</w:t>
      </w:r>
      <w:r>
        <w:rPr>
          <w:rFonts w:ascii="TimesNewRoman" w:hAnsi="TimesNewRoman" w:eastAsia="仿宋_GB2312" w:cs="TimesNewRoman"/>
          <w:kern w:val="0"/>
          <w:sz w:val="32"/>
          <w:szCs w:val="32"/>
          <w:lang w:val="en-US" w:eastAsia="zh-CN" w:bidi="ar-SA"/>
        </w:rPr>
        <w:t>指部门或单位从同级财政部门取得的财政预算资金。</w:t>
      </w:r>
    </w:p>
    <w:p w14:paraId="5A333907">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二、事业收入：指事业单位开展专业业务活动及辅助活动所取得的收入。</w:t>
      </w:r>
    </w:p>
    <w:p w14:paraId="349D75A2">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三、财政专户管理资金：指按照非税收入管理相关规定，纳入财政专户管理的教育收费等。</w:t>
      </w:r>
    </w:p>
    <w:p w14:paraId="4A4437BB">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四、事业单位经营收入：指事业单位在专业业务活动及其辅助活动之外开展非独立核算经营活动取得的收入。</w:t>
      </w:r>
    </w:p>
    <w:p w14:paraId="6FDFF6B9">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五、附属单位上缴收入：本单位所属下级单位上缴给本单位的全部收入。</w:t>
      </w:r>
    </w:p>
    <w:p w14:paraId="73040905">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六、上年结转：指以前年度安排、结转到本年仍按原用途继续使用的资金。</w:t>
      </w:r>
    </w:p>
    <w:p w14:paraId="466A5B98">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七、结转下年：指以前年度预算安排、因客观条件发生变化无法按原计划实施，需以后年度按原用途继续使用的资金。</w:t>
      </w:r>
    </w:p>
    <w:p w14:paraId="14233BED">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八、基本支出：指为保障机构正常运转、完成日常工作任务而发生的人员支出和公用支出。</w:t>
      </w:r>
    </w:p>
    <w:p w14:paraId="28D212F5">
      <w:pPr>
        <w:pStyle w:val="3"/>
        <w:topLinePunct/>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九、项目支出：指在除基本支出之外的支出，主要用于完成特定的工作任务和事业发展目标。</w:t>
      </w:r>
      <w:r>
        <w:rPr>
          <w:rFonts w:ascii="TimesNewRoman" w:hAnsi="TimesNewRoman" w:eastAsia="仿宋_GB2312" w:cs="TimesNewRoman"/>
          <w:kern w:val="0"/>
          <w:sz w:val="32"/>
          <w:szCs w:val="32"/>
          <w:lang w:val="en-US" w:eastAsia="zh-CN" w:bidi="ar-SA"/>
        </w:rPr>
        <w:br w:type="textWrapping"/>
      </w:r>
      <w:r>
        <w:rPr>
          <w:rFonts w:ascii="TimesNewRoman" w:hAnsi="TimesNewRoman" w:eastAsia="仿宋_GB2312" w:cs="TimesNewRoman"/>
          <w:kern w:val="0"/>
          <w:sz w:val="32"/>
          <w:szCs w:val="32"/>
          <w:lang w:val="en-US" w:eastAsia="zh-CN" w:bidi="ar-SA"/>
        </w:rPr>
        <w:t xml:space="preserve">    十、机关运行经费: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1177DC88">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十一、</w:t>
      </w:r>
      <w:r>
        <w:rPr>
          <w:rFonts w:hint="eastAsia" w:ascii="TimesNewRoman" w:hAnsi="TimesNewRoman" w:eastAsia="仿宋_GB2312" w:cs="TimesNewRoman"/>
          <w:kern w:val="0"/>
          <w:sz w:val="32"/>
          <w:szCs w:val="32"/>
          <w:lang w:val="en-US" w:eastAsia="zh-CN" w:bidi="ar-SA"/>
        </w:rPr>
        <w:t>文化旅游体育与传媒支出</w:t>
      </w:r>
      <w:r>
        <w:rPr>
          <w:rFonts w:ascii="TimesNewRoman" w:hAnsi="TimesNewRoman" w:eastAsia="仿宋_GB2312" w:cs="TimesNewRoman"/>
          <w:kern w:val="0"/>
          <w:sz w:val="32"/>
          <w:szCs w:val="32"/>
          <w:lang w:val="en-US" w:eastAsia="zh-CN" w:bidi="ar-SA"/>
        </w:rPr>
        <w:t>（类）</w:t>
      </w:r>
      <w:r>
        <w:rPr>
          <w:rFonts w:hint="eastAsia" w:ascii="TimesNewRoman" w:hAnsi="TimesNewRoman" w:eastAsia="仿宋_GB2312" w:cs="TimesNewRoman"/>
          <w:kern w:val="0"/>
          <w:sz w:val="32"/>
          <w:szCs w:val="32"/>
          <w:lang w:val="en-US" w:eastAsia="zh-CN" w:bidi="ar-SA"/>
        </w:rPr>
        <w:t>文化和旅游</w:t>
      </w:r>
      <w:r>
        <w:rPr>
          <w:rFonts w:ascii="TimesNewRoman" w:hAnsi="TimesNewRoman" w:eastAsia="仿宋_GB2312" w:cs="TimesNewRoman"/>
          <w:kern w:val="0"/>
          <w:sz w:val="32"/>
          <w:szCs w:val="32"/>
          <w:lang w:val="en-US" w:eastAsia="zh-CN" w:bidi="ar-SA"/>
        </w:rPr>
        <w:t>（款）</w:t>
      </w:r>
      <w:r>
        <w:rPr>
          <w:rFonts w:hint="eastAsia" w:ascii="TimesNewRoman" w:hAnsi="TimesNewRoman" w:eastAsia="仿宋_GB2312" w:cs="TimesNewRoman"/>
          <w:kern w:val="0"/>
          <w:sz w:val="32"/>
          <w:szCs w:val="32"/>
          <w:lang w:val="en-US" w:eastAsia="zh-CN" w:bidi="ar-SA"/>
        </w:rPr>
        <w:t>机构运行（项）</w:t>
      </w:r>
      <w:r>
        <w:rPr>
          <w:rFonts w:ascii="TimesNewRoman" w:hAnsi="TimesNewRoman" w:eastAsia="仿宋_GB2312" w:cs="TimesNewRoman"/>
          <w:kern w:val="0"/>
          <w:sz w:val="32"/>
          <w:szCs w:val="32"/>
          <w:lang w:val="en-US" w:eastAsia="zh-CN" w:bidi="ar-SA"/>
        </w:rPr>
        <w:t>：反映</w:t>
      </w:r>
      <w:r>
        <w:rPr>
          <w:rFonts w:hint="eastAsia" w:ascii="TimesNewRoman" w:hAnsi="TimesNewRoman" w:eastAsia="仿宋_GB2312" w:cs="TimesNewRoman"/>
          <w:kern w:val="0"/>
          <w:sz w:val="32"/>
          <w:szCs w:val="32"/>
          <w:lang w:val="en-US" w:eastAsia="zh-CN" w:bidi="ar-SA"/>
        </w:rPr>
        <w:t>县文学院</w:t>
      </w:r>
      <w:r>
        <w:rPr>
          <w:rFonts w:ascii="TimesNewRoman" w:hAnsi="TimesNewRoman" w:eastAsia="仿宋_GB2312" w:cs="TimesNewRoman"/>
          <w:kern w:val="0"/>
          <w:sz w:val="32"/>
          <w:szCs w:val="32"/>
          <w:lang w:val="en-US" w:eastAsia="zh-CN" w:bidi="ar-SA"/>
        </w:rPr>
        <w:t>用于</w:t>
      </w:r>
      <w:r>
        <w:rPr>
          <w:rFonts w:hint="eastAsia" w:ascii="TimesNewRoman" w:hAnsi="TimesNewRoman" w:eastAsia="仿宋_GB2312" w:cs="TimesNewRoman"/>
          <w:kern w:val="0"/>
          <w:sz w:val="32"/>
          <w:szCs w:val="32"/>
          <w:lang w:val="en-US" w:eastAsia="zh-CN" w:bidi="ar-SA"/>
        </w:rPr>
        <w:t>文学工作</w:t>
      </w:r>
      <w:r>
        <w:rPr>
          <w:rFonts w:ascii="TimesNewRoman" w:hAnsi="TimesNewRoman" w:eastAsia="仿宋_GB2312" w:cs="TimesNewRoman"/>
          <w:kern w:val="0"/>
          <w:sz w:val="32"/>
          <w:szCs w:val="32"/>
          <w:lang w:val="en-US" w:eastAsia="zh-CN" w:bidi="ar-SA"/>
        </w:rPr>
        <w:t>业务方面的支出。</w:t>
      </w:r>
    </w:p>
    <w:p w14:paraId="408BC340">
      <w:pPr>
        <w:spacing w:line="560" w:lineRule="exact"/>
        <w:rPr>
          <w:rFonts w:hint="eastAsia" w:ascii="TimesNewRoman" w:hAnsi="TimesNewRoman" w:eastAsia="仿宋_GB2312" w:cs="TimesNewRoman"/>
          <w:kern w:val="0"/>
          <w:sz w:val="32"/>
          <w:szCs w:val="32"/>
          <w:lang w:val="en-US" w:eastAsia="zh-CN" w:bidi="ar-SA"/>
        </w:rPr>
      </w:pPr>
      <w:r>
        <w:rPr>
          <w:rFonts w:hint="eastAsia" w:ascii="TimesNewRoman" w:hAnsi="TimesNewRoman" w:eastAsia="仿宋_GB2312" w:cs="TimesNewRoman"/>
          <w:kern w:val="0"/>
          <w:sz w:val="32"/>
          <w:szCs w:val="32"/>
          <w:lang w:val="en-US" w:eastAsia="zh-CN" w:bidi="ar-SA"/>
        </w:rPr>
        <w:t xml:space="preserve">         </w:t>
      </w:r>
    </w:p>
    <w:p w14:paraId="05D61FF0">
      <w:pPr>
        <w:rPr>
          <w:rFonts w:ascii="TimesNewRoman" w:hAnsi="TimesNewRoman" w:eastAsia="仿宋_GB2312" w:cs="TimesNewRoman"/>
          <w:kern w:val="0"/>
          <w:sz w:val="32"/>
          <w:szCs w:val="32"/>
          <w:lang w:val="en-US" w:eastAsia="zh-CN" w:bidi="ar-SA"/>
        </w:rPr>
      </w:pPr>
    </w:p>
    <w:sectPr>
      <w:footerReference r:id="rId3" w:type="default"/>
      <w:pgSz w:w="11906" w:h="16838"/>
      <w:pgMar w:top="1928" w:right="1531" w:bottom="181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embedRegular r:id="rId1" w:fontKey="{A9F9491E-945E-43FA-9BC9-36093BC5B9B1}"/>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embedRegular r:id="rId2" w:fontKey="{DCDB5802-0234-4249-B662-422811B88C9D}"/>
  </w:font>
  <w:font w:name="方正小标宋_GBK">
    <w:panose1 w:val="02000000000000000000"/>
    <w:charset w:val="86"/>
    <w:family w:val="script"/>
    <w:pitch w:val="default"/>
    <w:sig w:usb0="A00002BF" w:usb1="38CF7CFA" w:usb2="00082016" w:usb3="00000000" w:csb0="00040001" w:csb1="00000000"/>
    <w:embedRegular r:id="rId3" w:fontKey="{9D96C294-0E72-4BAE-9DB3-487277EE26F5}"/>
  </w:font>
  <w:font w:name="TimesNewRoman">
    <w:altName w:val="Segoe Print"/>
    <w:panose1 w:val="02020603050405020304"/>
    <w:charset w:val="00"/>
    <w:family w:val="auto"/>
    <w:pitch w:val="default"/>
    <w:sig w:usb0="00000000" w:usb1="00000000" w:usb2="00000029" w:usb3="00000000" w:csb0="600001FF" w:csb1="FFFF0000"/>
    <w:embedRegular r:id="rId4" w:fontKey="{CDA49BC0-0A82-40A6-8344-6C3E6B2203CA}"/>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script"/>
    <w:pitch w:val="default"/>
    <w:sig w:usb0="00000001" w:usb1="080E0000" w:usb2="00000000" w:usb3="00000000" w:csb0="00040000" w:csb1="00000000"/>
    <w:embedRegular r:id="rId5" w:fontKey="{A033E4B1-6096-4F3F-8A7E-21A693EBB6E7}"/>
  </w:font>
  <w:font w:name="仿宋_GB2312">
    <w:panose1 w:val="02010609030101010101"/>
    <w:charset w:val="86"/>
    <w:family w:val="auto"/>
    <w:pitch w:val="default"/>
    <w:sig w:usb0="00000001" w:usb1="080E0000" w:usb2="00000000" w:usb3="00000000" w:csb0="00040000" w:csb1="00000000"/>
    <w:embedRegular r:id="rId6" w:fontKey="{EFBECED2-3551-495A-92E4-716D55E50496}"/>
  </w:font>
  <w:font w:name="楷体_GB2312">
    <w:panose1 w:val="02010609030101010101"/>
    <w:charset w:val="86"/>
    <w:family w:val="modern"/>
    <w:pitch w:val="default"/>
    <w:sig w:usb0="00000001" w:usb1="080E0000" w:usb2="00000000" w:usb3="00000000" w:csb0="00040000" w:csb1="00000000"/>
    <w:embedRegular r:id="rId7" w:fontKey="{2444DC67-D3D3-4559-84FE-0093E9F06DE1}"/>
  </w:font>
  <w:font w:name="仿宋">
    <w:panose1 w:val="02010609060101010101"/>
    <w:charset w:val="86"/>
    <w:family w:val="modern"/>
    <w:pitch w:val="default"/>
    <w:sig w:usb0="800002BF" w:usb1="38CF7CFA" w:usb2="00000016" w:usb3="00000000" w:csb0="00040001" w:csb1="00000000"/>
    <w:embedRegular r:id="rId8" w:fontKey="{C32621C1-5986-4B2D-956C-B331BABF33CD}"/>
  </w:font>
  <w:font w:name="楷体">
    <w:panose1 w:val="02010609060101010101"/>
    <w:charset w:val="86"/>
    <w:family w:val="modern"/>
    <w:pitch w:val="default"/>
    <w:sig w:usb0="800002BF" w:usb1="38CF7CFA" w:usb2="00000016" w:usb3="00000000" w:csb0="00040001" w:csb1="00000000"/>
    <w:embedRegular r:id="rId9" w:fontKey="{63CEDBB0-B463-43D9-847C-C46BC9D9CB4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4C707">
    <w:pPr>
      <w:pStyle w:val="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9</w:t>
    </w:r>
    <w:r>
      <w:rPr>
        <w:sz w:val="28"/>
        <w:szCs w:val="28"/>
      </w:rPr>
      <w:fldChar w:fldCharType="end"/>
    </w:r>
    <w:r>
      <w:rPr>
        <w:rFonts w:hint="eastAsia"/>
        <w:sz w:val="28"/>
        <w:szCs w:val="28"/>
      </w:rPr>
      <w:t xml:space="preserve"> </w:t>
    </w:r>
    <w:r>
      <w:rPr>
        <w:rFonts w:hint="eastAsia" w:ascii="宋体" w:hAnsi="宋体"/>
        <w:sz w:val="28"/>
        <w:szCs w:val="28"/>
      </w:rPr>
      <w:t xml:space="preserve">— </w:t>
    </w:r>
  </w:p>
  <w:p w14:paraId="510541CF">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AAED7"/>
    <w:multiLevelType w:val="singleLevel"/>
    <w:tmpl w:val="B2BAAED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0F4405"/>
    <w:rsid w:val="01A73007"/>
    <w:rsid w:val="03862AF8"/>
    <w:rsid w:val="064C314F"/>
    <w:rsid w:val="085F6832"/>
    <w:rsid w:val="12704485"/>
    <w:rsid w:val="151237B6"/>
    <w:rsid w:val="16CB00C0"/>
    <w:rsid w:val="16E573D4"/>
    <w:rsid w:val="242552B4"/>
    <w:rsid w:val="285E10C3"/>
    <w:rsid w:val="29AD0319"/>
    <w:rsid w:val="29C235A5"/>
    <w:rsid w:val="2B853D1A"/>
    <w:rsid w:val="2E132621"/>
    <w:rsid w:val="3B0F4405"/>
    <w:rsid w:val="3CA45706"/>
    <w:rsid w:val="3F505EB7"/>
    <w:rsid w:val="41320BB8"/>
    <w:rsid w:val="421A3B26"/>
    <w:rsid w:val="444B7961"/>
    <w:rsid w:val="485E53E8"/>
    <w:rsid w:val="48EE7ABB"/>
    <w:rsid w:val="498521CD"/>
    <w:rsid w:val="49AD5280"/>
    <w:rsid w:val="49C67ECC"/>
    <w:rsid w:val="4C2630C7"/>
    <w:rsid w:val="4CC13A6C"/>
    <w:rsid w:val="4D265BB7"/>
    <w:rsid w:val="4FF82FCD"/>
    <w:rsid w:val="506C0D74"/>
    <w:rsid w:val="5371731E"/>
    <w:rsid w:val="55CB540B"/>
    <w:rsid w:val="55E96B57"/>
    <w:rsid w:val="5F0756A6"/>
    <w:rsid w:val="630E6937"/>
    <w:rsid w:val="68F22857"/>
    <w:rsid w:val="6A283163"/>
    <w:rsid w:val="6A4B0471"/>
    <w:rsid w:val="6EB0491C"/>
    <w:rsid w:val="6ED43C20"/>
    <w:rsid w:val="70B52AE8"/>
    <w:rsid w:val="760065B4"/>
    <w:rsid w:val="773109EF"/>
    <w:rsid w:val="789C44E1"/>
    <w:rsid w:val="797C5797"/>
    <w:rsid w:val="7C014E34"/>
    <w:rsid w:val="7CC74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spacing w:beforeAutospacing="1" w:afterAutospacing="1"/>
      <w:jc w:val="left"/>
    </w:pPr>
    <w:rPr>
      <w:rFonts w:ascii="Calibri" w:hAnsi="Calibri"/>
      <w:kern w:val="0"/>
      <w:sz w:val="24"/>
    </w:rPr>
  </w:style>
  <w:style w:type="character" w:styleId="6">
    <w:name w:val="Strong"/>
    <w:basedOn w:val="5"/>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2823</Words>
  <Characters>3217</Characters>
  <Lines>0</Lines>
  <Paragraphs>0</Paragraphs>
  <TotalTime>0</TotalTime>
  <ScaleCrop>false</ScaleCrop>
  <LinksUpToDate>false</LinksUpToDate>
  <CharactersWithSpaces>3252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2025-01-11T13:48:00Z</dcterms:created>
  <dc:creator>Administrator</dc:creator>
  <cp:lastModifiedBy>林桑</cp:lastModifiedBy>
  <dcterms:modified xsi:type="dcterms:W3CDTF">2025-02-13T08:41:42Z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F6D65CD5D98F4918A53665DD1A26C67D_13</vt:lpwstr>
  </property>
  <property fmtid="{D5CDD505-2E9C-101B-9397-08002B2CF9AE}" pid="4" name="KSOTemplateDocerSaveRecord">
    <vt:lpwstr>eyJoZGlkIjoiN2U2M2MwNDhmMjU1ZGYyNmQ2MDM3OTM0OGE4NzZiZDUiLCJ1c2VySWQiOiI1NjE0NjA0MzEifQ==</vt:lpwstr>
  </property>
</Properties>
</file>