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641AC">
      <w:pPr>
        <w:pStyle w:val="4"/>
        <w:adjustRightInd w:val="0"/>
        <w:snapToGrid w:val="0"/>
        <w:spacing w:line="560" w:lineRule="exact"/>
        <w:jc w:val="center"/>
        <w:outlineLvl w:val="0"/>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rPr>
        <w:t>寿县</w:t>
      </w:r>
      <w:r>
        <w:rPr>
          <w:rFonts w:hint="eastAsia" w:ascii="方正小标宋简体" w:hAnsi="方正小标宋简体" w:eastAsia="方正小标宋简体" w:cs="TimesNewRoman"/>
          <w:sz w:val="44"/>
          <w:szCs w:val="44"/>
          <w:lang w:val="en-US" w:eastAsia="zh-CN"/>
        </w:rPr>
        <w:t>高铁站综合管理服务中心2025</w:t>
      </w:r>
      <w:r>
        <w:rPr>
          <w:rFonts w:hint="eastAsia" w:ascii="方正小标宋简体" w:hAnsi="方正小标宋简体" w:eastAsia="方正小标宋简体" w:cs="TimesNewRoman"/>
          <w:sz w:val="44"/>
          <w:szCs w:val="44"/>
        </w:rPr>
        <w:t>年</w:t>
      </w:r>
    </w:p>
    <w:p w14:paraId="3CFD0A11">
      <w:pPr>
        <w:pStyle w:val="4"/>
        <w:adjustRightInd w:val="0"/>
        <w:snapToGrid w:val="0"/>
        <w:spacing w:line="560" w:lineRule="exact"/>
        <w:jc w:val="center"/>
        <w:outlineLvl w:val="0"/>
        <w:rPr>
          <w:rFonts w:hint="eastAsia" w:ascii="方正小标宋简体" w:hAnsi="方正小标宋简体" w:eastAsia="方正小标宋简体" w:cs="TimesNewRoman"/>
          <w:sz w:val="44"/>
          <w:szCs w:val="44"/>
        </w:rPr>
      </w:pPr>
      <w:r>
        <w:rPr>
          <w:rFonts w:hint="eastAsia" w:ascii="方正小标宋简体" w:hAnsi="方正小标宋简体" w:eastAsia="方正小标宋简体" w:cs="TimesNewRoman"/>
          <w:sz w:val="44"/>
          <w:szCs w:val="44"/>
        </w:rPr>
        <w:t>部门预算</w:t>
      </w:r>
    </w:p>
    <w:p w14:paraId="2FA51F7C">
      <w:pPr>
        <w:pStyle w:val="4"/>
        <w:adjustRightInd w:val="0"/>
        <w:snapToGrid w:val="0"/>
        <w:spacing w:line="560" w:lineRule="exact"/>
        <w:jc w:val="center"/>
        <w:outlineLvl w:val="0"/>
        <w:rPr>
          <w:rFonts w:hint="eastAsia" w:ascii="方正小标宋简体" w:hAnsi="方正小标宋简体" w:eastAsia="方正小标宋简体" w:cs="TimesNewRoman"/>
          <w:sz w:val="32"/>
          <w:szCs w:val="32"/>
        </w:rPr>
      </w:pPr>
    </w:p>
    <w:p w14:paraId="1F3F3693">
      <w:pPr>
        <w:pStyle w:val="4"/>
        <w:adjustRightInd w:val="0"/>
        <w:snapToGrid w:val="0"/>
        <w:spacing w:line="560" w:lineRule="exact"/>
        <w:jc w:val="center"/>
        <w:outlineLvl w:val="0"/>
        <w:rPr>
          <w:rFonts w:hint="eastAsia" w:ascii="仿宋_GB2312" w:hAnsi="TimesNewRoman" w:eastAsia="仿宋_GB2312" w:cs="TimesNewRoman"/>
          <w:sz w:val="32"/>
          <w:szCs w:val="32"/>
          <w:u w:val="single"/>
        </w:rPr>
      </w:pP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u w:val="single"/>
        </w:rPr>
        <w:t>具体内容与本部门（单位）2025年部门（单位）</w:t>
      </w:r>
    </w:p>
    <w:p w14:paraId="1D69186F">
      <w:pPr>
        <w:pStyle w:val="4"/>
        <w:adjustRightInd w:val="0"/>
        <w:snapToGrid w:val="0"/>
        <w:spacing w:line="560" w:lineRule="exact"/>
        <w:jc w:val="center"/>
        <w:outlineLvl w:val="0"/>
        <w:rPr>
          <w:rFonts w:hint="eastAsia" w:ascii="仿宋_GB2312" w:hAnsi="TimesNewRoman" w:eastAsia="仿宋_GB2312" w:cs="TimesNewRoman"/>
          <w:bCs/>
          <w:sz w:val="32"/>
          <w:szCs w:val="32"/>
        </w:rPr>
      </w:pPr>
      <w:r>
        <w:rPr>
          <w:rFonts w:hint="eastAsia" w:ascii="仿宋_GB2312" w:hAnsi="TimesNewRoman" w:eastAsia="仿宋_GB2312" w:cs="TimesNewRoman"/>
          <w:sz w:val="32"/>
          <w:szCs w:val="32"/>
          <w:u w:val="single"/>
        </w:rPr>
        <w:t>预算实际情况相衔接</w:t>
      </w:r>
      <w:r>
        <w:rPr>
          <w:rFonts w:hint="eastAsia" w:ascii="仿宋_GB2312" w:hAnsi="TimesNewRoman" w:eastAsia="仿宋_GB2312" w:cs="TimesNewRoman"/>
          <w:sz w:val="32"/>
          <w:szCs w:val="32"/>
        </w:rPr>
        <w:t>）</w:t>
      </w:r>
    </w:p>
    <w:p w14:paraId="332513F5">
      <w:pPr>
        <w:pStyle w:val="4"/>
        <w:adjustRightInd w:val="0"/>
        <w:snapToGrid w:val="0"/>
        <w:spacing w:line="560" w:lineRule="exact"/>
        <w:jc w:val="center"/>
        <w:rPr>
          <w:rFonts w:hint="eastAsia" w:ascii="仿宋_GB2312" w:hAnsi="TimesNewRoman" w:eastAsia="仿宋_GB2312" w:cs="TimesNewRoman"/>
          <w:bCs/>
          <w:sz w:val="32"/>
          <w:szCs w:val="32"/>
        </w:rPr>
      </w:pPr>
    </w:p>
    <w:p w14:paraId="24D6365E">
      <w:pPr>
        <w:pStyle w:val="4"/>
        <w:adjustRightInd w:val="0"/>
        <w:snapToGrid w:val="0"/>
        <w:spacing w:line="560" w:lineRule="exact"/>
        <w:jc w:val="center"/>
        <w:rPr>
          <w:rFonts w:hint="eastAsia" w:ascii="仿宋_GB2312" w:hAnsi="TimesNewRoman" w:eastAsia="仿宋_GB2312" w:cs="TimesNewRoman"/>
          <w:bCs/>
          <w:sz w:val="32"/>
          <w:szCs w:val="32"/>
        </w:rPr>
      </w:pPr>
    </w:p>
    <w:p w14:paraId="46E3C3E3">
      <w:pPr>
        <w:pStyle w:val="4"/>
        <w:adjustRightInd w:val="0"/>
        <w:snapToGrid w:val="0"/>
        <w:spacing w:line="560" w:lineRule="exact"/>
        <w:jc w:val="center"/>
        <w:rPr>
          <w:rFonts w:hint="eastAsia" w:ascii="仿宋_GB2312" w:hAnsi="TimesNewRoman" w:eastAsia="仿宋_GB2312" w:cs="TimesNewRoman"/>
          <w:bCs/>
          <w:sz w:val="32"/>
          <w:szCs w:val="32"/>
        </w:rPr>
      </w:pPr>
    </w:p>
    <w:p w14:paraId="06B610A2">
      <w:pPr>
        <w:pStyle w:val="4"/>
        <w:adjustRightInd w:val="0"/>
        <w:snapToGrid w:val="0"/>
        <w:spacing w:line="560" w:lineRule="exact"/>
        <w:jc w:val="center"/>
        <w:rPr>
          <w:rFonts w:hint="eastAsia" w:ascii="仿宋_GB2312" w:hAnsi="TimesNewRoman" w:eastAsia="仿宋_GB2312" w:cs="TimesNewRoman"/>
          <w:bCs/>
          <w:sz w:val="32"/>
          <w:szCs w:val="32"/>
        </w:rPr>
      </w:pPr>
    </w:p>
    <w:p w14:paraId="611F85DD">
      <w:pPr>
        <w:pStyle w:val="4"/>
        <w:adjustRightInd w:val="0"/>
        <w:snapToGrid w:val="0"/>
        <w:spacing w:line="560" w:lineRule="exact"/>
        <w:jc w:val="center"/>
        <w:rPr>
          <w:rFonts w:hint="eastAsia" w:ascii="仿宋_GB2312" w:hAnsi="TimesNewRoman" w:eastAsia="仿宋_GB2312" w:cs="TimesNewRoman"/>
          <w:bCs/>
          <w:sz w:val="32"/>
          <w:szCs w:val="32"/>
        </w:rPr>
      </w:pPr>
    </w:p>
    <w:p w14:paraId="6C411A43">
      <w:pPr>
        <w:pStyle w:val="4"/>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                         2025年1月6日</w:t>
      </w:r>
    </w:p>
    <w:p w14:paraId="5899B9E9">
      <w:pPr>
        <w:pStyle w:val="4"/>
        <w:adjustRightInd w:val="0"/>
        <w:snapToGrid w:val="0"/>
        <w:spacing w:line="560" w:lineRule="exact"/>
        <w:jc w:val="center"/>
        <w:rPr>
          <w:rFonts w:hint="eastAsia" w:ascii="方正小标宋_GBK" w:hAnsi="TimesNewRoman" w:eastAsia="方正小标宋_GBK" w:cs="TimesNewRoman"/>
          <w:bCs/>
          <w:sz w:val="44"/>
          <w:szCs w:val="44"/>
        </w:rPr>
      </w:pPr>
    </w:p>
    <w:p w14:paraId="562EEFF8">
      <w:pPr>
        <w:pStyle w:val="4"/>
        <w:adjustRightInd w:val="0"/>
        <w:snapToGrid w:val="0"/>
        <w:spacing w:line="560" w:lineRule="exact"/>
        <w:jc w:val="center"/>
        <w:rPr>
          <w:rFonts w:hint="eastAsia" w:ascii="方正小标宋_GBK" w:hAnsi="TimesNewRoman" w:eastAsia="方正小标宋_GBK" w:cs="TimesNewRoman"/>
          <w:bCs/>
          <w:sz w:val="44"/>
          <w:szCs w:val="44"/>
        </w:rPr>
      </w:pPr>
    </w:p>
    <w:p w14:paraId="650A4245">
      <w:pPr>
        <w:pStyle w:val="4"/>
        <w:adjustRightInd w:val="0"/>
        <w:snapToGrid w:val="0"/>
        <w:spacing w:line="560" w:lineRule="exact"/>
        <w:jc w:val="center"/>
        <w:rPr>
          <w:rFonts w:hint="eastAsia" w:ascii="方正小标宋_GBK" w:hAnsi="TimesNewRoman" w:eastAsia="方正小标宋_GBK" w:cs="TimesNewRoman"/>
          <w:bCs/>
          <w:sz w:val="44"/>
          <w:szCs w:val="44"/>
        </w:rPr>
      </w:pPr>
    </w:p>
    <w:p w14:paraId="74078616">
      <w:pPr>
        <w:pStyle w:val="4"/>
        <w:adjustRightInd w:val="0"/>
        <w:snapToGrid w:val="0"/>
        <w:spacing w:line="560" w:lineRule="exact"/>
        <w:jc w:val="center"/>
        <w:rPr>
          <w:rFonts w:hint="eastAsia" w:ascii="方正小标宋_GBK" w:hAnsi="TimesNewRoman" w:eastAsia="方正小标宋_GBK" w:cs="TimesNewRoman"/>
          <w:bCs/>
          <w:sz w:val="44"/>
          <w:szCs w:val="44"/>
        </w:rPr>
      </w:pPr>
    </w:p>
    <w:p w14:paraId="0CCB958A">
      <w:pPr>
        <w:pStyle w:val="4"/>
        <w:adjustRightInd w:val="0"/>
        <w:snapToGrid w:val="0"/>
        <w:spacing w:line="560" w:lineRule="exact"/>
        <w:jc w:val="center"/>
        <w:rPr>
          <w:rFonts w:hint="eastAsia" w:ascii="方正小标宋_GBK" w:hAnsi="TimesNewRoman" w:eastAsia="方正小标宋_GBK" w:cs="TimesNewRoman"/>
          <w:bCs/>
          <w:sz w:val="44"/>
          <w:szCs w:val="44"/>
        </w:rPr>
      </w:pPr>
    </w:p>
    <w:p w14:paraId="37CB6D68">
      <w:pPr>
        <w:pStyle w:val="4"/>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68A27F8E">
      <w:pPr>
        <w:pStyle w:val="4"/>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p>
    <w:p w14:paraId="2C00D40E">
      <w:pPr>
        <w:pStyle w:val="4"/>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hint="eastAsia" w:ascii="黑体" w:hAnsi="黑体" w:eastAsia="黑体" w:cs="TimesNewRoman"/>
          <w:sz w:val="32"/>
          <w:szCs w:val="32"/>
          <w:lang w:val="en-US" w:eastAsia="zh-CN"/>
        </w:rPr>
        <w:t>寿县高铁站综合管理服务中心</w:t>
      </w:r>
      <w:r>
        <w:rPr>
          <w:rFonts w:ascii="黑体" w:hAnsi="黑体" w:eastAsia="黑体" w:cs="TimesNewRoman"/>
          <w:sz w:val="32"/>
          <w:szCs w:val="32"/>
        </w:rPr>
        <w:t>概况</w:t>
      </w:r>
    </w:p>
    <w:p w14:paraId="01C857E4">
      <w:pPr>
        <w:pStyle w:val="4"/>
        <w:topLinePunct/>
        <w:adjustRightInd w:val="0"/>
        <w:snapToGrid w:val="0"/>
        <w:spacing w:beforeAutospacing="0" w:afterAutospacing="0" w:line="560" w:lineRule="exact"/>
        <w:ind w:firstLine="648"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19A7BE4E">
      <w:pPr>
        <w:pStyle w:val="4"/>
        <w:topLinePunct/>
        <w:adjustRightInd w:val="0"/>
        <w:snapToGrid w:val="0"/>
        <w:spacing w:beforeAutospacing="0" w:afterAutospacing="0" w:line="560" w:lineRule="exact"/>
        <w:ind w:firstLine="648"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lang w:val="en-US" w:eastAsia="zh-CN"/>
        </w:rPr>
        <w:t>寿县高铁站综合管理服务中心</w:t>
      </w:r>
      <w:r>
        <w:rPr>
          <w:rFonts w:hint="eastAsia" w:ascii="仿宋_GB2312" w:hAnsi="TimesNewRoman" w:eastAsia="仿宋_GB2312" w:cs="TimesNewRoman"/>
          <w:bCs/>
          <w:sz w:val="32"/>
          <w:szCs w:val="32"/>
        </w:rPr>
        <w:t>预算构成</w:t>
      </w:r>
    </w:p>
    <w:p w14:paraId="74E17DFF">
      <w:pPr>
        <w:pStyle w:val="4"/>
        <w:topLinePunct/>
        <w:adjustRightInd w:val="0"/>
        <w:snapToGrid w:val="0"/>
        <w:spacing w:beforeAutospacing="0" w:afterAutospacing="0" w:line="560" w:lineRule="exact"/>
        <w:ind w:firstLine="648"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14:paraId="464AA439">
      <w:pPr>
        <w:pStyle w:val="4"/>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w:t>
      </w:r>
      <w:r>
        <w:rPr>
          <w:rFonts w:hint="eastAsia" w:ascii="黑体" w:hAnsi="黑体" w:eastAsia="黑体" w:cs="TimesNewRoman"/>
          <w:sz w:val="32"/>
          <w:szCs w:val="32"/>
          <w:lang w:val="en-US" w:eastAsia="zh-CN"/>
        </w:rPr>
        <w:t>寿县高铁站综合管理服务中心</w:t>
      </w:r>
      <w:r>
        <w:rPr>
          <w:rFonts w:ascii="黑体" w:hAnsi="黑体" w:eastAsia="黑体" w:cs="TimesNewRoman"/>
          <w:sz w:val="32"/>
          <w:szCs w:val="32"/>
        </w:rPr>
        <w:t>预算情况说明</w:t>
      </w:r>
    </w:p>
    <w:p w14:paraId="4F89E04D">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14:paraId="6EF174D0">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14:paraId="35A70E8E">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14:paraId="0F9FCE23">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14:paraId="74F53E8A">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14:paraId="7CE20398">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14:paraId="025097B1">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14:paraId="25A0D5B4">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14:paraId="5F2658F4">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14:paraId="7A24A7C8">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14:paraId="0AFE51CD">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14:paraId="6B0CD3BC">
      <w:pPr>
        <w:pStyle w:val="4"/>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lang w:val="en-US" w:eastAsia="zh-CN"/>
        </w:rPr>
        <w:t>12.关于2025年一般公共预算“三公”经费支出情况说明</w:t>
      </w:r>
    </w:p>
    <w:p w14:paraId="11520DBB">
      <w:pPr>
        <w:pStyle w:val="4"/>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bookmarkStart w:id="0" w:name="_GoBack"/>
      <w:bookmarkEnd w:id="0"/>
      <w:r>
        <w:rPr>
          <w:rFonts w:ascii="仿宋_GB2312" w:hAnsi="TimesNewRoman" w:eastAsia="仿宋_GB2312" w:cs="TimesNewRoman"/>
          <w:bCs/>
          <w:sz w:val="32"/>
          <w:szCs w:val="32"/>
        </w:rPr>
        <w:t>.其他重要事项情况说明</w:t>
      </w:r>
    </w:p>
    <w:p w14:paraId="3963F00B">
      <w:pPr>
        <w:pStyle w:val="4"/>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0C51DC71">
      <w:pPr>
        <w:pStyle w:val="4"/>
        <w:topLinePunct/>
        <w:adjustRightInd w:val="0"/>
        <w:snapToGrid w:val="0"/>
        <w:spacing w:beforeAutospacing="0" w:afterAutospacing="0" w:line="560" w:lineRule="exact"/>
        <w:ind w:firstLine="648" w:firstLineChars="200"/>
        <w:jc w:val="both"/>
        <w:rPr>
          <w:rFonts w:ascii="TimesNewRoman" w:hAnsi="TimesNewRoman" w:eastAsia="仿宋_GB2312" w:cs="TimesNewRoman"/>
          <w:b/>
          <w:sz w:val="32"/>
          <w:szCs w:val="32"/>
        </w:rPr>
      </w:pPr>
    </w:p>
    <w:p w14:paraId="3B393F26">
      <w:pPr>
        <w:pStyle w:val="4"/>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727CB41C">
      <w:pPr>
        <w:pStyle w:val="4"/>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482D6AF3">
      <w:pPr>
        <w:pStyle w:val="4"/>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val="en-US" w:eastAsia="zh-CN"/>
        </w:rPr>
        <w:t>寿县高铁站综合管理服务中心</w:t>
      </w:r>
      <w:r>
        <w:rPr>
          <w:rFonts w:ascii="TimesNewRoman" w:hAnsi="TimesNewRoman" w:eastAsia="黑体" w:cs="TimesNewRoman"/>
          <w:bCs/>
          <w:sz w:val="36"/>
          <w:szCs w:val="36"/>
        </w:rPr>
        <w:t>概况</w:t>
      </w:r>
    </w:p>
    <w:p w14:paraId="14123120">
      <w:pPr>
        <w:pStyle w:val="4"/>
        <w:topLinePunct/>
        <w:adjustRightInd w:val="0"/>
        <w:snapToGrid w:val="0"/>
        <w:spacing w:beforeAutospacing="0" w:afterAutospacing="0" w:line="560" w:lineRule="exact"/>
        <w:ind w:firstLine="634" w:firstLineChars="196"/>
        <w:jc w:val="both"/>
        <w:rPr>
          <w:rFonts w:ascii="TimesNewRoman" w:hAnsi="TimesNewRoman" w:eastAsia="黑体" w:cs="TimesNewRoman"/>
          <w:bCs/>
          <w:sz w:val="32"/>
          <w:szCs w:val="32"/>
        </w:rPr>
      </w:pPr>
    </w:p>
    <w:p w14:paraId="445261B4">
      <w:pPr>
        <w:pStyle w:val="4"/>
        <w:topLinePunct/>
        <w:adjustRightInd w:val="0"/>
        <w:snapToGrid w:val="0"/>
        <w:spacing w:beforeAutospacing="0" w:afterAutospacing="0" w:line="580" w:lineRule="exact"/>
        <w:ind w:firstLine="648"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75478598">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寿县高铁站综合管理服务中心为县政府直属全额拨款事业单位，正科级规格，列公益一类事业单位，核定全额拨款事业编制5名，核定领导职数2名，其中主任1名(正科级)，副主任1名(副科级);股级职数2名。主要工作职责如下:</w:t>
      </w:r>
    </w:p>
    <w:p w14:paraId="4BC222E6">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(一)负责牵头协调高铁站站前区域综合管理工作;</w:t>
      </w:r>
    </w:p>
    <w:p w14:paraId="0BF15DEA">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(二)制订并组织实施站前区域重大事项保障方案和突发事件应急预案;</w:t>
      </w:r>
    </w:p>
    <w:p w14:paraId="17F73481">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(三)负责站前区域相关机构派驻人员的日常管理和考核，组织实施站前区域综合管理考核工作;</w:t>
      </w:r>
    </w:p>
    <w:p w14:paraId="3F250DCC">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(四)负责协调和组织实施站前区域联合执法;</w:t>
      </w:r>
    </w:p>
    <w:p w14:paraId="0A31FD82">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eastAsia" w:ascii="仿宋_GB2312" w:hAnsi="仿宋" w:eastAsia="仿宋_GB2312" w:cs="仿宋"/>
          <w:bCs/>
          <w:kern w:val="0"/>
          <w:sz w:val="32"/>
          <w:szCs w:val="32"/>
          <w:lang w:val="en-US" w:eastAsia="zh-CN" w:bidi="ar-SA"/>
        </w:rPr>
      </w:pPr>
      <w:r>
        <w:rPr>
          <w:rFonts w:hint="eastAsia" w:ascii="仿宋_GB2312" w:hAnsi="仿宋" w:eastAsia="仿宋_GB2312" w:cs="仿宋"/>
          <w:bCs/>
          <w:kern w:val="0"/>
          <w:sz w:val="32"/>
          <w:szCs w:val="32"/>
          <w:lang w:val="en-US" w:eastAsia="zh-CN" w:bidi="ar-SA"/>
        </w:rPr>
        <w:t>(五)负责建立站前区域交通秩序、社会治安、设施维护、市容环境卫生、市场秩序等方面的日常巡查制度;</w:t>
      </w:r>
    </w:p>
    <w:p w14:paraId="5C2F26EC">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default" w:ascii="仿宋_GB2312" w:hAnsi="仿宋" w:eastAsia="仿宋_GB2312" w:cs="仿宋"/>
          <w:bCs/>
          <w:kern w:val="0"/>
          <w:sz w:val="32"/>
          <w:szCs w:val="32"/>
          <w:lang w:val="en-US" w:eastAsia="zh-CN" w:bidi="ar-SA"/>
        </w:rPr>
      </w:pPr>
      <w:r>
        <w:rPr>
          <w:rFonts w:hint="default" w:ascii="仿宋_GB2312" w:hAnsi="仿宋" w:eastAsia="仿宋_GB2312" w:cs="仿宋"/>
          <w:bCs/>
          <w:kern w:val="0"/>
          <w:sz w:val="32"/>
          <w:szCs w:val="32"/>
          <w:lang w:val="en-US" w:eastAsia="zh-CN" w:bidi="ar-SA"/>
        </w:rPr>
        <w:t>(六)建立健</w:t>
      </w:r>
      <w:r>
        <w:rPr>
          <w:rFonts w:hint="eastAsia" w:ascii="仿宋_GB2312" w:hAnsi="仿宋" w:eastAsia="仿宋_GB2312" w:cs="仿宋"/>
          <w:bCs/>
          <w:kern w:val="0"/>
          <w:sz w:val="32"/>
          <w:szCs w:val="32"/>
          <w:lang w:val="en-US" w:eastAsia="zh-CN" w:bidi="ar-SA"/>
        </w:rPr>
        <w:t>全</w:t>
      </w:r>
      <w:r>
        <w:rPr>
          <w:rFonts w:hint="default" w:ascii="仿宋_GB2312" w:hAnsi="仿宋" w:eastAsia="仿宋_GB2312" w:cs="仿宋"/>
          <w:bCs/>
          <w:kern w:val="0"/>
          <w:sz w:val="32"/>
          <w:szCs w:val="32"/>
          <w:lang w:val="en-US" w:eastAsia="zh-CN" w:bidi="ar-SA"/>
        </w:rPr>
        <w:t>站前区域综合管理联席会议制度;</w:t>
      </w:r>
    </w:p>
    <w:p w14:paraId="1553889B">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default" w:ascii="仿宋_GB2312" w:hAnsi="仿宋" w:eastAsia="仿宋_GB2312" w:cs="仿宋"/>
          <w:bCs/>
          <w:kern w:val="0"/>
          <w:sz w:val="32"/>
          <w:szCs w:val="32"/>
          <w:lang w:val="en-US" w:eastAsia="zh-CN" w:bidi="ar-SA"/>
        </w:rPr>
      </w:pPr>
      <w:r>
        <w:rPr>
          <w:rFonts w:hint="default" w:ascii="仿宋_GB2312" w:hAnsi="仿宋" w:eastAsia="仿宋_GB2312" w:cs="仿宋"/>
          <w:bCs/>
          <w:kern w:val="0"/>
          <w:sz w:val="32"/>
          <w:szCs w:val="32"/>
          <w:lang w:val="en-US" w:eastAsia="zh-CN" w:bidi="ar-SA"/>
        </w:rPr>
        <w:t>(</w:t>
      </w:r>
      <w:r>
        <w:rPr>
          <w:rFonts w:hint="eastAsia" w:ascii="仿宋_GB2312" w:hAnsi="仿宋" w:eastAsia="仿宋_GB2312" w:cs="仿宋"/>
          <w:bCs/>
          <w:kern w:val="0"/>
          <w:sz w:val="32"/>
          <w:szCs w:val="32"/>
          <w:lang w:val="en-US" w:eastAsia="zh-CN" w:bidi="ar-SA"/>
        </w:rPr>
        <w:t>七</w:t>
      </w:r>
      <w:r>
        <w:rPr>
          <w:rFonts w:hint="default" w:ascii="仿宋_GB2312" w:hAnsi="仿宋" w:eastAsia="仿宋_GB2312" w:cs="仿宋"/>
          <w:bCs/>
          <w:kern w:val="0"/>
          <w:sz w:val="32"/>
          <w:szCs w:val="32"/>
          <w:lang w:val="en-US" w:eastAsia="zh-CN" w:bidi="ar-SA"/>
        </w:rPr>
        <w:t>)督促检查站前区域综合管理涉及的有关法律、法规、规章</w:t>
      </w:r>
      <w:r>
        <w:rPr>
          <w:rFonts w:hint="eastAsia" w:ascii="仿宋_GB2312" w:hAnsi="仿宋" w:eastAsia="仿宋_GB2312" w:cs="仿宋"/>
          <w:bCs/>
          <w:kern w:val="0"/>
          <w:sz w:val="32"/>
          <w:szCs w:val="32"/>
          <w:lang w:val="en-US" w:eastAsia="zh-CN" w:bidi="ar-SA"/>
        </w:rPr>
        <w:t>贯彻</w:t>
      </w:r>
      <w:r>
        <w:rPr>
          <w:rFonts w:hint="default" w:ascii="仿宋_GB2312" w:hAnsi="仿宋" w:eastAsia="仿宋_GB2312" w:cs="仿宋"/>
          <w:bCs/>
          <w:kern w:val="0"/>
          <w:sz w:val="32"/>
          <w:szCs w:val="32"/>
          <w:lang w:val="en-US" w:eastAsia="zh-CN" w:bidi="ar-SA"/>
        </w:rPr>
        <w:t>执行情况;</w:t>
      </w:r>
    </w:p>
    <w:p w14:paraId="6166E2A7">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default" w:ascii="仿宋_GB2312" w:hAnsi="仿宋" w:eastAsia="仿宋_GB2312" w:cs="仿宋"/>
          <w:bCs/>
          <w:kern w:val="0"/>
          <w:sz w:val="32"/>
          <w:szCs w:val="32"/>
          <w:lang w:val="en-US" w:eastAsia="zh-CN" w:bidi="ar-SA"/>
        </w:rPr>
      </w:pPr>
      <w:r>
        <w:rPr>
          <w:rFonts w:hint="default" w:ascii="仿宋_GB2312" w:hAnsi="仿宋" w:eastAsia="仿宋_GB2312" w:cs="仿宋"/>
          <w:bCs/>
          <w:kern w:val="0"/>
          <w:sz w:val="32"/>
          <w:szCs w:val="32"/>
          <w:lang w:val="en-US" w:eastAsia="zh-CN" w:bidi="ar-SA"/>
        </w:rPr>
        <w:t>(八)</w:t>
      </w:r>
      <w:r>
        <w:rPr>
          <w:rFonts w:hint="eastAsia" w:ascii="仿宋_GB2312" w:hAnsi="仿宋" w:eastAsia="仿宋_GB2312" w:cs="仿宋"/>
          <w:bCs/>
          <w:kern w:val="0"/>
          <w:sz w:val="32"/>
          <w:szCs w:val="32"/>
          <w:lang w:val="en-US" w:eastAsia="zh-CN" w:bidi="ar-SA"/>
        </w:rPr>
        <w:t>负责</w:t>
      </w:r>
      <w:r>
        <w:rPr>
          <w:rFonts w:hint="default" w:ascii="仿宋_GB2312" w:hAnsi="仿宋" w:eastAsia="仿宋_GB2312" w:cs="仿宋"/>
          <w:bCs/>
          <w:kern w:val="0"/>
          <w:sz w:val="32"/>
          <w:szCs w:val="32"/>
          <w:lang w:val="en-US" w:eastAsia="zh-CN" w:bidi="ar-SA"/>
        </w:rPr>
        <w:t>制定站前区城长效综合管理方案和年度计划的具体措施并组织实施;</w:t>
      </w:r>
    </w:p>
    <w:p w14:paraId="2D9B9365">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default" w:ascii="仿宋_GB2312" w:hAnsi="仿宋" w:eastAsia="仿宋_GB2312" w:cs="仿宋"/>
          <w:bCs/>
          <w:kern w:val="0"/>
          <w:sz w:val="32"/>
          <w:szCs w:val="32"/>
          <w:lang w:val="en-US" w:eastAsia="zh-CN" w:bidi="ar-SA"/>
        </w:rPr>
      </w:pPr>
      <w:r>
        <w:rPr>
          <w:rFonts w:hint="default" w:ascii="仿宋_GB2312" w:hAnsi="仿宋" w:eastAsia="仿宋_GB2312" w:cs="仿宋"/>
          <w:bCs/>
          <w:kern w:val="0"/>
          <w:sz w:val="32"/>
          <w:szCs w:val="32"/>
          <w:lang w:val="en-US" w:eastAsia="zh-CN" w:bidi="ar-SA"/>
        </w:rPr>
        <w:t>(九)按照站前区域总体规划和城市管理的有关规定，制定站前区域的市容环境、广告布置、经营店铺和市政、交通设施的设置规范，并指导督促有关单位落实日常管理;</w:t>
      </w:r>
    </w:p>
    <w:p w14:paraId="463A7EA4">
      <w:pPr>
        <w:keepNext w:val="0"/>
        <w:keepLines w:val="0"/>
        <w:pageBreakBefore w:val="0"/>
        <w:widowControl w:val="0"/>
        <w:numPr>
          <w:ilvl w:val="0"/>
          <w:numId w:val="0"/>
        </w:numPr>
        <w:kinsoku/>
        <w:wordWrap/>
        <w:overflowPunct/>
        <w:topLinePunct w:val="0"/>
        <w:autoSpaceDE/>
        <w:autoSpaceDN/>
        <w:bidi w:val="0"/>
        <w:adjustRightInd/>
        <w:snapToGrid/>
        <w:ind w:firstLine="648" w:firstLineChars="200"/>
        <w:jc w:val="both"/>
        <w:textAlignment w:val="auto"/>
        <w:rPr>
          <w:rFonts w:hint="default" w:ascii="仿宋_GB2312" w:hAnsi="仿宋" w:eastAsia="仿宋_GB2312" w:cs="仿宋"/>
          <w:bCs/>
          <w:kern w:val="0"/>
          <w:sz w:val="32"/>
          <w:szCs w:val="32"/>
          <w:lang w:val="en-US" w:eastAsia="zh-CN" w:bidi="ar-SA"/>
        </w:rPr>
      </w:pPr>
      <w:r>
        <w:rPr>
          <w:rFonts w:hint="default" w:ascii="仿宋_GB2312" w:hAnsi="仿宋" w:eastAsia="仿宋_GB2312" w:cs="仿宋"/>
          <w:bCs/>
          <w:kern w:val="0"/>
          <w:sz w:val="32"/>
          <w:szCs w:val="32"/>
          <w:lang w:val="en-US" w:eastAsia="zh-CN" w:bidi="ar-SA"/>
        </w:rPr>
        <w:t>(</w:t>
      </w:r>
      <w:r>
        <w:rPr>
          <w:rFonts w:hint="eastAsia" w:ascii="仿宋_GB2312" w:hAnsi="仿宋" w:eastAsia="仿宋_GB2312" w:cs="仿宋"/>
          <w:bCs/>
          <w:kern w:val="0"/>
          <w:sz w:val="32"/>
          <w:szCs w:val="32"/>
          <w:lang w:val="en-US" w:eastAsia="zh-CN" w:bidi="ar-SA"/>
        </w:rPr>
        <w:t>十</w:t>
      </w:r>
      <w:r>
        <w:rPr>
          <w:rFonts w:hint="default" w:ascii="仿宋_GB2312" w:hAnsi="仿宋" w:eastAsia="仿宋_GB2312" w:cs="仿宋"/>
          <w:bCs/>
          <w:kern w:val="0"/>
          <w:sz w:val="32"/>
          <w:szCs w:val="32"/>
          <w:lang w:val="en-US" w:eastAsia="zh-CN" w:bidi="ar-SA"/>
        </w:rPr>
        <w:t>)完成县委、县政府交办的其他任务。</w:t>
      </w:r>
    </w:p>
    <w:p w14:paraId="3437747E">
      <w:pPr>
        <w:pStyle w:val="4"/>
        <w:topLinePunct/>
        <w:adjustRightInd w:val="0"/>
        <w:snapToGrid w:val="0"/>
        <w:spacing w:beforeAutospacing="0" w:afterAutospacing="0" w:line="580" w:lineRule="exact"/>
        <w:ind w:firstLine="648"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部门（单位）预算构成</w:t>
      </w:r>
    </w:p>
    <w:p w14:paraId="269585E7">
      <w:pPr>
        <w:pStyle w:val="4"/>
        <w:adjustRightInd w:val="0"/>
        <w:snapToGrid w:val="0"/>
        <w:spacing w:before="0" w:beforeAutospacing="0" w:after="0" w:afterAutospacing="0" w:line="600" w:lineRule="exact"/>
        <w:ind w:firstLine="486" w:firstLineChars="150"/>
        <w:outlineLvl w:val="0"/>
        <w:rPr>
          <w:rFonts w:hint="eastAsia" w:ascii="仿宋_GB2312" w:hAnsi="仿宋" w:eastAsia="仿宋_GB2312"/>
          <w:sz w:val="32"/>
          <w:szCs w:val="32"/>
        </w:rPr>
      </w:pPr>
      <w:r>
        <w:rPr>
          <w:rFonts w:hint="eastAsia" w:ascii="仿宋_GB2312" w:hAnsi="仿宋" w:eastAsia="仿宋_GB2312"/>
          <w:sz w:val="32"/>
          <w:szCs w:val="32"/>
        </w:rPr>
        <w:t>从预算单位构成看，</w:t>
      </w:r>
      <w:r>
        <w:rPr>
          <w:rFonts w:hint="eastAsia" w:ascii="仿宋_GB2312" w:hAnsi="仿宋" w:eastAsia="仿宋_GB2312"/>
          <w:sz w:val="32"/>
          <w:szCs w:val="32"/>
          <w:lang w:eastAsia="zh-CN"/>
        </w:rPr>
        <w:t>寿县</w:t>
      </w:r>
      <w:r>
        <w:rPr>
          <w:rFonts w:hint="eastAsia" w:ascii="仿宋_GB2312" w:hAnsi="仿宋" w:eastAsia="仿宋_GB2312" w:cs="仿宋"/>
          <w:bCs/>
          <w:sz w:val="32"/>
          <w:szCs w:val="32"/>
          <w:lang w:eastAsia="zh-CN"/>
        </w:rPr>
        <w:t>高铁站综合管理服务中心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年度部门预算仅包括本级预算，无其他下属单位预算。</w:t>
      </w:r>
    </w:p>
    <w:p w14:paraId="5C45D749">
      <w:pPr>
        <w:pStyle w:val="4"/>
        <w:topLinePunct/>
        <w:adjustRightInd w:val="0"/>
        <w:snapToGrid w:val="0"/>
        <w:spacing w:beforeAutospacing="0" w:afterAutospacing="0" w:line="580" w:lineRule="exact"/>
        <w:ind w:firstLine="648"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14:paraId="563DA759">
      <w:pPr>
        <w:autoSpaceDE w:val="0"/>
        <w:spacing w:line="520" w:lineRule="exact"/>
        <w:ind w:firstLine="648" w:firstLineChars="200"/>
        <w:rPr>
          <w:rFonts w:hint="eastAsia" w:ascii="仿宋" w:hAnsi="仿宋" w:eastAsia="仿宋"/>
          <w:b/>
          <w:bCs/>
          <w:color w:val="auto"/>
          <w:sz w:val="32"/>
          <w:szCs w:val="32"/>
          <w:lang w:eastAsia="zh-CN"/>
        </w:rPr>
      </w:pPr>
      <w:r>
        <w:rPr>
          <w:rFonts w:hint="eastAsia" w:ascii="仿宋" w:hAnsi="仿宋" w:eastAsia="仿宋" w:cs="Times New Roman"/>
          <w:b/>
          <w:color w:val="auto"/>
          <w:sz w:val="32"/>
          <w:szCs w:val="32"/>
        </w:rPr>
        <w:t>（一</w:t>
      </w:r>
      <w:r>
        <w:rPr>
          <w:rFonts w:hint="eastAsia" w:ascii="仿宋" w:hAnsi="仿宋" w:eastAsia="仿宋" w:cs="Times New Roman"/>
          <w:b/>
          <w:color w:val="auto"/>
          <w:sz w:val="32"/>
          <w:szCs w:val="32"/>
          <w:lang w:eastAsia="zh-CN"/>
        </w:rPr>
        <w:t>）</w:t>
      </w:r>
      <w:r>
        <w:rPr>
          <w:rFonts w:hint="eastAsia" w:ascii="仿宋" w:hAnsi="仿宋" w:eastAsia="仿宋" w:cs="Times New Roman"/>
          <w:b/>
          <w:color w:val="auto"/>
          <w:sz w:val="32"/>
          <w:szCs w:val="32"/>
        </w:rPr>
        <w:t>站前区域综合管理服务工作</w:t>
      </w:r>
      <w:r>
        <w:rPr>
          <w:rFonts w:hint="eastAsia" w:ascii="仿宋" w:hAnsi="仿宋" w:eastAsia="仿宋" w:cs="Times New Roman"/>
          <w:b/>
          <w:color w:val="auto"/>
          <w:sz w:val="32"/>
          <w:szCs w:val="32"/>
          <w:lang w:eastAsia="zh-CN"/>
        </w:rPr>
        <w:t>。</w:t>
      </w:r>
      <w:r>
        <w:rPr>
          <w:rFonts w:hint="eastAsia" w:ascii="仿宋" w:hAnsi="仿宋" w:eastAsia="仿宋" w:cs="Times New Roman"/>
          <w:b w:val="0"/>
          <w:bCs/>
          <w:color w:val="auto"/>
          <w:sz w:val="32"/>
          <w:szCs w:val="32"/>
        </w:rPr>
        <w:t>加强站前区域的公共秩</w:t>
      </w:r>
      <w:r>
        <w:rPr>
          <w:rFonts w:hint="eastAsia" w:ascii="仿宋" w:hAnsi="仿宋" w:eastAsia="仿宋" w:cs="仿宋"/>
          <w:b w:val="0"/>
          <w:bCs/>
          <w:color w:val="auto"/>
          <w:sz w:val="32"/>
          <w:szCs w:val="32"/>
        </w:rPr>
        <w:t>序管理、环境卫生整</w:t>
      </w:r>
      <w:r>
        <w:rPr>
          <w:rFonts w:hint="eastAsia" w:ascii="仿宋" w:hAnsi="仿宋" w:eastAsia="仿宋" w:cs="仿宋"/>
          <w:color w:val="auto"/>
          <w:sz w:val="32"/>
          <w:szCs w:val="32"/>
        </w:rPr>
        <w:t>治和物业管理，引导旅客有序进出站；对各类设施设备进行日巡查、日上报、日处理。</w:t>
      </w:r>
      <w:r>
        <w:rPr>
          <w:rFonts w:hint="eastAsia" w:ascii="仿宋" w:hAnsi="仿宋" w:eastAsia="仿宋" w:cs="仿宋"/>
          <w:b w:val="0"/>
          <w:bCs w:val="0"/>
          <w:color w:val="auto"/>
          <w:sz w:val="32"/>
          <w:szCs w:val="32"/>
        </w:rPr>
        <w:t>协调驻站城管、交通、公安、交警等多家单位开展综合执法。</w:t>
      </w:r>
      <w:r>
        <w:rPr>
          <w:rFonts w:hint="eastAsia" w:ascii="仿宋" w:hAnsi="仿宋" w:eastAsia="仿宋"/>
          <w:b w:val="0"/>
          <w:bCs w:val="0"/>
          <w:color w:val="auto"/>
          <w:sz w:val="32"/>
          <w:szCs w:val="32"/>
        </w:rPr>
        <w:t>规范出租车运营管理，确保旅客满意乘车</w:t>
      </w:r>
      <w:r>
        <w:rPr>
          <w:rFonts w:hint="eastAsia" w:ascii="仿宋" w:hAnsi="仿宋" w:eastAsia="仿宋"/>
          <w:b w:val="0"/>
          <w:bCs w:val="0"/>
          <w:color w:val="auto"/>
          <w:sz w:val="32"/>
          <w:szCs w:val="32"/>
          <w:lang w:eastAsia="zh-CN"/>
        </w:rPr>
        <w:t>。</w:t>
      </w:r>
    </w:p>
    <w:p w14:paraId="75055D22">
      <w:pPr>
        <w:numPr>
          <w:ilvl w:val="0"/>
          <w:numId w:val="0"/>
        </w:numPr>
        <w:spacing w:line="520" w:lineRule="exact"/>
        <w:ind w:firstLine="648" w:firstLineChars="200"/>
        <w:rPr>
          <w:rFonts w:ascii="仿宋" w:hAnsi="仿宋" w:eastAsia="仿宋"/>
          <w:color w:val="auto"/>
          <w:sz w:val="32"/>
          <w:szCs w:val="32"/>
        </w:rPr>
      </w:pPr>
      <w:r>
        <w:rPr>
          <w:rFonts w:hint="eastAsia" w:ascii="仿宋" w:hAnsi="仿宋" w:eastAsia="仿宋"/>
          <w:b/>
          <w:color w:val="auto"/>
          <w:sz w:val="32"/>
          <w:szCs w:val="32"/>
          <w:lang w:eastAsia="zh-CN"/>
        </w:rPr>
        <w:t>（二）</w:t>
      </w:r>
      <w:r>
        <w:rPr>
          <w:rFonts w:hint="eastAsia" w:ascii="仿宋" w:hAnsi="仿宋" w:eastAsia="仿宋"/>
          <w:b/>
          <w:color w:val="auto"/>
          <w:sz w:val="32"/>
          <w:szCs w:val="32"/>
        </w:rPr>
        <w:t>安全生产、平安建设(综治)工作</w:t>
      </w:r>
      <w:r>
        <w:rPr>
          <w:rFonts w:hint="eastAsia" w:ascii="仿宋" w:hAnsi="仿宋" w:eastAsia="仿宋"/>
          <w:b/>
          <w:color w:val="auto"/>
          <w:sz w:val="32"/>
          <w:szCs w:val="32"/>
          <w:lang w:eastAsia="zh-CN"/>
        </w:rPr>
        <w:t>。一是</w:t>
      </w:r>
      <w:r>
        <w:rPr>
          <w:rFonts w:hint="eastAsia" w:ascii="仿宋" w:hAnsi="仿宋" w:eastAsia="仿宋"/>
          <w:color w:val="auto"/>
          <w:sz w:val="32"/>
          <w:szCs w:val="32"/>
        </w:rPr>
        <w:t>制定各项安全生产管理制度，建立了安全生产岗位责任制，定期组织专人开展安全教育、安全检查、消防等突发应急事件处置演练。</w:t>
      </w:r>
      <w:r>
        <w:rPr>
          <w:rFonts w:hint="eastAsia" w:ascii="仿宋" w:hAnsi="仿宋" w:eastAsia="仿宋"/>
          <w:b/>
          <w:bCs/>
          <w:color w:val="auto"/>
          <w:sz w:val="32"/>
          <w:szCs w:val="32"/>
          <w:lang w:eastAsia="zh-CN"/>
        </w:rPr>
        <w:t>二是</w:t>
      </w:r>
      <w:r>
        <w:rPr>
          <w:rFonts w:hint="eastAsia" w:ascii="仿宋" w:hAnsi="仿宋" w:eastAsia="仿宋"/>
          <w:color w:val="auto"/>
          <w:sz w:val="32"/>
          <w:szCs w:val="32"/>
        </w:rPr>
        <w:t>健全综合治理组织机构，落实领导责任制；加强法治培训，采取多形式、多层次、多渠道的方式进行宣传，提高法制意识；完善各项综合治理措施，确保各类问题妥善处置；加强综合执法力度，提高服务水平；加强社会管理和重点整治工作，增强安全意识。</w:t>
      </w:r>
    </w:p>
    <w:p w14:paraId="0ABF2009">
      <w:pPr>
        <w:pStyle w:val="4"/>
        <w:adjustRightInd w:val="0"/>
        <w:snapToGrid w:val="0"/>
        <w:spacing w:before="0" w:beforeAutospacing="0" w:after="0" w:afterAutospacing="0" w:line="360" w:lineRule="auto"/>
        <w:ind w:firstLine="793" w:firstLineChars="245"/>
        <w:jc w:val="both"/>
        <w:rPr>
          <w:rFonts w:hint="eastAsia" w:ascii="仿宋_GB2312" w:hAnsi="黑体" w:eastAsia="仿宋_GB2312"/>
          <w:bCs/>
          <w:sz w:val="32"/>
          <w:szCs w:val="32"/>
        </w:rPr>
      </w:pPr>
      <w:r>
        <w:rPr>
          <w:rFonts w:hint="eastAsia" w:ascii="仿宋" w:hAnsi="仿宋" w:eastAsia="仿宋"/>
          <w:b/>
          <w:color w:val="auto"/>
          <w:sz w:val="32"/>
          <w:szCs w:val="32"/>
          <w:lang w:eastAsia="zh-CN"/>
        </w:rPr>
        <w:t>（三）</w:t>
      </w:r>
      <w:r>
        <w:rPr>
          <w:rFonts w:hint="eastAsia" w:ascii="仿宋" w:hAnsi="仿宋" w:eastAsia="仿宋"/>
          <w:b/>
          <w:color w:val="auto"/>
          <w:sz w:val="32"/>
          <w:szCs w:val="32"/>
        </w:rPr>
        <w:t>文明创建工作</w:t>
      </w:r>
      <w:r>
        <w:rPr>
          <w:rFonts w:hint="eastAsia" w:ascii="仿宋" w:hAnsi="仿宋" w:eastAsia="仿宋"/>
          <w:b/>
          <w:color w:val="auto"/>
          <w:sz w:val="32"/>
          <w:szCs w:val="32"/>
          <w:lang w:eastAsia="zh-CN"/>
        </w:rPr>
        <w:t>。</w:t>
      </w:r>
      <w:r>
        <w:rPr>
          <w:rFonts w:hint="eastAsia" w:ascii="仿宋" w:hAnsi="仿宋" w:eastAsia="仿宋" w:cs="宋体"/>
          <w:color w:val="auto"/>
          <w:spacing w:val="8"/>
          <w:sz w:val="32"/>
          <w:szCs w:val="32"/>
          <w:shd w:val="clear" w:color="auto" w:fill="FFFFFF"/>
        </w:rPr>
        <w:t>制定创建实施方案，严格按照方案对照落实，深入贯彻学习习近平新时代中国特色社会主义思想，加强理想信念建设；大力培育和践行社会主义核心价值观，完善行业规范；开展移风易俗，倡导科学文明卫生的生活方式，破除陈规陋习；积极开展学雷锋志愿者活动，树立车站良好文明形象，提高群众满意度；加强环境整治，定期开展爱国卫生运动活动，做到内外环境干净整洁，实现净化、绿化、美化、亮化</w:t>
      </w:r>
      <w:r>
        <w:rPr>
          <w:rFonts w:hint="eastAsia" w:ascii="仿宋" w:hAnsi="仿宋" w:eastAsia="仿宋" w:cs="宋体"/>
          <w:color w:val="auto"/>
          <w:spacing w:val="8"/>
          <w:sz w:val="32"/>
          <w:szCs w:val="32"/>
          <w:shd w:val="clear" w:color="auto" w:fill="FFFFFF"/>
          <w:lang w:eastAsia="zh-CN"/>
        </w:rPr>
        <w:t>。</w:t>
      </w:r>
    </w:p>
    <w:p w14:paraId="0E532C2C">
      <w:pPr>
        <w:pStyle w:val="4"/>
        <w:topLinePunct/>
        <w:adjustRightInd w:val="0"/>
        <w:snapToGrid w:val="0"/>
        <w:spacing w:beforeAutospacing="0" w:afterAutospacing="0" w:line="580" w:lineRule="exact"/>
        <w:ind w:firstLine="648" w:firstLineChars="200"/>
        <w:jc w:val="both"/>
        <w:rPr>
          <w:rFonts w:hint="eastAsia" w:ascii="TimesNewRoman" w:hAnsi="TimesNewRoman" w:eastAsia="仿宋_GB2312" w:cs="TimesNewRoman"/>
          <w:bCs/>
          <w:sz w:val="32"/>
          <w:szCs w:val="32"/>
        </w:rPr>
        <w:sectPr>
          <w:footerReference r:id="rId3" w:type="default"/>
          <w:footerReference r:id="rId4" w:type="even"/>
          <w:pgSz w:w="11907" w:h="16840"/>
          <w:pgMar w:top="1803" w:right="1440" w:bottom="1803" w:left="1440" w:header="851" w:footer="1020" w:gutter="0"/>
          <w:cols w:space="720" w:num="1"/>
          <w:docGrid w:type="linesAndChars" w:linePitch="312" w:charSpace="1009"/>
        </w:sectPr>
      </w:pPr>
    </w:p>
    <w:p w14:paraId="25811F00">
      <w:pPr>
        <w:pStyle w:val="4"/>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2025</w:t>
      </w:r>
      <w:r>
        <w:rPr>
          <w:rFonts w:ascii="TimesNewRoman" w:hAnsi="TimesNewRoman" w:eastAsia="黑体" w:cs="TimesNewRoman"/>
          <w:bCs/>
          <w:sz w:val="36"/>
          <w:szCs w:val="36"/>
        </w:rPr>
        <w:t>年</w:t>
      </w:r>
      <w:r>
        <w:rPr>
          <w:rFonts w:hint="eastAsia" w:ascii="TimesNewRoman" w:hAnsi="TimesNewRoman" w:eastAsia="黑体" w:cs="TimesNewRoman"/>
          <w:bCs/>
          <w:sz w:val="36"/>
          <w:szCs w:val="36"/>
          <w:lang w:val="en-US" w:eastAsia="zh-CN"/>
        </w:rPr>
        <w:t>寿县高铁站综合管理服务中心</w:t>
      </w:r>
      <w:r>
        <w:rPr>
          <w:rFonts w:ascii="TimesNewRoman" w:hAnsi="TimesNewRoman" w:eastAsia="黑体" w:cs="TimesNewRoman"/>
          <w:bCs/>
          <w:sz w:val="36"/>
          <w:szCs w:val="36"/>
        </w:rPr>
        <w:t>预算情况说明</w:t>
      </w:r>
    </w:p>
    <w:p w14:paraId="17A7E5E3">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220F4321">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一、关于2025年收支总表的说明</w:t>
      </w:r>
    </w:p>
    <w:p w14:paraId="171AAD91">
      <w:pPr>
        <w:pStyle w:val="4"/>
        <w:adjustRightInd w:val="0"/>
        <w:snapToGrid w:val="0"/>
        <w:spacing w:before="0" w:beforeAutospacing="0" w:after="0" w:afterAutospacing="0" w:line="600" w:lineRule="exact"/>
        <w:ind w:firstLine="627" w:firstLineChars="196"/>
        <w:jc w:val="both"/>
        <w:rPr>
          <w:rFonts w:hint="eastAsia" w:ascii="仿宋_GB2312" w:hAnsi="仿宋" w:eastAsia="仿宋_GB2312"/>
          <w:color w:val="FF0000"/>
          <w:sz w:val="32"/>
          <w:szCs w:val="32"/>
          <w:lang w:eastAsia="zh-CN"/>
        </w:rPr>
      </w:pPr>
      <w:r>
        <w:rPr>
          <w:rFonts w:hint="eastAsia" w:ascii="仿宋_GB2312" w:hAnsi="仿宋" w:eastAsia="仿宋_GB2312"/>
          <w:sz w:val="32"/>
          <w:szCs w:val="32"/>
        </w:rPr>
        <w:t>按照综合预算的原则，</w:t>
      </w:r>
      <w:r>
        <w:rPr>
          <w:rFonts w:hint="eastAsia" w:ascii="仿宋_GB2312" w:hAnsi="仿宋" w:eastAsia="仿宋_GB2312"/>
          <w:sz w:val="32"/>
          <w:szCs w:val="32"/>
          <w:lang w:eastAsia="zh-CN"/>
        </w:rPr>
        <w:t>寿县高铁站综合管理服务中心</w:t>
      </w:r>
      <w:r>
        <w:rPr>
          <w:rFonts w:hint="eastAsia" w:ascii="仿宋_GB2312" w:hAnsi="仿宋" w:eastAsia="仿宋_GB2312"/>
          <w:sz w:val="32"/>
          <w:szCs w:val="32"/>
        </w:rPr>
        <w:t>所有收入和支出均纳入部门预算管理。</w:t>
      </w:r>
      <w:r>
        <w:rPr>
          <w:rFonts w:hint="eastAsia" w:ascii="仿宋_GB2312" w:hAnsi="仿宋" w:eastAsia="仿宋_GB2312"/>
          <w:sz w:val="32"/>
          <w:szCs w:val="32"/>
          <w:lang w:eastAsia="zh-CN"/>
        </w:rPr>
        <w:t>寿县高铁站综合管理服务中心202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年收支总预算</w:t>
      </w:r>
      <w:r>
        <w:rPr>
          <w:rFonts w:hint="eastAsia" w:ascii="仿宋_GB2312" w:hAnsi="仿宋" w:eastAsia="仿宋_GB2312"/>
          <w:sz w:val="32"/>
          <w:szCs w:val="32"/>
          <w:lang w:val="en-US" w:eastAsia="zh-CN"/>
        </w:rPr>
        <w:t>552.37</w:t>
      </w:r>
      <w:r>
        <w:rPr>
          <w:rFonts w:hint="eastAsia" w:ascii="仿宋_GB2312" w:hAnsi="仿宋" w:eastAsia="仿宋_GB2312"/>
          <w:sz w:val="32"/>
          <w:szCs w:val="32"/>
        </w:rPr>
        <w:t>万元，收入</w:t>
      </w:r>
      <w:r>
        <w:rPr>
          <w:rFonts w:hint="eastAsia" w:ascii="仿宋_GB2312" w:hAnsi="仿宋" w:eastAsia="仿宋_GB2312"/>
          <w:sz w:val="32"/>
          <w:szCs w:val="32"/>
          <w:lang w:eastAsia="zh-CN"/>
        </w:rPr>
        <w:t>全部是</w:t>
      </w:r>
      <w:r>
        <w:rPr>
          <w:rFonts w:hint="eastAsia" w:ascii="仿宋_GB2312" w:hAnsi="仿宋" w:eastAsia="仿宋_GB2312"/>
          <w:sz w:val="32"/>
          <w:szCs w:val="32"/>
        </w:rPr>
        <w:t>一般公共预算拨款收入，支出包括：一般公共服务、社会保障和就业支出、</w:t>
      </w:r>
      <w:r>
        <w:rPr>
          <w:rFonts w:hint="eastAsia" w:ascii="仿宋_GB2312" w:hAnsi="仿宋" w:eastAsia="仿宋_GB2312"/>
          <w:sz w:val="32"/>
          <w:szCs w:val="32"/>
          <w:lang w:val="en-US" w:eastAsia="zh-CN"/>
        </w:rPr>
        <w:t>卫生和健康支出</w:t>
      </w:r>
      <w:r>
        <w:rPr>
          <w:rFonts w:hint="eastAsia" w:ascii="仿宋_GB2312" w:hAnsi="仿宋" w:eastAsia="仿宋_GB2312"/>
          <w:sz w:val="32"/>
          <w:szCs w:val="32"/>
          <w:lang w:eastAsia="zh-CN"/>
        </w:rPr>
        <w:t>、</w:t>
      </w:r>
      <w:r>
        <w:rPr>
          <w:rFonts w:hint="eastAsia" w:ascii="仿宋_GB2312" w:hAnsi="仿宋" w:eastAsia="仿宋_GB2312"/>
          <w:sz w:val="32"/>
          <w:szCs w:val="32"/>
        </w:rPr>
        <w:t>住房保障支出</w:t>
      </w:r>
      <w:r>
        <w:rPr>
          <w:rFonts w:hint="eastAsia" w:ascii="仿宋_GB2312" w:hAnsi="仿宋" w:eastAsia="仿宋_GB2312"/>
          <w:sz w:val="32"/>
          <w:szCs w:val="32"/>
          <w:lang w:eastAsia="zh-CN"/>
        </w:rPr>
        <w:t>。</w:t>
      </w:r>
    </w:p>
    <w:p w14:paraId="7D50314B">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14:paraId="0A2D338F">
      <w:pPr>
        <w:adjustRightInd w:val="0"/>
        <w:snapToGrid w:val="0"/>
        <w:spacing w:line="6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cs="宋体"/>
          <w:kern w:val="0"/>
          <w:sz w:val="32"/>
          <w:szCs w:val="32"/>
          <w:lang w:eastAsia="zh-CN"/>
        </w:rPr>
        <w:t>寿县</w:t>
      </w:r>
      <w:r>
        <w:rPr>
          <w:rFonts w:hint="eastAsia" w:ascii="仿宋_GB2312" w:hAnsi="仿宋" w:eastAsia="仿宋_GB2312"/>
          <w:sz w:val="32"/>
          <w:szCs w:val="32"/>
          <w:lang w:eastAsia="zh-CN"/>
        </w:rPr>
        <w:t>高铁站综合管理服务中心202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552</w:t>
      </w:r>
    </w:p>
    <w:p w14:paraId="50FC75F7">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37</w:t>
      </w:r>
      <w:r>
        <w:rPr>
          <w:rFonts w:hint="eastAsia" w:ascii="仿宋_GB2312" w:hAnsi="仿宋" w:eastAsia="仿宋_GB2312"/>
          <w:sz w:val="32"/>
          <w:szCs w:val="32"/>
        </w:rPr>
        <w:t>万元，其中，本年收入</w:t>
      </w:r>
      <w:r>
        <w:rPr>
          <w:rFonts w:hint="eastAsia" w:ascii="仿宋_GB2312" w:hAnsi="仿宋" w:eastAsia="仿宋_GB2312"/>
          <w:sz w:val="32"/>
          <w:szCs w:val="32"/>
          <w:lang w:val="en-US" w:eastAsia="zh-CN"/>
        </w:rPr>
        <w:t>552.37</w:t>
      </w:r>
      <w:r>
        <w:rPr>
          <w:rFonts w:hint="eastAsia" w:ascii="仿宋_GB2312" w:hAnsi="仿宋" w:eastAsia="仿宋_GB2312"/>
          <w:sz w:val="32"/>
          <w:szCs w:val="32"/>
        </w:rPr>
        <w:t>万元，上年结转结余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6305F5D">
      <w:pPr>
        <w:numPr>
          <w:ilvl w:val="0"/>
          <w:numId w:val="1"/>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仿宋" w:eastAsia="仿宋_GB2312"/>
          <w:sz w:val="32"/>
          <w:szCs w:val="32"/>
        </w:rPr>
        <w:t>收入全部为一般公共预算拨款收入</w:t>
      </w:r>
      <w:r>
        <w:rPr>
          <w:rFonts w:hint="eastAsia" w:ascii="仿宋_GB2312" w:hAnsi="仿宋" w:eastAsia="仿宋_GB2312"/>
          <w:sz w:val="32"/>
          <w:szCs w:val="32"/>
          <w:lang w:eastAsia="zh-CN"/>
        </w:rPr>
        <w:t>，</w:t>
      </w:r>
      <w:r>
        <w:rPr>
          <w:rFonts w:hint="eastAsia" w:ascii="仿宋_GB2312" w:hAnsi="仿宋" w:eastAsia="仿宋_GB2312"/>
          <w:sz w:val="32"/>
          <w:szCs w:val="32"/>
        </w:rPr>
        <w:t>比</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489.92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784.49</w:t>
      </w:r>
      <w:r>
        <w:rPr>
          <w:rFonts w:hint="eastAsia" w:ascii="仿宋_GB2312" w:hAnsi="仿宋" w:eastAsia="仿宋_GB2312"/>
          <w:sz w:val="32"/>
          <w:szCs w:val="32"/>
        </w:rPr>
        <w:t>%，增长原因主要是</w:t>
      </w:r>
      <w:r>
        <w:rPr>
          <w:rFonts w:hint="eastAsia" w:ascii="仿宋_GB2312" w:hAnsi="仿宋" w:eastAsia="仿宋_GB2312"/>
          <w:sz w:val="32"/>
          <w:szCs w:val="32"/>
          <w:lang w:val="en-US" w:eastAsia="zh-CN"/>
        </w:rPr>
        <w:t>2025年物业管理服务项目和运营经费项目都纳入部门预算。</w:t>
      </w:r>
    </w:p>
    <w:p w14:paraId="299CBABE">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14:paraId="3E544171">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年支出预算</w:t>
      </w:r>
      <w:r>
        <w:rPr>
          <w:rFonts w:hint="eastAsia" w:ascii="仿宋_GB2312" w:hAnsi="TimesNewRoman" w:eastAsia="仿宋_GB2312" w:cs="TimesNewRoman"/>
          <w:sz w:val="32"/>
          <w:szCs w:val="32"/>
          <w:lang w:val="en-US" w:eastAsia="zh-CN"/>
        </w:rPr>
        <w:t>552</w:t>
      </w:r>
    </w:p>
    <w:p w14:paraId="709678D4">
      <w:pPr>
        <w:topLinePunct/>
        <w:adjustRightInd w:val="0"/>
        <w:snapToGrid w:val="0"/>
        <w:spacing w:line="58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lang w:val="en-US" w:eastAsia="zh-CN"/>
        </w:rPr>
        <w:t>37</w:t>
      </w:r>
      <w:r>
        <w:rPr>
          <w:rFonts w:hint="eastAsia" w:ascii="仿宋_GB2312" w:hAnsi="TimesNewRoman" w:eastAsia="仿宋_GB2312" w:cs="TimesNewRoman"/>
          <w:sz w:val="32"/>
          <w:szCs w:val="32"/>
        </w:rPr>
        <w:t>万元，比20</w:t>
      </w:r>
      <w:r>
        <w:rPr>
          <w:rFonts w:hint="eastAsia" w:ascii="仿宋_GB2312" w:hAnsi="TimesNewRoman" w:eastAsia="仿宋_GB2312" w:cs="TimesNewRoman"/>
          <w:sz w:val="32"/>
          <w:szCs w:val="32"/>
          <w:lang w:val="en-US" w:eastAsia="zh-CN"/>
        </w:rPr>
        <w:t>24</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增加489.92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增加784.49</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原因主要是</w:t>
      </w:r>
      <w:r>
        <w:rPr>
          <w:rFonts w:hint="eastAsia" w:ascii="仿宋_GB2312" w:hAnsi="仿宋" w:eastAsia="仿宋_GB2312"/>
          <w:sz w:val="32"/>
          <w:szCs w:val="32"/>
          <w:lang w:val="en-US" w:eastAsia="zh-CN"/>
        </w:rPr>
        <w:t>2025年物业管理服务项目和运营经费项目都纳入部门预算</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66.03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11.95</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保障人员经费正常发放等，项目支出486.34万元，占88.05%，主要用于</w:t>
      </w:r>
      <w:r>
        <w:rPr>
          <w:rFonts w:hint="eastAsia" w:ascii="仿宋_GB2312" w:hAnsi="TimesNewRoman" w:eastAsia="仿宋_GB2312" w:cs="TimesNewRoman"/>
          <w:sz w:val="32"/>
          <w:szCs w:val="32"/>
        </w:rPr>
        <w:t>保障机构日常运转、完成日常工作任务</w:t>
      </w:r>
      <w:r>
        <w:rPr>
          <w:rFonts w:hint="eastAsia" w:ascii="仿宋_GB2312" w:hAnsi="TimesNewRoman" w:eastAsia="仿宋_GB2312" w:cs="TimesNewRoman"/>
          <w:sz w:val="32"/>
          <w:szCs w:val="32"/>
          <w:lang w:eastAsia="zh-CN"/>
        </w:rPr>
        <w:t>。</w:t>
      </w:r>
    </w:p>
    <w:p w14:paraId="364DE094">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14:paraId="16957A91">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高铁站综合管理服务中心</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年财政拨款收支预算</w:t>
      </w:r>
      <w:r>
        <w:rPr>
          <w:rFonts w:hint="eastAsia" w:ascii="仿宋_GB2312" w:hAnsi="TimesNewRoman" w:eastAsia="仿宋_GB2312" w:cs="TimesNewRoman"/>
          <w:sz w:val="32"/>
          <w:szCs w:val="32"/>
          <w:lang w:val="en-US" w:eastAsia="zh-CN"/>
        </w:rPr>
        <w:t>552.37</w:t>
      </w:r>
      <w:r>
        <w:rPr>
          <w:rFonts w:hint="eastAsia" w:ascii="仿宋_GB2312" w:hAnsi="TimesNewRoman" w:eastAsia="仿宋_GB2312" w:cs="TimesNewRoman"/>
          <w:sz w:val="32"/>
          <w:szCs w:val="32"/>
        </w:rPr>
        <w:t>万元。收入按资金来源分为：一般公共预算拨款</w:t>
      </w:r>
      <w:r>
        <w:rPr>
          <w:rFonts w:hint="eastAsia" w:ascii="仿宋_GB2312" w:hAnsi="TimesNewRoman" w:eastAsia="仿宋_GB2312" w:cs="TimesNewRoman"/>
          <w:sz w:val="32"/>
          <w:szCs w:val="32"/>
          <w:lang w:val="en-US" w:eastAsia="zh-CN"/>
        </w:rPr>
        <w:t>552.37万</w:t>
      </w:r>
      <w:r>
        <w:rPr>
          <w:rFonts w:hint="eastAsia" w:ascii="仿宋_GB2312" w:hAnsi="TimesNewRoman" w:eastAsia="仿宋_GB2312" w:cs="TimesNewRoman"/>
          <w:sz w:val="32"/>
          <w:szCs w:val="32"/>
        </w:rPr>
        <w:t>元；按资金年度分为：本年财政拨款收入</w:t>
      </w:r>
      <w:r>
        <w:rPr>
          <w:rFonts w:hint="eastAsia" w:ascii="仿宋_GB2312" w:hAnsi="TimesNewRoman" w:eastAsia="仿宋_GB2312" w:cs="TimesNewRoman"/>
          <w:sz w:val="32"/>
          <w:szCs w:val="32"/>
          <w:lang w:val="en-US" w:eastAsia="zh-CN"/>
        </w:rPr>
        <w:t>552.37</w:t>
      </w:r>
      <w:r>
        <w:rPr>
          <w:rFonts w:hint="eastAsia" w:ascii="仿宋_GB2312" w:hAnsi="TimesNewRoman" w:eastAsia="仿宋_GB2312" w:cs="TimesNewRoman"/>
          <w:sz w:val="32"/>
          <w:szCs w:val="32"/>
        </w:rPr>
        <w:t>万元。支出按功能分类分为：一般公共服务支出</w:t>
      </w:r>
      <w:r>
        <w:rPr>
          <w:rFonts w:hint="eastAsia" w:ascii="仿宋_GB2312" w:hAnsi="TimesNewRoman" w:eastAsia="仿宋_GB2312" w:cs="TimesNewRoman"/>
          <w:sz w:val="32"/>
          <w:szCs w:val="32"/>
          <w:lang w:val="en-US" w:eastAsia="zh-CN"/>
        </w:rPr>
        <w:t>490.14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88.73</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54.92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9.94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2.19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0.39</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5.13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0.93</w:t>
      </w:r>
      <w:r>
        <w:rPr>
          <w:rFonts w:hint="eastAsia" w:ascii="仿宋_GB2312" w:hAnsi="TimesNewRoman" w:eastAsia="仿宋_GB2312" w:cs="TimesNewRoman"/>
          <w:sz w:val="32"/>
          <w:szCs w:val="32"/>
        </w:rPr>
        <w:t>%。</w:t>
      </w:r>
    </w:p>
    <w:p w14:paraId="6F9572C9">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14:paraId="1FA3D035">
      <w:pPr>
        <w:pStyle w:val="4"/>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1EA6D051">
      <w:pPr>
        <w:pStyle w:val="4"/>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2025年一般公共预算支出</w:t>
      </w:r>
      <w:r>
        <w:rPr>
          <w:rFonts w:hint="eastAsia" w:ascii="仿宋_GB2312" w:hAnsi="TimesNewRoman" w:eastAsia="仿宋_GB2312" w:cs="TimesNewRoman"/>
          <w:sz w:val="32"/>
          <w:szCs w:val="32"/>
          <w:lang w:val="en-US" w:eastAsia="zh-CN"/>
        </w:rPr>
        <w:t>552.37</w:t>
      </w:r>
      <w:r>
        <w:rPr>
          <w:rFonts w:hint="eastAsia" w:ascii="仿宋_GB2312" w:hAnsi="TimesNewRoman" w:eastAsia="仿宋_GB2312" w:cs="TimesNewRoman"/>
          <w:sz w:val="32"/>
          <w:szCs w:val="32"/>
        </w:rPr>
        <w:t>万元，</w:t>
      </w:r>
      <w:r>
        <w:rPr>
          <w:rFonts w:hint="eastAsia" w:ascii="仿宋_GB2312" w:hAnsi="仿宋" w:eastAsia="仿宋_GB2312"/>
          <w:sz w:val="32"/>
          <w:szCs w:val="32"/>
        </w:rPr>
        <w:t>比</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489.92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784.49</w:t>
      </w:r>
      <w:r>
        <w:rPr>
          <w:rFonts w:hint="eastAsia" w:ascii="仿宋_GB2312" w:hAnsi="仿宋" w:eastAsia="仿宋_GB2312"/>
          <w:sz w:val="32"/>
          <w:szCs w:val="32"/>
        </w:rPr>
        <w:t>%，增长原因主要是</w:t>
      </w:r>
      <w:r>
        <w:rPr>
          <w:rFonts w:hint="eastAsia" w:ascii="仿宋_GB2312" w:hAnsi="仿宋" w:eastAsia="仿宋_GB2312"/>
          <w:sz w:val="32"/>
          <w:szCs w:val="32"/>
          <w:lang w:val="en-US" w:eastAsia="zh-CN"/>
        </w:rPr>
        <w:t>2025年物业管理服务项目和运营经费项目都纳入部门预算。</w:t>
      </w:r>
    </w:p>
    <w:p w14:paraId="39A790A6">
      <w:pPr>
        <w:pStyle w:val="4"/>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6BD2D10E">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一般公共服务支出</w:t>
      </w:r>
      <w:r>
        <w:rPr>
          <w:rFonts w:hint="eastAsia" w:ascii="仿宋_GB2312" w:hAnsi="TimesNewRoman" w:eastAsia="仿宋_GB2312" w:cs="TimesNewRoman"/>
          <w:sz w:val="32"/>
          <w:szCs w:val="32"/>
          <w:lang w:val="en-US" w:eastAsia="zh-CN"/>
        </w:rPr>
        <w:t>490.14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88.73</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54.92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9.94</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2.19</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0.39</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5.13</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0.93</w:t>
      </w:r>
      <w:r>
        <w:rPr>
          <w:rFonts w:hint="eastAsia" w:ascii="仿宋_GB2312" w:hAnsi="TimesNewRoman" w:eastAsia="仿宋_GB2312" w:cs="TimesNewRoman"/>
          <w:sz w:val="32"/>
          <w:szCs w:val="32"/>
        </w:rPr>
        <w:t>%。</w:t>
      </w:r>
    </w:p>
    <w:p w14:paraId="2ED4F21B">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1AEE9E54">
      <w:pPr>
        <w:numPr>
          <w:ilvl w:val="0"/>
          <w:numId w:val="0"/>
        </w:numPr>
        <w:adjustRightInd w:val="0"/>
        <w:snapToGrid w:val="0"/>
        <w:spacing w:line="600" w:lineRule="exact"/>
        <w:ind w:firstLine="643" w:firstLineChars="200"/>
        <w:rPr>
          <w:rFonts w:hint="eastAsia" w:ascii="仿宋_GB2312" w:hAnsi="仿宋" w:eastAsia="仿宋_GB2312"/>
          <w:sz w:val="32"/>
          <w:szCs w:val="32"/>
          <w:lang w:eastAsia="zh-CN"/>
        </w:rPr>
      </w:pPr>
      <w:r>
        <w:rPr>
          <w:rFonts w:hint="eastAsia" w:ascii="仿宋_GB2312" w:hAnsi="仿宋" w:eastAsia="仿宋_GB2312"/>
          <w:b/>
          <w:sz w:val="32"/>
          <w:szCs w:val="32"/>
          <w:lang w:val="en-US" w:eastAsia="zh-CN"/>
        </w:rPr>
        <w:t>1、</w:t>
      </w:r>
      <w:r>
        <w:rPr>
          <w:rFonts w:hint="eastAsia" w:ascii="仿宋_GB2312" w:hAnsi="仿宋" w:eastAsia="仿宋_GB2312"/>
          <w:b/>
          <w:sz w:val="32"/>
          <w:szCs w:val="32"/>
        </w:rPr>
        <w:t>社会保障和就业支出（类）行政事业单位养老支出（款）　其他社会保障和就业支出（项）</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54.92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增加3.13</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原因主要是</w:t>
      </w:r>
      <w:r>
        <w:rPr>
          <w:rFonts w:hint="eastAsia" w:ascii="仿宋_GB2312" w:hAnsi="仿宋" w:eastAsia="仿宋_GB2312"/>
          <w:sz w:val="32"/>
          <w:szCs w:val="32"/>
          <w:lang w:val="en-US" w:eastAsia="zh-CN"/>
        </w:rPr>
        <w:t>人员调动及工资调整</w:t>
      </w:r>
      <w:r>
        <w:rPr>
          <w:rFonts w:hint="eastAsia" w:ascii="仿宋_GB2312" w:hAnsi="仿宋" w:eastAsia="仿宋_GB2312"/>
          <w:sz w:val="32"/>
          <w:szCs w:val="32"/>
          <w:lang w:eastAsia="zh-CN"/>
        </w:rPr>
        <w:t>。</w:t>
      </w:r>
    </w:p>
    <w:p w14:paraId="4D604F4D">
      <w:pPr>
        <w:numPr>
          <w:ilvl w:val="0"/>
          <w:numId w:val="0"/>
        </w:numPr>
        <w:adjustRightInd w:val="0"/>
        <w:snapToGrid w:val="0"/>
        <w:spacing w:line="600" w:lineRule="exact"/>
        <w:ind w:firstLine="643" w:firstLineChars="200"/>
        <w:rPr>
          <w:rFonts w:hint="eastAsia" w:ascii="仿宋_GB2312" w:hAnsi="TimesNewRoman" w:eastAsia="仿宋_GB2312" w:cs="TimesNewRoman"/>
          <w:sz w:val="32"/>
          <w:szCs w:val="32"/>
        </w:rPr>
      </w:pPr>
      <w:r>
        <w:rPr>
          <w:rFonts w:hint="eastAsia" w:ascii="仿宋_GB2312" w:hAnsi="仿宋" w:eastAsia="仿宋_GB2312"/>
          <w:b/>
          <w:sz w:val="32"/>
          <w:szCs w:val="32"/>
          <w:lang w:val="en-US" w:eastAsia="zh-CN"/>
        </w:rPr>
        <w:t>2、</w:t>
      </w:r>
      <w:r>
        <w:rPr>
          <w:rFonts w:hint="eastAsia" w:ascii="仿宋_GB2312" w:hAnsi="仿宋" w:eastAsia="仿宋_GB2312"/>
          <w:b/>
          <w:sz w:val="32"/>
          <w:szCs w:val="32"/>
        </w:rPr>
        <w:t>住房保障支出（类）住房改革支出（款）住房公积金（项）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5.13</w:t>
      </w:r>
      <w:r>
        <w:rPr>
          <w:rFonts w:hint="eastAsia" w:ascii="仿宋_GB2312" w:hAnsi="仿宋" w:eastAsia="仿宋_GB2312"/>
          <w:sz w:val="32"/>
          <w:szCs w:val="32"/>
        </w:rPr>
        <w:t>万元，比</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增加0.33</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原因主要是</w:t>
      </w:r>
      <w:r>
        <w:rPr>
          <w:rFonts w:hint="eastAsia" w:ascii="仿宋_GB2312" w:hAnsi="仿宋" w:eastAsia="仿宋_GB2312"/>
          <w:sz w:val="32"/>
          <w:szCs w:val="32"/>
          <w:lang w:val="en-US" w:eastAsia="zh-CN"/>
        </w:rPr>
        <w:t>人员调动及工资调整</w:t>
      </w:r>
      <w:r>
        <w:rPr>
          <w:rFonts w:hint="eastAsia" w:ascii="仿宋_GB2312" w:hAnsi="仿宋" w:eastAsia="仿宋_GB2312"/>
          <w:sz w:val="32"/>
          <w:szCs w:val="32"/>
          <w:lang w:eastAsia="zh-CN"/>
        </w:rPr>
        <w:t>。</w:t>
      </w:r>
    </w:p>
    <w:p w14:paraId="5090B1DE">
      <w:pPr>
        <w:topLinePunct/>
        <w:adjustRightInd w:val="0"/>
        <w:snapToGrid w:val="0"/>
        <w:spacing w:line="580" w:lineRule="exact"/>
        <w:ind w:firstLine="643" w:firstLineChars="200"/>
        <w:rPr>
          <w:rFonts w:hint="eastAsia" w:ascii="仿宋_GB2312" w:hAnsi="仿宋" w:eastAsia="仿宋_GB2312"/>
          <w:sz w:val="32"/>
          <w:szCs w:val="32"/>
        </w:rPr>
      </w:pPr>
      <w:r>
        <w:rPr>
          <w:rFonts w:hint="eastAsia" w:ascii="仿宋_GB2312" w:hAnsi="仿宋" w:eastAsia="仿宋_GB2312"/>
          <w:b/>
          <w:sz w:val="32"/>
          <w:szCs w:val="32"/>
        </w:rPr>
        <w:t>一般公共服务支出（类）</w:t>
      </w:r>
      <w:r>
        <w:rPr>
          <w:rFonts w:hint="eastAsia" w:ascii="仿宋_GB2312" w:hAnsi="仿宋" w:eastAsia="仿宋_GB2312"/>
          <w:b/>
          <w:sz w:val="32"/>
          <w:szCs w:val="32"/>
          <w:lang w:val="en-US" w:eastAsia="zh-CN"/>
        </w:rPr>
        <w:t>其他</w:t>
      </w:r>
      <w:r>
        <w:rPr>
          <w:rFonts w:hint="eastAsia" w:ascii="仿宋_GB2312" w:hAnsi="仿宋" w:eastAsia="仿宋_GB2312"/>
          <w:b/>
          <w:sz w:val="32"/>
          <w:szCs w:val="32"/>
        </w:rPr>
        <w:t>一般公共服务支出（款）</w:t>
      </w:r>
      <w:r>
        <w:rPr>
          <w:rFonts w:hint="eastAsia" w:ascii="仿宋_GB2312" w:hAnsi="仿宋" w:eastAsia="仿宋_GB2312"/>
          <w:b/>
          <w:sz w:val="32"/>
          <w:szCs w:val="32"/>
          <w:lang w:val="en-US" w:eastAsia="zh-CN"/>
        </w:rPr>
        <w:t>其他</w:t>
      </w:r>
      <w:r>
        <w:rPr>
          <w:rFonts w:hint="eastAsia" w:ascii="仿宋_GB2312" w:hAnsi="仿宋" w:eastAsia="仿宋_GB2312"/>
          <w:b/>
          <w:sz w:val="32"/>
          <w:szCs w:val="32"/>
        </w:rPr>
        <w:t>一般公共服务支出（项）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490.14</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增加405.34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原因主要是</w:t>
      </w:r>
      <w:r>
        <w:rPr>
          <w:rFonts w:hint="eastAsia" w:ascii="仿宋_GB2312" w:hAnsi="仿宋" w:eastAsia="仿宋_GB2312"/>
          <w:sz w:val="32"/>
          <w:szCs w:val="32"/>
          <w:lang w:val="en-US" w:eastAsia="zh-CN"/>
        </w:rPr>
        <w:t>2025年物业管理服务项目和运营经费项目都纳入部门预算。</w:t>
      </w:r>
    </w:p>
    <w:p w14:paraId="5E3F570D">
      <w:p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4.</w:t>
      </w:r>
      <w:r>
        <w:rPr>
          <w:rFonts w:hint="eastAsia" w:ascii="仿宋_GB2312" w:hAnsi="TimesNewRoman" w:eastAsia="仿宋_GB2312" w:cs="TimesNewRoman"/>
          <w:b/>
          <w:sz w:val="32"/>
          <w:szCs w:val="32"/>
          <w:lang w:val="en-US" w:eastAsia="zh-CN"/>
        </w:rPr>
        <w:t>卫生健康支出</w:t>
      </w:r>
      <w:r>
        <w:rPr>
          <w:rFonts w:hint="eastAsia" w:ascii="仿宋_GB2312" w:hAnsi="TimesNewRoman" w:eastAsia="仿宋_GB2312" w:cs="TimesNewRoman"/>
          <w:b/>
          <w:sz w:val="32"/>
          <w:szCs w:val="32"/>
        </w:rPr>
        <w:t>（类）行政事业单位医疗（款）</w:t>
      </w:r>
      <w:r>
        <w:rPr>
          <w:rFonts w:hint="eastAsia" w:ascii="仿宋_GB2312" w:hAnsi="TimesNewRoman" w:eastAsia="仿宋_GB2312" w:cs="TimesNewRoman"/>
          <w:b/>
          <w:sz w:val="32"/>
          <w:szCs w:val="32"/>
          <w:lang w:val="en-US" w:eastAsia="zh-CN"/>
        </w:rPr>
        <w:t>事业单位医疗</w:t>
      </w:r>
      <w:r>
        <w:rPr>
          <w:rFonts w:hint="eastAsia" w:ascii="仿宋_GB2312" w:hAnsi="TimesNewRoman" w:eastAsia="仿宋_GB2312" w:cs="TimesNewRoman"/>
          <w:b/>
          <w:sz w:val="32"/>
          <w:szCs w:val="32"/>
        </w:rPr>
        <w:t>（项）</w:t>
      </w:r>
      <w:r>
        <w:rPr>
          <w:rFonts w:hint="eastAsia" w:ascii="仿宋_GB2312" w:hAnsi="TimesNewRoman" w:eastAsia="仿宋_GB2312" w:cs="TimesNewRoman"/>
          <w:sz w:val="32"/>
          <w:szCs w:val="32"/>
        </w:rPr>
        <w:t>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2.19</w:t>
      </w:r>
      <w:r>
        <w:rPr>
          <w:rFonts w:hint="eastAsia" w:ascii="仿宋_GB2312" w:hAnsi="TimesNewRoman" w:eastAsia="仿宋_GB2312" w:cs="TimesNewRoman"/>
          <w:sz w:val="32"/>
          <w:szCs w:val="32"/>
        </w:rPr>
        <w:t>万元，比202</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增加0.13</w:t>
      </w:r>
      <w:r>
        <w:rPr>
          <w:rFonts w:hint="eastAsia" w:ascii="仿宋_GB2312" w:hAnsi="TimesNewRoman" w:eastAsia="仿宋_GB2312" w:cs="TimesNewRoman"/>
          <w:sz w:val="32"/>
          <w:szCs w:val="32"/>
        </w:rPr>
        <w:t>万元，</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原因主要是</w:t>
      </w:r>
      <w:r>
        <w:rPr>
          <w:rFonts w:hint="eastAsia" w:ascii="仿宋_GB2312" w:hAnsi="仿宋" w:eastAsia="仿宋_GB2312"/>
          <w:sz w:val="32"/>
          <w:szCs w:val="32"/>
          <w:lang w:val="en-US" w:eastAsia="zh-CN"/>
        </w:rPr>
        <w:t>人员调动及工资调整</w:t>
      </w:r>
      <w:r>
        <w:rPr>
          <w:rFonts w:hint="eastAsia" w:ascii="仿宋_GB2312" w:hAnsi="仿宋" w:eastAsia="仿宋_GB2312"/>
          <w:sz w:val="32"/>
          <w:szCs w:val="32"/>
          <w:lang w:eastAsia="zh-CN"/>
        </w:rPr>
        <w:t>。</w:t>
      </w:r>
    </w:p>
    <w:p w14:paraId="437C009C">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14:paraId="20387B76">
      <w:pPr>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寿县高铁站综合管理服务中心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年一般公共预算基本支出</w:t>
      </w:r>
      <w:r>
        <w:rPr>
          <w:rFonts w:hint="eastAsia" w:ascii="仿宋_GB2312" w:hAnsi="仿宋" w:eastAsia="仿宋_GB2312"/>
          <w:sz w:val="32"/>
          <w:szCs w:val="32"/>
          <w:lang w:val="en-US" w:eastAsia="zh-CN"/>
        </w:rPr>
        <w:t>66.03</w:t>
      </w:r>
      <w:r>
        <w:rPr>
          <w:rFonts w:hint="eastAsia" w:ascii="仿宋_GB2312" w:hAnsi="仿宋" w:eastAsia="仿宋_GB2312"/>
          <w:sz w:val="32"/>
          <w:szCs w:val="32"/>
        </w:rPr>
        <w:t>万元，其中，人员经费</w:t>
      </w:r>
      <w:r>
        <w:rPr>
          <w:rFonts w:hint="eastAsia" w:ascii="仿宋_GB2312" w:hAnsi="仿宋" w:eastAsia="仿宋_GB2312"/>
          <w:sz w:val="32"/>
          <w:szCs w:val="32"/>
          <w:lang w:val="en-US" w:eastAsia="zh-CN"/>
        </w:rPr>
        <w:t>60.51</w:t>
      </w:r>
      <w:r>
        <w:rPr>
          <w:rFonts w:hint="eastAsia" w:ascii="仿宋_GB2312" w:hAnsi="仿宋" w:eastAsia="仿宋_GB2312"/>
          <w:sz w:val="32"/>
          <w:szCs w:val="32"/>
        </w:rPr>
        <w:t>万元，公用经费</w:t>
      </w:r>
      <w:r>
        <w:rPr>
          <w:rFonts w:hint="eastAsia" w:ascii="仿宋_GB2312" w:hAnsi="仿宋" w:eastAsia="仿宋_GB2312"/>
          <w:sz w:val="32"/>
          <w:szCs w:val="32"/>
          <w:lang w:val="en-US" w:eastAsia="zh-CN"/>
        </w:rPr>
        <w:t>5.52</w:t>
      </w:r>
      <w:r>
        <w:rPr>
          <w:rFonts w:hint="eastAsia" w:ascii="仿宋_GB2312" w:hAnsi="仿宋" w:eastAsia="仿宋_GB2312"/>
          <w:sz w:val="32"/>
          <w:szCs w:val="32"/>
        </w:rPr>
        <w:t>万元。</w:t>
      </w:r>
    </w:p>
    <w:p w14:paraId="385BBD18">
      <w:pPr>
        <w:ind w:firstLine="640" w:firstLineChars="200"/>
        <w:rPr>
          <w:rFonts w:hint="eastAsia" w:ascii="仿宋_GB2312" w:hAnsi="仿宋" w:eastAsia="仿宋_GB2312"/>
          <w:sz w:val="32"/>
          <w:szCs w:val="32"/>
          <w:u w:val="none"/>
          <w:lang w:eastAsia="zh-CN"/>
        </w:rPr>
      </w:pPr>
      <w:r>
        <w:rPr>
          <w:rFonts w:hint="eastAsia" w:ascii="仿宋_GB2312" w:hAnsi="仿宋" w:eastAsia="仿宋_GB2312"/>
          <w:sz w:val="32"/>
          <w:szCs w:val="32"/>
          <w:u w:val="none"/>
        </w:rPr>
        <w:t>（一）人员经费</w:t>
      </w:r>
      <w:r>
        <w:rPr>
          <w:rFonts w:hint="eastAsia" w:ascii="仿宋_GB2312" w:hAnsi="仿宋" w:eastAsia="仿宋_GB2312"/>
          <w:sz w:val="32"/>
          <w:szCs w:val="32"/>
          <w:u w:val="none"/>
          <w:lang w:val="en-US" w:eastAsia="zh-CN"/>
        </w:rPr>
        <w:t>60.51</w:t>
      </w:r>
      <w:r>
        <w:rPr>
          <w:rFonts w:hint="eastAsia" w:ascii="仿宋_GB2312" w:hAnsi="仿宋" w:eastAsia="仿宋_GB2312"/>
          <w:sz w:val="32"/>
          <w:szCs w:val="32"/>
          <w:u w:val="none"/>
        </w:rPr>
        <w:t>万元，主要包括:基本工资、</w:t>
      </w:r>
      <w:r>
        <w:rPr>
          <w:rFonts w:hint="eastAsia" w:ascii="仿宋_GB2312" w:hAnsi="仿宋" w:eastAsia="仿宋_GB2312"/>
          <w:sz w:val="32"/>
          <w:szCs w:val="32"/>
          <w:u w:val="none"/>
          <w:lang w:val="en-US" w:eastAsia="zh-CN"/>
        </w:rPr>
        <w:t>奖金、</w:t>
      </w:r>
      <w:r>
        <w:rPr>
          <w:rFonts w:hint="eastAsia" w:ascii="仿宋_GB2312" w:hAnsi="仿宋" w:eastAsia="仿宋_GB2312"/>
          <w:sz w:val="32"/>
          <w:szCs w:val="32"/>
          <w:u w:val="none"/>
        </w:rPr>
        <w:t>绩效工资、机关事业单位基本养老保险费、职业年金缴费、职工基本医疗保险缴费、其他社会保障缴费、住房公积金</w:t>
      </w:r>
      <w:r>
        <w:rPr>
          <w:rFonts w:hint="eastAsia" w:ascii="仿宋_GB2312" w:hAnsi="仿宋" w:eastAsia="仿宋_GB2312"/>
          <w:sz w:val="32"/>
          <w:szCs w:val="32"/>
          <w:u w:val="none"/>
          <w:lang w:eastAsia="zh-CN"/>
        </w:rPr>
        <w:t>，工会经费。</w:t>
      </w:r>
    </w:p>
    <w:p w14:paraId="33F904BA">
      <w:pPr>
        <w:ind w:firstLine="640" w:firstLineChars="200"/>
        <w:rPr>
          <w:rFonts w:hint="default" w:ascii="仿宋_GB2312" w:hAnsi="TimesNewRoman" w:eastAsia="仿宋_GB2312" w:cs="TimesNewRoman"/>
          <w:sz w:val="32"/>
          <w:szCs w:val="32"/>
          <w:lang w:val="en-US"/>
        </w:rPr>
      </w:pPr>
      <w:r>
        <w:rPr>
          <w:rFonts w:hint="eastAsia" w:ascii="仿宋_GB2312" w:hAnsi="仿宋" w:eastAsia="仿宋_GB2312"/>
          <w:sz w:val="32"/>
          <w:szCs w:val="32"/>
          <w:u w:val="none"/>
        </w:rPr>
        <w:t>（二）公用经费</w:t>
      </w:r>
      <w:r>
        <w:rPr>
          <w:rFonts w:hint="eastAsia" w:ascii="仿宋_GB2312" w:hAnsi="仿宋" w:eastAsia="仿宋_GB2312"/>
          <w:sz w:val="32"/>
          <w:szCs w:val="32"/>
          <w:u w:val="none"/>
          <w:lang w:val="en-US" w:eastAsia="zh-CN"/>
        </w:rPr>
        <w:t>5.52</w:t>
      </w:r>
      <w:r>
        <w:rPr>
          <w:rFonts w:hint="eastAsia" w:ascii="仿宋_GB2312" w:hAnsi="仿宋" w:eastAsia="仿宋_GB2312"/>
          <w:sz w:val="32"/>
          <w:szCs w:val="32"/>
          <w:u w:val="none"/>
        </w:rPr>
        <w:t>万元，主要包括：</w:t>
      </w:r>
      <w:r>
        <w:rPr>
          <w:rFonts w:hint="eastAsia" w:ascii="仿宋_GB2312" w:hAnsi="仿宋" w:eastAsia="仿宋_GB2312"/>
          <w:sz w:val="32"/>
          <w:szCs w:val="32"/>
          <w:u w:val="none"/>
          <w:lang w:val="en-US" w:eastAsia="zh-CN"/>
        </w:rPr>
        <w:t>差旅费、会议号、公务接待费、工会经费、福利费、其他交通费用、办公设备购置。</w:t>
      </w:r>
    </w:p>
    <w:p w14:paraId="66BB8D8A">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14:paraId="177FA722">
      <w:pPr>
        <w:pStyle w:val="4"/>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高铁站综合管理服务中心</w:t>
      </w:r>
      <w:r>
        <w:rPr>
          <w:rFonts w:hint="eastAsia" w:ascii="仿宋_GB2312" w:hAnsi="TimesNewRoman" w:eastAsia="仿宋_GB2312" w:cs="TimesNewRoman"/>
          <w:sz w:val="32"/>
          <w:szCs w:val="32"/>
          <w:lang w:val="en-US" w:eastAsia="zh-CN"/>
        </w:rPr>
        <w:t>2025</w:t>
      </w:r>
      <w:r>
        <w:rPr>
          <w:rFonts w:hint="eastAsia" w:ascii="仿宋_GB2312" w:hAnsi="TimesNewRoman" w:eastAsia="仿宋_GB2312" w:cs="TimesNewRoman"/>
          <w:sz w:val="32"/>
          <w:szCs w:val="32"/>
        </w:rPr>
        <w:t>年没有政府性基金预算拨款收入，也没有使用政府性基金预算拨款安排的支出。</w:t>
      </w:r>
    </w:p>
    <w:p w14:paraId="671864DD">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14:paraId="222D9EE8">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eastAsia="zh-CN"/>
        </w:rPr>
        <w:t>高铁站综合管理服务中心</w:t>
      </w:r>
      <w:r>
        <w:rPr>
          <w:rFonts w:hint="eastAsia" w:ascii="仿宋_GB2312" w:hAnsi="TimesNewRoman" w:eastAsia="仿宋_GB2312" w:cs="TimesNewRoman"/>
          <w:sz w:val="32"/>
          <w:szCs w:val="32"/>
        </w:rPr>
        <w:t>20</w:t>
      </w:r>
      <w:r>
        <w:rPr>
          <w:rFonts w:hint="eastAsia" w:ascii="仿宋_GB2312" w:hAnsi="TimesNewRoman" w:eastAsia="仿宋_GB2312" w:cs="TimesNewRoman"/>
          <w:sz w:val="32"/>
          <w:szCs w:val="32"/>
          <w:lang w:val="en-US" w:eastAsia="zh-CN"/>
        </w:rPr>
        <w:t>25</w:t>
      </w:r>
      <w:r>
        <w:rPr>
          <w:rFonts w:hint="eastAsia" w:ascii="仿宋_GB2312" w:hAnsi="TimesNewRoman" w:eastAsia="仿宋_GB2312" w:cs="TimesNewRoman"/>
          <w:sz w:val="32"/>
          <w:szCs w:val="32"/>
        </w:rPr>
        <w:t>年没有国有资本经营预算拨款收入，也没有使用国有资本经营预算拨款安排的支出。</w:t>
      </w:r>
    </w:p>
    <w:p w14:paraId="231427AD">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14:paraId="28F2A92E">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2025年预算共安排项目支出</w:t>
      </w:r>
      <w:r>
        <w:rPr>
          <w:rFonts w:hint="eastAsia" w:ascii="仿宋_GB2312" w:hAnsi="TimesNewRoman" w:eastAsia="仿宋_GB2312" w:cs="TimesNewRoman"/>
          <w:sz w:val="32"/>
          <w:szCs w:val="32"/>
          <w:lang w:val="en-US" w:eastAsia="zh-CN"/>
        </w:rPr>
        <w:t>486.34</w:t>
      </w:r>
      <w:r>
        <w:rPr>
          <w:rFonts w:hint="eastAsia" w:ascii="仿宋_GB2312" w:hAnsi="TimesNewRoman" w:eastAsia="仿宋_GB2312" w:cs="TimesNewRoman"/>
          <w:sz w:val="32"/>
          <w:szCs w:val="32"/>
        </w:rPr>
        <w:t>万元，比2024年预算增加</w:t>
      </w:r>
      <w:r>
        <w:rPr>
          <w:rFonts w:hint="eastAsia" w:ascii="仿宋_GB2312" w:hAnsi="TimesNewRoman" w:eastAsia="仿宋_GB2312" w:cs="TimesNewRoman"/>
          <w:sz w:val="32"/>
          <w:szCs w:val="32"/>
          <w:lang w:val="en-US" w:eastAsia="zh-CN"/>
        </w:rPr>
        <w:t>486.34</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仿宋" w:eastAsia="仿宋_GB2312"/>
          <w:sz w:val="32"/>
          <w:szCs w:val="32"/>
        </w:rPr>
        <w:t>增长原因主要是</w:t>
      </w:r>
      <w:r>
        <w:rPr>
          <w:rFonts w:hint="eastAsia" w:ascii="仿宋_GB2312" w:hAnsi="仿宋" w:eastAsia="仿宋_GB2312"/>
          <w:sz w:val="32"/>
          <w:szCs w:val="32"/>
          <w:lang w:val="en-US" w:eastAsia="zh-CN"/>
        </w:rPr>
        <w:t>2025年物业管理服务项目和运营经费项目都纳入部门预算</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486.34</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486.34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6AD544AF">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十、关于2025年政府采购支出表的说明</w:t>
      </w:r>
    </w:p>
    <w:p w14:paraId="5E3DEA30">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2025年预算安排政府采购支出</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万元，比2024年预算增加</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万元，增长</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%，增长原因主要是</w:t>
      </w:r>
      <w:r>
        <w:rPr>
          <w:rFonts w:hint="eastAsia" w:ascii="仿宋_GB2312" w:hAnsi="TimesNewRoman" w:eastAsia="仿宋_GB2312" w:cs="TimesNewRoman"/>
          <w:sz w:val="32"/>
          <w:szCs w:val="32"/>
          <w:lang w:val="en-US" w:eastAsia="zh-CN"/>
        </w:rPr>
        <w:t>2025年计划购入空调一台</w:t>
      </w:r>
      <w:r>
        <w:rPr>
          <w:rFonts w:hint="eastAsia" w:ascii="仿宋_GB2312" w:hAnsi="TimesNewRoman" w:eastAsia="仿宋_GB2312" w:cs="TimesNewRoman"/>
          <w:sz w:val="32"/>
          <w:szCs w:val="32"/>
        </w:rPr>
        <w:t>。其中，一般公共预算安排</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p>
    <w:p w14:paraId="5C021887">
      <w:pPr>
        <w:pStyle w:val="4"/>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14:paraId="6EA286B5">
      <w:pPr>
        <w:pStyle w:val="4"/>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2025年没有安排政府购买服务支出。</w:t>
      </w:r>
    </w:p>
    <w:p w14:paraId="248A96D3">
      <w:pPr>
        <w:pStyle w:val="4"/>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十二、2025</w:t>
      </w:r>
      <w:r>
        <w:rPr>
          <w:rFonts w:ascii="楷体_GB2312" w:hAnsi="TimesNewRoman" w:eastAsia="楷体_GB2312" w:cs="TimesNewRoman"/>
          <w:b/>
          <w:sz w:val="32"/>
          <w:szCs w:val="32"/>
        </w:rPr>
        <w:t>年一般公共预算“三公”经费支出预算情况说明</w:t>
      </w:r>
    </w:p>
    <w:p w14:paraId="57B23896">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高铁站综合管理服务中心</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0.5</w:t>
      </w:r>
      <w:r>
        <w:rPr>
          <w:rFonts w:ascii="仿宋_GB2312" w:hAnsi="TimesNewRoman" w:eastAsia="仿宋_GB2312" w:cs="TimesNewRoman"/>
          <w:kern w:val="0"/>
          <w:sz w:val="32"/>
          <w:szCs w:val="32"/>
        </w:rPr>
        <w:t>万元，比</w:t>
      </w:r>
      <w:r>
        <w:rPr>
          <w:rFonts w:hint="eastAsia" w:ascii="仿宋_GB2312" w:hAnsi="TimesNewRoman" w:eastAsia="仿宋_GB2312" w:cs="TimesNewRoman"/>
          <w:kern w:val="0"/>
          <w:sz w:val="32"/>
          <w:szCs w:val="32"/>
        </w:rPr>
        <w:t>2024</w:t>
      </w:r>
      <w:r>
        <w:rPr>
          <w:rFonts w:ascii="仿宋_GB2312" w:hAnsi="TimesNewRoman" w:eastAsia="仿宋_GB2312" w:cs="TimesNewRoman"/>
          <w:kern w:val="0"/>
          <w:sz w:val="32"/>
          <w:szCs w:val="32"/>
        </w:rPr>
        <w:t>年预算减少</w:t>
      </w:r>
      <w:r>
        <w:rPr>
          <w:rFonts w:hint="eastAsia" w:ascii="仿宋_GB2312" w:hAnsi="TimesNewRoman" w:eastAsia="仿宋_GB2312" w:cs="TimesNewRoman"/>
          <w:kern w:val="0"/>
          <w:sz w:val="32"/>
          <w:szCs w:val="32"/>
          <w:lang w:val="en-US" w:eastAsia="zh-CN"/>
        </w:rPr>
        <w:t>0.1</w:t>
      </w:r>
      <w:r>
        <w:rPr>
          <w:rFonts w:ascii="仿宋_GB2312" w:hAnsi="TimesNewRoman" w:eastAsia="仿宋_GB2312" w:cs="TimesNewRoman"/>
          <w:kern w:val="0"/>
          <w:sz w:val="32"/>
          <w:szCs w:val="32"/>
        </w:rPr>
        <w:t>万元，下降</w:t>
      </w:r>
      <w:r>
        <w:rPr>
          <w:rFonts w:hint="eastAsia" w:ascii="仿宋_GB2312" w:hAnsi="TimesNewRoman" w:eastAsia="仿宋_GB2312" w:cs="TimesNewRoman"/>
          <w:kern w:val="0"/>
          <w:sz w:val="32"/>
          <w:szCs w:val="32"/>
          <w:lang w:val="en-US" w:eastAsia="zh-CN"/>
        </w:rPr>
        <w:t>20</w:t>
      </w:r>
      <w:r>
        <w:rPr>
          <w:rFonts w:ascii="仿宋_GB2312" w:hAnsi="TimesNewRoman" w:eastAsia="仿宋_GB2312" w:cs="TimesNewRoman"/>
          <w:kern w:val="0"/>
          <w:sz w:val="32"/>
          <w:szCs w:val="32"/>
        </w:rPr>
        <w:t>%。其中：因公出国（境）费支出预算为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0.5</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14:paraId="3CBD1F5D">
      <w:pPr>
        <w:pStyle w:val="4"/>
        <w:numPr>
          <w:ilvl w:val="0"/>
          <w:numId w:val="2"/>
        </w:numPr>
        <w:adjustRightInd w:val="0"/>
        <w:snapToGrid w:val="0"/>
        <w:spacing w:beforeAutospacing="0" w:afterAutospacing="0" w:line="560" w:lineRule="exact"/>
        <w:ind w:firstLine="640" w:firstLineChars="200"/>
        <w:rPr>
          <w:rFonts w:ascii="仿宋_GB2312" w:hAnsi="TimesNewRoman" w:eastAsia="仿宋_GB2312" w:cs="TimesNewRoman"/>
          <w:sz w:val="32"/>
          <w:szCs w:val="32"/>
        </w:rPr>
      </w:pPr>
      <w:r>
        <w:rPr>
          <w:rFonts w:ascii="仿宋_GB2312" w:hAnsi="TimesNewRoman" w:eastAsia="仿宋_GB2312" w:cs="TimesNewRoman"/>
          <w:sz w:val="32"/>
          <w:szCs w:val="32"/>
        </w:rPr>
        <w:t>因公出国（境）费支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lang w:val="en-US" w:eastAsia="zh-CN"/>
        </w:rPr>
        <w:t>0</w:t>
      </w:r>
      <w:r>
        <w:rPr>
          <w:rFonts w:ascii="TimesNewRoman" w:hAnsi="TimesNewRoman" w:eastAsia="仿宋_GB2312" w:cs="TimesNewRoman"/>
          <w:sz w:val="32"/>
          <w:szCs w:val="32"/>
        </w:rPr>
        <w:t>万元,</w:t>
      </w:r>
      <w:r>
        <w:rPr>
          <w:rFonts w:ascii="仿宋_GB2312" w:hAnsi="TimesNewRoman" w:eastAsia="仿宋_GB2312" w:cs="TimesNewRoman"/>
          <w:sz w:val="32"/>
          <w:szCs w:val="32"/>
        </w:rPr>
        <w:t xml:space="preserve"> 比</w:t>
      </w:r>
      <w:r>
        <w:rPr>
          <w:rFonts w:hint="eastAsia" w:ascii="仿宋_GB2312" w:hAnsi="TimesNewRoman" w:eastAsia="仿宋_GB2312" w:cs="TimesNewRoman"/>
          <w:sz w:val="32"/>
          <w:szCs w:val="32"/>
        </w:rPr>
        <w:t>2024</w:t>
      </w:r>
      <w:r>
        <w:rPr>
          <w:rFonts w:ascii="仿宋_GB2312" w:hAnsi="TimesNewRoman" w:eastAsia="仿宋_GB2312" w:cs="TimesNewRoman"/>
          <w:sz w:val="32"/>
          <w:szCs w:val="32"/>
        </w:rPr>
        <w:t>年预算减少（增加）</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万元，下降（增长）</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w:t>
      </w:r>
    </w:p>
    <w:p w14:paraId="564A0C9F">
      <w:pPr>
        <w:pStyle w:val="4"/>
        <w:numPr>
          <w:ilvl w:val="0"/>
          <w:numId w:val="0"/>
        </w:numPr>
        <w:adjustRightInd w:val="0"/>
        <w:snapToGrid w:val="0"/>
        <w:spacing w:beforeAutospacing="0" w:afterAutospacing="0" w:line="560" w:lineRule="exact"/>
        <w:ind w:firstLine="640" w:firstLineChars="200"/>
        <w:rPr>
          <w:rFonts w:hint="eastAsia" w:ascii="仿宋_GB2312" w:hAnsi="TimesNewRoman" w:eastAsia="仿宋_GB2312" w:cs="TimesNewRoman"/>
          <w:sz w:val="32"/>
          <w:szCs w:val="32"/>
        </w:rPr>
      </w:pPr>
      <w:r>
        <w:rPr>
          <w:rFonts w:ascii="仿宋_GB2312" w:hAnsi="TimesNewRoman" w:eastAsia="仿宋_GB2312" w:cs="TimesNewRoman"/>
          <w:sz w:val="32"/>
          <w:szCs w:val="32"/>
        </w:rPr>
        <w:t>（二）公务用车购置及运行费支出预算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万元，比</w:t>
      </w:r>
      <w:r>
        <w:rPr>
          <w:rFonts w:hint="eastAsia" w:ascii="仿宋_GB2312" w:hAnsi="TimesNewRoman" w:eastAsia="仿宋_GB2312" w:cs="TimesNewRoman"/>
          <w:sz w:val="32"/>
          <w:szCs w:val="32"/>
        </w:rPr>
        <w:t>2024</w:t>
      </w:r>
      <w:r>
        <w:rPr>
          <w:rFonts w:ascii="仿宋_GB2312" w:hAnsi="TimesNewRoman" w:eastAsia="仿宋_GB2312" w:cs="TimesNewRoman"/>
          <w:sz w:val="32"/>
          <w:szCs w:val="32"/>
        </w:rPr>
        <w:t>年</w:t>
      </w:r>
      <w:r>
        <w:rPr>
          <w:rFonts w:ascii="TimesNewRoman" w:hAnsi="TimesNewRoman" w:eastAsia="仿宋_GB2312" w:cs="TimesNewRoman"/>
          <w:sz w:val="32"/>
          <w:szCs w:val="32"/>
        </w:rPr>
        <w:t>预算减少（增加）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万元，下降（增长）</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p>
    <w:p w14:paraId="4C7F4438">
      <w:pPr>
        <w:pStyle w:val="4"/>
        <w:spacing w:beforeAutospacing="0" w:afterAutospacing="0" w:line="560" w:lineRule="exact"/>
        <w:ind w:firstLine="482" w:firstLineChars="15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0.5</w:t>
      </w:r>
      <w:r>
        <w:rPr>
          <w:rFonts w:hint="eastAsia" w:ascii="仿宋_GB2312" w:hAnsi="TimesNewRoman" w:eastAsia="仿宋_GB2312" w:cs="TimesNewRoman"/>
          <w:sz w:val="32"/>
          <w:szCs w:val="32"/>
        </w:rPr>
        <w:t>万元，比2024年预算减少</w:t>
      </w:r>
      <w:r>
        <w:rPr>
          <w:rFonts w:hint="eastAsia" w:ascii="仿宋_GB2312" w:hAnsi="TimesNewRoman" w:eastAsia="仿宋_GB2312" w:cs="TimesNewRoman"/>
          <w:sz w:val="32"/>
          <w:szCs w:val="32"/>
          <w:lang w:val="en-US" w:eastAsia="zh-CN"/>
        </w:rPr>
        <w:t>0.1</w:t>
      </w:r>
      <w:r>
        <w:rPr>
          <w:rFonts w:hint="eastAsia" w:ascii="仿宋_GB2312" w:hAnsi="TimesNewRoman" w:eastAsia="仿宋_GB2312" w:cs="TimesNewRoman"/>
          <w:sz w:val="32"/>
          <w:szCs w:val="32"/>
        </w:rPr>
        <w:t>万元，下降</w:t>
      </w:r>
      <w:r>
        <w:rPr>
          <w:rFonts w:hint="eastAsia" w:ascii="仿宋_GB2312" w:hAnsi="TimesNewRoman" w:eastAsia="仿宋_GB2312" w:cs="TimesNewRoman"/>
          <w:sz w:val="32"/>
          <w:szCs w:val="32"/>
          <w:lang w:val="en-US" w:eastAsia="zh-CN"/>
        </w:rPr>
        <w:t>20</w:t>
      </w:r>
      <w:r>
        <w:rPr>
          <w:rFonts w:hint="eastAsia" w:ascii="仿宋_GB2312" w:hAnsi="TimesNewRoman" w:eastAsia="仿宋_GB2312" w:cs="TimesNewRoman"/>
          <w:sz w:val="32"/>
          <w:szCs w:val="32"/>
        </w:rPr>
        <w:t>%，下降原因主要是</w:t>
      </w:r>
      <w:r>
        <w:rPr>
          <w:rFonts w:hint="eastAsia" w:ascii="仿宋_GB2312" w:hAnsi="TimesNewRoman" w:eastAsia="仿宋_GB2312" w:cs="TimesNewRoman"/>
          <w:sz w:val="32"/>
          <w:szCs w:val="32"/>
          <w:lang w:val="en-US" w:eastAsia="zh-CN"/>
        </w:rPr>
        <w:t>根据单位实际使用情况核减</w:t>
      </w:r>
      <w:r>
        <w:rPr>
          <w:rFonts w:hint="eastAsia" w:ascii="仿宋_GB2312" w:hAnsi="TimesNewRoman" w:eastAsia="仿宋_GB2312" w:cs="TimesNewRoman"/>
          <w:sz w:val="32"/>
          <w:szCs w:val="32"/>
        </w:rPr>
        <w:t>。该项经费主要用于</w:t>
      </w:r>
      <w:r>
        <w:rPr>
          <w:rFonts w:hint="eastAsia" w:ascii="仿宋_GB2312" w:hAnsi="TimesNewRoman" w:eastAsia="仿宋_GB2312" w:cs="TimesNewRoman"/>
          <w:sz w:val="32"/>
          <w:szCs w:val="32"/>
          <w:lang w:val="en-US" w:eastAsia="zh-CN"/>
        </w:rPr>
        <w:t>接待其他单位支出费用</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14:paraId="1D2EC5F9">
      <w:pPr>
        <w:pStyle w:val="4"/>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735A17FD">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454947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643" w:firstLineChars="200"/>
        <w:jc w:val="both"/>
        <w:textAlignment w:val="auto"/>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bCs/>
          <w:sz w:val="32"/>
          <w:szCs w:val="32"/>
          <w:lang w:val="en-US" w:eastAsia="zh-CN"/>
        </w:rPr>
        <w:t>高铁站运营经费项目</w:t>
      </w:r>
      <w:r>
        <w:rPr>
          <w:rFonts w:hint="eastAsia" w:ascii="仿宋_GB2312" w:hAnsi="TimesNewRoman" w:eastAsia="仿宋_GB2312" w:cs="TimesNewRoman"/>
          <w:b/>
          <w:sz w:val="32"/>
          <w:szCs w:val="32"/>
        </w:rPr>
        <w:t>”项目。</w:t>
      </w:r>
    </w:p>
    <w:p w14:paraId="33E0C5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640" w:firstLineChars="200"/>
        <w:jc w:val="both"/>
        <w:textAlignment w:val="auto"/>
        <w:rPr>
          <w:rFonts w:hint="eastAsia" w:ascii="仿宋_GB2312" w:hAnsi="TimesNewRoman" w:eastAsia="仿宋_GB2312" w:cs="TimesNewRoman"/>
          <w:kern w:val="2"/>
          <w:sz w:val="32"/>
          <w:szCs w:val="32"/>
          <w:lang w:val="en-US" w:eastAsia="zh-CN" w:bidi="ar-SA"/>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kern w:val="2"/>
          <w:sz w:val="32"/>
          <w:szCs w:val="32"/>
          <w:lang w:val="en-US" w:eastAsia="zh-CN" w:bidi="ar-SA"/>
        </w:rPr>
        <w:t>负责牵头协调高铁站站前区域综合管理工作；制订并组织实施站前区域重大事项保障方案和突发事件应急预案；负责站前区域相关机构派驻人员的日常管理和考核，组织实施站前区域综合管理考核工作；负责协调和组织实施站前区域联合执法；负责建立站前区域交通秩序、社会治安、设施维护、市容环境卫生、市场秩序等方面的日常巡查制度；建立健全站前区域</w:t>
      </w:r>
      <w:r>
        <w:rPr>
          <w:rFonts w:hint="default" w:ascii="仿宋_GB2312" w:hAnsi="TimesNewRoman" w:eastAsia="仿宋_GB2312" w:cs="TimesNewRoman"/>
          <w:kern w:val="2"/>
          <w:sz w:val="32"/>
          <w:szCs w:val="32"/>
          <w:lang w:val="en-US" w:eastAsia="zh-CN" w:bidi="ar-SA"/>
        </w:rPr>
        <w:t>综合管理联席会议制度</w:t>
      </w:r>
      <w:r>
        <w:rPr>
          <w:rFonts w:hint="eastAsia" w:ascii="仿宋_GB2312" w:hAnsi="TimesNewRoman" w:eastAsia="仿宋_GB2312" w:cs="TimesNewRoman"/>
          <w:kern w:val="2"/>
          <w:sz w:val="32"/>
          <w:szCs w:val="32"/>
          <w:lang w:val="en-US" w:eastAsia="zh-CN" w:bidi="ar-SA"/>
        </w:rPr>
        <w:t>；</w:t>
      </w:r>
      <w:r>
        <w:rPr>
          <w:rFonts w:hint="default" w:ascii="仿宋_GB2312" w:hAnsi="TimesNewRoman" w:eastAsia="仿宋_GB2312" w:cs="TimesNewRoman"/>
          <w:kern w:val="2"/>
          <w:sz w:val="32"/>
          <w:szCs w:val="32"/>
          <w:lang w:val="en-US" w:eastAsia="zh-CN" w:bidi="ar-SA"/>
        </w:rPr>
        <w:t>督促检查站前区域综合管理涉及的有关法律</w:t>
      </w:r>
      <w:r>
        <w:rPr>
          <w:rFonts w:hint="eastAsia" w:ascii="仿宋_GB2312" w:hAnsi="TimesNewRoman" w:eastAsia="仿宋_GB2312" w:cs="TimesNewRoman"/>
          <w:kern w:val="2"/>
          <w:sz w:val="32"/>
          <w:szCs w:val="32"/>
          <w:lang w:val="en-US" w:eastAsia="zh-CN" w:bidi="ar-SA"/>
        </w:rPr>
        <w:t>、</w:t>
      </w:r>
      <w:r>
        <w:rPr>
          <w:rFonts w:hint="default" w:ascii="仿宋_GB2312" w:hAnsi="TimesNewRoman" w:eastAsia="仿宋_GB2312" w:cs="TimesNewRoman"/>
          <w:kern w:val="2"/>
          <w:sz w:val="32"/>
          <w:szCs w:val="32"/>
          <w:lang w:val="en-US" w:eastAsia="zh-CN" w:bidi="ar-SA"/>
        </w:rPr>
        <w:t>法规</w:t>
      </w:r>
      <w:r>
        <w:rPr>
          <w:rFonts w:hint="eastAsia" w:ascii="仿宋_GB2312" w:hAnsi="TimesNewRoman" w:eastAsia="仿宋_GB2312" w:cs="TimesNewRoman"/>
          <w:kern w:val="2"/>
          <w:sz w:val="32"/>
          <w:szCs w:val="32"/>
          <w:lang w:val="en-US" w:eastAsia="zh-CN" w:bidi="ar-SA"/>
        </w:rPr>
        <w:t>、</w:t>
      </w:r>
      <w:r>
        <w:rPr>
          <w:rFonts w:hint="default" w:ascii="仿宋_GB2312" w:hAnsi="TimesNewRoman" w:eastAsia="仿宋_GB2312" w:cs="TimesNewRoman"/>
          <w:kern w:val="2"/>
          <w:sz w:val="32"/>
          <w:szCs w:val="32"/>
          <w:lang w:val="en-US" w:eastAsia="zh-CN" w:bidi="ar-SA"/>
        </w:rPr>
        <w:t>规章贯彻执行情况</w:t>
      </w:r>
      <w:r>
        <w:rPr>
          <w:rFonts w:hint="eastAsia" w:ascii="仿宋_GB2312" w:hAnsi="TimesNewRoman" w:eastAsia="仿宋_GB2312" w:cs="TimesNewRoman"/>
          <w:kern w:val="2"/>
          <w:sz w:val="32"/>
          <w:szCs w:val="32"/>
          <w:lang w:val="en-US" w:eastAsia="zh-CN" w:bidi="ar-SA"/>
        </w:rPr>
        <w:t>；</w:t>
      </w:r>
      <w:r>
        <w:rPr>
          <w:rFonts w:hint="default" w:ascii="仿宋_GB2312" w:hAnsi="TimesNewRoman" w:eastAsia="仿宋_GB2312" w:cs="TimesNewRoman"/>
          <w:kern w:val="2"/>
          <w:sz w:val="32"/>
          <w:szCs w:val="32"/>
          <w:lang w:val="en-US" w:eastAsia="zh-CN" w:bidi="ar-SA"/>
        </w:rPr>
        <w:t>负责制定站前区域长效综合管理方案和城市管理的有关规定，制定站前区域的市容环境、广告布置、经营店铺和市政、交通设施的设置规范,并指导督促有关单位落实日常管理</w:t>
      </w:r>
      <w:r>
        <w:rPr>
          <w:rFonts w:hint="eastAsia" w:ascii="仿宋_GB2312" w:hAnsi="TimesNewRoman" w:eastAsia="仿宋_GB2312" w:cs="TimesNewRoman"/>
          <w:kern w:val="2"/>
          <w:sz w:val="32"/>
          <w:szCs w:val="32"/>
          <w:lang w:val="en-US" w:eastAsia="zh-CN" w:bidi="ar-SA"/>
        </w:rPr>
        <w:t>；</w:t>
      </w:r>
      <w:r>
        <w:rPr>
          <w:rFonts w:hint="default" w:ascii="仿宋_GB2312" w:hAnsi="TimesNewRoman" w:eastAsia="仿宋_GB2312" w:cs="TimesNewRoman"/>
          <w:kern w:val="2"/>
          <w:sz w:val="32"/>
          <w:szCs w:val="32"/>
          <w:lang w:val="en-US" w:eastAsia="zh-CN" w:bidi="ar-SA"/>
        </w:rPr>
        <w:t>完成县委、县政府交办的其他任务</w:t>
      </w:r>
      <w:r>
        <w:rPr>
          <w:rFonts w:hint="eastAsia" w:ascii="仿宋_GB2312" w:hAnsi="TimesNewRoman" w:eastAsia="仿宋_GB2312" w:cs="TimesNewRoman"/>
          <w:kern w:val="2"/>
          <w:sz w:val="32"/>
          <w:szCs w:val="32"/>
          <w:lang w:val="en-US" w:eastAsia="zh-CN" w:bidi="ar-SA"/>
        </w:rPr>
        <w:t>。</w:t>
      </w:r>
    </w:p>
    <w:p w14:paraId="2998A6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kern w:val="2"/>
          <w:sz w:val="32"/>
          <w:szCs w:val="32"/>
          <w:lang w:val="en-US" w:eastAsia="zh-CN" w:bidi="ar-SA"/>
        </w:rPr>
        <w:t>寿司文审〔2019〕123号文件关于《关于寿县高铁站物业服务及运营费用纳入财政保障情况汇报》的审查报告、寿县人民政府常务会议纪要第46号（2019年）。</w:t>
      </w:r>
    </w:p>
    <w:p w14:paraId="66A4095F">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寿县高铁站综合管理服务中心</w:t>
      </w:r>
    </w:p>
    <w:p w14:paraId="0B16DF91">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2025年1月1日-12月31日</w:t>
      </w:r>
    </w:p>
    <w:p w14:paraId="77512628">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val="en-US" w:eastAsia="zh-CN"/>
        </w:rPr>
        <w:t>保障寿县高铁站综合管理服务中心工作正常开展。</w:t>
      </w:r>
    </w:p>
    <w:p w14:paraId="00387561">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2025年该项目预算数为133.98万元。</w:t>
      </w:r>
    </w:p>
    <w:p w14:paraId="13AF4733">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（7）绩效目标。</w:t>
      </w:r>
      <w:r>
        <w:rPr>
          <w:rFonts w:hint="eastAsia" w:ascii="仿宋_GB2312" w:hAnsi="TimesNewRoman" w:eastAsia="仿宋_GB2312" w:cs="TimesNewRoman"/>
          <w:sz w:val="32"/>
          <w:szCs w:val="32"/>
          <w:lang w:val="en-US" w:eastAsia="zh-CN"/>
        </w:rPr>
        <w:t>牵头协调好高铁站站前区域综合管理工作；制订并组织实施站前区域重大事项保障方案和突发事件应急预案；做好站前区域相关机构派驻人员的日常管理和考核，实施站前区域综合管理考核工作；协调和组织实施站前区域联合执法；保障寿县高铁站综管中心正常运行，做好站前区域综合管理工作，为旅客服务，保障旅客安全、有序出行，维护高铁站站区秩序稳定等。</w:t>
      </w:r>
    </w:p>
    <w:p w14:paraId="366D2879">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71FC279A">
      <w:pPr>
        <w:topLinePunct/>
        <w:adjustRightInd w:val="0"/>
        <w:snapToGrid w:val="0"/>
        <w:spacing w:line="560" w:lineRule="exact"/>
        <w:ind w:firstLine="640" w:firstLineChars="200"/>
        <w:rPr>
          <w:rFonts w:hint="eastAsia" w:ascii="仿宋_GB2312" w:hAnsi="楷体" w:eastAsia="仿宋_GB2312"/>
          <w:sz w:val="32"/>
          <w:szCs w:val="32"/>
        </w:rPr>
      </w:pPr>
    </w:p>
    <w:p w14:paraId="4B0C834C">
      <w:pPr>
        <w:topLinePunct/>
        <w:adjustRightInd w:val="0"/>
        <w:snapToGrid w:val="0"/>
        <w:spacing w:line="560" w:lineRule="exact"/>
        <w:ind w:firstLine="640" w:firstLineChars="200"/>
        <w:rPr>
          <w:rFonts w:hint="eastAsia" w:ascii="仿宋_GB2312" w:hAnsi="楷体" w:eastAsia="仿宋_GB2312"/>
          <w:sz w:val="32"/>
          <w:szCs w:val="32"/>
        </w:rPr>
      </w:pPr>
    </w:p>
    <w:tbl>
      <w:tblPr>
        <w:tblStyle w:val="5"/>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5CFD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0A4F01AA">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14:paraId="307D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22111DEB">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（2025年度）                                </w:t>
            </w:r>
          </w:p>
        </w:tc>
      </w:tr>
      <w:tr w14:paraId="60EE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1E0E523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68A15DB0">
            <w:pPr>
              <w:spacing w:line="260" w:lineRule="exact"/>
              <w:jc w:val="center"/>
              <w:rPr>
                <w:rFonts w:ascii="宋体" w:cs="宋体"/>
                <w:sz w:val="18"/>
                <w:szCs w:val="18"/>
              </w:rPr>
            </w:pPr>
            <w:r>
              <w:rPr>
                <w:rFonts w:hint="eastAsia" w:ascii="宋体" w:cs="宋体"/>
                <w:sz w:val="18"/>
                <w:szCs w:val="18"/>
              </w:rPr>
              <w:t>高铁站运营保障经费项目</w:t>
            </w:r>
          </w:p>
        </w:tc>
      </w:tr>
      <w:tr w14:paraId="4494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66D43E1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0E6894A1">
            <w:pPr>
              <w:spacing w:line="260" w:lineRule="exact"/>
              <w:jc w:val="center"/>
              <w:rPr>
                <w:rFonts w:ascii="宋体" w:cs="宋体"/>
                <w:sz w:val="18"/>
                <w:szCs w:val="18"/>
              </w:rPr>
            </w:pPr>
          </w:p>
        </w:tc>
        <w:tc>
          <w:tcPr>
            <w:tcW w:w="1848" w:type="dxa"/>
            <w:noWrap w:val="0"/>
            <w:vAlign w:val="center"/>
          </w:tcPr>
          <w:p w14:paraId="4B74A17F">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409F9688">
            <w:pPr>
              <w:spacing w:line="260" w:lineRule="exact"/>
              <w:jc w:val="center"/>
              <w:rPr>
                <w:sz w:val="18"/>
                <w:szCs w:val="18"/>
              </w:rPr>
            </w:pPr>
            <w:r>
              <w:rPr>
                <w:rFonts w:hint="eastAsia"/>
                <w:sz w:val="18"/>
                <w:szCs w:val="18"/>
              </w:rPr>
              <w:t>寿县高铁站综合管理服务中心</w:t>
            </w:r>
          </w:p>
        </w:tc>
      </w:tr>
      <w:tr w14:paraId="0DA5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221D015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07997347">
            <w:pPr>
              <w:spacing w:line="260" w:lineRule="exact"/>
              <w:jc w:val="center"/>
              <w:rPr>
                <w:rFonts w:ascii="宋体" w:cs="宋体"/>
                <w:sz w:val="18"/>
                <w:szCs w:val="18"/>
              </w:rPr>
            </w:pPr>
          </w:p>
        </w:tc>
        <w:tc>
          <w:tcPr>
            <w:tcW w:w="1848" w:type="dxa"/>
            <w:noWrap w:val="0"/>
            <w:vAlign w:val="center"/>
          </w:tcPr>
          <w:p w14:paraId="2EBA335A">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461935E2">
            <w:pPr>
              <w:spacing w:line="260" w:lineRule="exact"/>
              <w:jc w:val="center"/>
              <w:rPr>
                <w:rFonts w:hint="default" w:eastAsia="宋体"/>
                <w:sz w:val="18"/>
                <w:szCs w:val="18"/>
                <w:lang w:val="en-US" w:eastAsia="zh-CN"/>
              </w:rPr>
            </w:pPr>
            <w:r>
              <w:rPr>
                <w:rFonts w:hint="eastAsia"/>
                <w:sz w:val="18"/>
                <w:szCs w:val="18"/>
                <w:lang w:val="en-US" w:eastAsia="zh-CN"/>
              </w:rPr>
              <w:t>2025年</w:t>
            </w:r>
          </w:p>
        </w:tc>
      </w:tr>
      <w:tr w14:paraId="30A7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3411C034">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20593E6C">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0AAB4D3D">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133.98万元</w:t>
            </w:r>
          </w:p>
        </w:tc>
      </w:tr>
      <w:tr w14:paraId="0C946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52A8D5CA">
            <w:pPr>
              <w:spacing w:line="260" w:lineRule="exact"/>
              <w:jc w:val="center"/>
              <w:rPr>
                <w:rFonts w:ascii="宋体" w:cs="宋体"/>
                <w:sz w:val="18"/>
                <w:szCs w:val="18"/>
              </w:rPr>
            </w:pPr>
          </w:p>
        </w:tc>
        <w:tc>
          <w:tcPr>
            <w:tcW w:w="3349" w:type="dxa"/>
            <w:gridSpan w:val="2"/>
            <w:noWrap w:val="0"/>
            <w:vAlign w:val="center"/>
          </w:tcPr>
          <w:p w14:paraId="37E9EBA0">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5BB90F4A">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133.98万元</w:t>
            </w:r>
          </w:p>
        </w:tc>
      </w:tr>
      <w:tr w14:paraId="6198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12254DF">
            <w:pPr>
              <w:spacing w:line="260" w:lineRule="exact"/>
              <w:jc w:val="center"/>
              <w:rPr>
                <w:rFonts w:ascii="宋体" w:cs="宋体"/>
                <w:sz w:val="18"/>
                <w:szCs w:val="18"/>
              </w:rPr>
            </w:pPr>
          </w:p>
        </w:tc>
        <w:tc>
          <w:tcPr>
            <w:tcW w:w="3349" w:type="dxa"/>
            <w:gridSpan w:val="2"/>
            <w:noWrap w:val="0"/>
            <w:vAlign w:val="center"/>
          </w:tcPr>
          <w:p w14:paraId="2F1CAD1E">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35ED7A93">
            <w:pPr>
              <w:spacing w:line="260" w:lineRule="exact"/>
              <w:jc w:val="center"/>
              <w:rPr>
                <w:rFonts w:ascii="宋体" w:cs="宋体"/>
                <w:sz w:val="18"/>
                <w:szCs w:val="18"/>
              </w:rPr>
            </w:pPr>
          </w:p>
        </w:tc>
      </w:tr>
      <w:tr w14:paraId="634A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341F7ED5">
            <w:pPr>
              <w:spacing w:line="260" w:lineRule="exact"/>
              <w:jc w:val="center"/>
              <w:rPr>
                <w:rFonts w:ascii="宋体" w:cs="宋体"/>
                <w:sz w:val="18"/>
                <w:szCs w:val="18"/>
              </w:rPr>
            </w:pPr>
          </w:p>
        </w:tc>
        <w:tc>
          <w:tcPr>
            <w:tcW w:w="3349" w:type="dxa"/>
            <w:gridSpan w:val="2"/>
            <w:noWrap w:val="0"/>
            <w:vAlign w:val="center"/>
          </w:tcPr>
          <w:p w14:paraId="482CAA6B">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17CFECB1">
            <w:pPr>
              <w:spacing w:line="260" w:lineRule="exact"/>
              <w:jc w:val="right"/>
              <w:rPr>
                <w:rFonts w:ascii="宋体" w:cs="宋体"/>
                <w:sz w:val="18"/>
                <w:szCs w:val="18"/>
              </w:rPr>
            </w:pPr>
          </w:p>
        </w:tc>
      </w:tr>
      <w:tr w14:paraId="5EA9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127FBCA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0AA8D116">
            <w:pPr>
              <w:spacing w:line="260" w:lineRule="exact"/>
              <w:jc w:val="left"/>
              <w:rPr>
                <w:rFonts w:ascii="宋体" w:cs="宋体"/>
                <w:sz w:val="18"/>
                <w:szCs w:val="18"/>
              </w:rPr>
            </w:pPr>
            <w:r>
              <w:rPr>
                <w:rFonts w:hint="eastAsia" w:ascii="宋体" w:cs="宋体"/>
                <w:sz w:val="18"/>
                <w:szCs w:val="18"/>
              </w:rPr>
              <w:t>牵头协调好高铁站站前区域综合管理工作;制订并组织实施站前区域重大事项保障方案和突发事件应急预案;做好站前区域相关机构派驻人员的日常管理和考核，实施站前区域综合管理考核工作;协调和组织实施站前区域联合执法;保障寿县高铁站综管中心正常运行，做好站前区域综合管理工作，为旅客服务，保障旅客安全、有序出行，维护高铁站站区秩序稳定等。</w:t>
            </w:r>
          </w:p>
        </w:tc>
      </w:tr>
      <w:tr w14:paraId="037C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1405AE1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3C2924A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413F7D2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05E45E8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17B81B5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1193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B72E284">
            <w:pPr>
              <w:spacing w:line="260" w:lineRule="exact"/>
              <w:jc w:val="center"/>
              <w:rPr>
                <w:rFonts w:ascii="宋体" w:cs="宋体"/>
                <w:sz w:val="18"/>
                <w:szCs w:val="18"/>
              </w:rPr>
            </w:pPr>
          </w:p>
        </w:tc>
        <w:tc>
          <w:tcPr>
            <w:tcW w:w="723" w:type="dxa"/>
            <w:vMerge w:val="restart"/>
            <w:noWrap w:val="0"/>
            <w:vAlign w:val="center"/>
          </w:tcPr>
          <w:p w14:paraId="1CD8E10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54AEF86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364FDED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召开会议</w:t>
            </w:r>
          </w:p>
        </w:tc>
        <w:tc>
          <w:tcPr>
            <w:tcW w:w="4228" w:type="dxa"/>
            <w:gridSpan w:val="2"/>
            <w:noWrap w:val="0"/>
            <w:vAlign w:val="center"/>
          </w:tcPr>
          <w:p w14:paraId="5BAD15F2">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20次</w:t>
            </w:r>
          </w:p>
        </w:tc>
      </w:tr>
      <w:tr w14:paraId="573C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90F252C">
            <w:pPr>
              <w:spacing w:line="260" w:lineRule="exact"/>
              <w:jc w:val="center"/>
              <w:rPr>
                <w:rFonts w:ascii="宋体" w:cs="宋体"/>
                <w:sz w:val="18"/>
                <w:szCs w:val="18"/>
              </w:rPr>
            </w:pPr>
          </w:p>
        </w:tc>
        <w:tc>
          <w:tcPr>
            <w:tcW w:w="723" w:type="dxa"/>
            <w:vMerge w:val="continue"/>
            <w:noWrap w:val="0"/>
            <w:vAlign w:val="center"/>
          </w:tcPr>
          <w:p w14:paraId="230F3579">
            <w:pPr>
              <w:spacing w:line="260" w:lineRule="exact"/>
              <w:jc w:val="center"/>
              <w:rPr>
                <w:rFonts w:ascii="宋体" w:cs="宋体"/>
                <w:sz w:val="18"/>
                <w:szCs w:val="18"/>
              </w:rPr>
            </w:pPr>
          </w:p>
        </w:tc>
        <w:tc>
          <w:tcPr>
            <w:tcW w:w="759" w:type="dxa"/>
            <w:gridSpan w:val="2"/>
            <w:vMerge w:val="continue"/>
            <w:noWrap w:val="0"/>
            <w:vAlign w:val="center"/>
          </w:tcPr>
          <w:p w14:paraId="7A136A49">
            <w:pPr>
              <w:spacing w:line="260" w:lineRule="exact"/>
              <w:jc w:val="center"/>
              <w:rPr>
                <w:rFonts w:ascii="宋体" w:cs="宋体"/>
                <w:sz w:val="18"/>
                <w:szCs w:val="18"/>
              </w:rPr>
            </w:pPr>
          </w:p>
        </w:tc>
        <w:tc>
          <w:tcPr>
            <w:tcW w:w="2872" w:type="dxa"/>
            <w:noWrap w:val="0"/>
            <w:vAlign w:val="center"/>
          </w:tcPr>
          <w:p w14:paraId="199C4AD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提供咨询服务，解决旅客的问题</w:t>
            </w:r>
          </w:p>
        </w:tc>
        <w:tc>
          <w:tcPr>
            <w:tcW w:w="4228" w:type="dxa"/>
            <w:gridSpan w:val="2"/>
            <w:noWrap w:val="0"/>
            <w:vAlign w:val="center"/>
          </w:tcPr>
          <w:p w14:paraId="5E5048F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500次</w:t>
            </w:r>
          </w:p>
        </w:tc>
      </w:tr>
      <w:tr w14:paraId="1506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F6F0703">
            <w:pPr>
              <w:spacing w:line="260" w:lineRule="exact"/>
              <w:jc w:val="center"/>
              <w:rPr>
                <w:rFonts w:ascii="宋体" w:cs="宋体"/>
                <w:sz w:val="18"/>
                <w:szCs w:val="18"/>
              </w:rPr>
            </w:pPr>
          </w:p>
        </w:tc>
        <w:tc>
          <w:tcPr>
            <w:tcW w:w="723" w:type="dxa"/>
            <w:vMerge w:val="continue"/>
            <w:noWrap w:val="0"/>
            <w:vAlign w:val="center"/>
          </w:tcPr>
          <w:p w14:paraId="4A9B87A8">
            <w:pPr>
              <w:spacing w:line="260" w:lineRule="exact"/>
              <w:jc w:val="center"/>
              <w:rPr>
                <w:rFonts w:ascii="宋体" w:cs="宋体"/>
                <w:sz w:val="18"/>
                <w:szCs w:val="18"/>
              </w:rPr>
            </w:pPr>
          </w:p>
        </w:tc>
        <w:tc>
          <w:tcPr>
            <w:tcW w:w="759" w:type="dxa"/>
            <w:gridSpan w:val="2"/>
            <w:vMerge w:val="continue"/>
            <w:noWrap w:val="0"/>
            <w:vAlign w:val="center"/>
          </w:tcPr>
          <w:p w14:paraId="4CC36FD9">
            <w:pPr>
              <w:spacing w:line="260" w:lineRule="exact"/>
              <w:jc w:val="center"/>
              <w:rPr>
                <w:rFonts w:ascii="宋体" w:cs="宋体"/>
                <w:sz w:val="18"/>
                <w:szCs w:val="18"/>
              </w:rPr>
            </w:pPr>
          </w:p>
        </w:tc>
        <w:tc>
          <w:tcPr>
            <w:tcW w:w="2872" w:type="dxa"/>
            <w:noWrap w:val="0"/>
            <w:vAlign w:val="center"/>
          </w:tcPr>
          <w:p w14:paraId="631BFA0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开展消防应急演练</w:t>
            </w:r>
          </w:p>
        </w:tc>
        <w:tc>
          <w:tcPr>
            <w:tcW w:w="4228" w:type="dxa"/>
            <w:gridSpan w:val="2"/>
            <w:noWrap w:val="0"/>
            <w:vAlign w:val="center"/>
          </w:tcPr>
          <w:p w14:paraId="4592B13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4次</w:t>
            </w:r>
          </w:p>
        </w:tc>
      </w:tr>
      <w:tr w14:paraId="3BDA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61D844AF">
            <w:pPr>
              <w:spacing w:line="260" w:lineRule="exact"/>
              <w:jc w:val="center"/>
              <w:rPr>
                <w:rFonts w:ascii="宋体" w:cs="宋体"/>
                <w:sz w:val="18"/>
                <w:szCs w:val="18"/>
              </w:rPr>
            </w:pPr>
          </w:p>
        </w:tc>
        <w:tc>
          <w:tcPr>
            <w:tcW w:w="723" w:type="dxa"/>
            <w:vMerge w:val="continue"/>
            <w:noWrap w:val="0"/>
            <w:vAlign w:val="center"/>
          </w:tcPr>
          <w:p w14:paraId="274DD8D5">
            <w:pPr>
              <w:spacing w:line="260" w:lineRule="exact"/>
              <w:jc w:val="center"/>
              <w:rPr>
                <w:rFonts w:ascii="宋体" w:cs="宋体"/>
                <w:sz w:val="18"/>
                <w:szCs w:val="18"/>
              </w:rPr>
            </w:pPr>
          </w:p>
        </w:tc>
        <w:tc>
          <w:tcPr>
            <w:tcW w:w="759" w:type="dxa"/>
            <w:gridSpan w:val="2"/>
            <w:noWrap w:val="0"/>
            <w:vAlign w:val="center"/>
          </w:tcPr>
          <w:p w14:paraId="7D1A296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5136788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为旅客提供满意的服务，保障寿县高铁站正常运营</w:t>
            </w:r>
          </w:p>
        </w:tc>
        <w:tc>
          <w:tcPr>
            <w:tcW w:w="4228" w:type="dxa"/>
            <w:gridSpan w:val="2"/>
            <w:noWrap w:val="0"/>
            <w:vAlign w:val="center"/>
          </w:tcPr>
          <w:p w14:paraId="38556150">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高水平</w:t>
            </w:r>
          </w:p>
        </w:tc>
      </w:tr>
      <w:tr w14:paraId="66E5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685AAA0">
            <w:pPr>
              <w:spacing w:line="260" w:lineRule="exact"/>
              <w:jc w:val="center"/>
              <w:rPr>
                <w:rFonts w:ascii="宋体" w:cs="宋体"/>
                <w:sz w:val="18"/>
                <w:szCs w:val="18"/>
              </w:rPr>
            </w:pPr>
          </w:p>
        </w:tc>
        <w:tc>
          <w:tcPr>
            <w:tcW w:w="723" w:type="dxa"/>
            <w:vMerge w:val="continue"/>
            <w:noWrap w:val="0"/>
            <w:vAlign w:val="center"/>
          </w:tcPr>
          <w:p w14:paraId="62AF5058">
            <w:pPr>
              <w:spacing w:line="260" w:lineRule="exact"/>
              <w:jc w:val="center"/>
              <w:rPr>
                <w:rFonts w:ascii="宋体" w:cs="宋体"/>
                <w:sz w:val="18"/>
                <w:szCs w:val="18"/>
              </w:rPr>
            </w:pPr>
          </w:p>
        </w:tc>
        <w:tc>
          <w:tcPr>
            <w:tcW w:w="759" w:type="dxa"/>
            <w:gridSpan w:val="2"/>
            <w:noWrap w:val="0"/>
            <w:vAlign w:val="center"/>
          </w:tcPr>
          <w:p w14:paraId="24E1776B">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077506A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完成全年工作</w:t>
            </w:r>
          </w:p>
        </w:tc>
        <w:tc>
          <w:tcPr>
            <w:tcW w:w="4228" w:type="dxa"/>
            <w:gridSpan w:val="2"/>
            <w:noWrap w:val="0"/>
            <w:vAlign w:val="center"/>
          </w:tcPr>
          <w:p w14:paraId="2785FAA5">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1年</w:t>
            </w:r>
          </w:p>
        </w:tc>
      </w:tr>
      <w:tr w14:paraId="7866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067233A">
            <w:pPr>
              <w:spacing w:line="260" w:lineRule="exact"/>
              <w:jc w:val="center"/>
              <w:rPr>
                <w:rFonts w:ascii="宋体" w:cs="宋体"/>
                <w:sz w:val="18"/>
                <w:szCs w:val="18"/>
              </w:rPr>
            </w:pPr>
          </w:p>
        </w:tc>
        <w:tc>
          <w:tcPr>
            <w:tcW w:w="723" w:type="dxa"/>
            <w:vMerge w:val="continue"/>
            <w:noWrap w:val="0"/>
            <w:vAlign w:val="center"/>
          </w:tcPr>
          <w:p w14:paraId="0F0E732A">
            <w:pPr>
              <w:spacing w:line="260" w:lineRule="exact"/>
              <w:jc w:val="center"/>
              <w:rPr>
                <w:rFonts w:ascii="宋体" w:cs="宋体"/>
                <w:sz w:val="18"/>
                <w:szCs w:val="18"/>
              </w:rPr>
            </w:pPr>
          </w:p>
        </w:tc>
        <w:tc>
          <w:tcPr>
            <w:tcW w:w="759" w:type="dxa"/>
            <w:gridSpan w:val="2"/>
            <w:noWrap w:val="0"/>
            <w:vAlign w:val="center"/>
          </w:tcPr>
          <w:p w14:paraId="7963E71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33D6FCC1">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项目总成本</w:t>
            </w:r>
          </w:p>
        </w:tc>
        <w:tc>
          <w:tcPr>
            <w:tcW w:w="4228" w:type="dxa"/>
            <w:gridSpan w:val="2"/>
            <w:noWrap w:val="0"/>
            <w:vAlign w:val="center"/>
          </w:tcPr>
          <w:p w14:paraId="3EC66FE6">
            <w:pPr>
              <w:keepNext w:val="0"/>
              <w:keepLines w:val="0"/>
              <w:widowControl/>
              <w:suppressLineNumbers w:val="0"/>
              <w:jc w:val="center"/>
              <w:textAlignment w:val="center"/>
              <w:rPr>
                <w:rFonts w:hint="default" w:ascii="宋体" w:cs="宋体"/>
                <w:sz w:val="18"/>
                <w:szCs w:val="18"/>
                <w:lang w:val="en-US"/>
              </w:rPr>
            </w:pPr>
            <w:r>
              <w:rPr>
                <w:rFonts w:hint="eastAsia" w:ascii="宋体" w:hAnsi="宋体" w:cs="宋体"/>
                <w:i w:val="0"/>
                <w:iCs w:val="0"/>
                <w:color w:val="000000"/>
                <w:kern w:val="0"/>
                <w:sz w:val="20"/>
                <w:szCs w:val="20"/>
                <w:u w:val="none"/>
                <w:lang w:val="en-US" w:eastAsia="zh-CN" w:bidi="ar"/>
              </w:rPr>
              <w:t>133.98万元</w:t>
            </w:r>
          </w:p>
        </w:tc>
      </w:tr>
      <w:tr w14:paraId="6F6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B7E0B5D">
            <w:pPr>
              <w:spacing w:line="260" w:lineRule="exact"/>
              <w:jc w:val="center"/>
              <w:rPr>
                <w:rFonts w:ascii="宋体" w:cs="宋体"/>
                <w:sz w:val="18"/>
                <w:szCs w:val="18"/>
              </w:rPr>
            </w:pPr>
          </w:p>
        </w:tc>
        <w:tc>
          <w:tcPr>
            <w:tcW w:w="723" w:type="dxa"/>
            <w:vMerge w:val="restart"/>
            <w:noWrap w:val="0"/>
            <w:vAlign w:val="center"/>
          </w:tcPr>
          <w:p w14:paraId="1362DC5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5D001AE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4229373F">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保障寿县高铁站正常运转</w:t>
            </w:r>
          </w:p>
        </w:tc>
        <w:tc>
          <w:tcPr>
            <w:tcW w:w="4228" w:type="dxa"/>
            <w:gridSpan w:val="2"/>
            <w:noWrap w:val="0"/>
            <w:vAlign w:val="center"/>
          </w:tcPr>
          <w:p w14:paraId="28C4875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高质量</w:t>
            </w:r>
          </w:p>
        </w:tc>
      </w:tr>
      <w:tr w14:paraId="489D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4B751B4">
            <w:pPr>
              <w:spacing w:line="260" w:lineRule="exact"/>
              <w:jc w:val="center"/>
              <w:rPr>
                <w:rFonts w:ascii="宋体" w:cs="宋体"/>
                <w:sz w:val="18"/>
                <w:szCs w:val="18"/>
              </w:rPr>
            </w:pPr>
          </w:p>
        </w:tc>
        <w:tc>
          <w:tcPr>
            <w:tcW w:w="723" w:type="dxa"/>
            <w:vMerge w:val="continue"/>
            <w:noWrap w:val="0"/>
            <w:vAlign w:val="center"/>
          </w:tcPr>
          <w:p w14:paraId="1D35072F">
            <w:pPr>
              <w:spacing w:line="260" w:lineRule="exact"/>
              <w:jc w:val="center"/>
              <w:rPr>
                <w:rFonts w:ascii="宋体" w:cs="宋体"/>
                <w:sz w:val="18"/>
                <w:szCs w:val="18"/>
              </w:rPr>
            </w:pPr>
          </w:p>
        </w:tc>
        <w:tc>
          <w:tcPr>
            <w:tcW w:w="759" w:type="dxa"/>
            <w:gridSpan w:val="2"/>
            <w:noWrap w:val="0"/>
            <w:vAlign w:val="center"/>
          </w:tcPr>
          <w:p w14:paraId="279BA05D">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26AD006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及时解决旅客问题，加大宣传，提高社会影响力</w:t>
            </w:r>
          </w:p>
        </w:tc>
        <w:tc>
          <w:tcPr>
            <w:tcW w:w="4228" w:type="dxa"/>
            <w:gridSpan w:val="2"/>
            <w:noWrap w:val="0"/>
            <w:vAlign w:val="center"/>
          </w:tcPr>
          <w:p w14:paraId="0C21F93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影响程度高</w:t>
            </w:r>
          </w:p>
        </w:tc>
      </w:tr>
      <w:tr w14:paraId="33C0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C73A4C7">
            <w:pPr>
              <w:spacing w:line="260" w:lineRule="exact"/>
              <w:jc w:val="center"/>
              <w:rPr>
                <w:rFonts w:ascii="宋体" w:cs="宋体"/>
                <w:sz w:val="18"/>
                <w:szCs w:val="18"/>
              </w:rPr>
            </w:pPr>
          </w:p>
        </w:tc>
        <w:tc>
          <w:tcPr>
            <w:tcW w:w="723" w:type="dxa"/>
            <w:vMerge w:val="continue"/>
            <w:noWrap w:val="0"/>
            <w:vAlign w:val="center"/>
          </w:tcPr>
          <w:p w14:paraId="2686011A">
            <w:pPr>
              <w:spacing w:line="260" w:lineRule="exact"/>
              <w:jc w:val="center"/>
              <w:rPr>
                <w:rFonts w:ascii="宋体" w:cs="宋体"/>
                <w:sz w:val="18"/>
                <w:szCs w:val="18"/>
              </w:rPr>
            </w:pPr>
          </w:p>
        </w:tc>
        <w:tc>
          <w:tcPr>
            <w:tcW w:w="759" w:type="dxa"/>
            <w:gridSpan w:val="2"/>
            <w:noWrap w:val="0"/>
            <w:vAlign w:val="center"/>
          </w:tcPr>
          <w:p w14:paraId="2BC66B4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79FC40AC">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保障寿县高铁站站前区域周边环境</w:t>
            </w:r>
          </w:p>
        </w:tc>
        <w:tc>
          <w:tcPr>
            <w:tcW w:w="4228" w:type="dxa"/>
            <w:gridSpan w:val="2"/>
            <w:noWrap w:val="0"/>
            <w:vAlign w:val="center"/>
          </w:tcPr>
          <w:p w14:paraId="4FB4FC13">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高质量</w:t>
            </w:r>
          </w:p>
        </w:tc>
      </w:tr>
      <w:tr w14:paraId="772B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14:paraId="3898EDF5">
            <w:pPr>
              <w:spacing w:line="260" w:lineRule="exact"/>
              <w:jc w:val="center"/>
              <w:rPr>
                <w:rFonts w:ascii="宋体" w:cs="宋体"/>
                <w:sz w:val="18"/>
                <w:szCs w:val="18"/>
              </w:rPr>
            </w:pPr>
          </w:p>
        </w:tc>
        <w:tc>
          <w:tcPr>
            <w:tcW w:w="723" w:type="dxa"/>
            <w:vMerge w:val="continue"/>
            <w:noWrap w:val="0"/>
            <w:vAlign w:val="center"/>
          </w:tcPr>
          <w:p w14:paraId="09FDA458">
            <w:pPr>
              <w:spacing w:line="260" w:lineRule="exact"/>
              <w:jc w:val="center"/>
              <w:rPr>
                <w:rFonts w:ascii="宋体" w:cs="宋体"/>
                <w:sz w:val="18"/>
                <w:szCs w:val="18"/>
              </w:rPr>
            </w:pPr>
          </w:p>
        </w:tc>
        <w:tc>
          <w:tcPr>
            <w:tcW w:w="759" w:type="dxa"/>
            <w:gridSpan w:val="2"/>
            <w:noWrap w:val="0"/>
            <w:vAlign w:val="center"/>
          </w:tcPr>
          <w:p w14:paraId="2FF368B2">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0F4DAF2A">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提高寿县高铁站整体水平，提高寿县高铁站形象</w:t>
            </w:r>
          </w:p>
        </w:tc>
        <w:tc>
          <w:tcPr>
            <w:tcW w:w="4228" w:type="dxa"/>
            <w:gridSpan w:val="2"/>
            <w:noWrap w:val="0"/>
            <w:vAlign w:val="center"/>
          </w:tcPr>
          <w:p w14:paraId="5B4EC2A9">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高水平</w:t>
            </w:r>
          </w:p>
        </w:tc>
      </w:tr>
      <w:tr w14:paraId="39AE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301A2B9">
            <w:pPr>
              <w:spacing w:line="260" w:lineRule="exact"/>
              <w:jc w:val="center"/>
              <w:rPr>
                <w:rFonts w:ascii="宋体" w:cs="宋体"/>
                <w:sz w:val="18"/>
                <w:szCs w:val="18"/>
              </w:rPr>
            </w:pPr>
          </w:p>
        </w:tc>
        <w:tc>
          <w:tcPr>
            <w:tcW w:w="723" w:type="dxa"/>
            <w:noWrap w:val="0"/>
            <w:vAlign w:val="center"/>
          </w:tcPr>
          <w:p w14:paraId="3988ED40">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50EF0B1E">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20105D86">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旅客满意度</w:t>
            </w:r>
          </w:p>
        </w:tc>
        <w:tc>
          <w:tcPr>
            <w:tcW w:w="4228" w:type="dxa"/>
            <w:gridSpan w:val="2"/>
            <w:noWrap w:val="0"/>
            <w:vAlign w:val="center"/>
          </w:tcPr>
          <w:p w14:paraId="0E5532CA">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高于95%</w:t>
            </w:r>
          </w:p>
        </w:tc>
      </w:tr>
    </w:tbl>
    <w:p w14:paraId="533211BC">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4EA8419B">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793B5005">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31CE9C7C">
      <w:pPr>
        <w:topLinePunct/>
        <w:adjustRightInd w:val="0"/>
        <w:snapToGrid w:val="0"/>
        <w:spacing w:line="560" w:lineRule="exact"/>
        <w:ind w:firstLine="643" w:firstLineChars="200"/>
        <w:rPr>
          <w:rFonts w:hint="eastAsia" w:ascii="仿宋_GB2312" w:hAnsi="TimesNewRoman" w:eastAsia="仿宋_GB2312" w:cs="TimesNewRoman"/>
          <w:b/>
          <w:sz w:val="32"/>
          <w:szCs w:val="32"/>
        </w:rPr>
      </w:pPr>
    </w:p>
    <w:p w14:paraId="0C6EF527">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2.“高铁站物业管理服务项目”项目。</w:t>
      </w:r>
    </w:p>
    <w:p w14:paraId="666628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640" w:firstLineChars="200"/>
        <w:jc w:val="both"/>
        <w:textAlignment w:val="auto"/>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kern w:val="2"/>
          <w:sz w:val="32"/>
          <w:szCs w:val="32"/>
          <w:lang w:val="en-US" w:eastAsia="zh-CN" w:bidi="ar-SA"/>
        </w:rPr>
        <w:t>高铁站管理区内道路保洁、客运综合楼、ppp项目综合楼楼宇物业服务(含会务服务和宿舍宾馆保洁等)、广场及保洁区域边缘外展部分等日常环卫保洁，重点区域综合安保巡防，重大活动和突发事件应急保障等相关工作。</w:t>
      </w:r>
    </w:p>
    <w:p w14:paraId="0AC7C8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4" w:lineRule="atLeast"/>
        <w:ind w:left="0" w:right="0" w:firstLine="51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kern w:val="2"/>
          <w:sz w:val="32"/>
          <w:szCs w:val="32"/>
          <w:lang w:val="en-US" w:eastAsia="zh-CN" w:bidi="ar-SA"/>
        </w:rPr>
        <w:t>寿司文审〔2019〕123号文件关于《关于寿县高铁站物业服务及运营费用纳入财政保障情况汇报》的审查报告、寿县人民政府常务会议纪要第46号（2019年）。</w:t>
      </w:r>
    </w:p>
    <w:p w14:paraId="69A62C9A">
      <w:pPr>
        <w:topLinePunct/>
        <w:spacing w:line="560" w:lineRule="exact"/>
        <w:ind w:firstLine="640" w:firstLineChars="200"/>
        <w:rPr>
          <w:rFonts w:hint="default" w:ascii="仿宋_GB2312" w:hAnsi="TimesNewRoman" w:eastAsia="仿宋_GB2312" w:cs="TimesNewRoman"/>
          <w:sz w:val="32"/>
          <w:szCs w:val="32"/>
          <w:u w:val="single"/>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val="en-US" w:eastAsia="zh-CN"/>
        </w:rPr>
        <w:t>寿县高铁站综合管理服务中心。</w:t>
      </w:r>
    </w:p>
    <w:p w14:paraId="7CB7B022">
      <w:pPr>
        <w:topLinePunct/>
        <w:adjustRightInd w:val="0"/>
        <w:snapToGrid w:val="0"/>
        <w:spacing w:line="56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val="en-US" w:eastAsia="zh-CN"/>
        </w:rPr>
        <w:t>2024年-2025年。</w:t>
      </w:r>
    </w:p>
    <w:p w14:paraId="383335B6">
      <w:pPr>
        <w:topLinePunct/>
        <w:spacing w:line="560" w:lineRule="exact"/>
        <w:ind w:firstLine="640" w:firstLineChars="200"/>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val="en-US" w:eastAsia="zh-CN"/>
        </w:rPr>
        <w:t>保障寿县高铁站站前区域正常运转。</w:t>
      </w:r>
    </w:p>
    <w:p w14:paraId="11ABB4BC">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val="en-US" w:eastAsia="zh-CN"/>
        </w:rPr>
        <w:t>2025年安排预算352.36万元。</w:t>
      </w:r>
    </w:p>
    <w:p w14:paraId="1B328415">
      <w:pPr>
        <w:topLinePunct/>
        <w:adjustRightInd w:val="0"/>
        <w:snapToGrid w:val="0"/>
        <w:spacing w:line="560" w:lineRule="exact"/>
        <w:ind w:firstLine="640" w:firstLineChars="200"/>
        <w:rPr>
          <w:rFonts w:hint="eastAsia" w:ascii="宋体" w:hAnsi="宋体" w:eastAsia="宋体" w:cs="宋体"/>
          <w:kern w:val="2"/>
          <w:sz w:val="28"/>
          <w:szCs w:val="36"/>
          <w:lang w:val="en-US" w:eastAsia="zh-CN" w:bidi="ar-SA"/>
        </w:rPr>
      </w:pPr>
      <w:r>
        <w:rPr>
          <w:rFonts w:hint="eastAsia" w:ascii="仿宋_GB2312" w:hAnsi="TimesNewRoman" w:eastAsia="仿宋_GB2312" w:cs="TimesNewRoman"/>
          <w:sz w:val="32"/>
          <w:szCs w:val="32"/>
        </w:rPr>
        <w:t>（7）绩效目标。</w:t>
      </w:r>
      <w:r>
        <w:rPr>
          <w:rFonts w:hint="eastAsia" w:ascii="仿宋_GB2312" w:hAnsi="TimesNewRoman" w:eastAsia="仿宋_GB2312" w:cs="TimesNewRoman"/>
          <w:kern w:val="2"/>
          <w:sz w:val="32"/>
          <w:szCs w:val="32"/>
          <w:lang w:val="en-US" w:eastAsia="zh-CN" w:bidi="ar-SA"/>
        </w:rPr>
        <w:t>做好高铁站管理区内道路保洁、客运综合楼物业服务、广场等日常环卫保洁，重点区域综合安保巡防，重大活动和突发事件应急保障等相关工作。</w:t>
      </w:r>
    </w:p>
    <w:p w14:paraId="1DF05F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p w14:paraId="6368FF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p w14:paraId="69AA51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p w14:paraId="2EA9EF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p w14:paraId="61398B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p w14:paraId="713F97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4" w:lineRule="atLeast"/>
        <w:ind w:left="0" w:right="0" w:firstLine="560" w:firstLineChars="200"/>
        <w:jc w:val="both"/>
        <w:textAlignment w:val="auto"/>
        <w:rPr>
          <w:rFonts w:hint="eastAsia" w:ascii="宋体" w:hAnsi="宋体" w:eastAsia="宋体" w:cs="宋体"/>
          <w:kern w:val="2"/>
          <w:sz w:val="28"/>
          <w:szCs w:val="36"/>
          <w:lang w:val="en-US" w:eastAsia="zh-CN" w:bidi="ar-SA"/>
        </w:rPr>
      </w:pPr>
    </w:p>
    <w:tbl>
      <w:tblPr>
        <w:tblStyle w:val="5"/>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0F05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3B91FBEE">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14:paraId="6C58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2CBEBFE0">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（2025年度）                                </w:t>
            </w:r>
          </w:p>
        </w:tc>
      </w:tr>
      <w:tr w14:paraId="4BDC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36ACF27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2E2849A4">
            <w:pPr>
              <w:spacing w:line="260" w:lineRule="exact"/>
              <w:jc w:val="center"/>
              <w:rPr>
                <w:rFonts w:ascii="宋体" w:cs="宋体"/>
                <w:sz w:val="18"/>
                <w:szCs w:val="18"/>
              </w:rPr>
            </w:pPr>
            <w:r>
              <w:rPr>
                <w:rFonts w:hint="eastAsia" w:ascii="宋体" w:cs="宋体"/>
                <w:sz w:val="18"/>
                <w:szCs w:val="18"/>
              </w:rPr>
              <w:t>高铁站物业管理服务项目</w:t>
            </w:r>
          </w:p>
        </w:tc>
      </w:tr>
      <w:tr w14:paraId="6FF0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4D1C206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349" w:type="dxa"/>
            <w:gridSpan w:val="2"/>
            <w:noWrap w:val="0"/>
            <w:vAlign w:val="center"/>
          </w:tcPr>
          <w:p w14:paraId="14A52DB8">
            <w:pPr>
              <w:spacing w:line="260" w:lineRule="exact"/>
              <w:jc w:val="center"/>
              <w:rPr>
                <w:rFonts w:ascii="宋体" w:cs="宋体"/>
                <w:sz w:val="18"/>
                <w:szCs w:val="18"/>
              </w:rPr>
            </w:pPr>
          </w:p>
        </w:tc>
        <w:tc>
          <w:tcPr>
            <w:tcW w:w="1848" w:type="dxa"/>
            <w:noWrap w:val="0"/>
            <w:vAlign w:val="center"/>
          </w:tcPr>
          <w:p w14:paraId="40042550">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2DA3568B">
            <w:pPr>
              <w:spacing w:line="260" w:lineRule="exact"/>
              <w:jc w:val="center"/>
              <w:rPr>
                <w:sz w:val="18"/>
                <w:szCs w:val="18"/>
              </w:rPr>
            </w:pPr>
            <w:r>
              <w:rPr>
                <w:rFonts w:hint="eastAsia"/>
                <w:sz w:val="18"/>
                <w:szCs w:val="18"/>
              </w:rPr>
              <w:t>寿县高铁站综合管理服务中心</w:t>
            </w:r>
          </w:p>
        </w:tc>
      </w:tr>
      <w:tr w14:paraId="448E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3CB4B1C0">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2DD009E5">
            <w:pPr>
              <w:spacing w:line="260" w:lineRule="exact"/>
              <w:jc w:val="center"/>
              <w:rPr>
                <w:rFonts w:ascii="宋体" w:cs="宋体"/>
                <w:sz w:val="18"/>
                <w:szCs w:val="18"/>
              </w:rPr>
            </w:pPr>
          </w:p>
        </w:tc>
        <w:tc>
          <w:tcPr>
            <w:tcW w:w="1848" w:type="dxa"/>
            <w:noWrap w:val="0"/>
            <w:vAlign w:val="center"/>
          </w:tcPr>
          <w:p w14:paraId="24D4ABF5">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173C065C">
            <w:pPr>
              <w:spacing w:line="260" w:lineRule="exact"/>
              <w:jc w:val="center"/>
              <w:rPr>
                <w:rFonts w:hint="default" w:eastAsia="宋体"/>
                <w:sz w:val="18"/>
                <w:szCs w:val="18"/>
                <w:lang w:val="en-US" w:eastAsia="zh-CN"/>
              </w:rPr>
            </w:pPr>
            <w:r>
              <w:rPr>
                <w:rFonts w:hint="eastAsia"/>
                <w:sz w:val="18"/>
                <w:szCs w:val="18"/>
                <w:lang w:val="en-US" w:eastAsia="zh-CN"/>
              </w:rPr>
              <w:t>2025年</w:t>
            </w:r>
          </w:p>
        </w:tc>
      </w:tr>
      <w:tr w14:paraId="49E6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376EDCA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613AF3EE">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6008060F">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352.36万元</w:t>
            </w:r>
          </w:p>
        </w:tc>
      </w:tr>
      <w:tr w14:paraId="5EAF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70B1A168">
            <w:pPr>
              <w:spacing w:line="260" w:lineRule="exact"/>
              <w:jc w:val="center"/>
              <w:rPr>
                <w:rFonts w:ascii="宋体" w:cs="宋体"/>
                <w:sz w:val="18"/>
                <w:szCs w:val="18"/>
              </w:rPr>
            </w:pPr>
          </w:p>
        </w:tc>
        <w:tc>
          <w:tcPr>
            <w:tcW w:w="3349" w:type="dxa"/>
            <w:gridSpan w:val="2"/>
            <w:noWrap w:val="0"/>
            <w:vAlign w:val="center"/>
          </w:tcPr>
          <w:p w14:paraId="07C5525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2E751214">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352.36万元</w:t>
            </w:r>
          </w:p>
        </w:tc>
      </w:tr>
      <w:tr w14:paraId="322A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7E4B7AD3">
            <w:pPr>
              <w:spacing w:line="260" w:lineRule="exact"/>
              <w:jc w:val="center"/>
              <w:rPr>
                <w:rFonts w:ascii="宋体" w:cs="宋体"/>
                <w:sz w:val="18"/>
                <w:szCs w:val="18"/>
              </w:rPr>
            </w:pPr>
          </w:p>
        </w:tc>
        <w:tc>
          <w:tcPr>
            <w:tcW w:w="3349" w:type="dxa"/>
            <w:gridSpan w:val="2"/>
            <w:noWrap w:val="0"/>
            <w:vAlign w:val="center"/>
          </w:tcPr>
          <w:p w14:paraId="67DFCE1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7C860D87">
            <w:pPr>
              <w:spacing w:line="260" w:lineRule="exact"/>
              <w:jc w:val="center"/>
              <w:rPr>
                <w:rFonts w:ascii="宋体" w:cs="宋体"/>
                <w:sz w:val="18"/>
                <w:szCs w:val="18"/>
              </w:rPr>
            </w:pPr>
          </w:p>
        </w:tc>
      </w:tr>
      <w:tr w14:paraId="7415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349C36E8">
            <w:pPr>
              <w:spacing w:line="260" w:lineRule="exact"/>
              <w:jc w:val="center"/>
              <w:rPr>
                <w:rFonts w:ascii="宋体" w:cs="宋体"/>
                <w:sz w:val="18"/>
                <w:szCs w:val="18"/>
              </w:rPr>
            </w:pPr>
          </w:p>
        </w:tc>
        <w:tc>
          <w:tcPr>
            <w:tcW w:w="3349" w:type="dxa"/>
            <w:gridSpan w:val="2"/>
            <w:noWrap w:val="0"/>
            <w:vAlign w:val="center"/>
          </w:tcPr>
          <w:p w14:paraId="28CF1A0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0504DECF">
            <w:pPr>
              <w:spacing w:line="260" w:lineRule="exact"/>
              <w:jc w:val="right"/>
              <w:rPr>
                <w:rFonts w:ascii="宋体" w:cs="宋体"/>
                <w:sz w:val="18"/>
                <w:szCs w:val="18"/>
              </w:rPr>
            </w:pPr>
          </w:p>
        </w:tc>
      </w:tr>
      <w:tr w14:paraId="77C7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08B9963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1EB017C7">
            <w:pPr>
              <w:spacing w:line="260" w:lineRule="exact"/>
              <w:jc w:val="left"/>
              <w:rPr>
                <w:rFonts w:ascii="宋体" w:cs="宋体"/>
                <w:sz w:val="18"/>
                <w:szCs w:val="18"/>
              </w:rPr>
            </w:pPr>
            <w:r>
              <w:rPr>
                <w:rFonts w:hint="eastAsia" w:ascii="宋体" w:cs="宋体"/>
                <w:sz w:val="18"/>
                <w:szCs w:val="18"/>
              </w:rPr>
              <w:t>寿县高铁站站前区域物业管理服务，包括落客平台、PPP项目、站前广场、站东路、站西路、综合客运枢纽、S102站前广场路段等区域物业管理服务</w:t>
            </w:r>
          </w:p>
        </w:tc>
      </w:tr>
      <w:tr w14:paraId="1FA5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46AE347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75155D0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59EB187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2E84862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4739E2F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6CEE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F25E465">
            <w:pPr>
              <w:spacing w:line="260" w:lineRule="exact"/>
              <w:jc w:val="center"/>
              <w:rPr>
                <w:rFonts w:ascii="宋体" w:cs="宋体"/>
                <w:sz w:val="18"/>
                <w:szCs w:val="18"/>
              </w:rPr>
            </w:pPr>
          </w:p>
        </w:tc>
        <w:tc>
          <w:tcPr>
            <w:tcW w:w="723" w:type="dxa"/>
            <w:vMerge w:val="restart"/>
            <w:noWrap w:val="0"/>
            <w:vAlign w:val="center"/>
          </w:tcPr>
          <w:p w14:paraId="51B22B6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1FF09DC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02DD736A">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排查安全隐患，保障高铁站站区安全</w:t>
            </w:r>
          </w:p>
        </w:tc>
        <w:tc>
          <w:tcPr>
            <w:tcW w:w="4228" w:type="dxa"/>
            <w:gridSpan w:val="2"/>
            <w:noWrap w:val="0"/>
            <w:vAlign w:val="center"/>
          </w:tcPr>
          <w:p w14:paraId="72F31127">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每日</w:t>
            </w:r>
          </w:p>
        </w:tc>
      </w:tr>
      <w:tr w14:paraId="34AD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C1499D7">
            <w:pPr>
              <w:spacing w:line="260" w:lineRule="exact"/>
              <w:jc w:val="center"/>
              <w:rPr>
                <w:rFonts w:ascii="宋体" w:cs="宋体"/>
                <w:sz w:val="18"/>
                <w:szCs w:val="18"/>
              </w:rPr>
            </w:pPr>
          </w:p>
        </w:tc>
        <w:tc>
          <w:tcPr>
            <w:tcW w:w="723" w:type="dxa"/>
            <w:vMerge w:val="continue"/>
            <w:noWrap w:val="0"/>
            <w:vAlign w:val="center"/>
          </w:tcPr>
          <w:p w14:paraId="096B19D2">
            <w:pPr>
              <w:spacing w:line="260" w:lineRule="exact"/>
              <w:jc w:val="center"/>
              <w:rPr>
                <w:rFonts w:ascii="宋体" w:cs="宋体"/>
                <w:sz w:val="18"/>
                <w:szCs w:val="18"/>
              </w:rPr>
            </w:pPr>
          </w:p>
        </w:tc>
        <w:tc>
          <w:tcPr>
            <w:tcW w:w="759" w:type="dxa"/>
            <w:gridSpan w:val="2"/>
            <w:vMerge w:val="continue"/>
            <w:noWrap w:val="0"/>
            <w:vAlign w:val="center"/>
          </w:tcPr>
          <w:p w14:paraId="3C736810">
            <w:pPr>
              <w:spacing w:line="260" w:lineRule="exact"/>
              <w:jc w:val="center"/>
              <w:rPr>
                <w:rFonts w:ascii="宋体" w:cs="宋体"/>
                <w:sz w:val="18"/>
                <w:szCs w:val="18"/>
              </w:rPr>
            </w:pPr>
          </w:p>
        </w:tc>
        <w:tc>
          <w:tcPr>
            <w:tcW w:w="2872" w:type="dxa"/>
            <w:noWrap w:val="0"/>
            <w:vAlign w:val="center"/>
          </w:tcPr>
          <w:p w14:paraId="14DB0FC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保障高铁站区域卫生干净整洁</w:t>
            </w:r>
          </w:p>
        </w:tc>
        <w:tc>
          <w:tcPr>
            <w:tcW w:w="4228" w:type="dxa"/>
            <w:gridSpan w:val="2"/>
            <w:noWrap w:val="0"/>
            <w:vAlign w:val="center"/>
          </w:tcPr>
          <w:p w14:paraId="1B6786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全天候</w:t>
            </w:r>
          </w:p>
        </w:tc>
      </w:tr>
      <w:tr w14:paraId="679B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CBA85EA">
            <w:pPr>
              <w:spacing w:line="260" w:lineRule="exact"/>
              <w:jc w:val="center"/>
              <w:rPr>
                <w:rFonts w:ascii="宋体" w:cs="宋体"/>
                <w:sz w:val="18"/>
                <w:szCs w:val="18"/>
              </w:rPr>
            </w:pPr>
          </w:p>
        </w:tc>
        <w:tc>
          <w:tcPr>
            <w:tcW w:w="723" w:type="dxa"/>
            <w:vMerge w:val="continue"/>
            <w:noWrap w:val="0"/>
            <w:vAlign w:val="center"/>
          </w:tcPr>
          <w:p w14:paraId="0F6CDC42">
            <w:pPr>
              <w:spacing w:line="260" w:lineRule="exact"/>
              <w:jc w:val="center"/>
              <w:rPr>
                <w:rFonts w:ascii="宋体" w:cs="宋体"/>
                <w:sz w:val="18"/>
                <w:szCs w:val="18"/>
              </w:rPr>
            </w:pPr>
          </w:p>
        </w:tc>
        <w:tc>
          <w:tcPr>
            <w:tcW w:w="759" w:type="dxa"/>
            <w:gridSpan w:val="2"/>
            <w:noWrap w:val="0"/>
            <w:vAlign w:val="center"/>
          </w:tcPr>
          <w:p w14:paraId="6F9C20E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78CF1F78">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为旅客提供满意的服务，保障高铁站正常运营</w:t>
            </w:r>
          </w:p>
        </w:tc>
        <w:tc>
          <w:tcPr>
            <w:tcW w:w="4228" w:type="dxa"/>
            <w:gridSpan w:val="2"/>
            <w:noWrap w:val="0"/>
            <w:vAlign w:val="center"/>
          </w:tcPr>
          <w:p w14:paraId="4E01E03D">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高水平</w:t>
            </w:r>
          </w:p>
        </w:tc>
      </w:tr>
      <w:tr w14:paraId="730A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AEE95C2">
            <w:pPr>
              <w:spacing w:line="260" w:lineRule="exact"/>
              <w:jc w:val="center"/>
              <w:rPr>
                <w:rFonts w:ascii="宋体" w:cs="宋体"/>
                <w:sz w:val="18"/>
                <w:szCs w:val="18"/>
              </w:rPr>
            </w:pPr>
          </w:p>
        </w:tc>
        <w:tc>
          <w:tcPr>
            <w:tcW w:w="723" w:type="dxa"/>
            <w:vMerge w:val="continue"/>
            <w:noWrap w:val="0"/>
            <w:vAlign w:val="center"/>
          </w:tcPr>
          <w:p w14:paraId="18669870">
            <w:pPr>
              <w:spacing w:line="260" w:lineRule="exact"/>
              <w:jc w:val="center"/>
              <w:rPr>
                <w:rFonts w:ascii="宋体" w:cs="宋体"/>
                <w:sz w:val="18"/>
                <w:szCs w:val="18"/>
              </w:rPr>
            </w:pPr>
          </w:p>
        </w:tc>
        <w:tc>
          <w:tcPr>
            <w:tcW w:w="759" w:type="dxa"/>
            <w:gridSpan w:val="2"/>
            <w:noWrap w:val="0"/>
            <w:vAlign w:val="center"/>
          </w:tcPr>
          <w:p w14:paraId="55BA317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6E4072E6">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完成全年工作</w:t>
            </w:r>
          </w:p>
        </w:tc>
        <w:tc>
          <w:tcPr>
            <w:tcW w:w="4228" w:type="dxa"/>
            <w:gridSpan w:val="2"/>
            <w:noWrap w:val="0"/>
            <w:vAlign w:val="center"/>
          </w:tcPr>
          <w:p w14:paraId="74DDF9B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1年</w:t>
            </w:r>
          </w:p>
        </w:tc>
      </w:tr>
      <w:tr w14:paraId="4A1F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491211B">
            <w:pPr>
              <w:spacing w:line="260" w:lineRule="exact"/>
              <w:jc w:val="center"/>
              <w:rPr>
                <w:rFonts w:ascii="宋体" w:cs="宋体"/>
                <w:sz w:val="18"/>
                <w:szCs w:val="18"/>
              </w:rPr>
            </w:pPr>
          </w:p>
        </w:tc>
        <w:tc>
          <w:tcPr>
            <w:tcW w:w="723" w:type="dxa"/>
            <w:vMerge w:val="continue"/>
            <w:noWrap w:val="0"/>
            <w:vAlign w:val="center"/>
          </w:tcPr>
          <w:p w14:paraId="7FECD68E">
            <w:pPr>
              <w:spacing w:line="260" w:lineRule="exact"/>
              <w:jc w:val="center"/>
              <w:rPr>
                <w:rFonts w:ascii="宋体" w:cs="宋体"/>
                <w:sz w:val="18"/>
                <w:szCs w:val="18"/>
              </w:rPr>
            </w:pPr>
          </w:p>
        </w:tc>
        <w:tc>
          <w:tcPr>
            <w:tcW w:w="759" w:type="dxa"/>
            <w:gridSpan w:val="2"/>
            <w:noWrap w:val="0"/>
            <w:vAlign w:val="center"/>
          </w:tcPr>
          <w:p w14:paraId="3113A01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261B634D">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项目总成本</w:t>
            </w:r>
          </w:p>
        </w:tc>
        <w:tc>
          <w:tcPr>
            <w:tcW w:w="4228" w:type="dxa"/>
            <w:gridSpan w:val="2"/>
            <w:noWrap w:val="0"/>
            <w:vAlign w:val="center"/>
          </w:tcPr>
          <w:p w14:paraId="41456FAE">
            <w:pPr>
              <w:keepNext w:val="0"/>
              <w:keepLines w:val="0"/>
              <w:widowControl/>
              <w:suppressLineNumbers w:val="0"/>
              <w:jc w:val="center"/>
              <w:textAlignment w:val="center"/>
              <w:rPr>
                <w:rFonts w:hint="default" w:ascii="宋体" w:cs="宋体"/>
                <w:sz w:val="18"/>
                <w:szCs w:val="18"/>
                <w:lang w:val="en-US"/>
              </w:rPr>
            </w:pPr>
            <w:r>
              <w:rPr>
                <w:rFonts w:hint="eastAsia" w:ascii="宋体" w:hAnsi="宋体" w:cs="宋体"/>
                <w:i w:val="0"/>
                <w:iCs w:val="0"/>
                <w:color w:val="000000"/>
                <w:kern w:val="0"/>
                <w:sz w:val="20"/>
                <w:szCs w:val="20"/>
                <w:u w:val="none"/>
                <w:lang w:val="en-US" w:eastAsia="zh-CN" w:bidi="ar"/>
              </w:rPr>
              <w:t>352.36万元</w:t>
            </w:r>
          </w:p>
        </w:tc>
      </w:tr>
      <w:tr w14:paraId="2B50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6DC6A97">
            <w:pPr>
              <w:spacing w:line="260" w:lineRule="exact"/>
              <w:jc w:val="center"/>
              <w:rPr>
                <w:rFonts w:ascii="宋体" w:cs="宋体"/>
                <w:sz w:val="18"/>
                <w:szCs w:val="18"/>
              </w:rPr>
            </w:pPr>
          </w:p>
        </w:tc>
        <w:tc>
          <w:tcPr>
            <w:tcW w:w="723" w:type="dxa"/>
            <w:vMerge w:val="restart"/>
            <w:noWrap w:val="0"/>
            <w:vAlign w:val="center"/>
          </w:tcPr>
          <w:p w14:paraId="14A299B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noWrap w:val="0"/>
            <w:vAlign w:val="center"/>
          </w:tcPr>
          <w:p w14:paraId="72BF5C6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70FB53F9">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提供就业岗位</w:t>
            </w:r>
          </w:p>
        </w:tc>
        <w:tc>
          <w:tcPr>
            <w:tcW w:w="4228" w:type="dxa"/>
            <w:gridSpan w:val="2"/>
            <w:noWrap w:val="0"/>
            <w:vAlign w:val="center"/>
          </w:tcPr>
          <w:p w14:paraId="7FBD07F8">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高质量</w:t>
            </w:r>
          </w:p>
        </w:tc>
      </w:tr>
      <w:tr w14:paraId="65E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2F423FC">
            <w:pPr>
              <w:spacing w:line="260" w:lineRule="exact"/>
              <w:jc w:val="center"/>
              <w:rPr>
                <w:rFonts w:ascii="宋体" w:cs="宋体"/>
                <w:sz w:val="18"/>
                <w:szCs w:val="18"/>
              </w:rPr>
            </w:pPr>
          </w:p>
        </w:tc>
        <w:tc>
          <w:tcPr>
            <w:tcW w:w="723" w:type="dxa"/>
            <w:vMerge w:val="continue"/>
            <w:noWrap w:val="0"/>
            <w:vAlign w:val="center"/>
          </w:tcPr>
          <w:p w14:paraId="3C446802">
            <w:pPr>
              <w:spacing w:line="260" w:lineRule="exact"/>
              <w:jc w:val="center"/>
              <w:rPr>
                <w:rFonts w:ascii="宋体" w:cs="宋体"/>
                <w:sz w:val="18"/>
                <w:szCs w:val="18"/>
              </w:rPr>
            </w:pPr>
          </w:p>
        </w:tc>
        <w:tc>
          <w:tcPr>
            <w:tcW w:w="759" w:type="dxa"/>
            <w:gridSpan w:val="2"/>
            <w:noWrap w:val="0"/>
            <w:vAlign w:val="center"/>
          </w:tcPr>
          <w:p w14:paraId="698142A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2444CCB4">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及时解决旅客问题，加大宣传，提高社会影响力</w:t>
            </w:r>
          </w:p>
        </w:tc>
        <w:tc>
          <w:tcPr>
            <w:tcW w:w="4228" w:type="dxa"/>
            <w:gridSpan w:val="2"/>
            <w:noWrap w:val="0"/>
            <w:vAlign w:val="center"/>
          </w:tcPr>
          <w:p w14:paraId="07B7582E">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影响程度高</w:t>
            </w:r>
          </w:p>
        </w:tc>
      </w:tr>
      <w:tr w14:paraId="72ED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05B9F7B">
            <w:pPr>
              <w:spacing w:line="260" w:lineRule="exact"/>
              <w:jc w:val="center"/>
              <w:rPr>
                <w:rFonts w:ascii="宋体" w:cs="宋体"/>
                <w:sz w:val="18"/>
                <w:szCs w:val="18"/>
              </w:rPr>
            </w:pPr>
          </w:p>
        </w:tc>
        <w:tc>
          <w:tcPr>
            <w:tcW w:w="723" w:type="dxa"/>
            <w:vMerge w:val="continue"/>
            <w:noWrap w:val="0"/>
            <w:vAlign w:val="center"/>
          </w:tcPr>
          <w:p w14:paraId="3E760305">
            <w:pPr>
              <w:spacing w:line="260" w:lineRule="exact"/>
              <w:jc w:val="center"/>
              <w:rPr>
                <w:rFonts w:ascii="宋体" w:cs="宋体"/>
                <w:sz w:val="18"/>
                <w:szCs w:val="18"/>
              </w:rPr>
            </w:pPr>
          </w:p>
        </w:tc>
        <w:tc>
          <w:tcPr>
            <w:tcW w:w="759" w:type="dxa"/>
            <w:gridSpan w:val="2"/>
            <w:noWrap w:val="0"/>
            <w:vAlign w:val="center"/>
          </w:tcPr>
          <w:p w14:paraId="69450EC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7BAEBE20">
            <w:pPr>
              <w:keepNext w:val="0"/>
              <w:keepLines w:val="0"/>
              <w:widowControl/>
              <w:suppressLineNumbers w:val="0"/>
              <w:jc w:val="left"/>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保障寿县高铁站站前区域周边环境</w:t>
            </w:r>
          </w:p>
        </w:tc>
        <w:tc>
          <w:tcPr>
            <w:tcW w:w="4228" w:type="dxa"/>
            <w:gridSpan w:val="2"/>
            <w:noWrap w:val="0"/>
            <w:vAlign w:val="center"/>
          </w:tcPr>
          <w:p w14:paraId="35915726">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高质量</w:t>
            </w:r>
          </w:p>
        </w:tc>
      </w:tr>
      <w:tr w14:paraId="4763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14:paraId="7A610223">
            <w:pPr>
              <w:spacing w:line="260" w:lineRule="exact"/>
              <w:jc w:val="center"/>
              <w:rPr>
                <w:rFonts w:ascii="宋体" w:cs="宋体"/>
                <w:sz w:val="18"/>
                <w:szCs w:val="18"/>
              </w:rPr>
            </w:pPr>
          </w:p>
        </w:tc>
        <w:tc>
          <w:tcPr>
            <w:tcW w:w="723" w:type="dxa"/>
            <w:vMerge w:val="continue"/>
            <w:noWrap w:val="0"/>
            <w:vAlign w:val="center"/>
          </w:tcPr>
          <w:p w14:paraId="6B441C95">
            <w:pPr>
              <w:spacing w:line="260" w:lineRule="exact"/>
              <w:jc w:val="center"/>
              <w:rPr>
                <w:rFonts w:ascii="宋体" w:cs="宋体"/>
                <w:sz w:val="18"/>
                <w:szCs w:val="18"/>
              </w:rPr>
            </w:pPr>
          </w:p>
        </w:tc>
        <w:tc>
          <w:tcPr>
            <w:tcW w:w="759" w:type="dxa"/>
            <w:gridSpan w:val="2"/>
            <w:noWrap w:val="0"/>
            <w:vAlign w:val="center"/>
          </w:tcPr>
          <w:p w14:paraId="43A6AF84">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09A4F4A2">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提高寿县高铁站整体水平，提高寿县高铁站形象</w:t>
            </w:r>
          </w:p>
        </w:tc>
        <w:tc>
          <w:tcPr>
            <w:tcW w:w="4228" w:type="dxa"/>
            <w:gridSpan w:val="2"/>
            <w:noWrap w:val="0"/>
            <w:vAlign w:val="center"/>
          </w:tcPr>
          <w:p w14:paraId="207628EF">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高水平</w:t>
            </w:r>
          </w:p>
        </w:tc>
      </w:tr>
      <w:tr w14:paraId="1796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EDEC2F9">
            <w:pPr>
              <w:spacing w:line="260" w:lineRule="exact"/>
              <w:jc w:val="center"/>
              <w:rPr>
                <w:rFonts w:ascii="宋体" w:cs="宋体"/>
                <w:sz w:val="18"/>
                <w:szCs w:val="18"/>
              </w:rPr>
            </w:pPr>
          </w:p>
        </w:tc>
        <w:tc>
          <w:tcPr>
            <w:tcW w:w="723" w:type="dxa"/>
            <w:noWrap w:val="0"/>
            <w:vAlign w:val="center"/>
          </w:tcPr>
          <w:p w14:paraId="5D18151C">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noWrap w:val="0"/>
            <w:vAlign w:val="center"/>
          </w:tcPr>
          <w:p w14:paraId="4A3610E8">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1A6B1449">
            <w:pPr>
              <w:keepNext w:val="0"/>
              <w:keepLines w:val="0"/>
              <w:widowControl/>
              <w:suppressLineNumbers w:val="0"/>
              <w:jc w:val="left"/>
              <w:textAlignment w:val="center"/>
              <w:rPr>
                <w:rFonts w:hint="eastAsia" w:ascii="宋体" w:hAnsi="宋体" w:cs="宋体"/>
                <w:sz w:val="18"/>
                <w:szCs w:val="18"/>
              </w:rPr>
            </w:pPr>
            <w:r>
              <w:rPr>
                <w:rFonts w:hint="eastAsia" w:ascii="宋体" w:hAnsi="宋体" w:eastAsia="宋体" w:cs="宋体"/>
                <w:i w:val="0"/>
                <w:iCs w:val="0"/>
                <w:color w:val="000000"/>
                <w:kern w:val="0"/>
                <w:sz w:val="20"/>
                <w:szCs w:val="20"/>
                <w:u w:val="none"/>
                <w:lang w:val="en-US" w:eastAsia="zh-CN" w:bidi="ar"/>
              </w:rPr>
              <w:t>旅客满意度</w:t>
            </w:r>
          </w:p>
        </w:tc>
        <w:tc>
          <w:tcPr>
            <w:tcW w:w="4228" w:type="dxa"/>
            <w:gridSpan w:val="2"/>
            <w:noWrap w:val="0"/>
            <w:vAlign w:val="center"/>
          </w:tcPr>
          <w:p w14:paraId="1CC36CCC">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iCs w:val="0"/>
                <w:color w:val="000000"/>
                <w:kern w:val="0"/>
                <w:sz w:val="20"/>
                <w:szCs w:val="20"/>
                <w:u w:val="none"/>
                <w:lang w:val="en-US" w:eastAsia="zh-CN" w:bidi="ar"/>
              </w:rPr>
              <w:t>高于95%</w:t>
            </w:r>
          </w:p>
        </w:tc>
      </w:tr>
    </w:tbl>
    <w:p w14:paraId="6E5B584C">
      <w:pPr>
        <w:topLinePunct/>
        <w:adjustRightInd w:val="0"/>
        <w:snapToGrid w:val="0"/>
        <w:spacing w:line="560" w:lineRule="exact"/>
        <w:ind w:firstLine="640" w:firstLineChars="200"/>
        <w:rPr>
          <w:rFonts w:hint="eastAsia" w:ascii="仿宋_GB2312" w:hAnsi="TimesNewRoman" w:eastAsia="仿宋_GB2312" w:cs="TimesNewRoman"/>
          <w:sz w:val="32"/>
          <w:szCs w:val="32"/>
        </w:rPr>
      </w:pPr>
    </w:p>
    <w:p w14:paraId="5E3AF507">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08ACA26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高铁站综合管理服务中心</w:t>
      </w:r>
      <w:r>
        <w:rPr>
          <w:rFonts w:hint="eastAsia" w:ascii="仿宋_GB2312" w:hAnsi="TimesNewRoman" w:eastAsia="仿宋_GB2312" w:cs="TimesNewRoman"/>
          <w:sz w:val="32"/>
          <w:szCs w:val="32"/>
        </w:rPr>
        <w:t>为非参照公务员法管理的事业单位，按照部门预算机关运行经费口径，2025年无机关运行经费财政拨款预算。</w:t>
      </w:r>
    </w:p>
    <w:p w14:paraId="292111D5">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3F60E37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高铁站综合管理服务中心</w:t>
      </w:r>
      <w:r>
        <w:rPr>
          <w:rFonts w:hint="eastAsia" w:ascii="仿宋_GB2312" w:hAnsi="TimesNewRoman" w:eastAsia="仿宋_GB2312" w:cs="TimesNewRoman"/>
          <w:sz w:val="32"/>
          <w:szCs w:val="32"/>
        </w:rPr>
        <w:t>2025年政府采购预算</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万元。其中：政府采购货物预算</w:t>
      </w:r>
      <w:r>
        <w:rPr>
          <w:rFonts w:hint="eastAsia" w:ascii="仿宋_GB2312" w:hAnsi="TimesNewRoman" w:eastAsia="仿宋_GB2312" w:cs="TimesNewRoman"/>
          <w:sz w:val="32"/>
          <w:szCs w:val="32"/>
          <w:lang w:val="en-US" w:eastAsia="zh-CN"/>
        </w:rPr>
        <w:t>0.6</w:t>
      </w:r>
      <w:r>
        <w:rPr>
          <w:rFonts w:hint="eastAsia" w:ascii="仿宋_GB2312" w:hAnsi="TimesNewRoman" w:eastAsia="仿宋_GB2312" w:cs="TimesNewRoman"/>
          <w:sz w:val="32"/>
          <w:szCs w:val="32"/>
        </w:rPr>
        <w:t>万元，政府采购工程预算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万元，政府采购服务预算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3F59779B">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14:paraId="083A902A">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截至2024年12月31日，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高铁站综合管理服务中心</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1B9F368A">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w:t>
      </w:r>
      <w:r>
        <w:rPr>
          <w:rFonts w:hint="eastAsia" w:ascii="仿宋_GB2312" w:hAnsi="TimesNewRoman" w:eastAsia="仿宋_GB2312" w:cs="TimesNewRoman"/>
          <w:sz w:val="32"/>
          <w:szCs w:val="32"/>
          <w:lang w:val="en-US" w:eastAsia="zh-CN"/>
        </w:rPr>
        <w:t>寿县高铁站综合管理服务中心</w:t>
      </w:r>
      <w:r>
        <w:rPr>
          <w:rFonts w:hint="eastAsia" w:ascii="仿宋_GB2312" w:hAnsi="TimesNewRoman" w:eastAsia="仿宋_GB2312" w:cs="TimesNewRoman"/>
          <w:sz w:val="32"/>
          <w:szCs w:val="32"/>
        </w:rPr>
        <w:t>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0万</w:t>
      </w:r>
      <w:r>
        <w:rPr>
          <w:rFonts w:hint="eastAsia" w:ascii="仿宋_GB2312" w:hAnsi="TimesNewRoman" w:eastAsia="仿宋_GB2312" w:cs="TimesNewRoman"/>
          <w:sz w:val="32"/>
          <w:szCs w:val="32"/>
        </w:rPr>
        <w:t>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42967931">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7DE6E36C">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2025年，</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高铁站综合管理服务中心</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486.34</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14:paraId="464DD5BC">
      <w:pPr>
        <w:topLinePunct/>
        <w:adjustRightInd w:val="0"/>
        <w:snapToGrid w:val="0"/>
        <w:spacing w:line="560" w:lineRule="exact"/>
        <w:rPr>
          <w:rFonts w:ascii="TimesNewRoman" w:hAnsi="TimesNewRoman" w:eastAsia="黑体" w:cs="TimesNewRoman"/>
          <w:sz w:val="36"/>
          <w:szCs w:val="36"/>
        </w:rPr>
      </w:pPr>
    </w:p>
    <w:p w14:paraId="37A07122">
      <w:pPr>
        <w:topLinePunct/>
        <w:adjustRightInd w:val="0"/>
        <w:snapToGrid w:val="0"/>
        <w:spacing w:line="560" w:lineRule="exact"/>
        <w:jc w:val="center"/>
        <w:rPr>
          <w:rFonts w:ascii="TimesNewRoman" w:hAnsi="TimesNewRoman" w:eastAsia="黑体" w:cs="TimesNewRoman"/>
          <w:sz w:val="36"/>
          <w:szCs w:val="36"/>
        </w:rPr>
      </w:pPr>
    </w:p>
    <w:p w14:paraId="1F395701">
      <w:pPr>
        <w:topLinePunct/>
        <w:adjustRightInd w:val="0"/>
        <w:snapToGrid w:val="0"/>
        <w:spacing w:line="560" w:lineRule="exact"/>
        <w:jc w:val="center"/>
        <w:rPr>
          <w:rFonts w:ascii="TimesNewRoman" w:hAnsi="TimesNewRoman" w:eastAsia="黑体" w:cs="TimesNewRoman"/>
          <w:sz w:val="36"/>
          <w:szCs w:val="36"/>
        </w:rPr>
      </w:pPr>
    </w:p>
    <w:p w14:paraId="206EE775">
      <w:pPr>
        <w:topLinePunct/>
        <w:adjustRightInd w:val="0"/>
        <w:snapToGrid w:val="0"/>
        <w:spacing w:line="560" w:lineRule="exact"/>
        <w:jc w:val="center"/>
        <w:rPr>
          <w:rFonts w:ascii="TimesNewRoman" w:hAnsi="TimesNewRoman" w:eastAsia="黑体" w:cs="TimesNewRoman"/>
          <w:sz w:val="36"/>
          <w:szCs w:val="36"/>
        </w:rPr>
      </w:pPr>
    </w:p>
    <w:p w14:paraId="22FB12B7">
      <w:pPr>
        <w:topLinePunct/>
        <w:adjustRightInd w:val="0"/>
        <w:snapToGrid w:val="0"/>
        <w:spacing w:line="560" w:lineRule="exact"/>
        <w:jc w:val="center"/>
        <w:rPr>
          <w:rFonts w:ascii="TimesNewRoman" w:hAnsi="TimesNewRoman" w:eastAsia="黑体" w:cs="TimesNewRoman"/>
          <w:sz w:val="36"/>
          <w:szCs w:val="36"/>
        </w:rPr>
      </w:pPr>
    </w:p>
    <w:p w14:paraId="66525140">
      <w:pPr>
        <w:topLinePunct/>
        <w:adjustRightInd w:val="0"/>
        <w:snapToGrid w:val="0"/>
        <w:spacing w:line="560" w:lineRule="exact"/>
        <w:jc w:val="center"/>
        <w:rPr>
          <w:rFonts w:ascii="TimesNewRoman" w:hAnsi="TimesNewRoman" w:eastAsia="黑体" w:cs="TimesNewRoman"/>
          <w:sz w:val="36"/>
          <w:szCs w:val="36"/>
        </w:rPr>
      </w:pPr>
    </w:p>
    <w:p w14:paraId="4D439853">
      <w:pPr>
        <w:topLinePunct/>
        <w:adjustRightInd w:val="0"/>
        <w:snapToGrid w:val="0"/>
        <w:spacing w:line="560" w:lineRule="exact"/>
        <w:jc w:val="both"/>
        <w:rPr>
          <w:rFonts w:ascii="TimesNewRoman" w:hAnsi="TimesNewRoman" w:eastAsia="黑体" w:cs="TimesNewRoman"/>
          <w:sz w:val="36"/>
          <w:szCs w:val="36"/>
        </w:rPr>
      </w:pPr>
    </w:p>
    <w:p w14:paraId="24C2267E">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577DD1AC">
      <w:pPr>
        <w:topLinePunct/>
        <w:adjustRightInd w:val="0"/>
        <w:snapToGrid w:val="0"/>
        <w:spacing w:line="560" w:lineRule="exact"/>
        <w:rPr>
          <w:rFonts w:ascii="TimesNewRoman" w:hAnsi="TimesNewRoman" w:eastAsia="黑体" w:cs="TimesNewRoman"/>
          <w:szCs w:val="32"/>
        </w:rPr>
      </w:pPr>
    </w:p>
    <w:p w14:paraId="2253478D">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指部门或单位从同级财政部门取得的财政预算资金。</w:t>
      </w:r>
    </w:p>
    <w:p w14:paraId="18149A82">
      <w:pPr>
        <w:pStyle w:val="4"/>
        <w:topLinePunct/>
        <w:adjustRightInd w:val="0"/>
        <w:snapToGrid w:val="0"/>
        <w:spacing w:beforeAutospacing="0" w:afterAutospacing="0" w:line="560" w:lineRule="exact"/>
        <w:ind w:firstLine="627" w:firstLineChars="196"/>
        <w:jc w:val="both"/>
        <w:rPr>
          <w:rFonts w:ascii="TimesNewRoman" w:hAnsi="TimesNewRoman" w:eastAsia="黑体" w:cs="TimesNewRoman"/>
          <w:sz w:val="32"/>
          <w:szCs w:val="32"/>
        </w:rPr>
      </w:pPr>
      <w:r>
        <w:rPr>
          <w:rFonts w:ascii="楷体_GB2312" w:hAnsi="TimesNewRoman" w:eastAsia="楷体_GB2312" w:cs="TimesNewRoman"/>
          <w:kern w:val="2"/>
          <w:sz w:val="32"/>
          <w:szCs w:val="32"/>
        </w:rPr>
        <w:t>二、事业收入：</w:t>
      </w:r>
      <w:r>
        <w:rPr>
          <w:rFonts w:ascii="TimesNewRoman" w:hAnsi="TimesNewRoman" w:eastAsia="仿宋_GB2312" w:cs="TimesNewRoman"/>
          <w:sz w:val="32"/>
          <w:szCs w:val="32"/>
        </w:rPr>
        <w:t>指事业单位开展专业业务活动及辅助活动所取得的收入。</w:t>
      </w:r>
    </w:p>
    <w:p w14:paraId="50AB0192">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三、财政专户管理资金：</w:t>
      </w:r>
      <w:r>
        <w:rPr>
          <w:rFonts w:ascii="TimesNewRoman" w:hAnsi="TimesNewRoman" w:eastAsia="仿宋_GB2312" w:cs="TimesNewRoman"/>
          <w:sz w:val="32"/>
          <w:szCs w:val="32"/>
        </w:rPr>
        <w:t>指按照非税收入管理相关规定，纳入财政专户管理的教育收费等。</w:t>
      </w:r>
    </w:p>
    <w:p w14:paraId="2C2DEDA6">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四、事业单位经营收入：</w:t>
      </w:r>
      <w:r>
        <w:rPr>
          <w:rFonts w:ascii="TimesNewRoman" w:hAnsi="TimesNewRoman" w:eastAsia="仿宋_GB2312" w:cs="TimesNewRoman"/>
          <w:sz w:val="32"/>
          <w:szCs w:val="32"/>
        </w:rPr>
        <w:t>指事业单位在专业业务活动及其辅助活动之外开展非独立核算经营活动取得的收入。</w:t>
      </w:r>
    </w:p>
    <w:p w14:paraId="619EB0FA">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五、附属单位上缴收入：</w:t>
      </w:r>
      <w:r>
        <w:rPr>
          <w:rFonts w:ascii="TimesNewRoman" w:hAnsi="TimesNewRoman" w:eastAsia="仿宋_GB2312" w:cs="TimesNewRoman"/>
          <w:sz w:val="32"/>
          <w:szCs w:val="32"/>
        </w:rPr>
        <w:t>本单位所属下级单位上缴给本单位的全部收入。</w:t>
      </w:r>
    </w:p>
    <w:p w14:paraId="6F8D84FA">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六、上年结转：</w:t>
      </w:r>
      <w:r>
        <w:rPr>
          <w:rFonts w:ascii="TimesNewRoman" w:hAnsi="TimesNewRoman" w:eastAsia="仿宋_GB2312" w:cs="TimesNewRoman"/>
          <w:sz w:val="32"/>
          <w:szCs w:val="32"/>
        </w:rPr>
        <w:t>指以前年度安排、结转到本年仍按原用途继续使用的资金。</w:t>
      </w:r>
    </w:p>
    <w:p w14:paraId="4BF4D95D">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七、结转下年：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0335FFB3">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八、基本支出：</w:t>
      </w:r>
      <w:r>
        <w:rPr>
          <w:rFonts w:ascii="TimesNewRoman" w:hAnsi="TimesNewRoman" w:eastAsia="仿宋_GB2312" w:cs="TimesNewRoman"/>
          <w:sz w:val="32"/>
          <w:szCs w:val="32"/>
        </w:rPr>
        <w:t>指为保障机构正常运转、完成日常工作任务而发生的人员支出和公用支出。</w:t>
      </w:r>
    </w:p>
    <w:p w14:paraId="621F3060">
      <w:pPr>
        <w:pStyle w:val="4"/>
        <w:topLinePunct/>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九、项目支出：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十、机关运行经费:</w:t>
      </w:r>
      <w:r>
        <w:rPr>
          <w:rFonts w:ascii="TimesNewRoman" w:hAnsi="TimesNewRoman" w:eastAsia="仿宋_GB2312"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E5677A1">
      <w:pPr>
        <w:pStyle w:val="4"/>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十一、一般公共服务支出（类）财政事务（款）财政国库业务：</w:t>
      </w:r>
      <w:r>
        <w:rPr>
          <w:rFonts w:ascii="TimesNewRoman" w:hAnsi="TimesNewRoman" w:eastAsia="仿宋_GB2312" w:cs="TimesNewRoman"/>
          <w:sz w:val="32"/>
          <w:szCs w:val="32"/>
        </w:rPr>
        <w:t>反映</w:t>
      </w:r>
      <w:r>
        <w:rPr>
          <w:rFonts w:hint="eastAsia" w:ascii="TimesNewRoman" w:hAnsi="TimesNewRoman" w:eastAsia="仿宋_GB2312" w:cs="TimesNewRoman"/>
          <w:sz w:val="32"/>
          <w:szCs w:val="32"/>
        </w:rPr>
        <w:t>县</w:t>
      </w:r>
      <w:r>
        <w:rPr>
          <w:rFonts w:hint="eastAsia" w:ascii="TimesNewRoman" w:hAnsi="TimesNewRoman" w:eastAsia="仿宋_GB2312" w:cs="TimesNewRoman"/>
          <w:sz w:val="32"/>
          <w:szCs w:val="32"/>
          <w:u w:val="single"/>
        </w:rPr>
        <w:t>财政局</w:t>
      </w:r>
      <w:r>
        <w:rPr>
          <w:rFonts w:ascii="TimesNewRoman" w:hAnsi="TimesNewRoman" w:eastAsia="仿宋_GB2312" w:cs="TimesNewRoman"/>
          <w:sz w:val="32"/>
          <w:szCs w:val="32"/>
        </w:rPr>
        <w:t>用于国库集中收付业务方面的支出。</w:t>
      </w:r>
    </w:p>
    <w:p w14:paraId="566E1A32">
      <w:pPr>
        <w:pStyle w:val="3"/>
        <w:rPr>
          <w:rFonts w:hint="eastAsia" w:ascii="仿宋_GB2312" w:eastAsia="仿宋_GB2312" w:cs="宋体"/>
          <w:sz w:val="28"/>
          <w:szCs w:val="28"/>
          <w:u w:val="thick"/>
        </w:rPr>
      </w:pPr>
    </w:p>
    <w:p w14:paraId="7409C2B7">
      <w:pPr>
        <w:pStyle w:val="3"/>
        <w:rPr>
          <w:rFonts w:hint="eastAsia" w:ascii="仿宋_GB2312" w:eastAsia="仿宋_GB2312" w:cs="宋体"/>
          <w:sz w:val="28"/>
          <w:szCs w:val="28"/>
          <w:u w:val="thick"/>
        </w:rPr>
      </w:pPr>
    </w:p>
    <w:p w14:paraId="586A011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AEFC9C-ABC6-48FF-8D53-3345869C128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2" w:fontKey="{534B8448-6A76-4E51-9A14-9B4CC163CA4D}"/>
  </w:font>
  <w:font w:name="TimesNewRoman">
    <w:altName w:val="Simplified Arabic"/>
    <w:panose1 w:val="02020603050405020304"/>
    <w:charset w:val="00"/>
    <w:family w:val="auto"/>
    <w:pitch w:val="default"/>
    <w:sig w:usb0="00000000" w:usb1="00000000" w:usb2="00000029" w:usb3="00000000" w:csb0="600001FF" w:csb1="FFFF0000"/>
    <w:embedRegular r:id="rId3" w:fontKey="{2E9F0CB0-563C-4547-9CF5-14BE2997BD11}"/>
  </w:font>
  <w:font w:name="Times">
    <w:altName w:val="Times New Roman"/>
    <w:panose1 w:val="02020603050405020304"/>
    <w:charset w:val="00"/>
    <w:family w:val="auto"/>
    <w:pitch w:val="default"/>
    <w:sig w:usb0="00000000" w:usb1="00000000" w:usb2="00000000" w:usb3="00000000" w:csb0="00000093" w:csb1="00000000"/>
  </w:font>
  <w:font w:name="CG Times">
    <w:altName w:val="Traditional Arabic"/>
    <w:panose1 w:val="02020603050405020304"/>
    <w:charset w:val="00"/>
    <w:family w:val="auto"/>
    <w:pitch w:val="default"/>
    <w:sig w:usb0="00000000" w:usb1="00000000" w:usb2="00000000" w:usb3="00000000" w:csb0="00000093" w:csb1="00000000"/>
  </w:font>
  <w:font w:name="仿宋_GB2312">
    <w:panose1 w:val="02010609030101010101"/>
    <w:charset w:val="86"/>
    <w:family w:val="auto"/>
    <w:pitch w:val="default"/>
    <w:sig w:usb0="00000001" w:usb1="080E0000" w:usb2="00000000" w:usb3="00000000" w:csb0="00040000" w:csb1="00000000"/>
    <w:embedRegular r:id="rId4" w:fontKey="{E213057C-0A8E-447C-8D5D-58F497DAED32}"/>
  </w:font>
  <w:font w:name="方正小标宋_GBK">
    <w:altName w:val="微软雅黑"/>
    <w:panose1 w:val="03000509000000000000"/>
    <w:charset w:val="86"/>
    <w:family w:val="script"/>
    <w:pitch w:val="default"/>
    <w:sig w:usb0="00000000" w:usb1="00000000" w:usb2="00000010" w:usb3="00000000" w:csb0="00040000" w:csb1="00000000"/>
    <w:embedRegular r:id="rId5" w:fontKey="{85E5CBAF-807A-49C1-B635-5AEE1B060418}"/>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embedRegular r:id="rId6" w:fontKey="{D2FA3436-D1CF-4EFF-8001-6CA5C02008A4}"/>
  </w:font>
  <w:font w:name="仿宋">
    <w:panose1 w:val="02010609060101010101"/>
    <w:charset w:val="86"/>
    <w:family w:val="auto"/>
    <w:pitch w:val="default"/>
    <w:sig w:usb0="800002BF" w:usb1="38CF7CFA" w:usb2="00000016" w:usb3="00000000" w:csb0="00040001" w:csb1="00000000"/>
    <w:embedRegular r:id="rId7" w:fontKey="{79D31C36-174C-426D-9541-76305D08EA4D}"/>
  </w:font>
  <w:font w:name="楷体">
    <w:panose1 w:val="02010609060101010101"/>
    <w:charset w:val="86"/>
    <w:family w:val="modern"/>
    <w:pitch w:val="default"/>
    <w:sig w:usb0="800002BF" w:usb1="38CF7CFA" w:usb2="00000016" w:usb3="00000000" w:csb0="00040001" w:csb1="00000000"/>
    <w:embedRegular r:id="rId8" w:fontKey="{324BCACE-4253-4E85-92B1-C5823691E5A8}"/>
  </w:font>
  <w:font w:name="Simplified Arabic">
    <w:panose1 w:val="02020603050405020304"/>
    <w:charset w:val="00"/>
    <w:family w:val="auto"/>
    <w:pitch w:val="default"/>
    <w:sig w:usb0="00002003" w:usb1="00000000" w:usb2="00000000"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26955">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23411C2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EAD0">
    <w:pPr>
      <w:pStyle w:val="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10</w:t>
    </w:r>
    <w:r>
      <w:rPr>
        <w:rFonts w:hint="eastAsia" w:ascii="宋体" w:hAnsi="宋体"/>
        <w:sz w:val="28"/>
        <w:szCs w:val="28"/>
      </w:rPr>
      <w:fldChar w:fldCharType="end"/>
    </w:r>
    <w:r>
      <w:rPr>
        <w:rFonts w:hint="eastAsia" w:ascii="宋体" w:hAnsi="宋体"/>
        <w:sz w:val="28"/>
        <w:szCs w:val="28"/>
      </w:rPr>
      <w:t xml:space="preserve"> —</w:t>
    </w:r>
  </w:p>
  <w:p w14:paraId="7026FD9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7B4D25"/>
    <w:multiLevelType w:val="singleLevel"/>
    <w:tmpl w:val="FE7B4D25"/>
    <w:lvl w:ilvl="0" w:tentative="0">
      <w:start w:val="1"/>
      <w:numFmt w:val="chineseCounting"/>
      <w:suff w:val="nothing"/>
      <w:lvlText w:val="（%1）"/>
      <w:lvlJc w:val="left"/>
      <w:rPr>
        <w:rFonts w:hint="eastAsia"/>
      </w:rPr>
    </w:lvl>
  </w:abstractNum>
  <w:abstractNum w:abstractNumId="1">
    <w:nsid w:val="236A436D"/>
    <w:multiLevelType w:val="singleLevel"/>
    <w:tmpl w:val="236A436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1YTFhNjQ1ODkxY2IwYThhNTBiYTA2ZWI5NDVkMWIifQ=="/>
  </w:docVars>
  <w:rsids>
    <w:rsidRoot w:val="3AD8038C"/>
    <w:rsid w:val="0BE14B63"/>
    <w:rsid w:val="3AD8038C"/>
    <w:rsid w:val="4CC0557B"/>
    <w:rsid w:val="517E1820"/>
    <w:rsid w:val="5B890EBC"/>
    <w:rsid w:val="68D84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footnote text"/>
    <w:basedOn w:val="1"/>
    <w:qFormat/>
    <w:uiPriority w:val="99"/>
    <w:pPr>
      <w:snapToGrid w:val="0"/>
      <w:jc w:val="left"/>
    </w:pPr>
    <w:rPr>
      <w:sz w:val="18"/>
      <w:szCs w:val="18"/>
    </w:rPr>
  </w:style>
  <w:style w:type="paragraph" w:styleId="4">
    <w:name w:val="Normal (Web)"/>
    <w:basedOn w:val="1"/>
    <w:qFormat/>
    <w:uiPriority w:val="0"/>
    <w:pPr>
      <w:spacing w:beforeAutospacing="1" w:afterAutospacing="1"/>
      <w:jc w:val="left"/>
    </w:pPr>
    <w:rPr>
      <w:rFonts w:ascii="Calibri" w:hAnsi="Calibri"/>
      <w:kern w:val="0"/>
      <w:sz w:val="24"/>
    </w:r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5915</Words>
  <Characters>6528</Characters>
  <Lines>0</Lines>
  <Paragraphs>0</Paragraphs>
  <TotalTime>0</TotalTime>
  <ScaleCrop>false</ScaleCrop>
  <LinksUpToDate>false</LinksUpToDate>
  <CharactersWithSpaces>6681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2025-01-22T03:15:00Z</dcterms:created>
  <dc:creator>さつき᭄</dc:creator>
  <cp:lastModifiedBy>杨松松</cp:lastModifiedBy>
  <dcterms:modified xsi:type="dcterms:W3CDTF">2025-02-12T03:28:30Z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F599BC0A4FB646A2B2083BEE6EEFC3E5_13</vt:lpwstr>
  </property>
  <property fmtid="{D5CDD505-2E9C-101B-9397-08002B2CF9AE}" pid="4" name="KSOTemplateDocerSaveRecord">
    <vt:lpwstr>eyJoZGlkIjoiNzYxMzU0MGNiODRkZjMxOTk4NmUxY2Y0OWNmZjRjMmQiLCJ1c2VySWQiOiI0MDQxOTkwNzgifQ==</vt:lpwstr>
  </property>
</Properties>
</file>