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CBB5B">
      <w:pPr>
        <w:spacing w:line="560" w:lineRule="exact"/>
        <w:jc w:val="center"/>
        <w:rPr>
          <w:rFonts w:hint="eastAsia" w:ascii="方正小标宋_GBK" w:hAnsi="TimesNewRoman" w:eastAsia="方正小标宋_GBK" w:cs="TimesNewRoman"/>
          <w:sz w:val="44"/>
          <w:szCs w:val="44"/>
        </w:rPr>
      </w:pPr>
    </w:p>
    <w:p w14:paraId="189C0726">
      <w:pPr>
        <w:spacing w:line="560" w:lineRule="exact"/>
        <w:jc w:val="center"/>
        <w:rPr>
          <w:rFonts w:hint="eastAsia" w:ascii="方正小标宋_GBK" w:hAnsi="TimesNewRoman" w:eastAsia="方正小标宋_GBK" w:cs="TimesNewRoman"/>
          <w:sz w:val="44"/>
          <w:szCs w:val="44"/>
        </w:rPr>
      </w:pPr>
    </w:p>
    <w:p w14:paraId="600D8166">
      <w:pPr>
        <w:spacing w:line="560" w:lineRule="exact"/>
        <w:jc w:val="center"/>
        <w:rPr>
          <w:rFonts w:hint="eastAsia" w:ascii="方正小标宋_GBK" w:hAnsi="TimesNewRoman" w:eastAsia="方正小标宋_GBK" w:cs="TimesNewRoman"/>
          <w:sz w:val="44"/>
          <w:szCs w:val="44"/>
        </w:rPr>
      </w:pPr>
    </w:p>
    <w:p w14:paraId="5C785F19">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_GBK" w:hAnsi="TimesNewRoman" w:eastAsia="方正小标宋_GBK" w:cs="TimesNewRoman"/>
          <w:spacing w:val="51"/>
          <w:sz w:val="44"/>
          <w:szCs w:val="44"/>
        </w:rPr>
      </w:pPr>
    </w:p>
    <w:p w14:paraId="49C6DC61">
      <w:pPr>
        <w:spacing w:line="560" w:lineRule="exact"/>
        <w:jc w:val="center"/>
        <w:rPr>
          <w:rFonts w:hint="eastAsia" w:ascii="方正小标宋简体" w:hAnsi="方正小标宋简体" w:eastAsia="方正小标宋简体" w:cs="TimesNewRoman"/>
          <w:sz w:val="44"/>
          <w:szCs w:val="44"/>
        </w:rPr>
      </w:pPr>
      <w:r>
        <w:rPr>
          <w:rFonts w:hint="eastAsia" w:ascii="方正小标宋简体" w:hAnsi="方正小标宋简体" w:eastAsia="方正小标宋简体" w:cs="TimesNewRoman"/>
          <w:sz w:val="44"/>
          <w:szCs w:val="44"/>
          <w:lang w:val="en-US" w:eastAsia="zh-CN"/>
        </w:rPr>
        <w:t>中共寿县县委党校</w:t>
      </w:r>
      <w:r>
        <w:rPr>
          <w:rFonts w:hint="eastAsia" w:ascii="方正小标宋简体" w:hAnsi="方正小标宋简体" w:eastAsia="方正小标宋简体" w:cs="TimesNewRoman"/>
          <w:sz w:val="44"/>
          <w:szCs w:val="44"/>
        </w:rPr>
        <w:t>2025年</w:t>
      </w:r>
    </w:p>
    <w:p w14:paraId="54A9CA62">
      <w:pPr>
        <w:spacing w:line="560" w:lineRule="exact"/>
        <w:jc w:val="center"/>
        <w:rPr>
          <w:rFonts w:hint="eastAsia" w:ascii="方正小标宋简体" w:hAnsi="方正小标宋简体" w:eastAsia="方正小标宋简体" w:cs="TimesNewRoman"/>
          <w:sz w:val="44"/>
          <w:szCs w:val="44"/>
        </w:rPr>
      </w:pPr>
      <w:r>
        <w:rPr>
          <w:rFonts w:hint="eastAsia" w:ascii="方正小标宋简体" w:hAnsi="方正小标宋简体" w:eastAsia="方正小标宋简体" w:cs="TimesNewRoman"/>
          <w:sz w:val="44"/>
          <w:szCs w:val="44"/>
        </w:rPr>
        <w:t>部门预算</w:t>
      </w:r>
    </w:p>
    <w:p w14:paraId="0F119FF0">
      <w:pPr>
        <w:pStyle w:val="3"/>
        <w:adjustRightInd w:val="0"/>
        <w:snapToGrid w:val="0"/>
        <w:spacing w:line="560" w:lineRule="exact"/>
        <w:jc w:val="center"/>
        <w:outlineLvl w:val="0"/>
        <w:rPr>
          <w:rFonts w:hint="eastAsia" w:ascii="方正小标宋简体" w:hAnsi="方正小标宋简体" w:eastAsia="方正小标宋简体" w:cs="TimesNewRoman"/>
          <w:sz w:val="32"/>
          <w:szCs w:val="32"/>
        </w:rPr>
      </w:pPr>
    </w:p>
    <w:p w14:paraId="7BEA9050">
      <w:pPr>
        <w:pStyle w:val="3"/>
        <w:adjustRightInd w:val="0"/>
        <w:snapToGrid w:val="0"/>
        <w:spacing w:line="560" w:lineRule="exact"/>
        <w:jc w:val="center"/>
        <w:rPr>
          <w:rFonts w:hint="eastAsia" w:ascii="仿宋_GB2312" w:hAnsi="TimesNewRoman" w:eastAsia="仿宋_GB2312" w:cs="TimesNewRoman"/>
          <w:bCs/>
          <w:sz w:val="32"/>
          <w:szCs w:val="32"/>
        </w:rPr>
      </w:pPr>
    </w:p>
    <w:p w14:paraId="0123DB60">
      <w:pPr>
        <w:pStyle w:val="3"/>
        <w:adjustRightInd w:val="0"/>
        <w:snapToGrid w:val="0"/>
        <w:spacing w:line="560" w:lineRule="exact"/>
        <w:jc w:val="center"/>
        <w:rPr>
          <w:rFonts w:hint="eastAsia" w:ascii="仿宋_GB2312" w:hAnsi="TimesNewRoman" w:eastAsia="仿宋_GB2312" w:cs="TimesNewRoman"/>
          <w:bCs/>
          <w:sz w:val="32"/>
          <w:szCs w:val="32"/>
        </w:rPr>
      </w:pPr>
    </w:p>
    <w:p w14:paraId="6D41068C">
      <w:pPr>
        <w:pStyle w:val="3"/>
        <w:adjustRightInd w:val="0"/>
        <w:snapToGrid w:val="0"/>
        <w:spacing w:line="560" w:lineRule="exact"/>
        <w:jc w:val="center"/>
        <w:rPr>
          <w:rFonts w:hint="eastAsia" w:ascii="仿宋_GB2312" w:hAnsi="TimesNewRoman" w:eastAsia="仿宋_GB2312" w:cs="TimesNewRoman"/>
          <w:bCs/>
          <w:sz w:val="32"/>
          <w:szCs w:val="32"/>
        </w:rPr>
      </w:pPr>
    </w:p>
    <w:p w14:paraId="7D24A2F3">
      <w:pPr>
        <w:pStyle w:val="3"/>
        <w:adjustRightInd w:val="0"/>
        <w:snapToGrid w:val="0"/>
        <w:spacing w:line="560" w:lineRule="exact"/>
        <w:jc w:val="center"/>
        <w:rPr>
          <w:rFonts w:hint="eastAsia" w:ascii="仿宋_GB2312" w:hAnsi="TimesNewRoman" w:eastAsia="仿宋_GB2312" w:cs="TimesNewRoman"/>
          <w:bCs/>
          <w:sz w:val="32"/>
          <w:szCs w:val="32"/>
        </w:rPr>
      </w:pPr>
    </w:p>
    <w:p w14:paraId="4F9957ED">
      <w:pPr>
        <w:pStyle w:val="3"/>
        <w:adjustRightInd w:val="0"/>
        <w:snapToGrid w:val="0"/>
        <w:spacing w:line="560" w:lineRule="exact"/>
        <w:jc w:val="center"/>
        <w:rPr>
          <w:rFonts w:hint="eastAsia" w:ascii="仿宋_GB2312" w:hAnsi="TimesNewRoman" w:eastAsia="仿宋_GB2312" w:cs="TimesNewRoman"/>
          <w:bCs/>
          <w:sz w:val="32"/>
          <w:szCs w:val="32"/>
        </w:rPr>
      </w:pPr>
    </w:p>
    <w:p w14:paraId="47B1D9F3">
      <w:pPr>
        <w:pStyle w:val="3"/>
        <w:adjustRightInd w:val="0"/>
        <w:snapToGrid w:val="0"/>
        <w:spacing w:line="560" w:lineRule="exact"/>
        <w:jc w:val="center"/>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 xml:space="preserve">                         2025年1月6日</w:t>
      </w:r>
    </w:p>
    <w:p w14:paraId="05E646E1">
      <w:pPr>
        <w:pStyle w:val="3"/>
        <w:adjustRightInd w:val="0"/>
        <w:snapToGrid w:val="0"/>
        <w:spacing w:line="560" w:lineRule="exact"/>
        <w:jc w:val="center"/>
        <w:rPr>
          <w:rFonts w:hint="eastAsia" w:ascii="方正小标宋_GBK" w:hAnsi="TimesNewRoman" w:eastAsia="方正小标宋_GBK" w:cs="TimesNewRoman"/>
          <w:bCs/>
          <w:sz w:val="40"/>
          <w:szCs w:val="44"/>
        </w:rPr>
      </w:pPr>
    </w:p>
    <w:p w14:paraId="6A6D9361">
      <w:pPr>
        <w:pStyle w:val="3"/>
        <w:adjustRightInd w:val="0"/>
        <w:snapToGrid w:val="0"/>
        <w:spacing w:line="560" w:lineRule="exact"/>
        <w:jc w:val="center"/>
        <w:rPr>
          <w:rFonts w:hint="eastAsia" w:ascii="方正小标宋_GBK" w:hAnsi="TimesNewRoman" w:eastAsia="方正小标宋_GBK" w:cs="TimesNewRoman"/>
          <w:bCs/>
          <w:sz w:val="40"/>
          <w:szCs w:val="44"/>
        </w:rPr>
      </w:pPr>
    </w:p>
    <w:p w14:paraId="1B0FA8C0">
      <w:pPr>
        <w:pStyle w:val="3"/>
        <w:adjustRightInd w:val="0"/>
        <w:snapToGrid w:val="0"/>
        <w:spacing w:line="560" w:lineRule="exact"/>
        <w:jc w:val="center"/>
        <w:rPr>
          <w:rFonts w:hint="eastAsia" w:ascii="方正小标宋_GBK" w:hAnsi="TimesNewRoman" w:eastAsia="方正小标宋_GBK" w:cs="TimesNewRoman"/>
          <w:bCs/>
          <w:sz w:val="40"/>
          <w:szCs w:val="44"/>
        </w:rPr>
      </w:pPr>
    </w:p>
    <w:p w14:paraId="6716F507">
      <w:pPr>
        <w:pStyle w:val="3"/>
        <w:adjustRightInd w:val="0"/>
        <w:snapToGrid w:val="0"/>
        <w:spacing w:line="560" w:lineRule="exact"/>
        <w:jc w:val="center"/>
        <w:rPr>
          <w:rFonts w:hint="eastAsia" w:ascii="方正小标宋_GBK" w:hAnsi="TimesNewRoman" w:eastAsia="方正小标宋_GBK" w:cs="TimesNewRoman"/>
          <w:bCs/>
          <w:sz w:val="40"/>
          <w:szCs w:val="44"/>
        </w:rPr>
      </w:pPr>
    </w:p>
    <w:p w14:paraId="4FFB99ED">
      <w:pPr>
        <w:pStyle w:val="3"/>
        <w:adjustRightInd w:val="0"/>
        <w:snapToGrid w:val="0"/>
        <w:spacing w:line="560" w:lineRule="exact"/>
        <w:jc w:val="center"/>
        <w:rPr>
          <w:rFonts w:hint="eastAsia"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5106BC93">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639AC6D0">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第一部分 部门概况</w:t>
      </w:r>
    </w:p>
    <w:p w14:paraId="387CF94A">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464DA17A">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2.部门预算构成</w:t>
      </w:r>
    </w:p>
    <w:p w14:paraId="5D622487">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3.2025年度主要工作任务</w:t>
      </w:r>
    </w:p>
    <w:p w14:paraId="0855D380">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2025</w:t>
      </w:r>
      <w:r>
        <w:rPr>
          <w:rFonts w:ascii="黑体" w:hAnsi="黑体" w:eastAsia="黑体" w:cs="TimesNewRoman"/>
          <w:sz w:val="32"/>
          <w:szCs w:val="32"/>
        </w:rPr>
        <w:t>年部门预算情况说明</w:t>
      </w:r>
    </w:p>
    <w:p w14:paraId="37418E7F">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1.关于</w:t>
      </w:r>
      <w:r>
        <w:rPr>
          <w:rFonts w:hint="eastAsia" w:ascii="仿宋_GB2312" w:hAnsi="TimesNewRoman" w:eastAsia="仿宋_GB2312" w:cs="TimesNewRoman"/>
          <w:bCs/>
          <w:sz w:val="32"/>
          <w:szCs w:val="32"/>
        </w:rPr>
        <w:t>2025年收支总表的说明</w:t>
      </w:r>
    </w:p>
    <w:p w14:paraId="74EEA700">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2.关于</w:t>
      </w:r>
      <w:r>
        <w:rPr>
          <w:rFonts w:hint="eastAsia" w:ascii="仿宋_GB2312" w:hAnsi="TimesNewRoman" w:eastAsia="仿宋_GB2312" w:cs="TimesNewRoman"/>
          <w:bCs/>
          <w:sz w:val="32"/>
          <w:szCs w:val="32"/>
        </w:rPr>
        <w:t>2025年收入总表的说明</w:t>
      </w:r>
    </w:p>
    <w:p w14:paraId="50010F2B">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3.关于</w:t>
      </w:r>
      <w:r>
        <w:rPr>
          <w:rFonts w:hint="eastAsia" w:ascii="仿宋_GB2312" w:hAnsi="TimesNewRoman" w:eastAsia="仿宋_GB2312" w:cs="TimesNewRoman"/>
          <w:bCs/>
          <w:sz w:val="32"/>
          <w:szCs w:val="32"/>
        </w:rPr>
        <w:t>2025年支出总表的说明</w:t>
      </w:r>
    </w:p>
    <w:p w14:paraId="7FF5FEF6">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4.关于</w:t>
      </w:r>
      <w:r>
        <w:rPr>
          <w:rFonts w:hint="eastAsia" w:ascii="仿宋_GB2312" w:hAnsi="TimesNewRoman" w:eastAsia="仿宋_GB2312" w:cs="TimesNewRoman"/>
          <w:bCs/>
          <w:sz w:val="32"/>
          <w:szCs w:val="32"/>
        </w:rPr>
        <w:t>2025年财政拨款收支总表的说明</w:t>
      </w:r>
    </w:p>
    <w:p w14:paraId="601E0FB1">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5.关于</w:t>
      </w:r>
      <w:r>
        <w:rPr>
          <w:rFonts w:hint="eastAsia" w:ascii="仿宋_GB2312" w:hAnsi="TimesNewRoman" w:eastAsia="仿宋_GB2312" w:cs="TimesNewRoman"/>
          <w:bCs/>
          <w:sz w:val="32"/>
          <w:szCs w:val="32"/>
        </w:rPr>
        <w:t>2025年一般公共预算支出表的说明</w:t>
      </w:r>
    </w:p>
    <w:p w14:paraId="1305DC03">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6.关于</w:t>
      </w:r>
      <w:r>
        <w:rPr>
          <w:rFonts w:hint="eastAsia" w:ascii="仿宋_GB2312" w:hAnsi="TimesNewRoman" w:eastAsia="仿宋_GB2312" w:cs="TimesNewRoman"/>
          <w:bCs/>
          <w:sz w:val="32"/>
          <w:szCs w:val="32"/>
        </w:rPr>
        <w:t>2025年一般公共预算基本支出表的说明</w:t>
      </w:r>
    </w:p>
    <w:p w14:paraId="3CD4597B">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7.关于</w:t>
      </w:r>
      <w:r>
        <w:rPr>
          <w:rFonts w:hint="eastAsia" w:ascii="仿宋_GB2312" w:hAnsi="TimesNewRoman" w:eastAsia="仿宋_GB2312" w:cs="TimesNewRoman"/>
          <w:bCs/>
          <w:sz w:val="32"/>
          <w:szCs w:val="32"/>
        </w:rPr>
        <w:t>2025年政府性基金预算支出表的说明</w:t>
      </w:r>
    </w:p>
    <w:p w14:paraId="34DD2008">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8.关于</w:t>
      </w:r>
      <w:r>
        <w:rPr>
          <w:rFonts w:hint="eastAsia" w:ascii="仿宋_GB2312" w:hAnsi="TimesNewRoman" w:eastAsia="仿宋_GB2312" w:cs="TimesNewRoman"/>
          <w:bCs/>
          <w:sz w:val="32"/>
          <w:szCs w:val="32"/>
        </w:rPr>
        <w:t>2025年国有资本经营预算支出表的说明</w:t>
      </w:r>
    </w:p>
    <w:p w14:paraId="0358C062">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9.关于</w:t>
      </w:r>
      <w:r>
        <w:rPr>
          <w:rFonts w:hint="eastAsia" w:ascii="仿宋_GB2312" w:hAnsi="TimesNewRoman" w:eastAsia="仿宋_GB2312" w:cs="TimesNewRoman"/>
          <w:bCs/>
          <w:sz w:val="32"/>
          <w:szCs w:val="32"/>
        </w:rPr>
        <w:t>2025年项目支出表的说明</w:t>
      </w:r>
    </w:p>
    <w:p w14:paraId="4A787FC5">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2025年政府采购支出表的说明</w:t>
      </w:r>
    </w:p>
    <w:p w14:paraId="5824B265">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2025年政府购买服务支出表的说明</w:t>
      </w:r>
    </w:p>
    <w:p w14:paraId="15AF747B">
      <w:pPr>
        <w:pStyle w:val="3"/>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12.关于2025年一般公共预算“三公”经费支出情况说明</w:t>
      </w:r>
    </w:p>
    <w:p w14:paraId="15BE1664">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w:t>
      </w:r>
      <w:r>
        <w:rPr>
          <w:rFonts w:hint="eastAsia" w:ascii="仿宋_GB2312" w:hAnsi="TimesNewRoman" w:eastAsia="仿宋_GB2312" w:cs="TimesNewRoman"/>
          <w:bCs/>
          <w:sz w:val="32"/>
          <w:szCs w:val="32"/>
          <w:lang w:val="en-US" w:eastAsia="zh-CN"/>
        </w:rPr>
        <w:t>3</w:t>
      </w:r>
      <w:r>
        <w:rPr>
          <w:rFonts w:hint="eastAsia" w:ascii="仿宋_GB2312" w:hAnsi="TimesNewRoman" w:eastAsia="仿宋_GB2312" w:cs="TimesNewRoman"/>
          <w:bCs/>
          <w:sz w:val="32"/>
          <w:szCs w:val="32"/>
        </w:rPr>
        <w:t>.其他重要事项情况说明</w:t>
      </w:r>
    </w:p>
    <w:p w14:paraId="621969D9">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3A4D44CC">
      <w:pPr>
        <w:pStyle w:val="3"/>
        <w:topLinePunct/>
        <w:adjustRightInd w:val="0"/>
        <w:snapToGrid w:val="0"/>
        <w:spacing w:beforeAutospacing="0" w:afterAutospacing="0" w:line="560" w:lineRule="exact"/>
        <w:ind w:firstLine="643" w:firstLineChars="200"/>
        <w:jc w:val="both"/>
        <w:rPr>
          <w:rFonts w:ascii="TimesNewRoman" w:hAnsi="TimesNewRoman" w:eastAsia="仿宋_GB2312" w:cs="TimesNewRoman"/>
          <w:b/>
          <w:sz w:val="32"/>
          <w:szCs w:val="32"/>
        </w:rPr>
      </w:pPr>
    </w:p>
    <w:p w14:paraId="123F50D9">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0668D426">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6466C7A6">
      <w:pPr>
        <w:pStyle w:val="3"/>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第一部分 部门概况</w:t>
      </w:r>
    </w:p>
    <w:p w14:paraId="22C791A5">
      <w:pPr>
        <w:pStyle w:val="3"/>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firstLine="627" w:firstLineChars="196"/>
        <w:jc w:val="both"/>
        <w:textAlignment w:val="auto"/>
        <w:outlineLvl w:val="9"/>
        <w:rPr>
          <w:rFonts w:ascii="TimesNewRoman" w:hAnsi="TimesNewRoman" w:eastAsia="黑体" w:cs="TimesNewRoman"/>
          <w:bCs/>
          <w:sz w:val="32"/>
          <w:szCs w:val="32"/>
        </w:rPr>
      </w:pPr>
    </w:p>
    <w:p w14:paraId="6EC4EA85">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766A036F">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TimesNewRoman" w:eastAsia="仿宋_GB2312" w:cs="TimesNewRoman"/>
          <w:sz w:val="32"/>
          <w:szCs w:val="32"/>
        </w:rPr>
      </w:pPr>
      <w:r>
        <w:rPr>
          <w:rFonts w:hint="eastAsia" w:ascii="仿宋_GB2312" w:hAnsi="TimesNewRoman" w:eastAsia="仿宋_GB2312" w:cs="TimesNewRoman"/>
          <w:bCs/>
          <w:sz w:val="32"/>
          <w:szCs w:val="32"/>
          <w:lang w:val="en-US" w:eastAsia="zh-CN"/>
        </w:rPr>
        <w:t>（一）</w:t>
      </w:r>
      <w:r>
        <w:rPr>
          <w:rFonts w:hint="eastAsia" w:ascii="仿宋_GB2312" w:hAnsi="TimesNewRoman" w:eastAsia="仿宋_GB2312" w:cs="TimesNewRoman"/>
          <w:sz w:val="32"/>
          <w:szCs w:val="32"/>
          <w:lang w:val="en-US" w:eastAsia="zh-CN"/>
        </w:rPr>
        <w:t>宣传马克思列宁主义、毛泽东思想、邓小平理论、“三个代表”重要思想、科学发展观和党的基本路线、方针、政策，加强学员的党性教育和党性锻炼，提高学员的理论素养。</w:t>
      </w:r>
    </w:p>
    <w:p w14:paraId="6AE8C798">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lang w:val="en-US" w:eastAsia="zh-CN"/>
        </w:rPr>
        <w:t>（二）根据中央和省、市及县委对干部队伍建设的要求，有计划地轮训和培训党员领导干部、青年后备干部、理论宣传骨干和农村基层干部，培养造就一大批适应新时期经济社会发展需要的领导干部，特别是中青年干部。</w:t>
      </w:r>
    </w:p>
    <w:p w14:paraId="5A45FC51">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（三）围绕党的中心任务和国际国内出现的新情况、新问题以及县委、县政府的重大战略部署，积极开展相关知识讲座和重大现实问题理论研究，为县委、县政府科学决策服务，为教学服务，为社会实践服务。</w:t>
      </w:r>
    </w:p>
    <w:p w14:paraId="682A2653">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仿宋" w:eastAsia="仿宋_GB2312"/>
          <w:sz w:val="32"/>
          <w:szCs w:val="32"/>
          <w:lang w:val="en-US" w:eastAsia="zh-CN"/>
        </w:rPr>
      </w:pPr>
      <w:r>
        <w:rPr>
          <w:rFonts w:hint="eastAsia" w:ascii="TimesNewRoman" w:hAnsi="TimesNewRoman" w:eastAsia="仿宋_GB2312" w:cs="TimesNewRoman"/>
          <w:bCs/>
          <w:sz w:val="32"/>
          <w:szCs w:val="32"/>
          <w:lang w:val="en-US" w:eastAsia="zh-CN"/>
        </w:rPr>
        <w:t>（四）</w:t>
      </w:r>
      <w:r>
        <w:rPr>
          <w:rFonts w:hint="eastAsia" w:ascii="仿宋_GB2312" w:hAnsi="仿宋" w:eastAsia="仿宋_GB2312"/>
          <w:sz w:val="32"/>
          <w:szCs w:val="32"/>
          <w:lang w:val="en-US" w:eastAsia="zh-CN"/>
        </w:rPr>
        <w:t>配合组织人事部门对学员在校期间表现情况进行考核、考察。</w:t>
      </w:r>
    </w:p>
    <w:p w14:paraId="4BCDAE8E">
      <w:pPr>
        <w:pStyle w:val="3"/>
        <w:keepNext w:val="0"/>
        <w:keepLines w:val="0"/>
        <w:pageBreakBefore w:val="0"/>
        <w:widowControl w:val="0"/>
        <w:kinsoku/>
        <w:wordWrap/>
        <w:overflowPunct/>
        <w:autoSpaceDE/>
        <w:autoSpaceDN/>
        <w:bidi w:val="0"/>
        <w:adjustRightInd w:val="0"/>
        <w:snapToGrid w:val="0"/>
        <w:spacing w:before="0" w:beforeAutospacing="0" w:after="0" w:afterAutospacing="0" w:line="600" w:lineRule="exact"/>
        <w:ind w:firstLine="627" w:firstLineChars="196"/>
        <w:jc w:val="both"/>
        <w:textAlignment w:val="auto"/>
        <w:outlineLvl w:val="9"/>
        <w:rPr>
          <w:rFonts w:hint="eastAsia" w:ascii="仿宋" w:hAnsi="仿宋" w:eastAsia="仿宋"/>
          <w:sz w:val="32"/>
          <w:szCs w:val="32"/>
        </w:rPr>
      </w:pPr>
      <w:r>
        <w:rPr>
          <w:rFonts w:hint="eastAsia" w:ascii="仿宋_GB2312" w:hAnsi="仿宋" w:eastAsia="仿宋_GB2312"/>
          <w:sz w:val="32"/>
          <w:szCs w:val="32"/>
          <w:lang w:val="en-US" w:eastAsia="zh-CN"/>
        </w:rPr>
        <w:t>（五）完成上级党校和县委交办的其他工作。</w:t>
      </w:r>
    </w:p>
    <w:p w14:paraId="51F10CEA">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ascii="楷体_GB2312" w:hAnsi="TimesNewRoman" w:eastAsia="楷体_GB2312" w:cs="TimesNewRoman"/>
          <w:b/>
          <w:bCs/>
          <w:sz w:val="32"/>
          <w:szCs w:val="32"/>
        </w:rPr>
        <w:t>部门预算构成</w:t>
      </w:r>
    </w:p>
    <w:p w14:paraId="7B772C45">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从预算单位构成看，</w:t>
      </w:r>
      <w:r>
        <w:rPr>
          <w:rFonts w:hint="eastAsia" w:ascii="仿宋_GB2312" w:hAnsi="TimesNewRoman" w:eastAsia="仿宋_GB2312" w:cs="TimesNewRoman"/>
          <w:bCs/>
          <w:sz w:val="32"/>
          <w:szCs w:val="32"/>
          <w:lang w:val="en-US" w:eastAsia="zh-CN"/>
        </w:rPr>
        <w:t>中共寿县县委党校</w:t>
      </w:r>
      <w:r>
        <w:rPr>
          <w:rFonts w:hint="eastAsia" w:ascii="仿宋_GB2312" w:hAnsi="TimesNewRoman" w:eastAsia="仿宋_GB2312" w:cs="TimesNewRoman"/>
          <w:sz w:val="32"/>
          <w:szCs w:val="32"/>
        </w:rPr>
        <w:t>2025年度部门预算仅包括</w:t>
      </w:r>
      <w:r>
        <w:rPr>
          <w:rFonts w:hint="eastAsia" w:ascii="仿宋_GB2312" w:hAnsi="TimesNewRoman" w:eastAsia="仿宋_GB2312" w:cs="TimesNewRoman"/>
          <w:sz w:val="32"/>
          <w:szCs w:val="32"/>
          <w:lang w:val="en-US" w:eastAsia="zh-CN"/>
        </w:rPr>
        <w:t>寿县党校</w:t>
      </w:r>
      <w:r>
        <w:rPr>
          <w:rFonts w:hint="eastAsia" w:ascii="仿宋_GB2312" w:hAnsi="TimesNewRoman" w:eastAsia="仿宋_GB2312" w:cs="TimesNewRoman"/>
          <w:sz w:val="32"/>
          <w:szCs w:val="32"/>
        </w:rPr>
        <w:t>本级预算，无其他下属单位预算。</w:t>
      </w:r>
    </w:p>
    <w:p w14:paraId="40DC8AEE">
      <w:pPr>
        <w:pStyle w:val="3"/>
        <w:topLinePunct/>
        <w:adjustRightInd w:val="0"/>
        <w:snapToGrid w:val="0"/>
        <w:spacing w:beforeAutospacing="0" w:afterAutospacing="0" w:line="580" w:lineRule="exact"/>
        <w:ind w:firstLine="643"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三、2025年度主要工作任务</w:t>
      </w:r>
    </w:p>
    <w:p w14:paraId="62C88115">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rPr>
      </w:pPr>
      <w:r>
        <w:rPr>
          <w:rFonts w:hint="eastAsia" w:ascii="TimesNewRoman" w:hAnsi="TimesNewRoman" w:eastAsia="仿宋_GB2312" w:cs="TimesNewRoman"/>
          <w:bCs/>
          <w:sz w:val="32"/>
          <w:szCs w:val="32"/>
          <w:lang w:val="en-US" w:eastAsia="zh-CN"/>
        </w:rPr>
        <w:t>（一）培训、轮训科级党员领导干部、后备干部、乡镇一般干部、行政村（社区）党组织负责人、村委会主任等。</w:t>
      </w:r>
    </w:p>
    <w:p w14:paraId="0862077D">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rPr>
      </w:pPr>
      <w:r>
        <w:rPr>
          <w:rFonts w:hint="eastAsia" w:ascii="TimesNewRoman" w:hAnsi="TimesNewRoman" w:eastAsia="仿宋_GB2312" w:cs="TimesNewRoman"/>
          <w:bCs/>
          <w:sz w:val="32"/>
          <w:szCs w:val="32"/>
          <w:lang w:val="en-US" w:eastAsia="zh-CN"/>
        </w:rPr>
        <w:t>（二）承办县委、县政府和县有关部门举办的专题研讨班</w:t>
      </w:r>
      <w:r>
        <w:rPr>
          <w:rFonts w:hint="eastAsia" w:ascii="TimesNewRoman" w:hAnsi="TimesNewRoman" w:eastAsia="仿宋_GB2312" w:cs="TimesNewRoman"/>
          <w:bCs/>
          <w:sz w:val="32"/>
          <w:szCs w:val="32"/>
        </w:rPr>
        <w:t>。</w:t>
      </w:r>
    </w:p>
    <w:p w14:paraId="3D55A18D">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r>
        <w:rPr>
          <w:rFonts w:hint="eastAsia" w:ascii="TimesNewRoman" w:hAnsi="TimesNewRoman" w:eastAsia="仿宋_GB2312" w:cs="TimesNewRoman"/>
          <w:bCs/>
          <w:sz w:val="32"/>
          <w:szCs w:val="32"/>
          <w:lang w:val="en-US" w:eastAsia="zh-CN"/>
        </w:rPr>
        <w:t>（三）围绕党的中心工作，积极开展咨政研究，承担县委、县政府下达的调研任务，推进理论创新。</w:t>
      </w:r>
    </w:p>
    <w:p w14:paraId="6F88FBE1">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r>
        <w:rPr>
          <w:rFonts w:hint="eastAsia" w:ascii="TimesNewRoman" w:hAnsi="TimesNewRoman" w:eastAsia="仿宋_GB2312" w:cs="TimesNewRoman"/>
          <w:bCs/>
          <w:sz w:val="32"/>
          <w:szCs w:val="32"/>
          <w:lang w:val="en-US" w:eastAsia="zh-CN"/>
        </w:rPr>
        <w:t>（四）针对改革开放和社会主义现代化建设进程中的重大理论问题和现实问题，开展马克思主义中国化最新成果的理论宣传，开展党的路线、方针、政策的宣传。</w:t>
      </w:r>
    </w:p>
    <w:p w14:paraId="51592770">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r>
        <w:rPr>
          <w:rFonts w:hint="eastAsia" w:ascii="TimesNewRoman" w:hAnsi="TimesNewRoman" w:eastAsia="仿宋_GB2312" w:cs="TimesNewRoman"/>
          <w:bCs/>
          <w:sz w:val="32"/>
          <w:szCs w:val="32"/>
          <w:lang w:val="en-US" w:eastAsia="zh-CN"/>
        </w:rPr>
        <w:t>（五）办好主体班，开展形式多样的干部教育培训，搞好县、乡、村党员干部的培训，切实提高全县干部素质。</w:t>
      </w:r>
    </w:p>
    <w:p w14:paraId="63C47935">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 w:hAnsi="仿宋" w:eastAsia="仿宋" w:cs="Times New Roman"/>
          <w:color w:val="000000"/>
          <w:kern w:val="2"/>
          <w:sz w:val="32"/>
          <w:szCs w:val="32"/>
          <w:lang w:val="en-US" w:eastAsia="zh-CN" w:bidi="ar-SA"/>
        </w:rPr>
      </w:pPr>
      <w:r>
        <w:rPr>
          <w:rFonts w:hint="eastAsia" w:ascii="TimesNewRoman" w:hAnsi="TimesNewRoman" w:eastAsia="仿宋_GB2312" w:cs="TimesNewRoman"/>
          <w:bCs/>
          <w:sz w:val="32"/>
          <w:szCs w:val="32"/>
          <w:lang w:val="en-US" w:eastAsia="zh-CN"/>
        </w:rPr>
        <w:t>（六）</w:t>
      </w:r>
      <w:r>
        <w:rPr>
          <w:rFonts w:hint="eastAsia" w:ascii="仿宋" w:hAnsi="仿宋" w:eastAsia="仿宋" w:cs="Times New Roman"/>
          <w:color w:val="000000"/>
          <w:kern w:val="2"/>
          <w:sz w:val="32"/>
          <w:szCs w:val="32"/>
          <w:lang w:val="en-US" w:eastAsia="zh-CN" w:bidi="ar-SA"/>
        </w:rPr>
        <w:t>完成县委、县政府交办的其他任务。</w:t>
      </w:r>
    </w:p>
    <w:p w14:paraId="64112DDC">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p>
    <w:p w14:paraId="247C231E">
      <w:pPr>
        <w:spacing w:line="600" w:lineRule="exact"/>
        <w:ind w:firstLine="640" w:firstLineChars="200"/>
        <w:rPr>
          <w:rFonts w:hint="eastAsia" w:ascii="仿宋" w:hAnsi="仿宋" w:eastAsia="仿宋"/>
          <w:color w:val="000000"/>
          <w:sz w:val="32"/>
          <w:szCs w:val="32"/>
        </w:rPr>
      </w:pPr>
    </w:p>
    <w:p w14:paraId="5208F60A">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634A5A01">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67BCA3E6">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72AE73C6">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3A7B4AD0">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3F03EA3F">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69F687F8">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446772F4">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0401EA48">
      <w:pPr>
        <w:pStyle w:val="3"/>
        <w:topLinePunct/>
        <w:adjustRightInd w:val="0"/>
        <w:snapToGrid w:val="0"/>
        <w:spacing w:beforeAutospacing="0" w:afterAutospacing="0" w:line="560" w:lineRule="exact"/>
        <w:jc w:val="center"/>
        <w:rPr>
          <w:rFonts w:hint="eastAsia" w:ascii="TimesNewRoman" w:hAnsi="TimesNewRoman" w:eastAsia="黑体" w:cs="TimesNewRoman"/>
          <w:bCs/>
          <w:sz w:val="36"/>
          <w:szCs w:val="36"/>
        </w:rPr>
      </w:pPr>
      <w:r>
        <w:rPr>
          <w:rFonts w:hint="eastAsia" w:ascii="TimesNewRoman" w:hAnsi="TimesNewRoman" w:eastAsia="黑体" w:cs="TimesNewRoman"/>
          <w:bCs/>
          <w:sz w:val="36"/>
          <w:szCs w:val="36"/>
        </w:rPr>
        <w:t>第</w:t>
      </w:r>
      <w:r>
        <w:rPr>
          <w:rFonts w:hint="eastAsia" w:ascii="TimesNewRoman" w:hAnsi="TimesNewRoman" w:eastAsia="黑体" w:cs="TimesNewRoman"/>
          <w:bCs/>
          <w:sz w:val="36"/>
          <w:szCs w:val="36"/>
        </w:rPr>
        <w:t xml:space="preserve">二部分 </w:t>
      </w:r>
      <w:r>
        <w:rPr>
          <w:rFonts w:hint="eastAsia" w:ascii="TimesNewRoman" w:hAnsi="TimesNewRoman" w:eastAsia="黑体" w:cs="TimesNewRoman"/>
          <w:bCs/>
          <w:sz w:val="36"/>
          <w:szCs w:val="36"/>
        </w:rPr>
        <w:t>2025年部门预算情况说明</w:t>
      </w:r>
    </w:p>
    <w:p w14:paraId="18B3C316">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14:paraId="5AEE5BB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bookmarkStart w:id="0" w:name="_GoBack"/>
      <w:r>
        <w:rPr>
          <w:rFonts w:hint="eastAsia" w:ascii="楷体_GB2312" w:hAnsi="TimesNewRoman" w:eastAsia="楷体_GB2312" w:cs="TimesNewRoman"/>
          <w:b/>
          <w:sz w:val="32"/>
          <w:szCs w:val="32"/>
        </w:rPr>
        <w:t>一、关于2025年收支总表的说明</w:t>
      </w:r>
    </w:p>
    <w:bookmarkEnd w:id="0"/>
    <w:p w14:paraId="17233BD7">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w:t>
      </w:r>
      <w:r>
        <w:rPr>
          <w:rFonts w:hint="eastAsia" w:ascii="仿宋_GB2312" w:hAnsi="TimesNewRoman" w:eastAsia="仿宋_GB2312" w:cs="TimesNewRoman"/>
          <w:sz w:val="32"/>
          <w:szCs w:val="32"/>
          <w:lang w:val="en-US" w:eastAsia="zh-CN"/>
        </w:rPr>
        <w:t>中共</w:t>
      </w: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县委党校</w:t>
      </w:r>
      <w:r>
        <w:rPr>
          <w:rFonts w:hint="eastAsia" w:ascii="仿宋_GB2312" w:hAnsi="TimesNewRoman" w:eastAsia="仿宋_GB2312" w:cs="TimesNewRoman"/>
          <w:sz w:val="32"/>
          <w:szCs w:val="32"/>
        </w:rPr>
        <w:t>所有收入和支出均纳入部门预算管理。</w:t>
      </w:r>
      <w:r>
        <w:rPr>
          <w:rFonts w:hint="eastAsia" w:ascii="仿宋_GB2312" w:hAnsi="TimesNewRoman" w:eastAsia="仿宋_GB2312" w:cs="TimesNewRoman"/>
          <w:sz w:val="32"/>
          <w:szCs w:val="32"/>
          <w:lang w:eastAsia="zh-CN"/>
        </w:rPr>
        <w:t>寿县科学技术协会</w:t>
      </w:r>
      <w:r>
        <w:rPr>
          <w:rFonts w:hint="eastAsia" w:ascii="仿宋_GB2312" w:hAnsi="TimesNewRoman" w:eastAsia="仿宋_GB2312" w:cs="TimesNewRoman"/>
          <w:sz w:val="32"/>
          <w:szCs w:val="32"/>
        </w:rPr>
        <w:t>2025年收支总预算</w:t>
      </w:r>
      <w:r>
        <w:rPr>
          <w:rFonts w:hint="eastAsia" w:ascii="仿宋_GB2312" w:hAnsi="TimesNewRoman" w:eastAsia="仿宋_GB2312" w:cs="TimesNewRoman"/>
          <w:sz w:val="32"/>
          <w:szCs w:val="32"/>
          <w:lang w:val="en-US" w:eastAsia="zh-CN"/>
        </w:rPr>
        <w:t>592.69</w:t>
      </w:r>
      <w:r>
        <w:rPr>
          <w:rFonts w:hint="eastAsia" w:ascii="仿宋_GB2312" w:hAnsi="TimesNewRoman" w:eastAsia="仿宋_GB2312" w:cs="TimesNewRoman"/>
          <w:sz w:val="32"/>
          <w:szCs w:val="32"/>
        </w:rPr>
        <w:t>万元，收入</w:t>
      </w:r>
      <w:r>
        <w:rPr>
          <w:rFonts w:hint="eastAsia" w:ascii="仿宋_GB2312" w:hAnsi="TimesNewRoman" w:eastAsia="仿宋_GB2312" w:cs="TimesNewRoman"/>
          <w:sz w:val="32"/>
          <w:szCs w:val="32"/>
          <w:lang w:val="en-US" w:eastAsia="zh-CN"/>
        </w:rPr>
        <w:t>包括</w:t>
      </w:r>
      <w:r>
        <w:rPr>
          <w:rFonts w:hint="eastAsia" w:ascii="仿宋_GB2312" w:hAnsi="TimesNewRoman" w:eastAsia="仿宋_GB2312" w:cs="TimesNewRoman"/>
          <w:sz w:val="32"/>
          <w:szCs w:val="32"/>
        </w:rPr>
        <w:t>一般公共预算拨款收入</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单位资金收入，</w:t>
      </w:r>
      <w:r>
        <w:rPr>
          <w:rFonts w:hint="eastAsia" w:ascii="仿宋_GB2312" w:hAnsi="TimesNewRoman" w:eastAsia="仿宋_GB2312" w:cs="TimesNewRoman"/>
          <w:sz w:val="32"/>
          <w:szCs w:val="32"/>
        </w:rPr>
        <w:t>支出包括：</w:t>
      </w:r>
      <w:r>
        <w:rPr>
          <w:rFonts w:hint="eastAsia" w:ascii="仿宋_GB2312" w:hAnsi="TimesNewRoman" w:eastAsia="仿宋_GB2312" w:cs="TimesNewRoman"/>
          <w:sz w:val="32"/>
          <w:szCs w:val="32"/>
          <w:lang w:val="en-US" w:eastAsia="zh-CN"/>
        </w:rPr>
        <w:t>教育</w:t>
      </w:r>
      <w:r>
        <w:rPr>
          <w:rFonts w:hint="eastAsia" w:ascii="仿宋_GB2312" w:hAnsi="TimesNewRoman" w:eastAsia="仿宋_GB2312" w:cs="TimesNewRoman"/>
          <w:sz w:val="32"/>
          <w:szCs w:val="32"/>
        </w:rPr>
        <w:t>支出、社会保障和就业支出、卫生健康支出、住房保障支出。</w:t>
      </w:r>
    </w:p>
    <w:p w14:paraId="5890ADF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二、关于2025年收入总表的说明</w:t>
      </w:r>
    </w:p>
    <w:p w14:paraId="6B9905BF">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2025年收入预算</w:t>
      </w:r>
      <w:r>
        <w:rPr>
          <w:rFonts w:hint="eastAsia" w:ascii="仿宋_GB2312" w:hAnsi="TimesNewRoman" w:eastAsia="仿宋_GB2312" w:cs="TimesNewRoman"/>
          <w:sz w:val="32"/>
          <w:szCs w:val="32"/>
          <w:lang w:val="en-US" w:eastAsia="zh-CN"/>
        </w:rPr>
        <w:t>592.69</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592.69</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4DB6853D">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本年收入</w:t>
      </w:r>
      <w:r>
        <w:rPr>
          <w:rFonts w:hint="eastAsia" w:ascii="仿宋_GB2312" w:hAnsi="TimesNewRoman" w:eastAsia="仿宋_GB2312" w:cs="TimesNewRoman"/>
          <w:sz w:val="32"/>
          <w:szCs w:val="32"/>
          <w:lang w:val="en-US" w:eastAsia="zh-CN"/>
        </w:rPr>
        <w:t>592.69</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主要包括：</w:t>
      </w:r>
      <w:r>
        <w:rPr>
          <w:rFonts w:hint="eastAsia" w:ascii="仿宋_GB2312" w:hAnsi="TimesNewRoman" w:eastAsia="仿宋_GB2312" w:cs="TimesNewRoman"/>
          <w:sz w:val="32"/>
          <w:szCs w:val="32"/>
        </w:rPr>
        <w:t>一般公共预算拨款收入</w:t>
      </w:r>
      <w:r>
        <w:rPr>
          <w:rFonts w:hint="eastAsia" w:ascii="仿宋_GB2312" w:hAnsi="TimesNewRoman" w:eastAsia="仿宋_GB2312" w:cs="TimesNewRoman"/>
          <w:sz w:val="32"/>
          <w:szCs w:val="32"/>
          <w:lang w:val="en-US" w:eastAsia="zh-CN"/>
        </w:rPr>
        <w:t>532.69万元</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比2024年预算</w:t>
      </w:r>
      <w:r>
        <w:rPr>
          <w:rFonts w:hint="eastAsia" w:ascii="仿宋_GB2312" w:hAnsi="TimesNewRoman" w:eastAsia="仿宋_GB2312" w:cs="TimesNewRoman"/>
          <w:sz w:val="32"/>
          <w:szCs w:val="32"/>
          <w:lang w:val="en-US" w:eastAsia="zh-CN"/>
        </w:rPr>
        <w:t>增加5.24</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增长1</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增长</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val="en-US" w:eastAsia="zh-CN"/>
        </w:rPr>
        <w:t>党校招录新人；</w:t>
      </w:r>
      <w:r>
        <w:rPr>
          <w:rFonts w:hint="eastAsia" w:ascii="仿宋_GB2312" w:hAnsi="TimesNewRoman" w:eastAsia="仿宋_GB2312" w:cs="TimesNewRoman"/>
          <w:sz w:val="32"/>
          <w:szCs w:val="32"/>
        </w:rPr>
        <w:t>单位资金收入</w:t>
      </w:r>
      <w:r>
        <w:rPr>
          <w:rFonts w:hint="eastAsia" w:ascii="仿宋_GB2312" w:hAnsi="TimesNewRoman" w:eastAsia="仿宋_GB2312" w:cs="TimesNewRoman"/>
          <w:sz w:val="32"/>
          <w:szCs w:val="32"/>
          <w:lang w:val="en-US" w:eastAsia="zh-CN"/>
        </w:rPr>
        <w:t>60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10.21</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与</w:t>
      </w:r>
      <w:r>
        <w:rPr>
          <w:rFonts w:hint="eastAsia" w:ascii="仿宋_GB2312" w:hAnsi="TimesNewRoman" w:eastAsia="仿宋_GB2312" w:cs="TimesNewRoman"/>
          <w:sz w:val="32"/>
          <w:szCs w:val="32"/>
        </w:rPr>
        <w:t>2023年预算</w:t>
      </w:r>
      <w:r>
        <w:rPr>
          <w:rFonts w:hint="eastAsia" w:ascii="仿宋_GB2312" w:hAnsi="TimesNewRoman" w:eastAsia="仿宋_GB2312" w:cs="TimesNewRoman"/>
          <w:sz w:val="32"/>
          <w:szCs w:val="32"/>
          <w:lang w:val="en-US" w:eastAsia="zh-CN"/>
        </w:rPr>
        <w:t>持平</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val="en-US" w:eastAsia="zh-CN"/>
        </w:rPr>
        <w:t>党校正常办学，培训费预算收入未调整</w:t>
      </w:r>
      <w:r>
        <w:rPr>
          <w:rFonts w:hint="eastAsia" w:ascii="仿宋_GB2312" w:hAnsi="TimesNewRoman" w:eastAsia="仿宋_GB2312" w:cs="TimesNewRoman"/>
          <w:sz w:val="32"/>
          <w:szCs w:val="32"/>
        </w:rPr>
        <w:t>。</w:t>
      </w:r>
    </w:p>
    <w:p w14:paraId="28EC1D4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三、关于2025年支出总表的说明</w:t>
      </w:r>
    </w:p>
    <w:p w14:paraId="78978C53">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2025年支出预算</w:t>
      </w:r>
      <w:r>
        <w:rPr>
          <w:rFonts w:hint="eastAsia" w:ascii="仿宋_GB2312" w:hAnsi="TimesNewRoman" w:eastAsia="仿宋_GB2312" w:cs="TimesNewRoman"/>
          <w:sz w:val="32"/>
          <w:szCs w:val="32"/>
          <w:lang w:val="en-US" w:eastAsia="zh-CN"/>
        </w:rPr>
        <w:t>592.69</w:t>
      </w:r>
      <w:r>
        <w:rPr>
          <w:rFonts w:hint="eastAsia" w:ascii="仿宋_GB2312" w:hAnsi="TimesNewRoman" w:eastAsia="仿宋_GB2312" w:cs="TimesNewRoman"/>
          <w:sz w:val="32"/>
          <w:szCs w:val="32"/>
        </w:rPr>
        <w:t>万元，比2024年预算增加</w:t>
      </w:r>
      <w:r>
        <w:rPr>
          <w:rFonts w:hint="eastAsia" w:ascii="仿宋_GB2312" w:hAnsi="TimesNewRoman" w:eastAsia="仿宋_GB2312" w:cs="TimesNewRoman"/>
          <w:sz w:val="32"/>
          <w:szCs w:val="32"/>
          <w:lang w:val="en-US" w:eastAsia="zh-CN"/>
        </w:rPr>
        <w:t>5.24</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增长1</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增长</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val="en-US" w:eastAsia="zh-CN"/>
        </w:rPr>
        <w:t>党校招录新人</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392.67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66.25</w:t>
      </w:r>
      <w:r>
        <w:rPr>
          <w:rFonts w:hint="eastAsia" w:ascii="仿宋_GB2312" w:hAnsi="TimesNewRoman" w:eastAsia="仿宋_GB2312" w:cs="TimesNewRoman"/>
          <w:sz w:val="32"/>
          <w:szCs w:val="32"/>
        </w:rPr>
        <w:t>%，主要用于保障机构日常运转、完成日常</w:t>
      </w:r>
      <w:r>
        <w:rPr>
          <w:rFonts w:hint="eastAsia" w:ascii="仿宋_GB2312" w:hAnsi="TimesNewRoman" w:eastAsia="仿宋_GB2312" w:cs="TimesNewRoman"/>
          <w:sz w:val="32"/>
          <w:szCs w:val="32"/>
          <w:lang w:val="en-US" w:eastAsia="zh-CN"/>
        </w:rPr>
        <w:t>培训办学任务</w:t>
      </w:r>
      <w:r>
        <w:rPr>
          <w:rFonts w:hint="eastAsia" w:ascii="仿宋_GB2312" w:hAnsi="TimesNewRoman" w:eastAsia="仿宋_GB2312" w:cs="TimesNewRoman"/>
          <w:sz w:val="32"/>
          <w:szCs w:val="32"/>
        </w:rPr>
        <w:t>；项目支出</w:t>
      </w:r>
      <w:r>
        <w:rPr>
          <w:rFonts w:hint="eastAsia" w:ascii="仿宋_GB2312" w:hAnsi="TimesNewRoman" w:eastAsia="仿宋_GB2312" w:cs="TimesNewRoman"/>
          <w:sz w:val="32"/>
          <w:szCs w:val="32"/>
          <w:lang w:val="en-US" w:eastAsia="zh-CN"/>
        </w:rPr>
        <w:t>200.02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33.75</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val="en-US" w:eastAsia="zh-CN"/>
        </w:rPr>
        <w:t>党校后勤服务社会化，党校事业费等项目。</w:t>
      </w:r>
    </w:p>
    <w:p w14:paraId="7B43E61D">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四、关于2025年财政拨款收支总表的说明</w:t>
      </w:r>
    </w:p>
    <w:p w14:paraId="65C9501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2025年财政拨款收支预算</w:t>
      </w:r>
      <w:r>
        <w:rPr>
          <w:rFonts w:hint="eastAsia" w:ascii="仿宋_GB2312" w:hAnsi="TimesNewRoman" w:eastAsia="仿宋_GB2312" w:cs="TimesNewRoman"/>
          <w:sz w:val="32"/>
          <w:szCs w:val="32"/>
          <w:lang w:val="en-US" w:eastAsia="zh-CN"/>
        </w:rPr>
        <w:t>532.69</w:t>
      </w:r>
      <w:r>
        <w:rPr>
          <w:rFonts w:hint="eastAsia" w:ascii="仿宋_GB2312" w:hAnsi="TimesNewRoman" w:eastAsia="仿宋_GB2312" w:cs="TimesNewRoman"/>
          <w:sz w:val="32"/>
          <w:szCs w:val="32"/>
        </w:rPr>
        <w:t>万元。收入按资金来源分全部为一般公共预算拨款；按资金年度分全部为当年财政拨款收入。支出按功能分类分为：</w:t>
      </w:r>
      <w:r>
        <w:rPr>
          <w:rFonts w:hint="eastAsia" w:ascii="仿宋_GB2312" w:hAnsi="TimesNewRoman" w:eastAsia="仿宋_GB2312" w:cs="TimesNewRoman"/>
          <w:sz w:val="32"/>
          <w:szCs w:val="32"/>
          <w:lang w:val="en-US" w:eastAsia="zh-CN"/>
        </w:rPr>
        <w:t>教育支出444.99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83.54</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51.39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9.65</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11.04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2.07</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25.27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4.74</w:t>
      </w:r>
      <w:r>
        <w:rPr>
          <w:rFonts w:hint="eastAsia" w:ascii="仿宋_GB2312" w:hAnsi="TimesNewRoman" w:eastAsia="仿宋_GB2312" w:cs="TimesNewRoman"/>
          <w:sz w:val="32"/>
          <w:szCs w:val="32"/>
        </w:rPr>
        <w:t>%。</w:t>
      </w:r>
    </w:p>
    <w:p w14:paraId="5C8B38AB">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五、关于2025年一般公共预算支出表的说明</w:t>
      </w:r>
    </w:p>
    <w:p w14:paraId="4951042A">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35FE39A9">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2025年一般公共预算支出</w:t>
      </w:r>
      <w:r>
        <w:rPr>
          <w:rFonts w:hint="eastAsia" w:ascii="仿宋_GB2312" w:hAnsi="TimesNewRoman" w:eastAsia="仿宋_GB2312" w:cs="TimesNewRoman"/>
          <w:sz w:val="32"/>
          <w:szCs w:val="32"/>
          <w:lang w:val="en-US" w:eastAsia="zh-CN"/>
        </w:rPr>
        <w:t>532.69</w:t>
      </w:r>
      <w:r>
        <w:rPr>
          <w:rFonts w:hint="eastAsia" w:ascii="仿宋_GB2312" w:hAnsi="TimesNewRoman" w:eastAsia="仿宋_GB2312" w:cs="TimesNewRoman"/>
          <w:sz w:val="32"/>
          <w:szCs w:val="32"/>
        </w:rPr>
        <w:t>万元，比2024年预算</w:t>
      </w:r>
      <w:r>
        <w:rPr>
          <w:rFonts w:hint="eastAsia" w:ascii="仿宋_GB2312" w:hAnsi="TimesNewRoman" w:eastAsia="仿宋_GB2312" w:cs="TimesNewRoman"/>
          <w:sz w:val="32"/>
          <w:szCs w:val="32"/>
          <w:lang w:val="en-US" w:eastAsia="zh-CN"/>
        </w:rPr>
        <w:t>增加5.24</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增长1</w:t>
      </w:r>
      <w:r>
        <w:rPr>
          <w:rFonts w:hint="eastAsia" w:ascii="仿宋_GB2312" w:hAnsi="TimesNewRoman" w:eastAsia="仿宋_GB2312" w:cs="TimesNewRoman"/>
          <w:sz w:val="32"/>
          <w:szCs w:val="32"/>
        </w:rPr>
        <w:t>%，原因主要</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一是</w:t>
      </w:r>
      <w:r>
        <w:rPr>
          <w:rFonts w:hint="eastAsia" w:ascii="仿宋_GB2312" w:hAnsi="TimesNewRoman" w:eastAsia="仿宋_GB2312" w:cs="TimesNewRoman"/>
          <w:sz w:val="32"/>
          <w:szCs w:val="32"/>
          <w:lang w:val="en-US" w:eastAsia="zh-CN"/>
        </w:rPr>
        <w:t>党校招录新人</w:t>
      </w:r>
      <w:r>
        <w:rPr>
          <w:rFonts w:hint="eastAsia" w:ascii="仿宋_GB2312" w:hAnsi="TimesNewRoman" w:eastAsia="仿宋_GB2312" w:cs="TimesNewRoman"/>
          <w:sz w:val="32"/>
          <w:szCs w:val="32"/>
        </w:rPr>
        <w:t>；二是</w:t>
      </w:r>
      <w:r>
        <w:rPr>
          <w:rFonts w:hint="eastAsia" w:ascii="仿宋_GB2312" w:hAnsi="TimesNewRoman" w:eastAsia="仿宋_GB2312" w:cs="TimesNewRoman"/>
          <w:sz w:val="32"/>
          <w:szCs w:val="32"/>
          <w:lang w:val="en-US" w:eastAsia="zh-CN"/>
        </w:rPr>
        <w:t>在职人员薪资正常调整</w:t>
      </w:r>
      <w:r>
        <w:rPr>
          <w:rFonts w:hint="eastAsia" w:ascii="仿宋_GB2312" w:hAnsi="TimesNewRoman" w:eastAsia="仿宋_GB2312" w:cs="TimesNewRoman"/>
          <w:sz w:val="32"/>
          <w:szCs w:val="32"/>
        </w:rPr>
        <w:t>。</w:t>
      </w:r>
    </w:p>
    <w:p w14:paraId="5BBA5466">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0B0438F9">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教育</w:t>
      </w:r>
      <w:r>
        <w:rPr>
          <w:rFonts w:hint="eastAsia" w:ascii="仿宋_GB2312" w:hAnsi="TimesNewRoman" w:eastAsia="仿宋_GB2312" w:cs="TimesNewRoman"/>
          <w:sz w:val="32"/>
          <w:szCs w:val="32"/>
        </w:rPr>
        <w:t>支出</w:t>
      </w:r>
      <w:r>
        <w:rPr>
          <w:rFonts w:hint="eastAsia" w:ascii="仿宋_GB2312" w:hAnsi="TimesNewRoman" w:eastAsia="仿宋_GB2312" w:cs="TimesNewRoman"/>
          <w:sz w:val="32"/>
          <w:szCs w:val="32"/>
          <w:lang w:val="en-US" w:eastAsia="zh-CN"/>
        </w:rPr>
        <w:t>444.99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83.54</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51.39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9.65</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11.04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2.07</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25.27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4.74</w:t>
      </w:r>
      <w:r>
        <w:rPr>
          <w:rFonts w:hint="eastAsia" w:ascii="仿宋_GB2312" w:hAnsi="TimesNewRoman" w:eastAsia="仿宋_GB2312" w:cs="TimesNewRoman"/>
          <w:sz w:val="32"/>
          <w:szCs w:val="32"/>
        </w:rPr>
        <w:t>%。</w:t>
      </w:r>
    </w:p>
    <w:p w14:paraId="3F65B98D">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15ED4827">
      <w:pPr>
        <w:pStyle w:val="3"/>
        <w:adjustRightInd w:val="0"/>
        <w:snapToGrid w:val="0"/>
        <w:spacing w:before="0" w:beforeAutospacing="0" w:after="0" w:afterAutospacing="0" w:line="600" w:lineRule="exact"/>
        <w:ind w:firstLine="630" w:firstLineChars="196"/>
        <w:rPr>
          <w:rFonts w:hint="default" w:ascii="仿宋_GB2312" w:hAnsi="TimesNewRoman" w:eastAsia="仿宋_GB2312" w:cs="TimesNewRoman"/>
          <w:sz w:val="32"/>
          <w:szCs w:val="32"/>
          <w:lang w:val="en-US" w:eastAsia="zh-CN"/>
        </w:rPr>
      </w:pPr>
      <w:r>
        <w:rPr>
          <w:rFonts w:hint="eastAsia" w:ascii="仿宋" w:hAnsi="仿宋" w:eastAsia="仿宋"/>
          <w:b/>
          <w:sz w:val="32"/>
          <w:szCs w:val="32"/>
        </w:rPr>
        <w:t>1.</w:t>
      </w:r>
      <w:r>
        <w:rPr>
          <w:rFonts w:hint="eastAsia" w:ascii="仿宋_GB2312" w:hAnsi="仿宋" w:eastAsia="仿宋_GB2312"/>
          <w:b/>
          <w:sz w:val="32"/>
          <w:szCs w:val="32"/>
          <w:lang w:val="en-US" w:eastAsia="zh-CN"/>
        </w:rPr>
        <w:t>教育</w:t>
      </w:r>
      <w:r>
        <w:rPr>
          <w:rFonts w:hint="eastAsia" w:ascii="仿宋_GB2312" w:hAnsi="仿宋" w:eastAsia="仿宋_GB2312"/>
          <w:b/>
          <w:sz w:val="32"/>
          <w:szCs w:val="32"/>
        </w:rPr>
        <w:t>支出（类）</w:t>
      </w:r>
      <w:r>
        <w:rPr>
          <w:rFonts w:hint="eastAsia" w:ascii="仿宋_GB2312" w:hAnsi="仿宋" w:eastAsia="仿宋_GB2312"/>
          <w:b/>
          <w:sz w:val="32"/>
          <w:szCs w:val="32"/>
          <w:lang w:val="en-US" w:eastAsia="zh-CN"/>
        </w:rPr>
        <w:t>进修及培训</w:t>
      </w:r>
      <w:r>
        <w:rPr>
          <w:rFonts w:hint="eastAsia" w:ascii="仿宋_GB2312" w:hAnsi="仿宋" w:eastAsia="仿宋_GB2312"/>
          <w:b/>
          <w:sz w:val="32"/>
          <w:szCs w:val="32"/>
        </w:rPr>
        <w:t>（款）</w:t>
      </w:r>
      <w:r>
        <w:rPr>
          <w:rFonts w:hint="eastAsia" w:ascii="仿宋_GB2312" w:hAnsi="仿宋" w:eastAsia="仿宋_GB2312"/>
          <w:b/>
          <w:sz w:val="32"/>
          <w:szCs w:val="32"/>
          <w:lang w:val="en-US" w:eastAsia="zh-CN"/>
        </w:rPr>
        <w:t>干部教育</w:t>
      </w:r>
      <w:r>
        <w:rPr>
          <w:rFonts w:hint="eastAsia" w:ascii="仿宋_GB2312" w:hAnsi="仿宋" w:eastAsia="仿宋_GB2312"/>
          <w:b/>
          <w:sz w:val="32"/>
          <w:szCs w:val="32"/>
        </w:rPr>
        <w:t>（项）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444.99</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增加8.9</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增加2</w:t>
      </w:r>
      <w:r>
        <w:rPr>
          <w:rFonts w:hint="eastAsia" w:ascii="仿宋_GB2312" w:hAnsi="仿宋" w:eastAsia="仿宋_GB2312"/>
          <w:sz w:val="32"/>
          <w:szCs w:val="32"/>
        </w:rPr>
        <w:t>%，</w:t>
      </w:r>
      <w:r>
        <w:rPr>
          <w:rFonts w:hint="eastAsia" w:ascii="仿宋_GB2312" w:hAnsi="仿宋" w:eastAsia="仿宋_GB2312"/>
          <w:sz w:val="32"/>
          <w:szCs w:val="32"/>
          <w:lang w:val="en-US" w:eastAsia="zh-CN"/>
        </w:rPr>
        <w:t>增长</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党校招录新人.</w:t>
      </w:r>
    </w:p>
    <w:p w14:paraId="3F1D6F96">
      <w:pPr>
        <w:pStyle w:val="3"/>
        <w:adjustRightInd w:val="0"/>
        <w:snapToGrid w:val="0"/>
        <w:spacing w:before="0" w:beforeAutospacing="0" w:after="0" w:afterAutospacing="0" w:line="600" w:lineRule="exact"/>
        <w:ind w:firstLine="630" w:firstLineChars="196"/>
        <w:rPr>
          <w:rFonts w:ascii="仿宋_GB2312" w:hAnsi="仿宋" w:eastAsia="仿宋_GB2312"/>
          <w:sz w:val="32"/>
          <w:szCs w:val="32"/>
        </w:rPr>
      </w:pPr>
      <w:r>
        <w:rPr>
          <w:rFonts w:hint="eastAsia" w:ascii="仿宋_GB2312" w:hAnsi="TimesNewRoman" w:eastAsia="仿宋_GB2312" w:cs="TimesNewRoman"/>
          <w:b/>
          <w:sz w:val="32"/>
          <w:szCs w:val="32"/>
        </w:rPr>
        <w:t>2.</w:t>
      </w:r>
      <w:r>
        <w:rPr>
          <w:rFonts w:hint="eastAsia" w:ascii="仿宋_GB2312" w:hAnsi="仿宋" w:eastAsia="仿宋_GB2312"/>
          <w:b/>
          <w:sz w:val="32"/>
          <w:szCs w:val="32"/>
        </w:rPr>
        <w:t>社会保障和就业支出（类）行政事业单位</w:t>
      </w:r>
      <w:r>
        <w:rPr>
          <w:rFonts w:hint="eastAsia" w:ascii="仿宋_GB2312" w:hAnsi="仿宋" w:eastAsia="仿宋_GB2312"/>
          <w:b/>
          <w:sz w:val="32"/>
          <w:szCs w:val="32"/>
          <w:lang w:val="en-US" w:eastAsia="zh-CN"/>
        </w:rPr>
        <w:t>养老支出</w:t>
      </w:r>
      <w:r>
        <w:rPr>
          <w:rFonts w:hint="eastAsia" w:ascii="仿宋_GB2312" w:hAnsi="仿宋" w:eastAsia="仿宋_GB2312"/>
          <w:b/>
          <w:sz w:val="32"/>
          <w:szCs w:val="32"/>
        </w:rPr>
        <w:t>（款）机关事业单位基本养老保险缴费支出（项）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33.69</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减少0.36</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下降1.06</w:t>
      </w:r>
      <w:r>
        <w:rPr>
          <w:rFonts w:hint="eastAsia" w:ascii="仿宋_GB2312" w:hAnsi="仿宋" w:eastAsia="仿宋_GB2312"/>
          <w:sz w:val="32"/>
          <w:szCs w:val="32"/>
        </w:rPr>
        <w:t>%，</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2024年度单位退休2人</w:t>
      </w:r>
      <w:r>
        <w:rPr>
          <w:rFonts w:hint="eastAsia" w:ascii="仿宋_GB2312" w:hAnsi="仿宋" w:eastAsia="仿宋_GB2312"/>
          <w:sz w:val="32"/>
          <w:szCs w:val="32"/>
        </w:rPr>
        <w:t>，导致</w:t>
      </w:r>
      <w:r>
        <w:rPr>
          <w:rFonts w:hint="eastAsia" w:ascii="仿宋_GB2312" w:hAnsi="仿宋" w:eastAsia="仿宋_GB2312"/>
          <w:sz w:val="32"/>
          <w:szCs w:val="32"/>
          <w:lang w:val="en-US" w:eastAsia="zh-CN"/>
        </w:rPr>
        <w:t>缴</w:t>
      </w:r>
      <w:r>
        <w:rPr>
          <w:rFonts w:hint="eastAsia" w:ascii="仿宋_GB2312" w:hAnsi="仿宋" w:eastAsia="仿宋_GB2312"/>
          <w:sz w:val="32"/>
          <w:szCs w:val="32"/>
        </w:rPr>
        <w:t>费基数</w:t>
      </w:r>
      <w:r>
        <w:rPr>
          <w:rFonts w:hint="eastAsia" w:ascii="仿宋_GB2312" w:hAnsi="仿宋" w:eastAsia="仿宋_GB2312"/>
          <w:sz w:val="32"/>
          <w:szCs w:val="32"/>
          <w:lang w:val="en-US" w:eastAsia="zh-CN"/>
        </w:rPr>
        <w:t>变小</w:t>
      </w:r>
      <w:r>
        <w:rPr>
          <w:rFonts w:hint="eastAsia" w:ascii="仿宋_GB2312" w:hAnsi="仿宋" w:eastAsia="仿宋_GB2312"/>
          <w:sz w:val="32"/>
          <w:szCs w:val="32"/>
        </w:rPr>
        <w:t>，缴费</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w:t>
      </w:r>
    </w:p>
    <w:p w14:paraId="532F11E9">
      <w:pPr>
        <w:pStyle w:val="3"/>
        <w:adjustRightInd w:val="0"/>
        <w:snapToGrid w:val="0"/>
        <w:spacing w:before="0" w:beforeAutospacing="0" w:after="0" w:afterAutospacing="0" w:line="600" w:lineRule="exact"/>
        <w:ind w:firstLine="630" w:firstLineChars="196"/>
        <w:rPr>
          <w:rFonts w:ascii="仿宋_GB2312" w:hAnsi="仿宋" w:eastAsia="仿宋_GB2312"/>
          <w:sz w:val="32"/>
          <w:szCs w:val="32"/>
        </w:rPr>
      </w:pPr>
      <w:r>
        <w:rPr>
          <w:rFonts w:hint="eastAsia" w:ascii="仿宋_GB2312" w:hAnsi="TimesNewRoman" w:eastAsia="仿宋_GB2312" w:cs="TimesNewRoman"/>
          <w:b/>
          <w:sz w:val="32"/>
          <w:szCs w:val="32"/>
        </w:rPr>
        <w:t>3.</w:t>
      </w:r>
      <w:r>
        <w:rPr>
          <w:rFonts w:hint="eastAsia" w:ascii="仿宋" w:hAnsi="仿宋" w:eastAsia="仿宋"/>
          <w:b/>
          <w:sz w:val="32"/>
          <w:szCs w:val="32"/>
        </w:rPr>
        <w:t>社会保障和就业支出（类） 行政事业单位养老支出（款）机关事业单位职业年金缴费支出（项）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16.84</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减少0.19</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下降1.12</w:t>
      </w:r>
      <w:r>
        <w:rPr>
          <w:rFonts w:hint="eastAsia" w:ascii="仿宋_GB2312" w:hAnsi="仿宋" w:eastAsia="仿宋_GB2312"/>
          <w:sz w:val="32"/>
          <w:szCs w:val="32"/>
        </w:rPr>
        <w:t>%，</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2024年度单位退休2人</w:t>
      </w:r>
      <w:r>
        <w:rPr>
          <w:rFonts w:hint="eastAsia" w:ascii="仿宋_GB2312" w:hAnsi="仿宋" w:eastAsia="仿宋_GB2312"/>
          <w:sz w:val="32"/>
          <w:szCs w:val="32"/>
        </w:rPr>
        <w:t>，导致</w:t>
      </w:r>
      <w:r>
        <w:rPr>
          <w:rFonts w:hint="eastAsia" w:ascii="仿宋_GB2312" w:hAnsi="仿宋" w:eastAsia="仿宋_GB2312"/>
          <w:sz w:val="32"/>
          <w:szCs w:val="32"/>
          <w:lang w:val="en-US" w:eastAsia="zh-CN"/>
        </w:rPr>
        <w:t>缴</w:t>
      </w:r>
      <w:r>
        <w:rPr>
          <w:rFonts w:hint="eastAsia" w:ascii="仿宋_GB2312" w:hAnsi="仿宋" w:eastAsia="仿宋_GB2312"/>
          <w:sz w:val="32"/>
          <w:szCs w:val="32"/>
        </w:rPr>
        <w:t>费基数</w:t>
      </w:r>
      <w:r>
        <w:rPr>
          <w:rFonts w:hint="eastAsia" w:ascii="仿宋_GB2312" w:hAnsi="仿宋" w:eastAsia="仿宋_GB2312"/>
          <w:sz w:val="32"/>
          <w:szCs w:val="32"/>
          <w:lang w:val="en-US" w:eastAsia="zh-CN"/>
        </w:rPr>
        <w:t>变小</w:t>
      </w:r>
      <w:r>
        <w:rPr>
          <w:rFonts w:hint="eastAsia" w:ascii="仿宋_GB2312" w:hAnsi="仿宋" w:eastAsia="仿宋_GB2312"/>
          <w:sz w:val="32"/>
          <w:szCs w:val="32"/>
        </w:rPr>
        <w:t>，缴费</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w:t>
      </w:r>
    </w:p>
    <w:p w14:paraId="427A0137">
      <w:pPr>
        <w:pStyle w:val="3"/>
        <w:adjustRightInd w:val="0"/>
        <w:snapToGrid w:val="0"/>
        <w:spacing w:before="0" w:beforeAutospacing="0" w:after="0" w:afterAutospacing="0" w:line="600" w:lineRule="exact"/>
        <w:ind w:firstLine="630" w:firstLineChars="196"/>
        <w:rPr>
          <w:rFonts w:hint="eastAsia" w:ascii="仿宋_GB2312" w:hAnsi="仿宋" w:eastAsia="仿宋_GB2312"/>
          <w:sz w:val="32"/>
          <w:szCs w:val="32"/>
        </w:rPr>
      </w:pPr>
      <w:r>
        <w:rPr>
          <w:rFonts w:hint="eastAsia" w:ascii="仿宋" w:hAnsi="仿宋" w:eastAsia="仿宋"/>
          <w:b/>
          <w:sz w:val="32"/>
          <w:szCs w:val="32"/>
          <w:lang w:val="en-US" w:eastAsia="zh-CN"/>
        </w:rPr>
        <w:t>4</w:t>
      </w:r>
      <w:r>
        <w:rPr>
          <w:rFonts w:hint="eastAsia" w:ascii="仿宋" w:hAnsi="仿宋" w:eastAsia="仿宋"/>
          <w:b/>
          <w:sz w:val="32"/>
          <w:szCs w:val="32"/>
        </w:rPr>
        <w:t>.社会保障和就业支出（类） 其他社会保障和就业支出（款）其他社会保障和就业支出（项）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0.86</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减少0.06</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下降6.52</w:t>
      </w:r>
      <w:r>
        <w:rPr>
          <w:rFonts w:hint="eastAsia" w:ascii="仿宋_GB2312" w:hAnsi="仿宋" w:eastAsia="仿宋_GB2312"/>
          <w:sz w:val="32"/>
          <w:szCs w:val="32"/>
        </w:rPr>
        <w:t>%，</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2024年度单位退休2人</w:t>
      </w:r>
      <w:r>
        <w:rPr>
          <w:rFonts w:hint="eastAsia" w:ascii="仿宋_GB2312" w:hAnsi="仿宋" w:eastAsia="仿宋_GB2312"/>
          <w:sz w:val="32"/>
          <w:szCs w:val="32"/>
        </w:rPr>
        <w:t>，导致</w:t>
      </w:r>
      <w:r>
        <w:rPr>
          <w:rFonts w:hint="eastAsia" w:ascii="仿宋_GB2312" w:hAnsi="仿宋" w:eastAsia="仿宋_GB2312"/>
          <w:sz w:val="32"/>
          <w:szCs w:val="32"/>
          <w:lang w:val="en-US" w:eastAsia="zh-CN"/>
        </w:rPr>
        <w:t>缴</w:t>
      </w:r>
      <w:r>
        <w:rPr>
          <w:rFonts w:hint="eastAsia" w:ascii="仿宋_GB2312" w:hAnsi="仿宋" w:eastAsia="仿宋_GB2312"/>
          <w:sz w:val="32"/>
          <w:szCs w:val="32"/>
        </w:rPr>
        <w:t>费基数</w:t>
      </w:r>
      <w:r>
        <w:rPr>
          <w:rFonts w:hint="eastAsia" w:ascii="仿宋_GB2312" w:hAnsi="仿宋" w:eastAsia="仿宋_GB2312"/>
          <w:sz w:val="32"/>
          <w:szCs w:val="32"/>
          <w:lang w:val="en-US" w:eastAsia="zh-CN"/>
        </w:rPr>
        <w:t>变小</w:t>
      </w:r>
      <w:r>
        <w:rPr>
          <w:rFonts w:hint="eastAsia" w:ascii="仿宋_GB2312" w:hAnsi="仿宋" w:eastAsia="仿宋_GB2312"/>
          <w:sz w:val="32"/>
          <w:szCs w:val="32"/>
        </w:rPr>
        <w:t>，缴费</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w:t>
      </w:r>
    </w:p>
    <w:p w14:paraId="380A2406">
      <w:pPr>
        <w:pStyle w:val="3"/>
        <w:adjustRightInd w:val="0"/>
        <w:snapToGrid w:val="0"/>
        <w:spacing w:before="0" w:beforeAutospacing="0" w:after="0" w:afterAutospacing="0" w:line="600" w:lineRule="exact"/>
        <w:ind w:firstLine="630" w:firstLineChars="196"/>
        <w:rPr>
          <w:rFonts w:ascii="仿宋_GB2312" w:hAnsi="仿宋" w:eastAsia="仿宋_GB2312"/>
          <w:sz w:val="32"/>
          <w:szCs w:val="32"/>
        </w:rPr>
      </w:pPr>
      <w:r>
        <w:rPr>
          <w:rFonts w:hint="eastAsia" w:ascii="仿宋" w:hAnsi="仿宋" w:eastAsia="仿宋"/>
          <w:b/>
          <w:sz w:val="32"/>
          <w:szCs w:val="32"/>
          <w:lang w:val="en-US" w:eastAsia="zh-CN"/>
        </w:rPr>
        <w:t>5</w:t>
      </w:r>
      <w:r>
        <w:rPr>
          <w:rFonts w:hint="eastAsia" w:ascii="仿宋" w:hAnsi="仿宋" w:eastAsia="仿宋"/>
          <w:b/>
          <w:sz w:val="32"/>
          <w:szCs w:val="32"/>
        </w:rPr>
        <w:t>.卫生健康支出（类）行政</w:t>
      </w:r>
      <w:r>
        <w:rPr>
          <w:rFonts w:hint="eastAsia" w:ascii="仿宋" w:hAnsi="仿宋" w:eastAsia="仿宋"/>
          <w:b/>
          <w:sz w:val="32"/>
          <w:szCs w:val="32"/>
          <w:lang w:val="en-US" w:eastAsia="zh-CN"/>
        </w:rPr>
        <w:t>事业</w:t>
      </w:r>
      <w:r>
        <w:rPr>
          <w:rFonts w:hint="eastAsia" w:ascii="仿宋" w:hAnsi="仿宋" w:eastAsia="仿宋"/>
          <w:b/>
          <w:sz w:val="32"/>
          <w:szCs w:val="32"/>
        </w:rPr>
        <w:t>单位医疗（款）行政单位医疗（项）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3.55</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增加0.47</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增长15.26</w:t>
      </w:r>
      <w:r>
        <w:rPr>
          <w:rFonts w:hint="eastAsia" w:ascii="仿宋_GB2312" w:hAnsi="仿宋" w:eastAsia="仿宋_GB2312"/>
          <w:sz w:val="32"/>
          <w:szCs w:val="32"/>
        </w:rPr>
        <w:t>%，</w:t>
      </w:r>
      <w:r>
        <w:rPr>
          <w:rFonts w:hint="eastAsia" w:ascii="仿宋_GB2312" w:hAnsi="仿宋" w:eastAsia="仿宋_GB2312"/>
          <w:sz w:val="32"/>
          <w:szCs w:val="32"/>
          <w:lang w:val="en-US" w:eastAsia="zh-CN"/>
        </w:rPr>
        <w:t>增长</w:t>
      </w:r>
      <w:r>
        <w:rPr>
          <w:rFonts w:hint="eastAsia" w:ascii="仿宋_GB2312" w:hAnsi="仿宋" w:eastAsia="仿宋_GB2312"/>
          <w:sz w:val="32"/>
          <w:szCs w:val="32"/>
        </w:rPr>
        <w:t>原因主要是</w:t>
      </w:r>
      <w:r>
        <w:rPr>
          <w:rFonts w:hint="eastAsia" w:ascii="仿宋_GB2312" w:hAnsi="仿宋" w:eastAsia="仿宋_GB2312"/>
          <w:sz w:val="32"/>
          <w:szCs w:val="32"/>
          <w:lang w:eastAsia="zh-CN"/>
        </w:rPr>
        <w:t>：</w:t>
      </w:r>
      <w:r>
        <w:rPr>
          <w:rFonts w:hint="eastAsia" w:ascii="仿宋_GB2312" w:hAnsi="TimesNewRoman" w:eastAsia="仿宋_GB2312" w:cs="TimesNewRoman"/>
          <w:sz w:val="32"/>
          <w:szCs w:val="32"/>
          <w:lang w:val="en-US" w:eastAsia="zh-CN"/>
        </w:rPr>
        <w:t>2025新招录公务员1人</w:t>
      </w:r>
      <w:r>
        <w:rPr>
          <w:rFonts w:hint="eastAsia" w:ascii="仿宋_GB2312" w:hAnsi="仿宋" w:eastAsia="仿宋_GB2312"/>
          <w:sz w:val="32"/>
          <w:szCs w:val="32"/>
        </w:rPr>
        <w:t>。</w:t>
      </w:r>
    </w:p>
    <w:p w14:paraId="673F53F4">
      <w:pPr>
        <w:topLinePunct/>
        <w:adjustRightInd w:val="0"/>
        <w:snapToGrid w:val="0"/>
        <w:spacing w:line="580" w:lineRule="exact"/>
        <w:ind w:firstLine="643" w:firstLineChars="200"/>
        <w:rPr>
          <w:rFonts w:hint="eastAsia" w:ascii="仿宋_GB2312" w:hAnsi="TimesNewRoman" w:eastAsia="仿宋_GB2312" w:cs="TimesNewRoman"/>
          <w:b/>
          <w:sz w:val="32"/>
          <w:szCs w:val="32"/>
          <w:lang w:val="en-US" w:eastAsia="zh-CN"/>
        </w:rPr>
      </w:pPr>
      <w:r>
        <w:rPr>
          <w:rFonts w:hint="eastAsia" w:ascii="仿宋" w:hAnsi="仿宋" w:eastAsia="仿宋"/>
          <w:b/>
          <w:sz w:val="32"/>
          <w:szCs w:val="32"/>
          <w:lang w:val="en-US" w:eastAsia="zh-CN"/>
        </w:rPr>
        <w:t>6</w:t>
      </w:r>
      <w:r>
        <w:rPr>
          <w:rFonts w:hint="eastAsia" w:ascii="仿宋" w:hAnsi="仿宋" w:eastAsia="仿宋"/>
          <w:b/>
          <w:sz w:val="32"/>
          <w:szCs w:val="32"/>
        </w:rPr>
        <w:t>.</w:t>
      </w:r>
      <w:r>
        <w:rPr>
          <w:rFonts w:hint="eastAsia" w:ascii="仿宋_GB2312" w:hAnsi="仿宋" w:eastAsia="仿宋_GB2312"/>
          <w:b/>
          <w:sz w:val="32"/>
          <w:szCs w:val="32"/>
          <w:lang w:val="en-US" w:eastAsia="zh-CN"/>
        </w:rPr>
        <w:t>卫生健康支出</w:t>
      </w:r>
      <w:r>
        <w:rPr>
          <w:rFonts w:hint="eastAsia" w:ascii="仿宋_GB2312" w:hAnsi="仿宋" w:eastAsia="仿宋_GB2312"/>
          <w:b/>
          <w:sz w:val="32"/>
          <w:szCs w:val="32"/>
        </w:rPr>
        <w:t>（类）</w:t>
      </w:r>
      <w:r>
        <w:rPr>
          <w:rFonts w:hint="eastAsia" w:ascii="仿宋_GB2312" w:hAnsi="仿宋" w:eastAsia="仿宋_GB2312"/>
          <w:b/>
          <w:sz w:val="32"/>
          <w:szCs w:val="32"/>
          <w:lang w:val="en-US" w:eastAsia="zh-CN"/>
        </w:rPr>
        <w:t>行政事业单位医疗</w:t>
      </w:r>
      <w:r>
        <w:rPr>
          <w:rFonts w:hint="eastAsia" w:ascii="仿宋_GB2312" w:hAnsi="仿宋" w:eastAsia="仿宋_GB2312"/>
          <w:b/>
          <w:sz w:val="32"/>
          <w:szCs w:val="32"/>
        </w:rPr>
        <w:t>（款）</w:t>
      </w:r>
      <w:r>
        <w:rPr>
          <w:rFonts w:hint="eastAsia" w:ascii="仿宋_GB2312" w:hAnsi="仿宋" w:eastAsia="仿宋_GB2312"/>
          <w:b/>
          <w:sz w:val="32"/>
          <w:szCs w:val="32"/>
          <w:lang w:val="en-US" w:eastAsia="zh-CN"/>
        </w:rPr>
        <w:t>事业单位医疗</w:t>
      </w:r>
      <w:r>
        <w:rPr>
          <w:rFonts w:hint="eastAsia" w:ascii="仿宋_GB2312" w:hAnsi="仿宋" w:eastAsia="仿宋_GB2312"/>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7.48</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0.66</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8.11</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党校2024年退休事业人员2人，新招录事业人员1人</w:t>
      </w:r>
      <w:r>
        <w:rPr>
          <w:rFonts w:hint="eastAsia" w:ascii="仿宋_GB2312" w:hAnsi="TimesNewRoman" w:eastAsia="仿宋_GB2312" w:cs="TimesNewRoman"/>
          <w:sz w:val="32"/>
          <w:szCs w:val="32"/>
        </w:rPr>
        <w:t>。</w:t>
      </w:r>
    </w:p>
    <w:p w14:paraId="5BE4959C">
      <w:pPr>
        <w:adjustRightInd w:val="0"/>
        <w:snapToGrid w:val="0"/>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lang w:val="en-US" w:eastAsia="zh-CN"/>
        </w:rPr>
        <w:t>7.</w:t>
      </w:r>
      <w:r>
        <w:rPr>
          <w:rFonts w:hint="eastAsia" w:ascii="仿宋_GB2312" w:hAnsi="仿宋" w:eastAsia="仿宋_GB2312"/>
          <w:b/>
          <w:sz w:val="32"/>
          <w:szCs w:val="32"/>
        </w:rPr>
        <w:t>住房保障支出（类）住房改革支出（款）住房公积金（项）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25.27</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减少0.27</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下降1.06</w:t>
      </w:r>
      <w:r>
        <w:rPr>
          <w:rFonts w:hint="eastAsia" w:ascii="仿宋_GB2312" w:hAnsi="仿宋" w:eastAsia="仿宋_GB2312"/>
          <w:sz w:val="32"/>
          <w:szCs w:val="32"/>
        </w:rPr>
        <w:t>%，</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原因主要是</w:t>
      </w:r>
      <w:r>
        <w:rPr>
          <w:rFonts w:hint="eastAsia" w:ascii="仿宋_GB2312" w:hAnsi="TimesNewRoman" w:eastAsia="仿宋_GB2312" w:cs="TimesNewRoman"/>
          <w:sz w:val="32"/>
          <w:szCs w:val="32"/>
          <w:lang w:val="en-US" w:eastAsia="zh-CN"/>
        </w:rPr>
        <w:t>2025年度单位在职职工退休2人</w:t>
      </w:r>
      <w:r>
        <w:rPr>
          <w:rFonts w:hint="eastAsia" w:ascii="仿宋_GB2312" w:hAnsi="仿宋" w:eastAsia="仿宋_GB2312"/>
          <w:sz w:val="32"/>
          <w:szCs w:val="32"/>
        </w:rPr>
        <w:t>，导致</w:t>
      </w:r>
      <w:r>
        <w:rPr>
          <w:rFonts w:hint="eastAsia" w:ascii="仿宋_GB2312" w:hAnsi="仿宋" w:eastAsia="仿宋_GB2312"/>
          <w:sz w:val="32"/>
          <w:szCs w:val="32"/>
          <w:lang w:val="en-US" w:eastAsia="zh-CN"/>
        </w:rPr>
        <w:t>缴</w:t>
      </w:r>
      <w:r>
        <w:rPr>
          <w:rFonts w:hint="eastAsia" w:ascii="仿宋_GB2312" w:hAnsi="仿宋" w:eastAsia="仿宋_GB2312"/>
          <w:sz w:val="32"/>
          <w:szCs w:val="32"/>
        </w:rPr>
        <w:t>费基数</w:t>
      </w:r>
      <w:r>
        <w:rPr>
          <w:rFonts w:hint="eastAsia" w:ascii="仿宋_GB2312" w:hAnsi="仿宋" w:eastAsia="仿宋_GB2312"/>
          <w:sz w:val="32"/>
          <w:szCs w:val="32"/>
          <w:lang w:val="en-US" w:eastAsia="zh-CN"/>
        </w:rPr>
        <w:t>变小</w:t>
      </w:r>
      <w:r>
        <w:rPr>
          <w:rFonts w:hint="eastAsia" w:ascii="仿宋_GB2312" w:hAnsi="仿宋" w:eastAsia="仿宋_GB2312"/>
          <w:sz w:val="32"/>
          <w:szCs w:val="32"/>
        </w:rPr>
        <w:t>，缴费</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w:t>
      </w:r>
    </w:p>
    <w:p w14:paraId="26BE5616">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六、关于2025年一般公共预算基本支出表的说明</w:t>
      </w:r>
    </w:p>
    <w:p w14:paraId="2A18020C">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2025年一般公共预算基本支出</w:t>
      </w:r>
      <w:r>
        <w:rPr>
          <w:rFonts w:hint="eastAsia" w:ascii="仿宋_GB2312" w:hAnsi="TimesNewRoman" w:eastAsia="仿宋_GB2312" w:cs="TimesNewRoman"/>
          <w:sz w:val="32"/>
          <w:szCs w:val="32"/>
          <w:lang w:val="en-US" w:eastAsia="zh-CN"/>
        </w:rPr>
        <w:t>392.67</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360.45</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32.22</w:t>
      </w:r>
      <w:r>
        <w:rPr>
          <w:rFonts w:hint="eastAsia" w:ascii="仿宋_GB2312" w:hAnsi="TimesNewRoman" w:eastAsia="仿宋_GB2312" w:cs="TimesNewRoman"/>
          <w:sz w:val="32"/>
          <w:szCs w:val="32"/>
        </w:rPr>
        <w:t>万元。</w:t>
      </w:r>
    </w:p>
    <w:p w14:paraId="64104016">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360.45</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基本工资、津贴补贴、奖金、</w:t>
      </w:r>
      <w:r>
        <w:rPr>
          <w:rFonts w:hint="eastAsia" w:ascii="仿宋_GB2312" w:hAnsi="TimesNewRoman" w:eastAsia="仿宋_GB2312" w:cs="TimesNewRoman"/>
          <w:sz w:val="32"/>
          <w:szCs w:val="32"/>
          <w:u w:val="none"/>
          <w:lang w:val="en-US" w:eastAsia="zh-CN"/>
        </w:rPr>
        <w:t>绩效工资、</w:t>
      </w:r>
      <w:r>
        <w:rPr>
          <w:rFonts w:hint="eastAsia" w:ascii="仿宋_GB2312" w:hAnsi="TimesNewRoman" w:eastAsia="仿宋_GB2312" w:cs="TimesNewRoman"/>
          <w:sz w:val="32"/>
          <w:szCs w:val="32"/>
          <w:u w:val="none"/>
        </w:rPr>
        <w:t>机关事业单位基本养老保险费、职业年金缴费、职工基本医疗保险缴费、公务员医疗补助缴费、其他社会保障缴费、住房公积金、退休费</w:t>
      </w:r>
      <w:r>
        <w:rPr>
          <w:rFonts w:hint="eastAsia" w:ascii="仿宋_GB2312" w:hAnsi="TimesNewRoman" w:eastAsia="仿宋_GB2312" w:cs="TimesNewRoman"/>
          <w:sz w:val="32"/>
          <w:szCs w:val="32"/>
          <w:u w:val="none"/>
          <w:lang w:eastAsia="zh-CN"/>
        </w:rPr>
        <w:t>、</w:t>
      </w:r>
      <w:r>
        <w:rPr>
          <w:rFonts w:hint="eastAsia" w:ascii="仿宋_GB2312" w:hAnsi="TimesNewRoman" w:eastAsia="仿宋_GB2312" w:cs="TimesNewRoman"/>
          <w:sz w:val="32"/>
          <w:szCs w:val="32"/>
          <w:u w:val="none"/>
          <w:lang w:val="en-US" w:eastAsia="zh-CN"/>
        </w:rPr>
        <w:t>生活补助等</w:t>
      </w:r>
      <w:r>
        <w:rPr>
          <w:rFonts w:hint="eastAsia" w:ascii="仿宋_GB2312" w:hAnsi="TimesNewRoman" w:eastAsia="仿宋_GB2312" w:cs="TimesNewRoman"/>
          <w:sz w:val="32"/>
          <w:szCs w:val="32"/>
          <w:u w:val="none"/>
        </w:rPr>
        <w:t>。</w:t>
      </w:r>
    </w:p>
    <w:p w14:paraId="3277EB64">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32.22</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办公费、</w:t>
      </w:r>
      <w:r>
        <w:rPr>
          <w:rFonts w:hint="eastAsia" w:ascii="仿宋_GB2312" w:hAnsi="TimesNewRoman" w:eastAsia="仿宋_GB2312" w:cs="TimesNewRoman"/>
          <w:sz w:val="32"/>
          <w:szCs w:val="32"/>
          <w:u w:val="none"/>
          <w:lang w:val="en-US" w:eastAsia="zh-CN"/>
        </w:rPr>
        <w:t>水费、电费、邮电费、</w:t>
      </w:r>
      <w:r>
        <w:rPr>
          <w:rFonts w:hint="eastAsia" w:ascii="仿宋_GB2312" w:hAnsi="TimesNewRoman" w:eastAsia="仿宋_GB2312" w:cs="TimesNewRoman"/>
          <w:sz w:val="32"/>
          <w:szCs w:val="32"/>
          <w:u w:val="none"/>
        </w:rPr>
        <w:t>会议费、公务接待费、工会经费、</w:t>
      </w:r>
      <w:r>
        <w:rPr>
          <w:rFonts w:hint="eastAsia" w:ascii="仿宋_GB2312" w:hAnsi="TimesNewRoman" w:eastAsia="仿宋_GB2312" w:cs="TimesNewRoman"/>
          <w:sz w:val="32"/>
          <w:szCs w:val="32"/>
          <w:u w:val="none"/>
          <w:lang w:val="en-US" w:eastAsia="zh-CN"/>
        </w:rPr>
        <w:t>福利费、</w:t>
      </w:r>
      <w:r>
        <w:rPr>
          <w:rFonts w:hint="eastAsia" w:ascii="仿宋_GB2312" w:hAnsi="TimesNewRoman" w:eastAsia="仿宋_GB2312" w:cs="TimesNewRoman"/>
          <w:sz w:val="32"/>
          <w:szCs w:val="32"/>
          <w:u w:val="none"/>
        </w:rPr>
        <w:t>其他交通费用</w:t>
      </w:r>
      <w:r>
        <w:rPr>
          <w:rFonts w:hint="eastAsia" w:ascii="仿宋_GB2312" w:hAnsi="TimesNewRoman" w:eastAsia="仿宋_GB2312" w:cs="TimesNewRoman"/>
          <w:sz w:val="32"/>
          <w:szCs w:val="32"/>
          <w:u w:val="none"/>
          <w:lang w:eastAsia="zh-CN"/>
        </w:rPr>
        <w:t>、</w:t>
      </w:r>
      <w:r>
        <w:rPr>
          <w:rFonts w:hint="eastAsia" w:ascii="仿宋_GB2312" w:hAnsi="TimesNewRoman" w:eastAsia="仿宋_GB2312" w:cs="TimesNewRoman"/>
          <w:sz w:val="32"/>
          <w:szCs w:val="32"/>
          <w:u w:val="none"/>
          <w:lang w:val="en-US" w:eastAsia="zh-CN"/>
        </w:rPr>
        <w:t>办公设备购置</w:t>
      </w:r>
      <w:r>
        <w:rPr>
          <w:rFonts w:hint="eastAsia" w:ascii="仿宋_GB2312" w:hAnsi="TimesNewRoman" w:eastAsia="仿宋_GB2312" w:cs="TimesNewRoman"/>
          <w:sz w:val="32"/>
          <w:szCs w:val="32"/>
          <w:u w:val="none"/>
        </w:rPr>
        <w:t>等。</w:t>
      </w:r>
    </w:p>
    <w:p w14:paraId="3D58E8BB">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七、关于2025年政府性基金预算支出表的说明</w:t>
      </w:r>
    </w:p>
    <w:p w14:paraId="69EAEF1E">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2025年没有政府性基金预算拨款收入，也没有使用政府性基金预算拨款安排的支出。</w:t>
      </w:r>
    </w:p>
    <w:p w14:paraId="27D4518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八、关于2025年国有资本经营预算支出表的说明</w:t>
      </w:r>
    </w:p>
    <w:p w14:paraId="1B1216B1">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2025年没有国有资本经营预算拨款收入，也没有使用国有资本经营预算拨款安排的支出。</w:t>
      </w:r>
    </w:p>
    <w:p w14:paraId="123BA75C">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九、关于2025年项目支出表的说明</w:t>
      </w:r>
    </w:p>
    <w:p w14:paraId="0CE69411">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中共寿县县委党校2</w:t>
      </w:r>
      <w:r>
        <w:rPr>
          <w:rFonts w:hint="eastAsia" w:ascii="仿宋_GB2312" w:hAnsi="TimesNewRoman" w:eastAsia="仿宋_GB2312" w:cs="TimesNewRoman"/>
          <w:sz w:val="32"/>
          <w:szCs w:val="32"/>
        </w:rPr>
        <w:t>025年预算共安排项目支出</w:t>
      </w:r>
      <w:r>
        <w:rPr>
          <w:rFonts w:hint="eastAsia" w:ascii="仿宋_GB2312" w:hAnsi="TimesNewRoman" w:eastAsia="仿宋_GB2312" w:cs="TimesNewRoman"/>
          <w:sz w:val="32"/>
          <w:szCs w:val="32"/>
          <w:lang w:val="en-US" w:eastAsia="zh-CN"/>
        </w:rPr>
        <w:t>200.02</w:t>
      </w:r>
      <w:r>
        <w:rPr>
          <w:rFonts w:hint="eastAsia" w:ascii="仿宋_GB2312" w:hAnsi="TimesNewRoman" w:eastAsia="仿宋_GB2312" w:cs="TimesNewRoman"/>
          <w:sz w:val="32"/>
          <w:szCs w:val="32"/>
        </w:rPr>
        <w:t>万元，比2024年预算减少</w:t>
      </w:r>
      <w:r>
        <w:rPr>
          <w:rFonts w:hint="eastAsia" w:ascii="仿宋_GB2312" w:hAnsi="TimesNewRoman" w:eastAsia="仿宋_GB2312" w:cs="TimesNewRoman"/>
          <w:sz w:val="32"/>
          <w:szCs w:val="32"/>
          <w:lang w:val="en-US" w:eastAsia="zh-CN"/>
        </w:rPr>
        <w:t>2.14</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1.06</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贯彻厉行节约过紧日子要求，进一步压缩党校事业费支出</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140.02</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140.02</w:t>
      </w:r>
      <w:r>
        <w:rPr>
          <w:rFonts w:hint="eastAsia" w:ascii="仿宋_GB2312" w:hAnsi="TimesNewRoman" w:eastAsia="仿宋_GB2312" w:cs="TimesNewRoman"/>
          <w:sz w:val="32"/>
          <w:szCs w:val="32"/>
        </w:rPr>
        <w:t>万元），单位资金安排</w:t>
      </w:r>
      <w:r>
        <w:rPr>
          <w:rFonts w:hint="eastAsia" w:ascii="仿宋_GB2312" w:hAnsi="TimesNewRoman" w:eastAsia="仿宋_GB2312" w:cs="TimesNewRoman"/>
          <w:sz w:val="32"/>
          <w:szCs w:val="32"/>
          <w:lang w:val="en-US" w:eastAsia="zh-CN"/>
        </w:rPr>
        <w:t>60</w:t>
      </w:r>
      <w:r>
        <w:rPr>
          <w:rFonts w:hint="eastAsia" w:ascii="仿宋_GB2312" w:hAnsi="TimesNewRoman" w:eastAsia="仿宋_GB2312" w:cs="TimesNewRoman"/>
          <w:sz w:val="32"/>
          <w:szCs w:val="32"/>
        </w:rPr>
        <w:t>万元。</w:t>
      </w:r>
    </w:p>
    <w:p w14:paraId="734DA2F4">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十、关于2025年政府采购支出表的说明</w:t>
      </w:r>
    </w:p>
    <w:p w14:paraId="77F99605">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lang w:val="en-US" w:eastAsia="zh-CN"/>
        </w:rPr>
        <w:t>中共寿县县委党校2</w:t>
      </w:r>
      <w:r>
        <w:rPr>
          <w:rFonts w:hint="eastAsia" w:ascii="仿宋_GB2312" w:hAnsi="TimesNewRoman" w:eastAsia="仿宋_GB2312" w:cs="TimesNewRoman"/>
          <w:sz w:val="32"/>
          <w:szCs w:val="32"/>
        </w:rPr>
        <w:t>025年预算安排政府采购支出</w:t>
      </w:r>
      <w:r>
        <w:rPr>
          <w:rFonts w:hint="eastAsia" w:ascii="仿宋_GB2312" w:hAnsi="TimesNewRoman" w:eastAsia="仿宋_GB2312" w:cs="TimesNewRoman"/>
          <w:sz w:val="32"/>
          <w:szCs w:val="32"/>
          <w:lang w:val="en-US" w:eastAsia="zh-CN"/>
        </w:rPr>
        <w:t>115.74</w:t>
      </w:r>
      <w:r>
        <w:rPr>
          <w:rFonts w:hint="eastAsia" w:ascii="仿宋_GB2312" w:hAnsi="TimesNewRoman" w:eastAsia="仿宋_GB2312" w:cs="TimesNewRoman"/>
          <w:sz w:val="32"/>
          <w:szCs w:val="32"/>
        </w:rPr>
        <w:t>万元，比2024年预算增加</w:t>
      </w:r>
      <w:r>
        <w:rPr>
          <w:rFonts w:hint="eastAsia" w:ascii="仿宋_GB2312" w:hAnsi="TimesNewRoman" w:eastAsia="仿宋_GB2312" w:cs="TimesNewRoman"/>
          <w:sz w:val="32"/>
          <w:szCs w:val="32"/>
          <w:lang w:val="en-US" w:eastAsia="zh-CN"/>
        </w:rPr>
        <w:t>115.14</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1191.9</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上年度采购政府购买服务未计入政府采购支出</w:t>
      </w:r>
      <w:r>
        <w:rPr>
          <w:rFonts w:hint="eastAsia" w:ascii="仿宋_GB2312" w:hAnsi="TimesNewRoman" w:eastAsia="仿宋_GB2312" w:cs="TimesNewRoman"/>
          <w:sz w:val="32"/>
          <w:szCs w:val="32"/>
        </w:rPr>
        <w:t>。其中</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 xml:space="preserve">一般公共预算安排 </w:t>
      </w:r>
      <w:r>
        <w:rPr>
          <w:rFonts w:hint="eastAsia" w:ascii="仿宋_GB2312" w:hAnsi="TimesNewRoman" w:eastAsia="仿宋_GB2312" w:cs="TimesNewRoman"/>
          <w:sz w:val="32"/>
          <w:szCs w:val="32"/>
          <w:lang w:val="en-US" w:eastAsia="zh-CN"/>
        </w:rPr>
        <w:t>115.74万</w:t>
      </w:r>
      <w:r>
        <w:rPr>
          <w:rFonts w:hint="eastAsia" w:ascii="仿宋_GB2312" w:hAnsi="TimesNewRoman" w:eastAsia="仿宋_GB2312" w:cs="TimesNewRoman"/>
          <w:sz w:val="32"/>
          <w:szCs w:val="32"/>
        </w:rPr>
        <w:t>元，占</w:t>
      </w:r>
      <w:r>
        <w:rPr>
          <w:rFonts w:hint="eastAsia" w:ascii="仿宋_GB2312" w:hAnsi="TimesNewRoman" w:eastAsia="仿宋_GB2312" w:cs="TimesNewRoman"/>
          <w:sz w:val="32"/>
          <w:szCs w:val="32"/>
          <w:lang w:val="en-US" w:eastAsia="zh-CN"/>
        </w:rPr>
        <w:t>100%。</w:t>
      </w:r>
    </w:p>
    <w:p w14:paraId="7D66235F">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十一、关于2025年政府购买服务支出表的说明</w:t>
      </w:r>
    </w:p>
    <w:p w14:paraId="656E7D43">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2025年安排政府购买服务支出</w:t>
      </w:r>
      <w:r>
        <w:rPr>
          <w:rFonts w:hint="eastAsia" w:ascii="仿宋_GB2312" w:hAnsi="TimesNewRoman" w:eastAsia="仿宋_GB2312" w:cs="TimesNewRoman"/>
          <w:sz w:val="32"/>
          <w:szCs w:val="32"/>
          <w:lang w:val="en-US" w:eastAsia="zh-CN"/>
        </w:rPr>
        <w:t>115</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与2024年预算一致</w:t>
      </w:r>
      <w:r>
        <w:rPr>
          <w:rFonts w:hint="eastAsia" w:ascii="仿宋_GB2312" w:hAnsi="TimesNewRoman" w:eastAsia="仿宋_GB2312" w:cs="TimesNewRoman"/>
          <w:sz w:val="32"/>
          <w:szCs w:val="32"/>
        </w:rPr>
        <w:t>。</w:t>
      </w:r>
    </w:p>
    <w:p w14:paraId="69D1458B">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w:t>
      </w:r>
      <w:r>
        <w:rPr>
          <w:rFonts w:hint="eastAsia" w:ascii="楷体_GB2312" w:hAnsi="TimesNewRoman" w:eastAsia="楷体_GB2312" w:cs="TimesNewRoman"/>
          <w:b/>
          <w:sz w:val="32"/>
          <w:szCs w:val="32"/>
          <w:lang w:eastAsia="zh-CN"/>
        </w:rPr>
        <w:t>关于</w:t>
      </w:r>
      <w:r>
        <w:rPr>
          <w:rFonts w:hint="eastAsia" w:ascii="楷体_GB2312" w:hAnsi="TimesNewRoman" w:eastAsia="楷体_GB2312" w:cs="TimesNewRoman"/>
          <w:b/>
          <w:sz w:val="32"/>
          <w:szCs w:val="32"/>
        </w:rPr>
        <w:t>2025</w:t>
      </w:r>
      <w:r>
        <w:rPr>
          <w:rFonts w:ascii="楷体_GB2312" w:hAnsi="TimesNewRoman" w:eastAsia="楷体_GB2312" w:cs="TimesNewRoman"/>
          <w:b/>
          <w:sz w:val="32"/>
          <w:szCs w:val="32"/>
        </w:rPr>
        <w:t>年一般公共预算“三公”经费支出情况说明</w:t>
      </w:r>
    </w:p>
    <w:p w14:paraId="68E1A5F7">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kern w:val="0"/>
          <w:sz w:val="32"/>
          <w:szCs w:val="32"/>
        </w:rPr>
        <w:t>2025</w:t>
      </w:r>
      <w:r>
        <w:rPr>
          <w:rFonts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lang w:val="en-US" w:eastAsia="zh-CN"/>
        </w:rPr>
        <w:t>4.3</w:t>
      </w:r>
      <w:r>
        <w:rPr>
          <w:rFonts w:ascii="仿宋_GB2312" w:hAnsi="TimesNewRoman" w:eastAsia="仿宋_GB2312" w:cs="TimesNewRoman"/>
          <w:kern w:val="0"/>
          <w:sz w:val="32"/>
          <w:szCs w:val="32"/>
        </w:rPr>
        <w:t>万元，比2024年预算减少</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万元，下降</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%。其中：因公出国（境）费支出预算为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lang w:val="en-US" w:eastAsia="zh-CN"/>
        </w:rPr>
        <w:t>4.3</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万元。具体情况如下：</w:t>
      </w:r>
    </w:p>
    <w:p w14:paraId="164828B0">
      <w:pPr>
        <w:pStyle w:val="3"/>
        <w:spacing w:before="0" w:beforeAutospacing="0" w:after="0" w:afterAutospacing="0" w:line="520" w:lineRule="exact"/>
        <w:ind w:firstLine="643" w:firstLineChars="200"/>
        <w:jc w:val="both"/>
        <w:rPr>
          <w:rFonts w:ascii="仿宋_GB2312" w:hAnsi="TimesNewRoman" w:eastAsia="仿宋_GB2312" w:cs="TimesNewRoman"/>
          <w:sz w:val="32"/>
          <w:szCs w:val="32"/>
        </w:rPr>
      </w:pPr>
      <w:r>
        <w:rPr>
          <w:rFonts w:ascii="仿宋_GB2312" w:hAnsi="TimesNewRoman" w:eastAsia="仿宋_GB2312" w:cs="TimesNewRoman"/>
          <w:b/>
          <w:bCs/>
          <w:sz w:val="32"/>
          <w:szCs w:val="32"/>
        </w:rPr>
        <w:t>（一）因公出国（境）费</w:t>
      </w:r>
      <w:r>
        <w:rPr>
          <w:rFonts w:ascii="仿宋_GB2312" w:hAnsi="TimesNewRoman" w:eastAsia="仿宋_GB2312" w:cs="TimesNewRoman"/>
          <w:sz w:val="32"/>
          <w:szCs w:val="32"/>
        </w:rPr>
        <w:t>支</w:t>
      </w:r>
      <w:r>
        <w:rPr>
          <w:rFonts w:ascii="TimesNewRoman" w:hAnsi="TimesNewRoman" w:eastAsia="仿宋_GB2312" w:cs="TimesNewRoman"/>
          <w:sz w:val="32"/>
          <w:szCs w:val="32"/>
        </w:rPr>
        <w:t>出预</w:t>
      </w:r>
      <w:r>
        <w:rPr>
          <w:rFonts w:ascii="仿宋_GB2312" w:hAnsi="TimesNewRoman" w:eastAsia="仿宋_GB2312" w:cs="TimesNewRoman"/>
          <w:kern w:val="0"/>
          <w:sz w:val="32"/>
          <w:szCs w:val="32"/>
          <w:lang w:val="en-US" w:eastAsia="zh-CN" w:bidi="ar-SA"/>
        </w:rPr>
        <w:t>算</w:t>
      </w:r>
      <w:r>
        <w:rPr>
          <w:rFonts w:hint="eastAsia" w:ascii="仿宋_GB2312" w:hAnsi="TimesNewRoman" w:eastAsia="仿宋_GB2312" w:cs="TimesNewRoman"/>
          <w:kern w:val="0"/>
          <w:sz w:val="32"/>
          <w:szCs w:val="32"/>
          <w:lang w:val="en-US" w:eastAsia="zh-CN" w:bidi="ar-SA"/>
        </w:rPr>
        <w:t>0</w:t>
      </w:r>
      <w:r>
        <w:rPr>
          <w:rFonts w:ascii="仿宋_GB2312" w:hAnsi="TimesNewRoman" w:eastAsia="仿宋_GB2312" w:cs="TimesNewRoman"/>
          <w:kern w:val="0"/>
          <w:sz w:val="32"/>
          <w:szCs w:val="32"/>
          <w:lang w:val="en-US" w:eastAsia="zh-CN" w:bidi="ar-SA"/>
        </w:rPr>
        <w:t>万</w:t>
      </w:r>
      <w:r>
        <w:rPr>
          <w:rFonts w:ascii="TimesNewRoman" w:hAnsi="TimesNewRoman" w:eastAsia="仿宋_GB2312" w:cs="TimesNewRoman"/>
          <w:sz w:val="32"/>
          <w:szCs w:val="32"/>
        </w:rPr>
        <w:t>元,</w:t>
      </w:r>
      <w:r>
        <w:rPr>
          <w:rFonts w:ascii="仿宋_GB2312" w:hAnsi="TimesNewRoman" w:eastAsia="仿宋_GB2312" w:cs="TimesNewRoman"/>
          <w:sz w:val="32"/>
          <w:szCs w:val="32"/>
        </w:rPr>
        <w:t xml:space="preserve"> 比</w:t>
      </w:r>
      <w:r>
        <w:rPr>
          <w:rFonts w:hint="eastAsia" w:ascii="仿宋_GB2312" w:hAnsi="TimesNewRoman" w:eastAsia="仿宋_GB2312" w:cs="TimesNewRoman"/>
          <w:sz w:val="32"/>
          <w:szCs w:val="32"/>
        </w:rPr>
        <w:t>2024</w:t>
      </w:r>
      <w:r>
        <w:rPr>
          <w:rFonts w:ascii="仿宋_GB2312" w:hAnsi="TimesNewRoman" w:eastAsia="仿宋_GB2312" w:cs="TimesNewRoman"/>
          <w:sz w:val="32"/>
          <w:szCs w:val="32"/>
        </w:rPr>
        <w:t>年预算减少</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w:t>
      </w:r>
      <w:r>
        <w:rPr>
          <w:rFonts w:hint="eastAsia" w:ascii="仿宋_GB2312" w:hAnsi="TimesNewRoman" w:eastAsia="仿宋_GB2312" w:cs="TimesNewRoman"/>
          <w:sz w:val="32"/>
          <w:szCs w:val="32"/>
        </w:rPr>
        <w:t>。</w:t>
      </w:r>
      <w:r>
        <w:rPr>
          <w:rFonts w:hint="eastAsia" w:ascii="TimesNewRoman" w:hAnsi="TimesNewRoman" w:eastAsia="仿宋_GB2312" w:cs="TimesNewRoman"/>
          <w:sz w:val="32"/>
          <w:szCs w:val="32"/>
          <w:lang w:val="en-US" w:eastAsia="zh-CN"/>
        </w:rPr>
        <w:t>主要原因是</w:t>
      </w:r>
      <w:r>
        <w:rPr>
          <w:rFonts w:hint="eastAsia" w:ascii="仿宋_GB2312" w:hAnsi="仿宋" w:eastAsia="仿宋_GB2312" w:cs="Times New Roman"/>
          <w:color w:val="000000"/>
          <w:kern w:val="2"/>
          <w:sz w:val="32"/>
          <w:szCs w:val="32"/>
          <w:lang w:val="en-US" w:eastAsia="zh-CN" w:bidi="ar-SA"/>
        </w:rPr>
        <w:t>党校不涉及因公出国（境）业务。</w:t>
      </w:r>
    </w:p>
    <w:p w14:paraId="5BC972C8">
      <w:pPr>
        <w:pStyle w:val="3"/>
        <w:spacing w:before="0" w:beforeAutospacing="0" w:after="0" w:afterAutospacing="0" w:line="520" w:lineRule="exact"/>
        <w:ind w:firstLine="643" w:firstLineChars="200"/>
        <w:jc w:val="both"/>
        <w:rPr>
          <w:rFonts w:hint="eastAsia" w:ascii="仿宋_GB2312" w:hAnsi="TimesNewRoman" w:eastAsia="仿宋_GB2312" w:cs="TimesNewRoman"/>
          <w:sz w:val="32"/>
          <w:szCs w:val="32"/>
        </w:rPr>
      </w:pPr>
      <w:r>
        <w:rPr>
          <w:rFonts w:ascii="仿宋_GB2312" w:hAnsi="TimesNewRoman" w:eastAsia="仿宋_GB2312" w:cs="TimesNewRoman"/>
          <w:b/>
          <w:bCs/>
          <w:sz w:val="32"/>
          <w:szCs w:val="32"/>
        </w:rPr>
        <w:t>（二）公务用车购置及运行费</w:t>
      </w:r>
      <w:r>
        <w:rPr>
          <w:rFonts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万元，比</w:t>
      </w:r>
      <w:r>
        <w:rPr>
          <w:rFonts w:hint="eastAsia" w:ascii="仿宋_GB2312" w:hAnsi="TimesNewRoman" w:eastAsia="仿宋_GB2312" w:cs="TimesNewRoman"/>
          <w:sz w:val="32"/>
          <w:szCs w:val="32"/>
        </w:rPr>
        <w:t>2024</w:t>
      </w:r>
      <w:r>
        <w:rPr>
          <w:rFonts w:ascii="仿宋_GB2312" w:hAnsi="TimesNewRoman" w:eastAsia="仿宋_GB2312" w:cs="TimesNewRoman"/>
          <w:sz w:val="32"/>
          <w:szCs w:val="32"/>
        </w:rPr>
        <w:t>年</w:t>
      </w:r>
      <w:r>
        <w:rPr>
          <w:rFonts w:ascii="TimesNewRoman" w:hAnsi="TimesNewRoman" w:eastAsia="仿宋_GB2312" w:cs="TimesNewRoman"/>
          <w:sz w:val="32"/>
          <w:szCs w:val="32"/>
        </w:rPr>
        <w:t>预算减</w:t>
      </w:r>
      <w:r>
        <w:rPr>
          <w:rFonts w:ascii="仿宋_GB2312" w:hAnsi="TimesNewRoman" w:eastAsia="仿宋_GB2312" w:cs="TimesNewRoman"/>
          <w:sz w:val="32"/>
          <w:szCs w:val="32"/>
        </w:rPr>
        <w:t>少</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w:t>
      </w:r>
      <w:r>
        <w:rPr>
          <w:rFonts w:hint="eastAsia" w:ascii="TimesNewRoman" w:hAnsi="TimesNewRoman" w:eastAsia="仿宋_GB2312" w:cs="TimesNewRoman"/>
          <w:sz w:val="32"/>
          <w:szCs w:val="32"/>
          <w:lang w:val="en-US" w:eastAsia="zh-CN"/>
        </w:rPr>
        <w:t>主要原因是</w:t>
      </w:r>
      <w:r>
        <w:rPr>
          <w:rFonts w:hint="eastAsia" w:ascii="仿宋_GB2312" w:hAnsi="仿宋" w:eastAsia="仿宋_GB2312" w:cs="Times New Roman"/>
          <w:color w:val="000000"/>
          <w:kern w:val="2"/>
          <w:sz w:val="32"/>
          <w:szCs w:val="32"/>
          <w:lang w:val="en-US" w:eastAsia="zh-CN" w:bidi="ar-SA"/>
        </w:rPr>
        <w:t>党校没有公务用车。</w:t>
      </w:r>
    </w:p>
    <w:p w14:paraId="6DFB9DD5">
      <w:pPr>
        <w:pStyle w:val="3"/>
        <w:spacing w:beforeAutospacing="0" w:afterAutospacing="0" w:line="560" w:lineRule="exact"/>
        <w:ind w:firstLine="482" w:firstLineChars="150"/>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4.3</w:t>
      </w:r>
      <w:r>
        <w:rPr>
          <w:rFonts w:hint="eastAsia" w:ascii="仿宋_GB2312" w:hAnsi="TimesNewRoman" w:eastAsia="仿宋_GB2312" w:cs="TimesNewRoman"/>
          <w:sz w:val="32"/>
          <w:szCs w:val="32"/>
        </w:rPr>
        <w:t>万元，比2024年预算减少</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%，原因主要</w:t>
      </w:r>
      <w:r>
        <w:rPr>
          <w:rFonts w:hint="eastAsia" w:ascii="TimesNewRoman" w:hAnsi="TimesNewRoman" w:eastAsia="仿宋_GB2312" w:cs="TimesNewRoman"/>
          <w:sz w:val="32"/>
          <w:szCs w:val="32"/>
          <w:lang w:val="en-US" w:eastAsia="zh-CN"/>
        </w:rPr>
        <w:t>是党校公务往来增加</w:t>
      </w:r>
      <w:r>
        <w:rPr>
          <w:rFonts w:hint="default" w:ascii="TimesNewRoman" w:hAnsi="TimesNewRoman" w:eastAsia="仿宋_GB2312" w:cs="TimesNewRoman"/>
          <w:sz w:val="32"/>
          <w:szCs w:val="32"/>
        </w:rPr>
        <w:t>。该项经费主要用于</w:t>
      </w:r>
      <w:r>
        <w:rPr>
          <w:rFonts w:hint="eastAsia" w:ascii="仿宋_GB2312" w:hAnsi="仿宋" w:eastAsia="仿宋_GB2312"/>
          <w:color w:val="000000"/>
          <w:sz w:val="32"/>
          <w:szCs w:val="32"/>
          <w:lang w:val="en-US" w:eastAsia="zh-CN"/>
        </w:rPr>
        <w:t>上级督查指导和同级党校之间交流学习</w:t>
      </w:r>
      <w:r>
        <w:rPr>
          <w:rFonts w:hint="eastAsia" w:ascii="仿宋_GB2312" w:hAnsi="仿宋" w:eastAsia="仿宋_GB2312"/>
          <w:color w:val="000000"/>
          <w:sz w:val="32"/>
          <w:szCs w:val="32"/>
        </w:rPr>
        <w:t>等公务往来支出</w:t>
      </w:r>
      <w:r>
        <w:rPr>
          <w:rFonts w:hint="default" w:ascii="TimesNewRoman" w:hAnsi="TimesNewRoman" w:eastAsia="仿宋_GB2312" w:cs="TimesNewRoman"/>
          <w:sz w:val="32"/>
          <w:szCs w:val="32"/>
        </w:rPr>
        <w:t>。</w:t>
      </w:r>
      <w:r>
        <w:rPr>
          <w:rFonts w:hint="eastAsia" w:ascii="仿宋_GB2312" w:hAnsi="TimesNewRoman" w:eastAsia="仿宋_GB2312" w:cs="TimesNewRoman"/>
          <w:sz w:val="32"/>
          <w:szCs w:val="32"/>
        </w:rPr>
        <w:t>经费使用严格执行《党政机关厉行节约反对浪费条例》</w:t>
      </w:r>
      <w:r>
        <w:rPr>
          <w:rFonts w:hint="eastAsia" w:ascii="仿宋_GB2312" w:hAnsi="仿宋" w:eastAsia="仿宋_GB2312"/>
          <w:color w:val="000000"/>
          <w:sz w:val="32"/>
          <w:szCs w:val="32"/>
        </w:rPr>
        <w:t>（中发〔2013〕13号）</w:t>
      </w:r>
      <w:r>
        <w:rPr>
          <w:rFonts w:hint="eastAsia" w:ascii="仿宋_GB2312" w:hAnsi="TimesNewRoman" w:eastAsia="仿宋_GB2312" w:cs="TimesNewRoman"/>
          <w:sz w:val="32"/>
          <w:szCs w:val="32"/>
        </w:rPr>
        <w:t>和</w:t>
      </w:r>
      <w:r>
        <w:rPr>
          <w:rFonts w:hint="eastAsia" w:ascii="仿宋_GB2312" w:hAnsi="仿宋" w:eastAsia="仿宋_GB2312"/>
          <w:color w:val="000000"/>
          <w:sz w:val="32"/>
          <w:szCs w:val="32"/>
        </w:rPr>
        <w:t>《寿县党政机关公务接待管理规定</w:t>
      </w:r>
      <w:r>
        <w:rPr>
          <w:rFonts w:hint="eastAsia" w:ascii="仿宋_GB2312" w:hAnsi="TimesNewRoman" w:eastAsia="仿宋_GB2312" w:cs="TimesNewRoman"/>
          <w:sz w:val="32"/>
          <w:szCs w:val="32"/>
        </w:rPr>
        <w:t>》</w:t>
      </w:r>
      <w:r>
        <w:rPr>
          <w:rFonts w:hint="eastAsia" w:ascii="仿宋_GB2312" w:hAnsi="仿宋" w:eastAsia="仿宋_GB2312"/>
          <w:color w:val="000000"/>
          <w:sz w:val="32"/>
          <w:szCs w:val="32"/>
        </w:rPr>
        <w:t>（寿办发〔2015〕2号）规定。</w:t>
      </w:r>
    </w:p>
    <w:p w14:paraId="49A5585E">
      <w:pPr>
        <w:pStyle w:val="3"/>
        <w:topLinePunct/>
        <w:adjustRightInd w:val="0"/>
        <w:snapToGrid w:val="0"/>
        <w:spacing w:beforeAutospacing="0" w:afterAutospacing="0" w:line="56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34D89A8D">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6542AB24">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1.“党校后勤服务社会化”项目。</w:t>
      </w:r>
    </w:p>
    <w:p w14:paraId="6857B7DB">
      <w:pPr>
        <w:topLinePunct/>
        <w:adjustRightInd w:val="0"/>
        <w:snapToGrid w:val="0"/>
        <w:spacing w:line="580" w:lineRule="exact"/>
        <w:ind w:firstLine="640" w:firstLineChars="200"/>
        <w:rPr>
          <w:rFonts w:hint="eastAsia" w:ascii="仿宋" w:hAnsi="仿宋" w:eastAsia="仿宋" w:cs="宋体"/>
          <w:color w:val="000000" w:themeColor="text1"/>
          <w:kern w:val="0"/>
          <w:sz w:val="32"/>
          <w:szCs w:val="32"/>
          <w14:textFill>
            <w14:solidFill>
              <w14:schemeClr w14:val="tx1"/>
            </w14:solidFill>
          </w14:textFill>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sz w:val="32"/>
          <w:szCs w:val="32"/>
          <w:lang w:val="en-US" w:eastAsia="zh-CN"/>
        </w:rPr>
        <w:t>:</w:t>
      </w:r>
      <w:r>
        <w:rPr>
          <w:rFonts w:hint="eastAsia" w:ascii="仿宋_GB2312" w:hAnsi="楷体" w:eastAsia="仿宋_GB2312"/>
          <w:sz w:val="32"/>
          <w:szCs w:val="32"/>
        </w:rPr>
        <w:t>以政府购买服务方式，将住宿、保洁、安保、绿化等后勤服务实行一体化委托管理。公开招标选择有专业资质的公司提供规范化、标准化、精细化后勤服务，提升办学条件，促进党校事业发展。</w:t>
      </w:r>
    </w:p>
    <w:p w14:paraId="3D4AD0BD">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sz w:val="32"/>
          <w:szCs w:val="32"/>
          <w:lang w:eastAsia="zh-CN"/>
        </w:rPr>
        <w:t>：</w:t>
      </w:r>
      <w:r>
        <w:rPr>
          <w:rFonts w:hint="eastAsia" w:ascii="仿宋_GB2312" w:hAnsi="楷体" w:eastAsia="仿宋_GB2312"/>
          <w:sz w:val="32"/>
          <w:szCs w:val="32"/>
          <w:lang w:val="en-US" w:eastAsia="zh-CN"/>
        </w:rPr>
        <w:t>公开招投标手续及物业管理合同。</w:t>
      </w:r>
    </w:p>
    <w:p w14:paraId="51D9D4EB">
      <w:pPr>
        <w:numPr>
          <w:ilvl w:val="0"/>
          <w:numId w:val="0"/>
        </w:numPr>
        <w:topLinePunct/>
        <w:adjustRightInd w:val="0"/>
        <w:snapToGrid w:val="0"/>
        <w:spacing w:line="58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中共寿县县委党校</w:t>
      </w:r>
    </w:p>
    <w:p w14:paraId="34BE0300">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2025年度</w:t>
      </w:r>
    </w:p>
    <w:p w14:paraId="3CF6D967">
      <w:pPr>
        <w:topLinePunct/>
        <w:adjustRightInd w:val="0"/>
        <w:snapToGrid w:val="0"/>
        <w:spacing w:line="580" w:lineRule="exact"/>
        <w:ind w:firstLine="640" w:firstLineChars="200"/>
        <w:rPr>
          <w:rFonts w:hint="eastAsia" w:ascii="仿宋" w:hAnsi="仿宋" w:eastAsia="仿宋" w:cs="宋体"/>
          <w:color w:val="000000" w:themeColor="text1"/>
          <w:kern w:val="0"/>
          <w:sz w:val="32"/>
          <w:szCs w:val="32"/>
          <w14:textFill>
            <w14:solidFill>
              <w14:schemeClr w14:val="tx1"/>
            </w14:solidFill>
          </w14:textFill>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eastAsia="zh-CN"/>
        </w:rPr>
        <w:t>：</w:t>
      </w:r>
      <w:r>
        <w:rPr>
          <w:rFonts w:hint="eastAsia" w:ascii="仿宋_GB2312" w:hAnsi="楷体" w:eastAsia="仿宋_GB2312"/>
          <w:sz w:val="32"/>
          <w:szCs w:val="32"/>
        </w:rPr>
        <w:t>住宿、保洁、安保、绿化等后勤服</w:t>
      </w:r>
      <w:r>
        <w:rPr>
          <w:rFonts w:hint="eastAsia" w:ascii="仿宋_GB2312" w:hAnsi="楷体" w:eastAsia="仿宋_GB2312"/>
          <w:sz w:val="32"/>
          <w:szCs w:val="32"/>
          <w:lang w:val="en-US" w:eastAsia="zh-CN"/>
        </w:rPr>
        <w:t>务。</w:t>
      </w:r>
    </w:p>
    <w:p w14:paraId="38242F12">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115万元</w:t>
      </w:r>
    </w:p>
    <w:p w14:paraId="0C6DD8B3">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14:paraId="46975280">
      <w:pPr>
        <w:topLinePunct/>
        <w:adjustRightInd w:val="0"/>
        <w:snapToGrid w:val="0"/>
        <w:spacing w:line="560" w:lineRule="exact"/>
        <w:ind w:firstLine="643" w:firstLineChars="200"/>
        <w:rPr>
          <w:rFonts w:hint="eastAsia" w:ascii="仿宋_GB2312" w:hAnsi="TimesNewRoman" w:eastAsia="仿宋_GB2312" w:cs="TimesNewRoman"/>
          <w:b/>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78EE6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724C4E4F">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14:paraId="6502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0DE80E09">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w:t>
            </w:r>
            <w:r>
              <w:rPr>
                <w:rFonts w:hint="eastAsia" w:ascii="宋体" w:hAnsi="宋体" w:cs="宋体"/>
                <w:color w:val="000000"/>
                <w:kern w:val="0"/>
                <w:sz w:val="20"/>
                <w:szCs w:val="20"/>
                <w:lang w:val="en-US" w:eastAsia="zh-CN" w:bidi="ar"/>
              </w:rPr>
              <w:t>5</w:t>
            </w:r>
            <w:r>
              <w:rPr>
                <w:rFonts w:hint="eastAsia" w:ascii="宋体" w:hAnsi="宋体" w:cs="宋体"/>
                <w:color w:val="000000"/>
                <w:kern w:val="0"/>
                <w:sz w:val="20"/>
                <w:szCs w:val="20"/>
                <w:lang w:bidi="ar"/>
              </w:rPr>
              <w:t xml:space="preserve">年度）                                </w:t>
            </w:r>
          </w:p>
        </w:tc>
      </w:tr>
      <w:tr w14:paraId="635C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44FB3BB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626B5B43">
            <w:pPr>
              <w:spacing w:line="260" w:lineRule="exact"/>
              <w:jc w:val="center"/>
              <w:rPr>
                <w:rFonts w:ascii="宋体" w:cs="宋体"/>
                <w:sz w:val="18"/>
                <w:szCs w:val="18"/>
              </w:rPr>
            </w:pPr>
            <w:r>
              <w:rPr>
                <w:rFonts w:hint="eastAsia" w:ascii="宋体" w:cs="宋体"/>
                <w:sz w:val="18"/>
                <w:szCs w:val="18"/>
              </w:rPr>
              <w:t>党校后勤服务社会化</w:t>
            </w:r>
          </w:p>
        </w:tc>
      </w:tr>
      <w:tr w14:paraId="47F1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6745747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主管部门及代码</w:t>
            </w:r>
          </w:p>
        </w:tc>
        <w:tc>
          <w:tcPr>
            <w:tcW w:w="3349" w:type="dxa"/>
            <w:gridSpan w:val="2"/>
            <w:noWrap w:val="0"/>
            <w:vAlign w:val="center"/>
          </w:tcPr>
          <w:p w14:paraId="3743B7A2">
            <w:pPr>
              <w:spacing w:line="260" w:lineRule="exact"/>
              <w:jc w:val="center"/>
              <w:rPr>
                <w:rFonts w:ascii="宋体" w:cs="宋体"/>
                <w:sz w:val="18"/>
                <w:szCs w:val="18"/>
              </w:rPr>
            </w:pPr>
          </w:p>
        </w:tc>
        <w:tc>
          <w:tcPr>
            <w:tcW w:w="1848" w:type="dxa"/>
            <w:noWrap w:val="0"/>
            <w:vAlign w:val="center"/>
          </w:tcPr>
          <w:p w14:paraId="4677CF6F">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556596CF">
            <w:pPr>
              <w:spacing w:line="260" w:lineRule="exact"/>
              <w:jc w:val="center"/>
              <w:rPr>
                <w:sz w:val="18"/>
                <w:szCs w:val="18"/>
              </w:rPr>
            </w:pPr>
            <w:r>
              <w:rPr>
                <w:rFonts w:hint="eastAsia"/>
                <w:sz w:val="18"/>
                <w:szCs w:val="18"/>
              </w:rPr>
              <w:t>中共寿县县委党校</w:t>
            </w:r>
          </w:p>
        </w:tc>
      </w:tr>
      <w:tr w14:paraId="19E4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5F01ABE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6075A9E5">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本级项目</w:t>
            </w:r>
          </w:p>
        </w:tc>
        <w:tc>
          <w:tcPr>
            <w:tcW w:w="1848" w:type="dxa"/>
            <w:noWrap w:val="0"/>
            <w:vAlign w:val="center"/>
          </w:tcPr>
          <w:p w14:paraId="6FB93288">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502606BC">
            <w:pPr>
              <w:spacing w:line="260" w:lineRule="exact"/>
              <w:jc w:val="center"/>
              <w:rPr>
                <w:rFonts w:hint="default" w:eastAsia="宋体"/>
                <w:sz w:val="18"/>
                <w:szCs w:val="18"/>
                <w:lang w:val="en-US" w:eastAsia="zh-CN"/>
              </w:rPr>
            </w:pPr>
            <w:r>
              <w:rPr>
                <w:rFonts w:hint="eastAsia"/>
                <w:sz w:val="18"/>
                <w:szCs w:val="18"/>
                <w:lang w:val="en-US" w:eastAsia="zh-CN"/>
              </w:rPr>
              <w:t>2025</w:t>
            </w:r>
          </w:p>
        </w:tc>
      </w:tr>
      <w:tr w14:paraId="2FC0C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1957531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46CD340F">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7EE90DC7">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115</w:t>
            </w:r>
          </w:p>
        </w:tc>
      </w:tr>
      <w:tr w14:paraId="73C2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64EF0C04">
            <w:pPr>
              <w:spacing w:line="260" w:lineRule="exact"/>
              <w:jc w:val="center"/>
              <w:rPr>
                <w:rFonts w:ascii="宋体" w:cs="宋体"/>
                <w:sz w:val="18"/>
                <w:szCs w:val="18"/>
              </w:rPr>
            </w:pPr>
          </w:p>
        </w:tc>
        <w:tc>
          <w:tcPr>
            <w:tcW w:w="3349" w:type="dxa"/>
            <w:gridSpan w:val="2"/>
            <w:noWrap w:val="0"/>
            <w:vAlign w:val="center"/>
          </w:tcPr>
          <w:p w14:paraId="22D40A71">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60FC3913">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115</w:t>
            </w:r>
          </w:p>
        </w:tc>
      </w:tr>
      <w:tr w14:paraId="2435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59BF3385">
            <w:pPr>
              <w:spacing w:line="260" w:lineRule="exact"/>
              <w:jc w:val="center"/>
              <w:rPr>
                <w:rFonts w:ascii="宋体" w:cs="宋体"/>
                <w:sz w:val="18"/>
                <w:szCs w:val="18"/>
              </w:rPr>
            </w:pPr>
          </w:p>
        </w:tc>
        <w:tc>
          <w:tcPr>
            <w:tcW w:w="3349" w:type="dxa"/>
            <w:gridSpan w:val="2"/>
            <w:noWrap w:val="0"/>
            <w:vAlign w:val="center"/>
          </w:tcPr>
          <w:p w14:paraId="003F4665">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343A67DD">
            <w:pPr>
              <w:spacing w:line="260" w:lineRule="exact"/>
              <w:jc w:val="center"/>
              <w:rPr>
                <w:rFonts w:ascii="宋体" w:cs="宋体"/>
                <w:sz w:val="18"/>
                <w:szCs w:val="18"/>
              </w:rPr>
            </w:pPr>
          </w:p>
        </w:tc>
      </w:tr>
      <w:tr w14:paraId="74AC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6A8205A5">
            <w:pPr>
              <w:spacing w:line="260" w:lineRule="exact"/>
              <w:jc w:val="center"/>
              <w:rPr>
                <w:rFonts w:ascii="宋体" w:cs="宋体"/>
                <w:sz w:val="18"/>
                <w:szCs w:val="18"/>
              </w:rPr>
            </w:pPr>
          </w:p>
        </w:tc>
        <w:tc>
          <w:tcPr>
            <w:tcW w:w="3349" w:type="dxa"/>
            <w:gridSpan w:val="2"/>
            <w:noWrap w:val="0"/>
            <w:vAlign w:val="center"/>
          </w:tcPr>
          <w:p w14:paraId="14CCD8D9">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0283B73A">
            <w:pPr>
              <w:spacing w:line="260" w:lineRule="exact"/>
              <w:jc w:val="center"/>
              <w:rPr>
                <w:rFonts w:ascii="宋体" w:cs="宋体"/>
                <w:sz w:val="18"/>
                <w:szCs w:val="18"/>
              </w:rPr>
            </w:pPr>
          </w:p>
        </w:tc>
      </w:tr>
      <w:tr w14:paraId="41F7A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7208E2D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0D2A1157">
            <w:pPr>
              <w:spacing w:line="260" w:lineRule="exact"/>
              <w:ind w:firstLine="360" w:firstLineChars="200"/>
              <w:jc w:val="left"/>
              <w:rPr>
                <w:rFonts w:ascii="宋体" w:cs="宋体"/>
                <w:sz w:val="18"/>
                <w:szCs w:val="18"/>
              </w:rPr>
            </w:pPr>
            <w:r>
              <w:rPr>
                <w:rFonts w:hint="eastAsia" w:ascii="宋体" w:cs="宋体"/>
                <w:sz w:val="18"/>
                <w:szCs w:val="18"/>
              </w:rPr>
              <w:t>以政府购买服务方式，将住宿、保洁、安保、绿化等后勤服务实行一体化委托管理。公开招标选择有专业资质的公司提供规范化、标准化、精细化后勤服务，提升办学条件，促进党校事业发展。</w:t>
            </w:r>
          </w:p>
        </w:tc>
      </w:tr>
      <w:tr w14:paraId="57F6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303F521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24876E1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724135B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6DF8DB6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3869E1B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405D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38" w:type="dxa"/>
            <w:vMerge w:val="continue"/>
            <w:noWrap w:val="0"/>
            <w:vAlign w:val="center"/>
          </w:tcPr>
          <w:p w14:paraId="7E0CB134">
            <w:pPr>
              <w:spacing w:line="260" w:lineRule="exact"/>
              <w:jc w:val="center"/>
              <w:rPr>
                <w:rFonts w:ascii="宋体" w:cs="宋体"/>
                <w:sz w:val="18"/>
                <w:szCs w:val="18"/>
              </w:rPr>
            </w:pPr>
          </w:p>
        </w:tc>
        <w:tc>
          <w:tcPr>
            <w:tcW w:w="723" w:type="dxa"/>
            <w:vMerge w:val="restart"/>
            <w:noWrap w:val="0"/>
            <w:vAlign w:val="center"/>
          </w:tcPr>
          <w:p w14:paraId="3119014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1DC26C2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757B33A9">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指标1：物业管理面积</w:t>
            </w:r>
          </w:p>
        </w:tc>
        <w:tc>
          <w:tcPr>
            <w:tcW w:w="4228" w:type="dxa"/>
            <w:gridSpan w:val="2"/>
            <w:noWrap w:val="0"/>
            <w:vAlign w:val="center"/>
          </w:tcPr>
          <w:p w14:paraId="57A92F12">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≥18500平方米</w:t>
            </w:r>
          </w:p>
        </w:tc>
      </w:tr>
      <w:tr w14:paraId="4566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38" w:type="dxa"/>
            <w:vMerge w:val="continue"/>
            <w:noWrap w:val="0"/>
            <w:vAlign w:val="center"/>
          </w:tcPr>
          <w:p w14:paraId="40379C78">
            <w:pPr>
              <w:spacing w:line="260" w:lineRule="exact"/>
              <w:jc w:val="center"/>
              <w:rPr>
                <w:rFonts w:ascii="宋体" w:cs="宋体"/>
                <w:sz w:val="18"/>
                <w:szCs w:val="18"/>
              </w:rPr>
            </w:pPr>
          </w:p>
        </w:tc>
        <w:tc>
          <w:tcPr>
            <w:tcW w:w="723" w:type="dxa"/>
            <w:vMerge w:val="continue"/>
            <w:noWrap w:val="0"/>
            <w:vAlign w:val="center"/>
          </w:tcPr>
          <w:p w14:paraId="53863E06">
            <w:pPr>
              <w:spacing w:line="260" w:lineRule="exact"/>
              <w:jc w:val="center"/>
              <w:rPr>
                <w:rFonts w:ascii="宋体" w:cs="宋体"/>
                <w:sz w:val="18"/>
                <w:szCs w:val="18"/>
              </w:rPr>
            </w:pPr>
          </w:p>
        </w:tc>
        <w:tc>
          <w:tcPr>
            <w:tcW w:w="759" w:type="dxa"/>
            <w:gridSpan w:val="2"/>
            <w:vMerge w:val="continue"/>
            <w:noWrap w:val="0"/>
            <w:vAlign w:val="center"/>
          </w:tcPr>
          <w:p w14:paraId="3B3C87BB">
            <w:pPr>
              <w:spacing w:line="260" w:lineRule="exact"/>
              <w:jc w:val="center"/>
              <w:rPr>
                <w:rFonts w:ascii="宋体" w:cs="宋体"/>
                <w:sz w:val="18"/>
                <w:szCs w:val="18"/>
              </w:rPr>
            </w:pPr>
          </w:p>
        </w:tc>
        <w:tc>
          <w:tcPr>
            <w:tcW w:w="2872" w:type="dxa"/>
            <w:noWrap w:val="0"/>
            <w:vAlign w:val="center"/>
          </w:tcPr>
          <w:p w14:paraId="48F72BE2">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：服务学员数量</w:t>
            </w:r>
          </w:p>
        </w:tc>
        <w:tc>
          <w:tcPr>
            <w:tcW w:w="4228" w:type="dxa"/>
            <w:gridSpan w:val="2"/>
            <w:noWrap w:val="0"/>
            <w:vAlign w:val="center"/>
          </w:tcPr>
          <w:p w14:paraId="2F3F6BAF">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≥2000人次</w:t>
            </w:r>
          </w:p>
        </w:tc>
      </w:tr>
      <w:tr w14:paraId="581DC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8" w:type="dxa"/>
            <w:vMerge w:val="continue"/>
            <w:noWrap w:val="0"/>
            <w:vAlign w:val="center"/>
          </w:tcPr>
          <w:p w14:paraId="79363B94">
            <w:pPr>
              <w:spacing w:line="260" w:lineRule="exact"/>
              <w:jc w:val="center"/>
              <w:rPr>
                <w:rFonts w:ascii="宋体" w:cs="宋体"/>
                <w:sz w:val="18"/>
                <w:szCs w:val="18"/>
              </w:rPr>
            </w:pPr>
          </w:p>
        </w:tc>
        <w:tc>
          <w:tcPr>
            <w:tcW w:w="723" w:type="dxa"/>
            <w:vMerge w:val="continue"/>
            <w:noWrap w:val="0"/>
            <w:vAlign w:val="center"/>
          </w:tcPr>
          <w:p w14:paraId="663AF6D1">
            <w:pPr>
              <w:spacing w:line="260" w:lineRule="exact"/>
              <w:jc w:val="center"/>
              <w:rPr>
                <w:rFonts w:ascii="宋体" w:cs="宋体"/>
                <w:sz w:val="18"/>
                <w:szCs w:val="18"/>
              </w:rPr>
            </w:pPr>
          </w:p>
        </w:tc>
        <w:tc>
          <w:tcPr>
            <w:tcW w:w="759" w:type="dxa"/>
            <w:gridSpan w:val="2"/>
            <w:noWrap w:val="0"/>
            <w:vAlign w:val="center"/>
          </w:tcPr>
          <w:p w14:paraId="22CF4BF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7F646FF5">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指标1：公共设施设备维护保养完好率</w:t>
            </w:r>
          </w:p>
        </w:tc>
        <w:tc>
          <w:tcPr>
            <w:tcW w:w="4228" w:type="dxa"/>
            <w:gridSpan w:val="2"/>
            <w:noWrap w:val="0"/>
            <w:vAlign w:val="center"/>
          </w:tcPr>
          <w:p w14:paraId="124C9DA0">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≥90%</w:t>
            </w:r>
          </w:p>
        </w:tc>
      </w:tr>
      <w:tr w14:paraId="2A1B5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38" w:type="dxa"/>
            <w:vMerge w:val="continue"/>
            <w:noWrap w:val="0"/>
            <w:vAlign w:val="center"/>
          </w:tcPr>
          <w:p w14:paraId="211831C4">
            <w:pPr>
              <w:spacing w:line="260" w:lineRule="exact"/>
              <w:jc w:val="center"/>
              <w:rPr>
                <w:rFonts w:ascii="宋体" w:cs="宋体"/>
                <w:sz w:val="18"/>
                <w:szCs w:val="18"/>
              </w:rPr>
            </w:pPr>
          </w:p>
        </w:tc>
        <w:tc>
          <w:tcPr>
            <w:tcW w:w="723" w:type="dxa"/>
            <w:vMerge w:val="continue"/>
            <w:noWrap w:val="0"/>
            <w:vAlign w:val="center"/>
          </w:tcPr>
          <w:p w14:paraId="611F1F30">
            <w:pPr>
              <w:spacing w:line="260" w:lineRule="exact"/>
              <w:jc w:val="center"/>
              <w:rPr>
                <w:rFonts w:ascii="宋体" w:cs="宋体"/>
                <w:sz w:val="18"/>
                <w:szCs w:val="18"/>
              </w:rPr>
            </w:pPr>
          </w:p>
        </w:tc>
        <w:tc>
          <w:tcPr>
            <w:tcW w:w="759" w:type="dxa"/>
            <w:gridSpan w:val="2"/>
            <w:noWrap w:val="0"/>
            <w:vAlign w:val="center"/>
          </w:tcPr>
          <w:p w14:paraId="18858ED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6B44204C">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指标1：卫生保洁及时率</w:t>
            </w:r>
          </w:p>
        </w:tc>
        <w:tc>
          <w:tcPr>
            <w:tcW w:w="4228" w:type="dxa"/>
            <w:gridSpan w:val="2"/>
            <w:noWrap w:val="0"/>
            <w:vAlign w:val="center"/>
          </w:tcPr>
          <w:p w14:paraId="17C55FF9">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14:paraId="5177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38" w:type="dxa"/>
            <w:vMerge w:val="continue"/>
            <w:noWrap w:val="0"/>
            <w:vAlign w:val="center"/>
          </w:tcPr>
          <w:p w14:paraId="044AA570">
            <w:pPr>
              <w:spacing w:line="260" w:lineRule="exact"/>
              <w:jc w:val="center"/>
              <w:rPr>
                <w:rFonts w:ascii="宋体" w:cs="宋体"/>
                <w:sz w:val="18"/>
                <w:szCs w:val="18"/>
              </w:rPr>
            </w:pPr>
          </w:p>
        </w:tc>
        <w:tc>
          <w:tcPr>
            <w:tcW w:w="723" w:type="dxa"/>
            <w:vMerge w:val="continue"/>
            <w:noWrap w:val="0"/>
            <w:vAlign w:val="center"/>
          </w:tcPr>
          <w:p w14:paraId="6FFBB65C">
            <w:pPr>
              <w:spacing w:line="260" w:lineRule="exact"/>
              <w:jc w:val="center"/>
              <w:rPr>
                <w:rFonts w:ascii="宋体" w:cs="宋体"/>
                <w:sz w:val="18"/>
                <w:szCs w:val="18"/>
              </w:rPr>
            </w:pPr>
          </w:p>
        </w:tc>
        <w:tc>
          <w:tcPr>
            <w:tcW w:w="759" w:type="dxa"/>
            <w:gridSpan w:val="2"/>
            <w:noWrap w:val="0"/>
            <w:vAlign w:val="center"/>
          </w:tcPr>
          <w:p w14:paraId="475DE38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57F9318D">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指标1：维修维护费</w:t>
            </w:r>
          </w:p>
        </w:tc>
        <w:tc>
          <w:tcPr>
            <w:tcW w:w="4228" w:type="dxa"/>
            <w:gridSpan w:val="2"/>
            <w:noWrap w:val="0"/>
            <w:vAlign w:val="center"/>
          </w:tcPr>
          <w:p w14:paraId="6707CCDC">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100000元/年</w:t>
            </w:r>
          </w:p>
        </w:tc>
      </w:tr>
      <w:tr w14:paraId="05B6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38" w:type="dxa"/>
            <w:vMerge w:val="continue"/>
            <w:noWrap w:val="0"/>
            <w:vAlign w:val="center"/>
          </w:tcPr>
          <w:p w14:paraId="2158DE1E">
            <w:pPr>
              <w:spacing w:line="260" w:lineRule="exact"/>
              <w:jc w:val="center"/>
              <w:rPr>
                <w:rFonts w:ascii="宋体" w:cs="宋体"/>
                <w:sz w:val="18"/>
                <w:szCs w:val="18"/>
              </w:rPr>
            </w:pPr>
          </w:p>
        </w:tc>
        <w:tc>
          <w:tcPr>
            <w:tcW w:w="723" w:type="dxa"/>
            <w:vMerge w:val="restart"/>
            <w:noWrap w:val="0"/>
            <w:vAlign w:val="center"/>
          </w:tcPr>
          <w:p w14:paraId="132DA0F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14:paraId="4833E9C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30C20E90">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指标1：委托物业管理，有利于降低成本</w:t>
            </w:r>
          </w:p>
        </w:tc>
        <w:tc>
          <w:tcPr>
            <w:tcW w:w="4228" w:type="dxa"/>
            <w:gridSpan w:val="2"/>
            <w:noWrap w:val="0"/>
            <w:vAlign w:val="center"/>
          </w:tcPr>
          <w:p w14:paraId="17241655">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有利于</w:t>
            </w:r>
          </w:p>
        </w:tc>
      </w:tr>
      <w:tr w14:paraId="5A6C0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14:paraId="2CE334C6">
            <w:pPr>
              <w:spacing w:line="260" w:lineRule="exact"/>
              <w:jc w:val="center"/>
              <w:rPr>
                <w:rFonts w:ascii="宋体" w:cs="宋体"/>
                <w:sz w:val="18"/>
                <w:szCs w:val="18"/>
              </w:rPr>
            </w:pPr>
          </w:p>
        </w:tc>
        <w:tc>
          <w:tcPr>
            <w:tcW w:w="723" w:type="dxa"/>
            <w:vMerge w:val="continue"/>
            <w:noWrap w:val="0"/>
            <w:vAlign w:val="center"/>
          </w:tcPr>
          <w:p w14:paraId="606A85D4">
            <w:pPr>
              <w:spacing w:line="260" w:lineRule="exact"/>
              <w:jc w:val="center"/>
              <w:rPr>
                <w:rFonts w:ascii="宋体" w:cs="宋体"/>
                <w:sz w:val="18"/>
                <w:szCs w:val="18"/>
              </w:rPr>
            </w:pPr>
          </w:p>
        </w:tc>
        <w:tc>
          <w:tcPr>
            <w:tcW w:w="759" w:type="dxa"/>
            <w:gridSpan w:val="2"/>
            <w:noWrap w:val="0"/>
            <w:vAlign w:val="center"/>
          </w:tcPr>
          <w:p w14:paraId="2E827B2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448F7719">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指标1：完善软硬件设施，提高办学水平</w:t>
            </w:r>
          </w:p>
        </w:tc>
        <w:tc>
          <w:tcPr>
            <w:tcW w:w="4228" w:type="dxa"/>
            <w:gridSpan w:val="2"/>
            <w:noWrap w:val="0"/>
            <w:vAlign w:val="center"/>
          </w:tcPr>
          <w:p w14:paraId="643555FB">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有一定提高</w:t>
            </w:r>
          </w:p>
        </w:tc>
      </w:tr>
      <w:tr w14:paraId="202A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38" w:type="dxa"/>
            <w:vMerge w:val="continue"/>
            <w:noWrap w:val="0"/>
            <w:vAlign w:val="center"/>
          </w:tcPr>
          <w:p w14:paraId="5B70C760">
            <w:pPr>
              <w:spacing w:line="260" w:lineRule="exact"/>
              <w:jc w:val="center"/>
              <w:rPr>
                <w:rFonts w:ascii="宋体" w:cs="宋体"/>
                <w:sz w:val="18"/>
                <w:szCs w:val="18"/>
              </w:rPr>
            </w:pPr>
          </w:p>
        </w:tc>
        <w:tc>
          <w:tcPr>
            <w:tcW w:w="723" w:type="dxa"/>
            <w:vMerge w:val="continue"/>
            <w:noWrap w:val="0"/>
            <w:vAlign w:val="center"/>
          </w:tcPr>
          <w:p w14:paraId="0E794BC7">
            <w:pPr>
              <w:spacing w:line="260" w:lineRule="exact"/>
              <w:jc w:val="center"/>
              <w:rPr>
                <w:rFonts w:ascii="宋体" w:cs="宋体"/>
                <w:sz w:val="18"/>
                <w:szCs w:val="18"/>
              </w:rPr>
            </w:pPr>
          </w:p>
        </w:tc>
        <w:tc>
          <w:tcPr>
            <w:tcW w:w="759" w:type="dxa"/>
            <w:gridSpan w:val="2"/>
            <w:noWrap w:val="0"/>
            <w:vAlign w:val="center"/>
          </w:tcPr>
          <w:p w14:paraId="63DB54B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26918242">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指标1：保护校园环境卫生</w:t>
            </w:r>
          </w:p>
        </w:tc>
        <w:tc>
          <w:tcPr>
            <w:tcW w:w="4228" w:type="dxa"/>
            <w:gridSpan w:val="2"/>
            <w:noWrap w:val="0"/>
            <w:vAlign w:val="center"/>
          </w:tcPr>
          <w:p w14:paraId="29A4B5B1">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有利于</w:t>
            </w:r>
          </w:p>
        </w:tc>
      </w:tr>
      <w:tr w14:paraId="2D57F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14:paraId="1A7BB8C1">
            <w:pPr>
              <w:spacing w:line="260" w:lineRule="exact"/>
              <w:jc w:val="center"/>
              <w:rPr>
                <w:rFonts w:ascii="宋体" w:cs="宋体"/>
                <w:sz w:val="18"/>
                <w:szCs w:val="18"/>
              </w:rPr>
            </w:pPr>
          </w:p>
        </w:tc>
        <w:tc>
          <w:tcPr>
            <w:tcW w:w="723" w:type="dxa"/>
            <w:vMerge w:val="continue"/>
            <w:noWrap w:val="0"/>
            <w:vAlign w:val="center"/>
          </w:tcPr>
          <w:p w14:paraId="69819D97">
            <w:pPr>
              <w:spacing w:line="260" w:lineRule="exact"/>
              <w:jc w:val="center"/>
              <w:rPr>
                <w:rFonts w:ascii="宋体" w:cs="宋体"/>
                <w:sz w:val="18"/>
                <w:szCs w:val="18"/>
              </w:rPr>
            </w:pPr>
          </w:p>
        </w:tc>
        <w:tc>
          <w:tcPr>
            <w:tcW w:w="759" w:type="dxa"/>
            <w:gridSpan w:val="2"/>
            <w:noWrap w:val="0"/>
            <w:vAlign w:val="center"/>
          </w:tcPr>
          <w:p w14:paraId="15E090B6">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62ADABC3">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指标1：保障党校正常运转的持续影响程度</w:t>
            </w:r>
          </w:p>
        </w:tc>
        <w:tc>
          <w:tcPr>
            <w:tcW w:w="4228" w:type="dxa"/>
            <w:gridSpan w:val="2"/>
            <w:noWrap w:val="0"/>
            <w:vAlign w:val="center"/>
          </w:tcPr>
          <w:p w14:paraId="38DBA35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有一定影响</w:t>
            </w:r>
          </w:p>
        </w:tc>
      </w:tr>
      <w:tr w14:paraId="62F9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8" w:type="dxa"/>
            <w:vMerge w:val="continue"/>
            <w:noWrap w:val="0"/>
            <w:vAlign w:val="center"/>
          </w:tcPr>
          <w:p w14:paraId="67A5CE5C">
            <w:pPr>
              <w:spacing w:line="260" w:lineRule="exact"/>
              <w:jc w:val="center"/>
              <w:rPr>
                <w:rFonts w:ascii="宋体" w:cs="宋体"/>
                <w:sz w:val="18"/>
                <w:szCs w:val="18"/>
              </w:rPr>
            </w:pPr>
          </w:p>
        </w:tc>
        <w:tc>
          <w:tcPr>
            <w:tcW w:w="723" w:type="dxa"/>
            <w:noWrap w:val="0"/>
            <w:vAlign w:val="center"/>
          </w:tcPr>
          <w:p w14:paraId="13E80ABB">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517D0744">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144A122F">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指标1：教职工、学员满意度</w:t>
            </w:r>
          </w:p>
        </w:tc>
        <w:tc>
          <w:tcPr>
            <w:tcW w:w="4228" w:type="dxa"/>
            <w:gridSpan w:val="2"/>
            <w:noWrap w:val="0"/>
            <w:vAlign w:val="center"/>
          </w:tcPr>
          <w:p w14:paraId="202CBAA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≥90%</w:t>
            </w:r>
          </w:p>
        </w:tc>
      </w:tr>
    </w:tbl>
    <w:p w14:paraId="15931A68">
      <w:pPr>
        <w:topLinePunct/>
        <w:adjustRightInd w:val="0"/>
        <w:snapToGrid w:val="0"/>
        <w:spacing w:line="560" w:lineRule="exact"/>
        <w:ind w:firstLine="643" w:firstLineChars="200"/>
        <w:rPr>
          <w:rFonts w:hint="eastAsia" w:ascii="仿宋_GB2312" w:hAnsi="TimesNewRoman" w:eastAsia="仿宋_GB2312" w:cs="TimesNewRoman"/>
          <w:b/>
          <w:sz w:val="32"/>
          <w:szCs w:val="32"/>
        </w:rPr>
      </w:pPr>
    </w:p>
    <w:p w14:paraId="08FC7453">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lang w:val="en-US" w:eastAsia="zh-CN"/>
        </w:rPr>
        <w:t>2</w:t>
      </w:r>
      <w:r>
        <w:rPr>
          <w:rFonts w:hint="eastAsia" w:ascii="仿宋_GB2312" w:hAnsi="TimesNewRoman" w:eastAsia="仿宋_GB2312" w:cs="TimesNewRoman"/>
          <w:b/>
          <w:sz w:val="32"/>
          <w:szCs w:val="32"/>
        </w:rPr>
        <w:t>.“</w:t>
      </w:r>
      <w:r>
        <w:rPr>
          <w:rFonts w:hint="eastAsia" w:ascii="仿宋_GB2312" w:hAnsi="楷体" w:eastAsia="仿宋_GB2312"/>
          <w:b/>
          <w:sz w:val="32"/>
          <w:szCs w:val="32"/>
        </w:rPr>
        <w:t>党校事业费</w:t>
      </w:r>
      <w:r>
        <w:rPr>
          <w:rFonts w:hint="eastAsia" w:ascii="仿宋_GB2312" w:hAnsi="TimesNewRoman" w:eastAsia="仿宋_GB2312" w:cs="TimesNewRoman"/>
          <w:b/>
          <w:sz w:val="32"/>
          <w:szCs w:val="32"/>
        </w:rPr>
        <w:t>”项目。</w:t>
      </w:r>
    </w:p>
    <w:p w14:paraId="4888DA7E">
      <w:pPr>
        <w:topLinePunct/>
        <w:adjustRightInd w:val="0"/>
        <w:snapToGrid w:val="0"/>
        <w:spacing w:line="580" w:lineRule="exact"/>
        <w:ind w:firstLine="640" w:firstLineChars="200"/>
        <w:rPr>
          <w:rFonts w:hint="eastAsia" w:ascii="仿宋" w:hAnsi="仿宋" w:eastAsia="仿宋" w:cs="宋体"/>
          <w:color w:val="000000" w:themeColor="text1"/>
          <w:kern w:val="0"/>
          <w:sz w:val="32"/>
          <w:szCs w:val="32"/>
          <w14:textFill>
            <w14:solidFill>
              <w14:schemeClr w14:val="tx1"/>
            </w14:solidFill>
          </w14:textFill>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sz w:val="32"/>
          <w:szCs w:val="32"/>
          <w:lang w:val="en-US" w:eastAsia="zh-CN"/>
        </w:rPr>
        <w:t>:</w:t>
      </w:r>
      <w:r>
        <w:rPr>
          <w:rFonts w:hint="eastAsia" w:ascii="仿宋_GB2312" w:hAnsi="TimesNewRoman" w:eastAsia="仿宋_GB2312" w:cs="TimesNewRoman"/>
          <w:sz w:val="32"/>
          <w:szCs w:val="32"/>
        </w:rPr>
        <w:t>党校事业费为支持党校日常运转和开班教学，满足人员经费发放，提高办学质量。主要包括党校教学业务经费、科研经费、信息化建设经费、图书资料经费、教师进修调研经费。用于辅助教学业务开展，观摩、竞赛；学术交流、课题资助；维护远程教学网站；购买学习资料；教师外出进修学习等。</w:t>
      </w:r>
    </w:p>
    <w:p w14:paraId="07443B3D">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sz w:val="32"/>
          <w:szCs w:val="32"/>
          <w:lang w:eastAsia="zh-CN"/>
        </w:rPr>
        <w:t>：</w:t>
      </w:r>
      <w:r>
        <w:rPr>
          <w:rFonts w:hint="eastAsia" w:ascii="仿宋_GB2312" w:hAnsi="仿宋" w:eastAsia="仿宋_GB2312"/>
          <w:sz w:val="32"/>
          <w:szCs w:val="32"/>
          <w:lang w:val="en-US" w:eastAsia="zh-CN"/>
        </w:rPr>
        <w:t>长年项目。</w:t>
      </w:r>
    </w:p>
    <w:p w14:paraId="462109B2">
      <w:pPr>
        <w:numPr>
          <w:ilvl w:val="0"/>
          <w:numId w:val="0"/>
        </w:numPr>
        <w:topLinePunct/>
        <w:adjustRightInd w:val="0"/>
        <w:snapToGrid w:val="0"/>
        <w:spacing w:line="58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中共寿县县委党校</w:t>
      </w:r>
    </w:p>
    <w:p w14:paraId="435B6990">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2025年度</w:t>
      </w:r>
    </w:p>
    <w:p w14:paraId="31BDFA4A">
      <w:pPr>
        <w:topLinePunct/>
        <w:adjustRightInd w:val="0"/>
        <w:snapToGrid w:val="0"/>
        <w:spacing w:line="580" w:lineRule="exact"/>
        <w:ind w:firstLine="640" w:firstLineChars="200"/>
        <w:rPr>
          <w:rFonts w:hint="eastAsia" w:ascii="仿宋" w:hAnsi="仿宋" w:eastAsia="仿宋" w:cs="宋体"/>
          <w:color w:val="000000" w:themeColor="text1"/>
          <w:kern w:val="0"/>
          <w:sz w:val="32"/>
          <w:szCs w:val="32"/>
          <w14:textFill>
            <w14:solidFill>
              <w14:schemeClr w14:val="tx1"/>
            </w14:solidFill>
          </w14:textFill>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支持党校日常运转和开班教学，满足人员经费发放，提高办学质量。</w:t>
      </w:r>
    </w:p>
    <w:p w14:paraId="651822AB">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23.70万元</w:t>
      </w:r>
    </w:p>
    <w:p w14:paraId="5DA2E816">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14:paraId="468A7DC5">
      <w:pPr>
        <w:topLinePunct/>
        <w:adjustRightInd w:val="0"/>
        <w:snapToGrid w:val="0"/>
        <w:spacing w:line="560" w:lineRule="exact"/>
        <w:ind w:firstLine="640" w:firstLineChars="200"/>
        <w:rPr>
          <w:rFonts w:hint="eastAsia" w:ascii="仿宋_GB2312" w:hAnsi="TimesNewRoman" w:eastAsia="仿宋_GB2312" w:cs="TimesNewRoman"/>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568F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3" w:hRule="atLeast"/>
        </w:trPr>
        <w:tc>
          <w:tcPr>
            <w:tcW w:w="9020" w:type="dxa"/>
            <w:gridSpan w:val="7"/>
            <w:tcBorders>
              <w:top w:val="nil"/>
              <w:left w:val="nil"/>
              <w:bottom w:val="nil"/>
              <w:right w:val="nil"/>
            </w:tcBorders>
            <w:noWrap w:val="0"/>
            <w:vAlign w:val="center"/>
          </w:tcPr>
          <w:p w14:paraId="6FA33FE7">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14:paraId="5D349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514A9180">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w:t>
            </w:r>
            <w:r>
              <w:rPr>
                <w:rFonts w:hint="eastAsia" w:ascii="宋体" w:hAnsi="宋体" w:cs="宋体"/>
                <w:color w:val="000000"/>
                <w:kern w:val="0"/>
                <w:sz w:val="20"/>
                <w:szCs w:val="20"/>
                <w:lang w:val="en-US" w:eastAsia="zh-CN" w:bidi="ar"/>
              </w:rPr>
              <w:t>5</w:t>
            </w:r>
            <w:r>
              <w:rPr>
                <w:rFonts w:hint="eastAsia" w:ascii="宋体" w:hAnsi="宋体" w:cs="宋体"/>
                <w:color w:val="000000"/>
                <w:kern w:val="0"/>
                <w:sz w:val="20"/>
                <w:szCs w:val="20"/>
                <w:lang w:bidi="ar"/>
              </w:rPr>
              <w:t xml:space="preserve">年度）                                </w:t>
            </w:r>
          </w:p>
        </w:tc>
      </w:tr>
      <w:tr w14:paraId="1544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2608C85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34BF5982">
            <w:pPr>
              <w:spacing w:line="260" w:lineRule="exact"/>
              <w:jc w:val="center"/>
              <w:rPr>
                <w:rFonts w:ascii="宋体" w:cs="宋体"/>
                <w:sz w:val="18"/>
                <w:szCs w:val="18"/>
              </w:rPr>
            </w:pPr>
            <w:r>
              <w:rPr>
                <w:rFonts w:hint="eastAsia" w:ascii="宋体" w:cs="宋体"/>
                <w:sz w:val="18"/>
                <w:szCs w:val="18"/>
              </w:rPr>
              <w:t>党校事业费</w:t>
            </w:r>
          </w:p>
        </w:tc>
      </w:tr>
      <w:tr w14:paraId="68C7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743F4A8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020862CA">
            <w:pPr>
              <w:spacing w:line="260" w:lineRule="exact"/>
              <w:jc w:val="center"/>
              <w:rPr>
                <w:rFonts w:ascii="宋体" w:cs="宋体"/>
                <w:sz w:val="18"/>
                <w:szCs w:val="18"/>
              </w:rPr>
            </w:pPr>
          </w:p>
        </w:tc>
        <w:tc>
          <w:tcPr>
            <w:tcW w:w="1848" w:type="dxa"/>
            <w:noWrap w:val="0"/>
            <w:vAlign w:val="center"/>
          </w:tcPr>
          <w:p w14:paraId="1DC83725">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3DFD5C4B">
            <w:pPr>
              <w:spacing w:line="260" w:lineRule="exact"/>
              <w:jc w:val="center"/>
              <w:rPr>
                <w:sz w:val="18"/>
                <w:szCs w:val="18"/>
              </w:rPr>
            </w:pPr>
            <w:r>
              <w:rPr>
                <w:rFonts w:hint="eastAsia"/>
                <w:sz w:val="18"/>
                <w:szCs w:val="18"/>
              </w:rPr>
              <w:t>中共寿县县委党校</w:t>
            </w:r>
          </w:p>
        </w:tc>
      </w:tr>
      <w:tr w14:paraId="1A7F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1D0A352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537165EE">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本级项目</w:t>
            </w:r>
          </w:p>
        </w:tc>
        <w:tc>
          <w:tcPr>
            <w:tcW w:w="1848" w:type="dxa"/>
            <w:noWrap w:val="0"/>
            <w:vAlign w:val="center"/>
          </w:tcPr>
          <w:p w14:paraId="2E7F69AD">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24415FB1">
            <w:pPr>
              <w:spacing w:line="260" w:lineRule="exact"/>
              <w:jc w:val="center"/>
              <w:rPr>
                <w:rFonts w:hint="default" w:eastAsia="宋体"/>
                <w:sz w:val="18"/>
                <w:szCs w:val="18"/>
                <w:lang w:val="en-US" w:eastAsia="zh-CN"/>
              </w:rPr>
            </w:pPr>
            <w:r>
              <w:rPr>
                <w:rFonts w:hint="eastAsia"/>
                <w:sz w:val="18"/>
                <w:szCs w:val="18"/>
                <w:lang w:val="en-US" w:eastAsia="zh-CN"/>
              </w:rPr>
              <w:t>2025</w:t>
            </w:r>
          </w:p>
        </w:tc>
      </w:tr>
      <w:tr w14:paraId="0FB3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4161905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4934C140">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596D315A">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23.70</w:t>
            </w:r>
          </w:p>
        </w:tc>
      </w:tr>
      <w:tr w14:paraId="289C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2E1BF8A1">
            <w:pPr>
              <w:spacing w:line="260" w:lineRule="exact"/>
              <w:jc w:val="center"/>
              <w:rPr>
                <w:rFonts w:ascii="宋体" w:cs="宋体"/>
                <w:sz w:val="18"/>
                <w:szCs w:val="18"/>
              </w:rPr>
            </w:pPr>
          </w:p>
        </w:tc>
        <w:tc>
          <w:tcPr>
            <w:tcW w:w="3349" w:type="dxa"/>
            <w:gridSpan w:val="2"/>
            <w:noWrap w:val="0"/>
            <w:vAlign w:val="center"/>
          </w:tcPr>
          <w:p w14:paraId="1926682A">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69C4AF7A">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23.70</w:t>
            </w:r>
          </w:p>
        </w:tc>
      </w:tr>
      <w:tr w14:paraId="41AF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14890F40">
            <w:pPr>
              <w:spacing w:line="260" w:lineRule="exact"/>
              <w:jc w:val="center"/>
              <w:rPr>
                <w:rFonts w:ascii="宋体" w:cs="宋体"/>
                <w:sz w:val="18"/>
                <w:szCs w:val="18"/>
              </w:rPr>
            </w:pPr>
          </w:p>
        </w:tc>
        <w:tc>
          <w:tcPr>
            <w:tcW w:w="3349" w:type="dxa"/>
            <w:gridSpan w:val="2"/>
            <w:noWrap w:val="0"/>
            <w:vAlign w:val="center"/>
          </w:tcPr>
          <w:p w14:paraId="0D9ADB22">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4F847C33">
            <w:pPr>
              <w:spacing w:line="260" w:lineRule="exact"/>
              <w:jc w:val="center"/>
              <w:rPr>
                <w:rFonts w:ascii="宋体" w:cs="宋体"/>
                <w:sz w:val="18"/>
                <w:szCs w:val="18"/>
              </w:rPr>
            </w:pPr>
          </w:p>
        </w:tc>
      </w:tr>
      <w:tr w14:paraId="2520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3416BE70">
            <w:pPr>
              <w:spacing w:line="260" w:lineRule="exact"/>
              <w:jc w:val="center"/>
              <w:rPr>
                <w:rFonts w:ascii="宋体" w:cs="宋体"/>
                <w:sz w:val="18"/>
                <w:szCs w:val="18"/>
              </w:rPr>
            </w:pPr>
          </w:p>
        </w:tc>
        <w:tc>
          <w:tcPr>
            <w:tcW w:w="3349" w:type="dxa"/>
            <w:gridSpan w:val="2"/>
            <w:noWrap w:val="0"/>
            <w:vAlign w:val="center"/>
          </w:tcPr>
          <w:p w14:paraId="62936FDE">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2657EF24">
            <w:pPr>
              <w:spacing w:line="260" w:lineRule="exact"/>
              <w:jc w:val="center"/>
              <w:rPr>
                <w:rFonts w:ascii="宋体" w:cs="宋体"/>
                <w:sz w:val="18"/>
                <w:szCs w:val="18"/>
              </w:rPr>
            </w:pPr>
          </w:p>
        </w:tc>
      </w:tr>
      <w:tr w14:paraId="557F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4EDFDC3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1CB3604E">
            <w:pPr>
              <w:spacing w:line="260" w:lineRule="exact"/>
              <w:ind w:firstLine="400" w:firstLineChars="200"/>
              <w:jc w:val="left"/>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党校事业费为支持党校日常运转和开班教学，满足人员经费发放，提高办学质量。主要包括党校教学业务经费、科研经费、信息化建设经费、图书资料经费、教师进修调研经费。用于辅助教学业务开展，观摩、竞赛；学术交流、课题资助；维护远程教学网站；购买学习资料；教师外出进修学习等。</w:t>
            </w:r>
          </w:p>
        </w:tc>
      </w:tr>
      <w:tr w14:paraId="64CC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1346B64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6F4D6DA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172A0E5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5C4BE1D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203CBA6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3849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38" w:type="dxa"/>
            <w:vMerge w:val="continue"/>
            <w:noWrap w:val="0"/>
            <w:vAlign w:val="center"/>
          </w:tcPr>
          <w:p w14:paraId="0995AE84">
            <w:pPr>
              <w:spacing w:line="260" w:lineRule="exact"/>
              <w:jc w:val="center"/>
              <w:rPr>
                <w:rFonts w:ascii="宋体" w:cs="宋体"/>
                <w:sz w:val="18"/>
                <w:szCs w:val="18"/>
              </w:rPr>
            </w:pPr>
          </w:p>
        </w:tc>
        <w:tc>
          <w:tcPr>
            <w:tcW w:w="723" w:type="dxa"/>
            <w:vMerge w:val="restart"/>
            <w:noWrap w:val="0"/>
            <w:vAlign w:val="center"/>
          </w:tcPr>
          <w:p w14:paraId="1854386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61789BF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1452E433">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指标1：培训办班期数</w:t>
            </w:r>
          </w:p>
        </w:tc>
        <w:tc>
          <w:tcPr>
            <w:tcW w:w="4228" w:type="dxa"/>
            <w:gridSpan w:val="2"/>
            <w:noWrap w:val="0"/>
            <w:vAlign w:val="center"/>
          </w:tcPr>
          <w:p w14:paraId="25656720">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≥7期</w:t>
            </w:r>
          </w:p>
        </w:tc>
      </w:tr>
      <w:tr w14:paraId="05BC9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38" w:type="dxa"/>
            <w:vMerge w:val="continue"/>
            <w:noWrap w:val="0"/>
            <w:vAlign w:val="center"/>
          </w:tcPr>
          <w:p w14:paraId="744B4D12">
            <w:pPr>
              <w:spacing w:line="260" w:lineRule="exact"/>
              <w:jc w:val="center"/>
              <w:rPr>
                <w:rFonts w:ascii="宋体" w:cs="宋体"/>
                <w:sz w:val="18"/>
                <w:szCs w:val="18"/>
              </w:rPr>
            </w:pPr>
          </w:p>
        </w:tc>
        <w:tc>
          <w:tcPr>
            <w:tcW w:w="723" w:type="dxa"/>
            <w:vMerge w:val="continue"/>
            <w:noWrap w:val="0"/>
            <w:vAlign w:val="center"/>
          </w:tcPr>
          <w:p w14:paraId="454F8A97">
            <w:pPr>
              <w:spacing w:line="260" w:lineRule="exact"/>
              <w:jc w:val="center"/>
              <w:rPr>
                <w:rFonts w:ascii="宋体" w:cs="宋体"/>
                <w:sz w:val="18"/>
                <w:szCs w:val="18"/>
              </w:rPr>
            </w:pPr>
          </w:p>
        </w:tc>
        <w:tc>
          <w:tcPr>
            <w:tcW w:w="759" w:type="dxa"/>
            <w:gridSpan w:val="2"/>
            <w:vMerge w:val="continue"/>
            <w:noWrap w:val="0"/>
            <w:vAlign w:val="center"/>
          </w:tcPr>
          <w:p w14:paraId="6FE6EA04">
            <w:pPr>
              <w:spacing w:line="260" w:lineRule="exact"/>
              <w:jc w:val="center"/>
              <w:rPr>
                <w:rFonts w:ascii="宋体" w:cs="宋体"/>
                <w:sz w:val="18"/>
                <w:szCs w:val="18"/>
              </w:rPr>
            </w:pPr>
          </w:p>
        </w:tc>
        <w:tc>
          <w:tcPr>
            <w:tcW w:w="2872" w:type="dxa"/>
            <w:noWrap w:val="0"/>
            <w:vAlign w:val="center"/>
          </w:tcPr>
          <w:p w14:paraId="5027DFF5">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：教师外出学习、交流</w:t>
            </w:r>
          </w:p>
        </w:tc>
        <w:tc>
          <w:tcPr>
            <w:tcW w:w="4228" w:type="dxa"/>
            <w:gridSpan w:val="2"/>
            <w:noWrap w:val="0"/>
            <w:vAlign w:val="center"/>
          </w:tcPr>
          <w:p w14:paraId="42F3B8B9">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≥5人次</w:t>
            </w:r>
          </w:p>
        </w:tc>
      </w:tr>
      <w:tr w14:paraId="05F23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8" w:type="dxa"/>
            <w:vMerge w:val="continue"/>
            <w:noWrap w:val="0"/>
            <w:vAlign w:val="center"/>
          </w:tcPr>
          <w:p w14:paraId="01B6E47B">
            <w:pPr>
              <w:spacing w:line="260" w:lineRule="exact"/>
              <w:jc w:val="center"/>
              <w:rPr>
                <w:rFonts w:ascii="宋体" w:cs="宋体"/>
                <w:sz w:val="18"/>
                <w:szCs w:val="18"/>
              </w:rPr>
            </w:pPr>
          </w:p>
        </w:tc>
        <w:tc>
          <w:tcPr>
            <w:tcW w:w="723" w:type="dxa"/>
            <w:vMerge w:val="continue"/>
            <w:noWrap w:val="0"/>
            <w:vAlign w:val="center"/>
          </w:tcPr>
          <w:p w14:paraId="012FADCA">
            <w:pPr>
              <w:spacing w:line="260" w:lineRule="exact"/>
              <w:jc w:val="center"/>
              <w:rPr>
                <w:rFonts w:ascii="宋体" w:cs="宋体"/>
                <w:sz w:val="18"/>
                <w:szCs w:val="18"/>
              </w:rPr>
            </w:pPr>
          </w:p>
        </w:tc>
        <w:tc>
          <w:tcPr>
            <w:tcW w:w="759" w:type="dxa"/>
            <w:gridSpan w:val="2"/>
            <w:noWrap w:val="0"/>
            <w:vAlign w:val="center"/>
          </w:tcPr>
          <w:p w14:paraId="7EC9A77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2679E72D">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指标1：学员考核通过率</w:t>
            </w:r>
          </w:p>
        </w:tc>
        <w:tc>
          <w:tcPr>
            <w:tcW w:w="4228" w:type="dxa"/>
            <w:gridSpan w:val="2"/>
            <w:noWrap w:val="0"/>
            <w:vAlign w:val="center"/>
          </w:tcPr>
          <w:p w14:paraId="4E7B4D7F">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≥95%</w:t>
            </w:r>
          </w:p>
        </w:tc>
      </w:tr>
      <w:tr w14:paraId="5C6B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38" w:type="dxa"/>
            <w:vMerge w:val="continue"/>
            <w:noWrap w:val="0"/>
            <w:vAlign w:val="center"/>
          </w:tcPr>
          <w:p w14:paraId="4A6AEC9F">
            <w:pPr>
              <w:spacing w:line="260" w:lineRule="exact"/>
              <w:jc w:val="center"/>
              <w:rPr>
                <w:rFonts w:ascii="宋体" w:cs="宋体"/>
                <w:sz w:val="18"/>
                <w:szCs w:val="18"/>
              </w:rPr>
            </w:pPr>
          </w:p>
        </w:tc>
        <w:tc>
          <w:tcPr>
            <w:tcW w:w="723" w:type="dxa"/>
            <w:vMerge w:val="continue"/>
            <w:noWrap w:val="0"/>
            <w:vAlign w:val="center"/>
          </w:tcPr>
          <w:p w14:paraId="3F6A46FE">
            <w:pPr>
              <w:spacing w:line="260" w:lineRule="exact"/>
              <w:jc w:val="center"/>
              <w:rPr>
                <w:rFonts w:ascii="宋体" w:cs="宋体"/>
                <w:sz w:val="18"/>
                <w:szCs w:val="18"/>
              </w:rPr>
            </w:pPr>
          </w:p>
        </w:tc>
        <w:tc>
          <w:tcPr>
            <w:tcW w:w="759" w:type="dxa"/>
            <w:gridSpan w:val="2"/>
            <w:noWrap w:val="0"/>
            <w:vAlign w:val="center"/>
          </w:tcPr>
          <w:p w14:paraId="091E8AB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43C6B98A">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指标1：学员是否及时办理结业</w:t>
            </w:r>
          </w:p>
        </w:tc>
        <w:tc>
          <w:tcPr>
            <w:tcW w:w="4228" w:type="dxa"/>
            <w:gridSpan w:val="2"/>
            <w:noWrap w:val="0"/>
            <w:vAlign w:val="center"/>
          </w:tcPr>
          <w:p w14:paraId="63C20773">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14:paraId="168A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38" w:type="dxa"/>
            <w:vMerge w:val="continue"/>
            <w:noWrap w:val="0"/>
            <w:vAlign w:val="center"/>
          </w:tcPr>
          <w:p w14:paraId="178407A6">
            <w:pPr>
              <w:spacing w:line="260" w:lineRule="exact"/>
              <w:jc w:val="center"/>
              <w:rPr>
                <w:rFonts w:ascii="宋体" w:cs="宋体"/>
                <w:sz w:val="18"/>
                <w:szCs w:val="18"/>
              </w:rPr>
            </w:pPr>
          </w:p>
        </w:tc>
        <w:tc>
          <w:tcPr>
            <w:tcW w:w="723" w:type="dxa"/>
            <w:vMerge w:val="continue"/>
            <w:noWrap w:val="0"/>
            <w:vAlign w:val="center"/>
          </w:tcPr>
          <w:p w14:paraId="42D907F4">
            <w:pPr>
              <w:spacing w:line="260" w:lineRule="exact"/>
              <w:jc w:val="center"/>
              <w:rPr>
                <w:rFonts w:ascii="宋体" w:cs="宋体"/>
                <w:sz w:val="18"/>
                <w:szCs w:val="18"/>
              </w:rPr>
            </w:pPr>
          </w:p>
        </w:tc>
        <w:tc>
          <w:tcPr>
            <w:tcW w:w="759" w:type="dxa"/>
            <w:gridSpan w:val="2"/>
            <w:noWrap w:val="0"/>
            <w:vAlign w:val="center"/>
          </w:tcPr>
          <w:p w14:paraId="5ABEACE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3ADED39C">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指标1：教学及考试材料、印刷费</w:t>
            </w:r>
          </w:p>
        </w:tc>
        <w:tc>
          <w:tcPr>
            <w:tcW w:w="4228" w:type="dxa"/>
            <w:gridSpan w:val="2"/>
            <w:noWrap w:val="0"/>
            <w:vAlign w:val="center"/>
          </w:tcPr>
          <w:p w14:paraId="232421FA">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≤50元/份</w:t>
            </w:r>
          </w:p>
        </w:tc>
      </w:tr>
      <w:tr w14:paraId="49B41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38" w:type="dxa"/>
            <w:vMerge w:val="continue"/>
            <w:noWrap w:val="0"/>
            <w:vAlign w:val="center"/>
          </w:tcPr>
          <w:p w14:paraId="5B810D0B">
            <w:pPr>
              <w:spacing w:line="260" w:lineRule="exact"/>
              <w:jc w:val="center"/>
              <w:rPr>
                <w:rFonts w:ascii="宋体" w:cs="宋体"/>
                <w:sz w:val="18"/>
                <w:szCs w:val="18"/>
              </w:rPr>
            </w:pPr>
          </w:p>
        </w:tc>
        <w:tc>
          <w:tcPr>
            <w:tcW w:w="723" w:type="dxa"/>
            <w:vMerge w:val="restart"/>
            <w:noWrap w:val="0"/>
            <w:vAlign w:val="center"/>
          </w:tcPr>
          <w:p w14:paraId="78BEB10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14:paraId="1416714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3A5F4165">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指标1：围绕党校事业发展的支出</w:t>
            </w:r>
          </w:p>
        </w:tc>
        <w:tc>
          <w:tcPr>
            <w:tcW w:w="4228" w:type="dxa"/>
            <w:gridSpan w:val="2"/>
            <w:noWrap w:val="0"/>
            <w:vAlign w:val="center"/>
          </w:tcPr>
          <w:p w14:paraId="24021BB7">
            <w:pPr>
              <w:keepNext w:val="0"/>
              <w:keepLines w:val="0"/>
              <w:widowControl/>
              <w:suppressLineNumbers w:val="0"/>
              <w:jc w:val="center"/>
              <w:textAlignment w:val="center"/>
              <w:rPr>
                <w:rFonts w:hint="default" w:ascii="宋体" w:cs="宋体"/>
                <w:sz w:val="18"/>
                <w:szCs w:val="18"/>
                <w:lang w:val="en-US"/>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25.84</w:t>
            </w:r>
          </w:p>
        </w:tc>
      </w:tr>
      <w:tr w14:paraId="1FCF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14:paraId="5B087215">
            <w:pPr>
              <w:spacing w:line="260" w:lineRule="exact"/>
              <w:jc w:val="center"/>
              <w:rPr>
                <w:rFonts w:ascii="宋体" w:cs="宋体"/>
                <w:sz w:val="18"/>
                <w:szCs w:val="18"/>
              </w:rPr>
            </w:pPr>
          </w:p>
        </w:tc>
        <w:tc>
          <w:tcPr>
            <w:tcW w:w="723" w:type="dxa"/>
            <w:vMerge w:val="continue"/>
            <w:noWrap w:val="0"/>
            <w:vAlign w:val="center"/>
          </w:tcPr>
          <w:p w14:paraId="18C27D0C">
            <w:pPr>
              <w:spacing w:line="260" w:lineRule="exact"/>
              <w:jc w:val="center"/>
              <w:rPr>
                <w:rFonts w:ascii="宋体" w:cs="宋体"/>
                <w:sz w:val="18"/>
                <w:szCs w:val="18"/>
              </w:rPr>
            </w:pPr>
          </w:p>
        </w:tc>
        <w:tc>
          <w:tcPr>
            <w:tcW w:w="759" w:type="dxa"/>
            <w:gridSpan w:val="2"/>
            <w:noWrap w:val="0"/>
            <w:vAlign w:val="center"/>
          </w:tcPr>
          <w:p w14:paraId="0A1C73E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47BF0798">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指标1：为学员提供更好的培训课程</w:t>
            </w:r>
          </w:p>
        </w:tc>
        <w:tc>
          <w:tcPr>
            <w:tcW w:w="4228" w:type="dxa"/>
            <w:gridSpan w:val="2"/>
            <w:noWrap w:val="0"/>
            <w:vAlign w:val="center"/>
          </w:tcPr>
          <w:p w14:paraId="0BFDE292">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有一定提高</w:t>
            </w:r>
          </w:p>
        </w:tc>
      </w:tr>
      <w:tr w14:paraId="1A95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38" w:type="dxa"/>
            <w:vMerge w:val="continue"/>
            <w:noWrap w:val="0"/>
            <w:vAlign w:val="center"/>
          </w:tcPr>
          <w:p w14:paraId="319719C5">
            <w:pPr>
              <w:spacing w:line="260" w:lineRule="exact"/>
              <w:jc w:val="center"/>
              <w:rPr>
                <w:rFonts w:ascii="宋体" w:cs="宋体"/>
                <w:sz w:val="18"/>
                <w:szCs w:val="18"/>
              </w:rPr>
            </w:pPr>
          </w:p>
        </w:tc>
        <w:tc>
          <w:tcPr>
            <w:tcW w:w="723" w:type="dxa"/>
            <w:vMerge w:val="continue"/>
            <w:noWrap w:val="0"/>
            <w:vAlign w:val="center"/>
          </w:tcPr>
          <w:p w14:paraId="72A5B0FF">
            <w:pPr>
              <w:spacing w:line="260" w:lineRule="exact"/>
              <w:jc w:val="center"/>
              <w:rPr>
                <w:rFonts w:ascii="宋体" w:cs="宋体"/>
                <w:sz w:val="18"/>
                <w:szCs w:val="18"/>
              </w:rPr>
            </w:pPr>
          </w:p>
        </w:tc>
        <w:tc>
          <w:tcPr>
            <w:tcW w:w="759" w:type="dxa"/>
            <w:gridSpan w:val="2"/>
            <w:noWrap w:val="0"/>
            <w:vAlign w:val="center"/>
          </w:tcPr>
          <w:p w14:paraId="3CF98BA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5FF1995A">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指标1：有利于保持良好的校园环境</w:t>
            </w:r>
          </w:p>
        </w:tc>
        <w:tc>
          <w:tcPr>
            <w:tcW w:w="4228" w:type="dxa"/>
            <w:gridSpan w:val="2"/>
            <w:noWrap w:val="0"/>
            <w:vAlign w:val="center"/>
          </w:tcPr>
          <w:p w14:paraId="391C67BD">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有利于</w:t>
            </w:r>
          </w:p>
        </w:tc>
      </w:tr>
      <w:tr w14:paraId="51C8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14:paraId="2CC1B218">
            <w:pPr>
              <w:spacing w:line="260" w:lineRule="exact"/>
              <w:jc w:val="center"/>
              <w:rPr>
                <w:rFonts w:ascii="宋体" w:cs="宋体"/>
                <w:sz w:val="18"/>
                <w:szCs w:val="18"/>
              </w:rPr>
            </w:pPr>
          </w:p>
        </w:tc>
        <w:tc>
          <w:tcPr>
            <w:tcW w:w="723" w:type="dxa"/>
            <w:vMerge w:val="continue"/>
            <w:noWrap w:val="0"/>
            <w:vAlign w:val="center"/>
          </w:tcPr>
          <w:p w14:paraId="5E9DCC05">
            <w:pPr>
              <w:spacing w:line="260" w:lineRule="exact"/>
              <w:jc w:val="center"/>
              <w:rPr>
                <w:rFonts w:ascii="宋体" w:cs="宋体"/>
                <w:sz w:val="18"/>
                <w:szCs w:val="18"/>
              </w:rPr>
            </w:pPr>
          </w:p>
        </w:tc>
        <w:tc>
          <w:tcPr>
            <w:tcW w:w="759" w:type="dxa"/>
            <w:gridSpan w:val="2"/>
            <w:noWrap w:val="0"/>
            <w:vAlign w:val="center"/>
          </w:tcPr>
          <w:p w14:paraId="277F7639">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78AAFA94">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指标1：有助于教师队伍能力提升</w:t>
            </w:r>
          </w:p>
        </w:tc>
        <w:tc>
          <w:tcPr>
            <w:tcW w:w="4228" w:type="dxa"/>
            <w:gridSpan w:val="2"/>
            <w:noWrap w:val="0"/>
            <w:vAlign w:val="center"/>
          </w:tcPr>
          <w:p w14:paraId="5015A990">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有一定提升</w:t>
            </w:r>
          </w:p>
        </w:tc>
      </w:tr>
      <w:tr w14:paraId="0CD1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8" w:type="dxa"/>
            <w:vMerge w:val="continue"/>
            <w:noWrap w:val="0"/>
            <w:vAlign w:val="center"/>
          </w:tcPr>
          <w:p w14:paraId="2E0115FB">
            <w:pPr>
              <w:spacing w:line="260" w:lineRule="exact"/>
              <w:jc w:val="center"/>
              <w:rPr>
                <w:rFonts w:ascii="宋体" w:cs="宋体"/>
                <w:sz w:val="18"/>
                <w:szCs w:val="18"/>
              </w:rPr>
            </w:pPr>
          </w:p>
        </w:tc>
        <w:tc>
          <w:tcPr>
            <w:tcW w:w="723" w:type="dxa"/>
            <w:noWrap w:val="0"/>
            <w:vAlign w:val="center"/>
          </w:tcPr>
          <w:p w14:paraId="00848236">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255BA615">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6A5EE915">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指标1：教职工满意度</w:t>
            </w:r>
          </w:p>
        </w:tc>
        <w:tc>
          <w:tcPr>
            <w:tcW w:w="4228" w:type="dxa"/>
            <w:gridSpan w:val="2"/>
            <w:noWrap w:val="0"/>
            <w:vAlign w:val="center"/>
          </w:tcPr>
          <w:p w14:paraId="1A32F143">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≥90%</w:t>
            </w:r>
          </w:p>
        </w:tc>
      </w:tr>
    </w:tbl>
    <w:p w14:paraId="1920E12E">
      <w:pPr>
        <w:topLinePunct/>
        <w:adjustRightInd w:val="0"/>
        <w:snapToGrid w:val="0"/>
        <w:spacing w:line="560" w:lineRule="exact"/>
        <w:ind w:firstLine="640" w:firstLineChars="200"/>
        <w:rPr>
          <w:rFonts w:hint="eastAsia" w:ascii="仿宋_GB2312" w:hAnsi="TimesNewRoman" w:eastAsia="仿宋_GB2312" w:cs="TimesNewRoman"/>
          <w:sz w:val="32"/>
          <w:szCs w:val="32"/>
        </w:rPr>
      </w:pPr>
    </w:p>
    <w:p w14:paraId="41C8B7AA">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lang w:val="en-US" w:eastAsia="zh-CN"/>
        </w:rPr>
        <w:t>3</w:t>
      </w:r>
      <w:r>
        <w:rPr>
          <w:rFonts w:hint="eastAsia" w:ascii="仿宋_GB2312" w:hAnsi="TimesNewRoman" w:eastAsia="仿宋_GB2312" w:cs="TimesNewRoman"/>
          <w:b/>
          <w:sz w:val="32"/>
          <w:szCs w:val="32"/>
        </w:rPr>
        <w:t>.“</w:t>
      </w:r>
      <w:r>
        <w:rPr>
          <w:rFonts w:hint="eastAsia" w:ascii="仿宋_GB2312" w:hAnsi="楷体" w:eastAsia="仿宋_GB2312"/>
          <w:b/>
          <w:sz w:val="32"/>
          <w:szCs w:val="32"/>
          <w:lang w:val="en-US" w:eastAsia="zh-CN"/>
        </w:rPr>
        <w:t>工勤人员补助经费</w:t>
      </w:r>
      <w:r>
        <w:rPr>
          <w:rFonts w:hint="eastAsia" w:ascii="仿宋_GB2312" w:hAnsi="TimesNewRoman" w:eastAsia="仿宋_GB2312" w:cs="TimesNewRoman"/>
          <w:b/>
          <w:sz w:val="32"/>
          <w:szCs w:val="32"/>
        </w:rPr>
        <w:t>”项目。</w:t>
      </w:r>
    </w:p>
    <w:p w14:paraId="54342424">
      <w:pPr>
        <w:topLinePunct/>
        <w:spacing w:line="560" w:lineRule="exact"/>
        <w:ind w:firstLine="640" w:firstLineChars="200"/>
        <w:rPr>
          <w:rFonts w:hint="eastAsia" w:ascii="仿宋" w:hAnsi="仿宋" w:eastAsia="仿宋" w:cs="宋体"/>
          <w:color w:val="000000" w:themeColor="text1"/>
          <w:kern w:val="0"/>
          <w:sz w:val="32"/>
          <w:szCs w:val="32"/>
          <w14:textFill>
            <w14:solidFill>
              <w14:schemeClr w14:val="tx1"/>
            </w14:solidFill>
          </w14:textFill>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sz w:val="32"/>
          <w:szCs w:val="32"/>
          <w:lang w:val="en-US" w:eastAsia="zh-CN"/>
        </w:rPr>
        <w:t>:</w:t>
      </w:r>
      <w:r>
        <w:rPr>
          <w:rFonts w:hint="eastAsia" w:ascii="仿宋_GB2312" w:hAnsi="仿宋" w:eastAsia="仿宋_GB2312"/>
          <w:sz w:val="32"/>
          <w:szCs w:val="32"/>
        </w:rPr>
        <w:t>工勤人员补助经费用于发放党校聘用工勤人员每月的定额补助。</w:t>
      </w:r>
    </w:p>
    <w:p w14:paraId="7C266428">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sz w:val="32"/>
          <w:szCs w:val="32"/>
          <w:lang w:eastAsia="zh-CN"/>
        </w:rPr>
        <w:t>：</w:t>
      </w:r>
      <w:r>
        <w:rPr>
          <w:rFonts w:hint="eastAsia" w:ascii="仿宋_GB2312" w:hAnsi="仿宋" w:eastAsia="仿宋_GB2312"/>
          <w:sz w:val="32"/>
          <w:szCs w:val="32"/>
          <w:lang w:val="en-US" w:eastAsia="zh-CN"/>
        </w:rPr>
        <w:t>聘用合同。</w:t>
      </w:r>
    </w:p>
    <w:p w14:paraId="64FB032A">
      <w:pPr>
        <w:numPr>
          <w:ilvl w:val="0"/>
          <w:numId w:val="0"/>
        </w:numPr>
        <w:topLinePunct/>
        <w:adjustRightInd w:val="0"/>
        <w:snapToGrid w:val="0"/>
        <w:spacing w:line="58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中共寿县县委党校</w:t>
      </w:r>
    </w:p>
    <w:p w14:paraId="635DE45F">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2025年度</w:t>
      </w:r>
    </w:p>
    <w:p w14:paraId="16C416D7">
      <w:pPr>
        <w:topLinePunct/>
        <w:spacing w:line="560" w:lineRule="exact"/>
        <w:ind w:firstLine="640" w:firstLineChars="200"/>
        <w:rPr>
          <w:rFonts w:hint="eastAsia" w:ascii="仿宋" w:hAnsi="仿宋" w:eastAsia="仿宋" w:cs="宋体"/>
          <w:color w:val="000000" w:themeColor="text1"/>
          <w:kern w:val="0"/>
          <w:sz w:val="32"/>
          <w:szCs w:val="32"/>
          <w14:textFill>
            <w14:solidFill>
              <w14:schemeClr w14:val="tx1"/>
            </w14:solidFill>
          </w14:textFill>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eastAsia="zh-CN"/>
        </w:rPr>
        <w:t>：</w:t>
      </w:r>
      <w:r>
        <w:rPr>
          <w:rFonts w:hint="eastAsia" w:ascii="仿宋_GB2312" w:hAnsi="仿宋" w:eastAsia="仿宋_GB2312"/>
          <w:sz w:val="32"/>
          <w:szCs w:val="32"/>
        </w:rPr>
        <w:t>工勤人员补助经费用于发放党校聘用工勤人员每月的定额补助。</w:t>
      </w:r>
    </w:p>
    <w:p w14:paraId="5CCCF96E">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1.32万元</w:t>
      </w:r>
    </w:p>
    <w:p w14:paraId="3C4F1AF2">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14:paraId="65F9A037">
      <w:pPr>
        <w:topLinePunct/>
        <w:adjustRightInd w:val="0"/>
        <w:snapToGrid w:val="0"/>
        <w:spacing w:line="560" w:lineRule="exact"/>
        <w:ind w:firstLine="640" w:firstLineChars="200"/>
        <w:rPr>
          <w:rFonts w:hint="eastAsia" w:ascii="仿宋_GB2312" w:hAnsi="TimesNewRoman" w:eastAsia="仿宋_GB2312" w:cs="TimesNewRoman"/>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13CC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2AFCC1FE">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14:paraId="55E59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12748049">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w:t>
            </w:r>
            <w:r>
              <w:rPr>
                <w:rFonts w:hint="eastAsia" w:ascii="宋体" w:hAnsi="宋体" w:cs="宋体"/>
                <w:color w:val="000000"/>
                <w:kern w:val="0"/>
                <w:sz w:val="20"/>
                <w:szCs w:val="20"/>
                <w:lang w:val="en-US" w:eastAsia="zh-CN" w:bidi="ar"/>
              </w:rPr>
              <w:t>5</w:t>
            </w:r>
            <w:r>
              <w:rPr>
                <w:rFonts w:hint="eastAsia" w:ascii="宋体" w:hAnsi="宋体" w:cs="宋体"/>
                <w:color w:val="000000"/>
                <w:kern w:val="0"/>
                <w:sz w:val="20"/>
                <w:szCs w:val="20"/>
                <w:lang w:bidi="ar"/>
              </w:rPr>
              <w:t xml:space="preserve">年度）                                </w:t>
            </w:r>
          </w:p>
        </w:tc>
      </w:tr>
      <w:tr w14:paraId="5D73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778E7FA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6D282FFD">
            <w:pPr>
              <w:spacing w:line="260" w:lineRule="exact"/>
              <w:jc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工勤人员补助经费</w:t>
            </w:r>
          </w:p>
        </w:tc>
      </w:tr>
      <w:tr w14:paraId="1CF9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6AD2668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25C8ECC0">
            <w:pPr>
              <w:spacing w:line="260" w:lineRule="exact"/>
              <w:jc w:val="center"/>
              <w:rPr>
                <w:rFonts w:ascii="宋体" w:cs="宋体"/>
                <w:sz w:val="18"/>
                <w:szCs w:val="18"/>
              </w:rPr>
            </w:pPr>
          </w:p>
        </w:tc>
        <w:tc>
          <w:tcPr>
            <w:tcW w:w="1848" w:type="dxa"/>
            <w:noWrap w:val="0"/>
            <w:vAlign w:val="center"/>
          </w:tcPr>
          <w:p w14:paraId="7FB4D6E4">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5D538351">
            <w:pPr>
              <w:spacing w:line="260" w:lineRule="exact"/>
              <w:jc w:val="center"/>
              <w:rPr>
                <w:sz w:val="18"/>
                <w:szCs w:val="18"/>
              </w:rPr>
            </w:pPr>
            <w:r>
              <w:rPr>
                <w:rFonts w:hint="eastAsia"/>
                <w:sz w:val="18"/>
                <w:szCs w:val="18"/>
              </w:rPr>
              <w:t>中共寿县县委党校</w:t>
            </w:r>
          </w:p>
        </w:tc>
      </w:tr>
      <w:tr w14:paraId="1CD4B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0FEA4FE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3A345C01">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本级项目</w:t>
            </w:r>
          </w:p>
        </w:tc>
        <w:tc>
          <w:tcPr>
            <w:tcW w:w="1848" w:type="dxa"/>
            <w:noWrap w:val="0"/>
            <w:vAlign w:val="center"/>
          </w:tcPr>
          <w:p w14:paraId="55D6C741">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6D812C64">
            <w:pPr>
              <w:spacing w:line="260" w:lineRule="exact"/>
              <w:jc w:val="center"/>
              <w:rPr>
                <w:rFonts w:hint="default" w:eastAsia="宋体"/>
                <w:sz w:val="18"/>
                <w:szCs w:val="18"/>
                <w:lang w:val="en-US" w:eastAsia="zh-CN"/>
              </w:rPr>
            </w:pPr>
            <w:r>
              <w:rPr>
                <w:rFonts w:hint="eastAsia"/>
                <w:sz w:val="18"/>
                <w:szCs w:val="18"/>
                <w:lang w:val="en-US" w:eastAsia="zh-CN"/>
              </w:rPr>
              <w:t>2025</w:t>
            </w:r>
          </w:p>
        </w:tc>
      </w:tr>
      <w:tr w14:paraId="7C5D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5400894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03099D43">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021D0B2F">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1.32</w:t>
            </w:r>
          </w:p>
        </w:tc>
      </w:tr>
      <w:tr w14:paraId="3F32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4755DDA2">
            <w:pPr>
              <w:spacing w:line="260" w:lineRule="exact"/>
              <w:jc w:val="center"/>
              <w:rPr>
                <w:rFonts w:ascii="宋体" w:cs="宋体"/>
                <w:sz w:val="18"/>
                <w:szCs w:val="18"/>
              </w:rPr>
            </w:pPr>
          </w:p>
        </w:tc>
        <w:tc>
          <w:tcPr>
            <w:tcW w:w="3349" w:type="dxa"/>
            <w:gridSpan w:val="2"/>
            <w:noWrap w:val="0"/>
            <w:vAlign w:val="center"/>
          </w:tcPr>
          <w:p w14:paraId="5ED7CDA2">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1CA50588">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1.32</w:t>
            </w:r>
          </w:p>
        </w:tc>
      </w:tr>
      <w:tr w14:paraId="3AF1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2055B1EC">
            <w:pPr>
              <w:spacing w:line="260" w:lineRule="exact"/>
              <w:jc w:val="center"/>
              <w:rPr>
                <w:rFonts w:ascii="宋体" w:cs="宋体"/>
                <w:sz w:val="18"/>
                <w:szCs w:val="18"/>
              </w:rPr>
            </w:pPr>
          </w:p>
        </w:tc>
        <w:tc>
          <w:tcPr>
            <w:tcW w:w="3349" w:type="dxa"/>
            <w:gridSpan w:val="2"/>
            <w:noWrap w:val="0"/>
            <w:vAlign w:val="center"/>
          </w:tcPr>
          <w:p w14:paraId="78A2B29D">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5AE84885">
            <w:pPr>
              <w:spacing w:line="260" w:lineRule="exact"/>
              <w:jc w:val="center"/>
              <w:rPr>
                <w:rFonts w:ascii="宋体" w:cs="宋体"/>
                <w:sz w:val="18"/>
                <w:szCs w:val="18"/>
              </w:rPr>
            </w:pPr>
          </w:p>
        </w:tc>
      </w:tr>
      <w:tr w14:paraId="1AA5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43775890">
            <w:pPr>
              <w:spacing w:line="260" w:lineRule="exact"/>
              <w:jc w:val="center"/>
              <w:rPr>
                <w:rFonts w:ascii="宋体" w:cs="宋体"/>
                <w:sz w:val="18"/>
                <w:szCs w:val="18"/>
              </w:rPr>
            </w:pPr>
          </w:p>
        </w:tc>
        <w:tc>
          <w:tcPr>
            <w:tcW w:w="3349" w:type="dxa"/>
            <w:gridSpan w:val="2"/>
            <w:noWrap w:val="0"/>
            <w:vAlign w:val="center"/>
          </w:tcPr>
          <w:p w14:paraId="28CD56D6">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4FA19502">
            <w:pPr>
              <w:spacing w:line="260" w:lineRule="exact"/>
              <w:jc w:val="center"/>
              <w:rPr>
                <w:rFonts w:ascii="宋体" w:cs="宋体"/>
                <w:sz w:val="18"/>
                <w:szCs w:val="18"/>
              </w:rPr>
            </w:pPr>
          </w:p>
        </w:tc>
      </w:tr>
      <w:tr w14:paraId="6D9F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662033E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1DEF07FF">
            <w:pPr>
              <w:spacing w:line="260" w:lineRule="exact"/>
              <w:ind w:firstLine="400" w:firstLineChars="200"/>
              <w:jc w:val="left"/>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工勤人员补助经费用于发放党校聘用工勤人员每月的定额补助。</w:t>
            </w:r>
          </w:p>
        </w:tc>
      </w:tr>
      <w:tr w14:paraId="6B999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476ADFF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0F48EE8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5D6D0E5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0EA963E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03830C9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1FD3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38" w:type="dxa"/>
            <w:vMerge w:val="continue"/>
            <w:noWrap w:val="0"/>
            <w:vAlign w:val="center"/>
          </w:tcPr>
          <w:p w14:paraId="0CB0F9B4">
            <w:pPr>
              <w:spacing w:line="260" w:lineRule="exact"/>
              <w:jc w:val="center"/>
              <w:rPr>
                <w:rFonts w:ascii="宋体" w:cs="宋体"/>
                <w:sz w:val="18"/>
                <w:szCs w:val="18"/>
              </w:rPr>
            </w:pPr>
          </w:p>
        </w:tc>
        <w:tc>
          <w:tcPr>
            <w:tcW w:w="723" w:type="dxa"/>
            <w:vMerge w:val="restart"/>
            <w:noWrap w:val="0"/>
            <w:vAlign w:val="center"/>
          </w:tcPr>
          <w:p w14:paraId="127CEEC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noWrap w:val="0"/>
            <w:vAlign w:val="center"/>
          </w:tcPr>
          <w:p w14:paraId="0B6F1E7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1D4B67D5">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指标1：全年发放工勤补助</w:t>
            </w:r>
          </w:p>
        </w:tc>
        <w:tc>
          <w:tcPr>
            <w:tcW w:w="4228" w:type="dxa"/>
            <w:gridSpan w:val="2"/>
            <w:noWrap w:val="0"/>
            <w:vAlign w:val="center"/>
          </w:tcPr>
          <w:p w14:paraId="5B149F9D">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12个月</w:t>
            </w:r>
          </w:p>
        </w:tc>
      </w:tr>
      <w:tr w14:paraId="3984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8" w:type="dxa"/>
            <w:vMerge w:val="continue"/>
            <w:noWrap w:val="0"/>
            <w:vAlign w:val="center"/>
          </w:tcPr>
          <w:p w14:paraId="6641D325">
            <w:pPr>
              <w:spacing w:line="260" w:lineRule="exact"/>
              <w:jc w:val="center"/>
              <w:rPr>
                <w:rFonts w:ascii="宋体" w:cs="宋体"/>
                <w:sz w:val="18"/>
                <w:szCs w:val="18"/>
              </w:rPr>
            </w:pPr>
          </w:p>
        </w:tc>
        <w:tc>
          <w:tcPr>
            <w:tcW w:w="723" w:type="dxa"/>
            <w:vMerge w:val="continue"/>
            <w:noWrap w:val="0"/>
            <w:vAlign w:val="center"/>
          </w:tcPr>
          <w:p w14:paraId="54A49AE6">
            <w:pPr>
              <w:spacing w:line="260" w:lineRule="exact"/>
              <w:jc w:val="center"/>
              <w:rPr>
                <w:rFonts w:ascii="宋体" w:cs="宋体"/>
                <w:sz w:val="18"/>
                <w:szCs w:val="18"/>
              </w:rPr>
            </w:pPr>
          </w:p>
        </w:tc>
        <w:tc>
          <w:tcPr>
            <w:tcW w:w="759" w:type="dxa"/>
            <w:gridSpan w:val="2"/>
            <w:noWrap w:val="0"/>
            <w:vAlign w:val="center"/>
          </w:tcPr>
          <w:p w14:paraId="677D906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73CF5241">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指标1：按月进行工作考勤</w:t>
            </w:r>
          </w:p>
        </w:tc>
        <w:tc>
          <w:tcPr>
            <w:tcW w:w="4228" w:type="dxa"/>
            <w:gridSpan w:val="2"/>
            <w:noWrap w:val="0"/>
            <w:vAlign w:val="center"/>
          </w:tcPr>
          <w:p w14:paraId="5600725D">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14:paraId="54D6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38" w:type="dxa"/>
            <w:vMerge w:val="continue"/>
            <w:noWrap w:val="0"/>
            <w:vAlign w:val="center"/>
          </w:tcPr>
          <w:p w14:paraId="7ABBC4CF">
            <w:pPr>
              <w:spacing w:line="260" w:lineRule="exact"/>
              <w:jc w:val="center"/>
              <w:rPr>
                <w:rFonts w:ascii="宋体" w:cs="宋体"/>
                <w:sz w:val="18"/>
                <w:szCs w:val="18"/>
              </w:rPr>
            </w:pPr>
          </w:p>
        </w:tc>
        <w:tc>
          <w:tcPr>
            <w:tcW w:w="723" w:type="dxa"/>
            <w:vMerge w:val="continue"/>
            <w:noWrap w:val="0"/>
            <w:vAlign w:val="center"/>
          </w:tcPr>
          <w:p w14:paraId="1F9918FA">
            <w:pPr>
              <w:spacing w:line="260" w:lineRule="exact"/>
              <w:jc w:val="center"/>
              <w:rPr>
                <w:rFonts w:ascii="宋体" w:cs="宋体"/>
                <w:sz w:val="18"/>
                <w:szCs w:val="18"/>
              </w:rPr>
            </w:pPr>
          </w:p>
        </w:tc>
        <w:tc>
          <w:tcPr>
            <w:tcW w:w="759" w:type="dxa"/>
            <w:gridSpan w:val="2"/>
            <w:noWrap w:val="0"/>
            <w:vAlign w:val="center"/>
          </w:tcPr>
          <w:p w14:paraId="5A603BA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51026579">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指标1：发放是否及时</w:t>
            </w:r>
          </w:p>
        </w:tc>
        <w:tc>
          <w:tcPr>
            <w:tcW w:w="4228" w:type="dxa"/>
            <w:gridSpan w:val="2"/>
            <w:noWrap w:val="0"/>
            <w:vAlign w:val="center"/>
          </w:tcPr>
          <w:p w14:paraId="25B2DCC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14:paraId="3B9F5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38" w:type="dxa"/>
            <w:vMerge w:val="continue"/>
            <w:noWrap w:val="0"/>
            <w:vAlign w:val="center"/>
          </w:tcPr>
          <w:p w14:paraId="115E10D2">
            <w:pPr>
              <w:spacing w:line="260" w:lineRule="exact"/>
              <w:jc w:val="center"/>
              <w:rPr>
                <w:rFonts w:ascii="宋体" w:cs="宋体"/>
                <w:sz w:val="18"/>
                <w:szCs w:val="18"/>
              </w:rPr>
            </w:pPr>
          </w:p>
        </w:tc>
        <w:tc>
          <w:tcPr>
            <w:tcW w:w="723" w:type="dxa"/>
            <w:vMerge w:val="continue"/>
            <w:noWrap w:val="0"/>
            <w:vAlign w:val="center"/>
          </w:tcPr>
          <w:p w14:paraId="407C78DA">
            <w:pPr>
              <w:spacing w:line="260" w:lineRule="exact"/>
              <w:jc w:val="center"/>
              <w:rPr>
                <w:rFonts w:ascii="宋体" w:cs="宋体"/>
                <w:sz w:val="18"/>
                <w:szCs w:val="18"/>
              </w:rPr>
            </w:pPr>
          </w:p>
        </w:tc>
        <w:tc>
          <w:tcPr>
            <w:tcW w:w="759" w:type="dxa"/>
            <w:gridSpan w:val="2"/>
            <w:noWrap w:val="0"/>
            <w:vAlign w:val="center"/>
          </w:tcPr>
          <w:p w14:paraId="030BFDE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6E49C9D5">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指标1：工勤补助标准</w:t>
            </w:r>
          </w:p>
        </w:tc>
        <w:tc>
          <w:tcPr>
            <w:tcW w:w="4228" w:type="dxa"/>
            <w:gridSpan w:val="2"/>
            <w:noWrap w:val="0"/>
            <w:vAlign w:val="center"/>
          </w:tcPr>
          <w:p w14:paraId="299B3ED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1100元/月</w:t>
            </w:r>
          </w:p>
        </w:tc>
      </w:tr>
      <w:tr w14:paraId="1995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38" w:type="dxa"/>
            <w:vMerge w:val="continue"/>
            <w:noWrap w:val="0"/>
            <w:vAlign w:val="center"/>
          </w:tcPr>
          <w:p w14:paraId="79990600">
            <w:pPr>
              <w:spacing w:line="260" w:lineRule="exact"/>
              <w:jc w:val="center"/>
              <w:rPr>
                <w:rFonts w:ascii="宋体" w:cs="宋体"/>
                <w:sz w:val="18"/>
                <w:szCs w:val="18"/>
              </w:rPr>
            </w:pPr>
          </w:p>
        </w:tc>
        <w:tc>
          <w:tcPr>
            <w:tcW w:w="723" w:type="dxa"/>
            <w:vMerge w:val="restart"/>
            <w:noWrap w:val="0"/>
            <w:vAlign w:val="center"/>
          </w:tcPr>
          <w:p w14:paraId="10B9349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14:paraId="646BE72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060AACF6">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指标1：用于发放工勤人员工资</w:t>
            </w:r>
          </w:p>
        </w:tc>
        <w:tc>
          <w:tcPr>
            <w:tcW w:w="4228" w:type="dxa"/>
            <w:gridSpan w:val="2"/>
            <w:noWrap w:val="0"/>
            <w:vAlign w:val="center"/>
          </w:tcPr>
          <w:p w14:paraId="0454680C">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14:paraId="230E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14:paraId="7D05A98E">
            <w:pPr>
              <w:spacing w:line="260" w:lineRule="exact"/>
              <w:jc w:val="center"/>
              <w:rPr>
                <w:rFonts w:ascii="宋体" w:cs="宋体"/>
                <w:sz w:val="18"/>
                <w:szCs w:val="18"/>
              </w:rPr>
            </w:pPr>
          </w:p>
        </w:tc>
        <w:tc>
          <w:tcPr>
            <w:tcW w:w="723" w:type="dxa"/>
            <w:vMerge w:val="continue"/>
            <w:noWrap w:val="0"/>
            <w:vAlign w:val="center"/>
          </w:tcPr>
          <w:p w14:paraId="3A922B9C">
            <w:pPr>
              <w:spacing w:line="260" w:lineRule="exact"/>
              <w:jc w:val="center"/>
              <w:rPr>
                <w:rFonts w:ascii="宋体" w:cs="宋体"/>
                <w:sz w:val="18"/>
                <w:szCs w:val="18"/>
              </w:rPr>
            </w:pPr>
          </w:p>
        </w:tc>
        <w:tc>
          <w:tcPr>
            <w:tcW w:w="759" w:type="dxa"/>
            <w:gridSpan w:val="2"/>
            <w:noWrap w:val="0"/>
            <w:vAlign w:val="center"/>
          </w:tcPr>
          <w:p w14:paraId="476AA72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278F79E4">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指标1：保障日常工作进行，提高办事效率</w:t>
            </w:r>
          </w:p>
        </w:tc>
        <w:tc>
          <w:tcPr>
            <w:tcW w:w="4228" w:type="dxa"/>
            <w:gridSpan w:val="2"/>
            <w:noWrap w:val="0"/>
            <w:vAlign w:val="center"/>
          </w:tcPr>
          <w:p w14:paraId="30F7E12B">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14:paraId="0664E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38" w:type="dxa"/>
            <w:vMerge w:val="continue"/>
            <w:noWrap w:val="0"/>
            <w:vAlign w:val="center"/>
          </w:tcPr>
          <w:p w14:paraId="37E548C5">
            <w:pPr>
              <w:spacing w:line="260" w:lineRule="exact"/>
              <w:jc w:val="center"/>
              <w:rPr>
                <w:rFonts w:ascii="宋体" w:cs="宋体"/>
                <w:sz w:val="18"/>
                <w:szCs w:val="18"/>
              </w:rPr>
            </w:pPr>
          </w:p>
        </w:tc>
        <w:tc>
          <w:tcPr>
            <w:tcW w:w="723" w:type="dxa"/>
            <w:vMerge w:val="continue"/>
            <w:noWrap w:val="0"/>
            <w:vAlign w:val="center"/>
          </w:tcPr>
          <w:p w14:paraId="7172CB1A">
            <w:pPr>
              <w:spacing w:line="260" w:lineRule="exact"/>
              <w:jc w:val="center"/>
              <w:rPr>
                <w:rFonts w:ascii="宋体" w:cs="宋体"/>
                <w:sz w:val="18"/>
                <w:szCs w:val="18"/>
              </w:rPr>
            </w:pPr>
          </w:p>
        </w:tc>
        <w:tc>
          <w:tcPr>
            <w:tcW w:w="759" w:type="dxa"/>
            <w:gridSpan w:val="2"/>
            <w:noWrap w:val="0"/>
            <w:vAlign w:val="center"/>
          </w:tcPr>
          <w:p w14:paraId="431FDBC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7F644F14">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指标1：不涉及</w:t>
            </w:r>
          </w:p>
        </w:tc>
        <w:tc>
          <w:tcPr>
            <w:tcW w:w="4228" w:type="dxa"/>
            <w:gridSpan w:val="2"/>
            <w:noWrap w:val="0"/>
            <w:vAlign w:val="center"/>
          </w:tcPr>
          <w:p w14:paraId="4C9F7AB8">
            <w:pPr>
              <w:jc w:val="center"/>
              <w:rPr>
                <w:rFonts w:hint="eastAsia" w:ascii="宋体" w:eastAsia="宋体" w:cs="宋体"/>
                <w:sz w:val="18"/>
                <w:szCs w:val="18"/>
                <w:lang w:val="en-US" w:eastAsia="zh-CN"/>
              </w:rPr>
            </w:pPr>
            <w:r>
              <w:rPr>
                <w:rFonts w:hint="eastAsia" w:ascii="宋体" w:cs="宋体"/>
                <w:sz w:val="18"/>
                <w:szCs w:val="18"/>
                <w:lang w:val="en-US" w:eastAsia="zh-CN"/>
              </w:rPr>
              <w:t>不涉及</w:t>
            </w:r>
          </w:p>
        </w:tc>
      </w:tr>
      <w:tr w14:paraId="5465E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14:paraId="59E6DAD1">
            <w:pPr>
              <w:spacing w:line="260" w:lineRule="exact"/>
              <w:jc w:val="center"/>
              <w:rPr>
                <w:rFonts w:ascii="宋体" w:cs="宋体"/>
                <w:sz w:val="18"/>
                <w:szCs w:val="18"/>
              </w:rPr>
            </w:pPr>
          </w:p>
        </w:tc>
        <w:tc>
          <w:tcPr>
            <w:tcW w:w="723" w:type="dxa"/>
            <w:vMerge w:val="continue"/>
            <w:noWrap w:val="0"/>
            <w:vAlign w:val="center"/>
          </w:tcPr>
          <w:p w14:paraId="16843514">
            <w:pPr>
              <w:spacing w:line="260" w:lineRule="exact"/>
              <w:jc w:val="center"/>
              <w:rPr>
                <w:rFonts w:ascii="宋体" w:cs="宋体"/>
                <w:sz w:val="18"/>
                <w:szCs w:val="18"/>
              </w:rPr>
            </w:pPr>
          </w:p>
        </w:tc>
        <w:tc>
          <w:tcPr>
            <w:tcW w:w="759" w:type="dxa"/>
            <w:gridSpan w:val="2"/>
            <w:noWrap w:val="0"/>
            <w:vAlign w:val="center"/>
          </w:tcPr>
          <w:p w14:paraId="45E153D4">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0A02C322">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指标1：有利于党校工作顺利开展</w:t>
            </w:r>
          </w:p>
        </w:tc>
        <w:tc>
          <w:tcPr>
            <w:tcW w:w="4228" w:type="dxa"/>
            <w:gridSpan w:val="2"/>
            <w:noWrap w:val="0"/>
            <w:vAlign w:val="center"/>
          </w:tcPr>
          <w:p w14:paraId="4D9F36FF">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有助于</w:t>
            </w:r>
          </w:p>
        </w:tc>
      </w:tr>
      <w:tr w14:paraId="49F5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8" w:type="dxa"/>
            <w:vMerge w:val="continue"/>
            <w:noWrap w:val="0"/>
            <w:vAlign w:val="center"/>
          </w:tcPr>
          <w:p w14:paraId="10ABBD6D">
            <w:pPr>
              <w:spacing w:line="260" w:lineRule="exact"/>
              <w:jc w:val="center"/>
              <w:rPr>
                <w:rFonts w:ascii="宋体" w:cs="宋体"/>
                <w:sz w:val="18"/>
                <w:szCs w:val="18"/>
              </w:rPr>
            </w:pPr>
          </w:p>
        </w:tc>
        <w:tc>
          <w:tcPr>
            <w:tcW w:w="723" w:type="dxa"/>
            <w:noWrap w:val="0"/>
            <w:vAlign w:val="center"/>
          </w:tcPr>
          <w:p w14:paraId="3256393B">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6A375AC1">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1E62054A">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指标1：职工满意度</w:t>
            </w:r>
          </w:p>
        </w:tc>
        <w:tc>
          <w:tcPr>
            <w:tcW w:w="4228" w:type="dxa"/>
            <w:gridSpan w:val="2"/>
            <w:noWrap w:val="0"/>
            <w:vAlign w:val="center"/>
          </w:tcPr>
          <w:p w14:paraId="18D651D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w:t>
            </w:r>
            <w:r>
              <w:rPr>
                <w:rFonts w:hint="eastAsia" w:ascii="宋体" w:hAnsi="宋体" w:eastAsia="宋体" w:cs="宋体"/>
                <w:i w:val="0"/>
                <w:iCs w:val="0"/>
                <w:color w:val="000000"/>
                <w:kern w:val="0"/>
                <w:sz w:val="20"/>
                <w:szCs w:val="20"/>
                <w:u w:val="none"/>
                <w:lang w:val="en-US" w:eastAsia="zh-CN" w:bidi="ar"/>
              </w:rPr>
              <w:t>0%</w:t>
            </w:r>
          </w:p>
        </w:tc>
      </w:tr>
    </w:tbl>
    <w:p w14:paraId="38EBF377">
      <w:pPr>
        <w:topLinePunct/>
        <w:adjustRightInd w:val="0"/>
        <w:snapToGrid w:val="0"/>
        <w:spacing w:line="560" w:lineRule="exact"/>
        <w:ind w:firstLine="640" w:firstLineChars="200"/>
        <w:rPr>
          <w:rFonts w:hint="eastAsia" w:ascii="仿宋_GB2312" w:hAnsi="TimesNewRoman" w:eastAsia="仿宋_GB2312" w:cs="TimesNewRoman"/>
          <w:sz w:val="32"/>
          <w:szCs w:val="32"/>
        </w:rPr>
      </w:pPr>
    </w:p>
    <w:p w14:paraId="05F5F69D">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lang w:val="en-US" w:eastAsia="zh-CN"/>
        </w:rPr>
        <w:t>4</w:t>
      </w:r>
      <w:r>
        <w:rPr>
          <w:rFonts w:hint="eastAsia" w:ascii="仿宋_GB2312" w:hAnsi="TimesNewRoman" w:eastAsia="仿宋_GB2312" w:cs="TimesNewRoman"/>
          <w:b/>
          <w:sz w:val="32"/>
          <w:szCs w:val="32"/>
        </w:rPr>
        <w:t>.“</w:t>
      </w:r>
      <w:r>
        <w:rPr>
          <w:rFonts w:hint="eastAsia" w:ascii="仿宋_GB2312" w:hAnsi="楷体" w:eastAsia="仿宋_GB2312"/>
          <w:b/>
          <w:sz w:val="32"/>
          <w:szCs w:val="32"/>
        </w:rPr>
        <w:t>党校教育事业发展</w:t>
      </w:r>
      <w:r>
        <w:rPr>
          <w:rFonts w:hint="eastAsia" w:ascii="仿宋_GB2312" w:hAnsi="TimesNewRoman" w:eastAsia="仿宋_GB2312" w:cs="TimesNewRoman"/>
          <w:b/>
          <w:sz w:val="32"/>
          <w:szCs w:val="32"/>
        </w:rPr>
        <w:t>”项目。</w:t>
      </w:r>
    </w:p>
    <w:p w14:paraId="61AA34EC">
      <w:pPr>
        <w:topLinePunct/>
        <w:adjustRightInd w:val="0"/>
        <w:snapToGrid w:val="0"/>
        <w:spacing w:line="560" w:lineRule="exact"/>
        <w:ind w:firstLine="640" w:firstLineChars="200"/>
        <w:rPr>
          <w:rFonts w:hint="eastAsia" w:ascii="仿宋_GB2312" w:hAnsi="仿宋" w:eastAsia="仿宋_GB2312"/>
          <w:sz w:val="32"/>
          <w:szCs w:val="32"/>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sz w:val="32"/>
          <w:szCs w:val="32"/>
          <w:lang w:val="en-US" w:eastAsia="zh-CN"/>
        </w:rPr>
        <w:t>:</w:t>
      </w:r>
      <w:r>
        <w:rPr>
          <w:rFonts w:hint="eastAsia" w:ascii="仿宋_GB2312" w:hAnsi="仿宋" w:eastAsia="仿宋_GB2312"/>
          <w:sz w:val="32"/>
          <w:szCs w:val="32"/>
        </w:rPr>
        <w:t>保障党校日常运转，</w:t>
      </w:r>
      <w:r>
        <w:rPr>
          <w:rFonts w:hint="eastAsia" w:ascii="仿宋_GB2312" w:hAnsi="仿宋" w:eastAsia="仿宋_GB2312"/>
          <w:sz w:val="32"/>
          <w:szCs w:val="32"/>
          <w:lang w:val="en-US" w:eastAsia="zh-CN"/>
        </w:rPr>
        <w:t>减轻培训财政支出压力，支持</w:t>
      </w:r>
      <w:r>
        <w:rPr>
          <w:rFonts w:hint="eastAsia" w:ascii="仿宋_GB2312" w:hAnsi="仿宋" w:eastAsia="仿宋_GB2312"/>
          <w:sz w:val="32"/>
          <w:szCs w:val="32"/>
        </w:rPr>
        <w:t>教学业务开展，学术交流</w:t>
      </w:r>
      <w:r>
        <w:rPr>
          <w:rFonts w:hint="eastAsia" w:ascii="仿宋_GB2312" w:hAnsi="仿宋" w:eastAsia="仿宋_GB2312"/>
          <w:sz w:val="32"/>
          <w:szCs w:val="32"/>
          <w:lang w:eastAsia="zh-CN"/>
        </w:rPr>
        <w:t>，</w:t>
      </w:r>
      <w:r>
        <w:rPr>
          <w:rFonts w:hint="eastAsia" w:ascii="仿宋_GB2312" w:hAnsi="仿宋" w:eastAsia="仿宋_GB2312"/>
          <w:sz w:val="32"/>
          <w:szCs w:val="32"/>
        </w:rPr>
        <w:t>教师外出进修学习等。</w:t>
      </w:r>
    </w:p>
    <w:p w14:paraId="4A69D40D">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长</w:t>
      </w:r>
      <w:r>
        <w:rPr>
          <w:rFonts w:hint="eastAsia" w:ascii="仿宋_GB2312" w:hAnsi="仿宋" w:eastAsia="仿宋_GB2312"/>
          <w:sz w:val="32"/>
          <w:szCs w:val="32"/>
          <w:lang w:val="en-US" w:eastAsia="zh-CN"/>
        </w:rPr>
        <w:t>年项目。</w:t>
      </w:r>
    </w:p>
    <w:p w14:paraId="06F32AC1">
      <w:pPr>
        <w:numPr>
          <w:ilvl w:val="0"/>
          <w:numId w:val="0"/>
        </w:numPr>
        <w:topLinePunct/>
        <w:adjustRightInd w:val="0"/>
        <w:snapToGrid w:val="0"/>
        <w:spacing w:line="58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中共寿县县委党校</w:t>
      </w:r>
    </w:p>
    <w:p w14:paraId="5CB55F56">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2025年度</w:t>
      </w:r>
    </w:p>
    <w:p w14:paraId="4A36D7BF">
      <w:pPr>
        <w:topLinePunct/>
        <w:adjustRightInd w:val="0"/>
        <w:snapToGrid w:val="0"/>
        <w:spacing w:line="560" w:lineRule="exact"/>
        <w:ind w:firstLine="640" w:firstLineChars="200"/>
        <w:rPr>
          <w:rFonts w:hint="eastAsia" w:ascii="仿宋_GB2312" w:hAnsi="仿宋" w:eastAsia="仿宋_GB2312"/>
          <w:sz w:val="32"/>
          <w:szCs w:val="32"/>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eastAsia="zh-CN"/>
        </w:rPr>
        <w:t>：</w:t>
      </w:r>
      <w:r>
        <w:rPr>
          <w:rFonts w:hint="eastAsia" w:ascii="仿宋_GB2312" w:hAnsi="仿宋" w:eastAsia="仿宋_GB2312"/>
          <w:sz w:val="32"/>
          <w:szCs w:val="32"/>
        </w:rPr>
        <w:t>保障党校日常运转，</w:t>
      </w:r>
      <w:r>
        <w:rPr>
          <w:rFonts w:hint="eastAsia" w:ascii="仿宋_GB2312" w:hAnsi="仿宋" w:eastAsia="仿宋_GB2312"/>
          <w:sz w:val="32"/>
          <w:szCs w:val="32"/>
          <w:lang w:val="en-US" w:eastAsia="zh-CN"/>
        </w:rPr>
        <w:t>减轻培训财政支出压力，支持</w:t>
      </w:r>
      <w:r>
        <w:rPr>
          <w:rFonts w:hint="eastAsia" w:ascii="仿宋_GB2312" w:hAnsi="仿宋" w:eastAsia="仿宋_GB2312"/>
          <w:sz w:val="32"/>
          <w:szCs w:val="32"/>
        </w:rPr>
        <w:t>教学业务开展，学术交流</w:t>
      </w:r>
      <w:r>
        <w:rPr>
          <w:rFonts w:hint="eastAsia" w:ascii="仿宋_GB2312" w:hAnsi="仿宋" w:eastAsia="仿宋_GB2312"/>
          <w:sz w:val="32"/>
          <w:szCs w:val="32"/>
          <w:lang w:eastAsia="zh-CN"/>
        </w:rPr>
        <w:t>，</w:t>
      </w:r>
      <w:r>
        <w:rPr>
          <w:rFonts w:hint="eastAsia" w:ascii="仿宋_GB2312" w:hAnsi="仿宋" w:eastAsia="仿宋_GB2312"/>
          <w:sz w:val="32"/>
          <w:szCs w:val="32"/>
        </w:rPr>
        <w:t>教师外出进修学习等。</w:t>
      </w:r>
    </w:p>
    <w:p w14:paraId="42D4E3D0">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60万元</w:t>
      </w:r>
    </w:p>
    <w:p w14:paraId="24D0B0A4">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14:paraId="51D55510">
      <w:pPr>
        <w:topLinePunct/>
        <w:adjustRightInd w:val="0"/>
        <w:snapToGrid w:val="0"/>
        <w:spacing w:line="560" w:lineRule="exact"/>
        <w:ind w:firstLine="640" w:firstLineChars="200"/>
        <w:rPr>
          <w:rFonts w:hint="eastAsia" w:ascii="仿宋_GB2312" w:hAnsi="TimesNewRoman" w:eastAsia="仿宋_GB2312" w:cs="TimesNewRoman"/>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2A35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3B20AC97">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14:paraId="3727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232BC5F6">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w:t>
            </w:r>
            <w:r>
              <w:rPr>
                <w:rFonts w:hint="eastAsia" w:ascii="宋体" w:hAnsi="宋体" w:cs="宋体"/>
                <w:color w:val="000000"/>
                <w:kern w:val="0"/>
                <w:sz w:val="20"/>
                <w:szCs w:val="20"/>
                <w:lang w:val="en-US" w:eastAsia="zh-CN" w:bidi="ar"/>
              </w:rPr>
              <w:t>5</w:t>
            </w:r>
            <w:r>
              <w:rPr>
                <w:rFonts w:hint="eastAsia" w:ascii="宋体" w:hAnsi="宋体" w:cs="宋体"/>
                <w:color w:val="000000"/>
                <w:kern w:val="0"/>
                <w:sz w:val="20"/>
                <w:szCs w:val="20"/>
                <w:lang w:bidi="ar"/>
              </w:rPr>
              <w:t xml:space="preserve">年度）                                </w:t>
            </w:r>
          </w:p>
        </w:tc>
      </w:tr>
      <w:tr w14:paraId="368D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084CB1E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56C0C370">
            <w:pPr>
              <w:spacing w:line="260" w:lineRule="exact"/>
              <w:jc w:val="center"/>
              <w:rPr>
                <w:rFonts w:ascii="宋体" w:cs="宋体"/>
                <w:sz w:val="18"/>
                <w:szCs w:val="18"/>
              </w:rPr>
            </w:pPr>
            <w:r>
              <w:rPr>
                <w:rFonts w:hint="eastAsia" w:ascii="宋体" w:cs="宋体"/>
                <w:sz w:val="18"/>
                <w:szCs w:val="18"/>
              </w:rPr>
              <w:t>党校</w:t>
            </w:r>
            <w:r>
              <w:rPr>
                <w:rFonts w:hint="eastAsia" w:ascii="宋体" w:cs="宋体"/>
                <w:sz w:val="18"/>
                <w:szCs w:val="18"/>
                <w:lang w:val="en-US" w:eastAsia="zh-CN"/>
              </w:rPr>
              <w:t>教育</w:t>
            </w:r>
            <w:r>
              <w:rPr>
                <w:rFonts w:hint="eastAsia" w:ascii="宋体" w:cs="宋体"/>
                <w:sz w:val="18"/>
                <w:szCs w:val="18"/>
              </w:rPr>
              <w:t>事业</w:t>
            </w:r>
            <w:r>
              <w:rPr>
                <w:rFonts w:hint="eastAsia" w:ascii="宋体" w:cs="宋体"/>
                <w:sz w:val="18"/>
                <w:szCs w:val="18"/>
                <w:lang w:val="en-US" w:eastAsia="zh-CN"/>
              </w:rPr>
              <w:t>发展</w:t>
            </w:r>
          </w:p>
        </w:tc>
      </w:tr>
      <w:tr w14:paraId="77C7D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511C6DB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60AEB154">
            <w:pPr>
              <w:spacing w:line="260" w:lineRule="exact"/>
              <w:jc w:val="center"/>
              <w:rPr>
                <w:rFonts w:ascii="宋体" w:cs="宋体"/>
                <w:sz w:val="18"/>
                <w:szCs w:val="18"/>
              </w:rPr>
            </w:pPr>
          </w:p>
        </w:tc>
        <w:tc>
          <w:tcPr>
            <w:tcW w:w="1848" w:type="dxa"/>
            <w:noWrap w:val="0"/>
            <w:vAlign w:val="center"/>
          </w:tcPr>
          <w:p w14:paraId="67C9E4CF">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0067AE2F">
            <w:pPr>
              <w:spacing w:line="260" w:lineRule="exact"/>
              <w:jc w:val="center"/>
              <w:rPr>
                <w:sz w:val="18"/>
                <w:szCs w:val="18"/>
              </w:rPr>
            </w:pPr>
            <w:r>
              <w:rPr>
                <w:rFonts w:hint="eastAsia"/>
                <w:sz w:val="18"/>
                <w:szCs w:val="18"/>
              </w:rPr>
              <w:t>中共寿县县委党校</w:t>
            </w:r>
          </w:p>
        </w:tc>
      </w:tr>
      <w:tr w14:paraId="1F8B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54961F4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62298FA8">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本级项目</w:t>
            </w:r>
          </w:p>
        </w:tc>
        <w:tc>
          <w:tcPr>
            <w:tcW w:w="1848" w:type="dxa"/>
            <w:noWrap w:val="0"/>
            <w:vAlign w:val="center"/>
          </w:tcPr>
          <w:p w14:paraId="7EEF4F92">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376530B4">
            <w:pPr>
              <w:spacing w:line="260" w:lineRule="exact"/>
              <w:jc w:val="center"/>
              <w:rPr>
                <w:rFonts w:hint="default" w:eastAsia="宋体"/>
                <w:sz w:val="18"/>
                <w:szCs w:val="18"/>
                <w:lang w:val="en-US" w:eastAsia="zh-CN"/>
              </w:rPr>
            </w:pPr>
            <w:r>
              <w:rPr>
                <w:rFonts w:hint="eastAsia"/>
                <w:sz w:val="18"/>
                <w:szCs w:val="18"/>
                <w:lang w:val="en-US" w:eastAsia="zh-CN"/>
              </w:rPr>
              <w:t>2025</w:t>
            </w:r>
          </w:p>
        </w:tc>
      </w:tr>
      <w:tr w14:paraId="5939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2AF3645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4123E785">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6DDCF5D2">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60</w:t>
            </w:r>
          </w:p>
        </w:tc>
      </w:tr>
      <w:tr w14:paraId="59FB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582122D0">
            <w:pPr>
              <w:spacing w:line="260" w:lineRule="exact"/>
              <w:jc w:val="center"/>
              <w:rPr>
                <w:rFonts w:ascii="宋体" w:cs="宋体"/>
                <w:sz w:val="18"/>
                <w:szCs w:val="18"/>
              </w:rPr>
            </w:pPr>
          </w:p>
        </w:tc>
        <w:tc>
          <w:tcPr>
            <w:tcW w:w="3349" w:type="dxa"/>
            <w:gridSpan w:val="2"/>
            <w:noWrap w:val="0"/>
            <w:vAlign w:val="center"/>
          </w:tcPr>
          <w:p w14:paraId="705B1D80">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102A4770">
            <w:pPr>
              <w:spacing w:line="260" w:lineRule="exact"/>
              <w:jc w:val="center"/>
              <w:rPr>
                <w:rFonts w:hint="default" w:ascii="宋体" w:eastAsia="宋体" w:cs="宋体"/>
                <w:sz w:val="18"/>
                <w:szCs w:val="18"/>
                <w:lang w:val="en-US" w:eastAsia="zh-CN"/>
              </w:rPr>
            </w:pPr>
          </w:p>
        </w:tc>
      </w:tr>
      <w:tr w14:paraId="1772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7DFF259F">
            <w:pPr>
              <w:spacing w:line="260" w:lineRule="exact"/>
              <w:jc w:val="center"/>
              <w:rPr>
                <w:rFonts w:ascii="宋体" w:cs="宋体"/>
                <w:sz w:val="18"/>
                <w:szCs w:val="18"/>
              </w:rPr>
            </w:pPr>
          </w:p>
        </w:tc>
        <w:tc>
          <w:tcPr>
            <w:tcW w:w="3349" w:type="dxa"/>
            <w:gridSpan w:val="2"/>
            <w:noWrap w:val="0"/>
            <w:vAlign w:val="center"/>
          </w:tcPr>
          <w:p w14:paraId="38145CDA">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69AC9BB4">
            <w:pPr>
              <w:spacing w:line="260" w:lineRule="exact"/>
              <w:jc w:val="center"/>
              <w:rPr>
                <w:rFonts w:ascii="宋体" w:cs="宋体"/>
                <w:sz w:val="18"/>
                <w:szCs w:val="18"/>
              </w:rPr>
            </w:pPr>
          </w:p>
        </w:tc>
      </w:tr>
      <w:tr w14:paraId="31BC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2835D2BC">
            <w:pPr>
              <w:spacing w:line="260" w:lineRule="exact"/>
              <w:jc w:val="center"/>
              <w:rPr>
                <w:rFonts w:ascii="宋体" w:cs="宋体"/>
                <w:sz w:val="18"/>
                <w:szCs w:val="18"/>
              </w:rPr>
            </w:pPr>
          </w:p>
        </w:tc>
        <w:tc>
          <w:tcPr>
            <w:tcW w:w="3349" w:type="dxa"/>
            <w:gridSpan w:val="2"/>
            <w:noWrap w:val="0"/>
            <w:vAlign w:val="center"/>
          </w:tcPr>
          <w:p w14:paraId="036EF935">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3866C2B5">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60</w:t>
            </w:r>
          </w:p>
        </w:tc>
      </w:tr>
      <w:tr w14:paraId="52FD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50EFEFC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2947B257">
            <w:pPr>
              <w:spacing w:line="260" w:lineRule="exact"/>
              <w:ind w:firstLine="360" w:firstLineChars="200"/>
              <w:jc w:val="left"/>
              <w:rPr>
                <w:rFonts w:ascii="宋体" w:cs="宋体"/>
                <w:sz w:val="18"/>
                <w:szCs w:val="18"/>
              </w:rPr>
            </w:pPr>
            <w:r>
              <w:rPr>
                <w:rFonts w:hint="eastAsia" w:ascii="宋体" w:cs="宋体"/>
                <w:sz w:val="18"/>
                <w:szCs w:val="18"/>
              </w:rPr>
              <w:t>以政府购买服务方式，将住宿、保洁、安保、绿化等后勤服务实行一体化委托管理。公开招标选择有专业资质的公司提供规范化、标准化、精细化后勤服务，提升办学条件，促进党校事业发展。</w:t>
            </w:r>
          </w:p>
        </w:tc>
      </w:tr>
      <w:tr w14:paraId="29317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678C4B7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0537469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4BBB009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4F7F1C2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7D06536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68F2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38" w:type="dxa"/>
            <w:vMerge w:val="continue"/>
            <w:noWrap w:val="0"/>
            <w:vAlign w:val="center"/>
          </w:tcPr>
          <w:p w14:paraId="4EBA500F">
            <w:pPr>
              <w:spacing w:line="260" w:lineRule="exact"/>
              <w:jc w:val="center"/>
              <w:rPr>
                <w:rFonts w:ascii="宋体" w:cs="宋体"/>
                <w:sz w:val="18"/>
                <w:szCs w:val="18"/>
              </w:rPr>
            </w:pPr>
          </w:p>
        </w:tc>
        <w:tc>
          <w:tcPr>
            <w:tcW w:w="723" w:type="dxa"/>
            <w:vMerge w:val="restart"/>
            <w:noWrap w:val="0"/>
            <w:vAlign w:val="center"/>
          </w:tcPr>
          <w:p w14:paraId="18C871A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noWrap w:val="0"/>
            <w:vAlign w:val="center"/>
          </w:tcPr>
          <w:p w14:paraId="5AC9149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045F2689">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指标1：培训学员数量</w:t>
            </w:r>
          </w:p>
        </w:tc>
        <w:tc>
          <w:tcPr>
            <w:tcW w:w="4228" w:type="dxa"/>
            <w:gridSpan w:val="2"/>
            <w:noWrap w:val="0"/>
            <w:vAlign w:val="center"/>
          </w:tcPr>
          <w:p w14:paraId="4895113B">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≥2000人次</w:t>
            </w:r>
          </w:p>
        </w:tc>
      </w:tr>
      <w:tr w14:paraId="5CD7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8" w:type="dxa"/>
            <w:vMerge w:val="continue"/>
            <w:noWrap w:val="0"/>
            <w:vAlign w:val="center"/>
          </w:tcPr>
          <w:p w14:paraId="327662A0">
            <w:pPr>
              <w:spacing w:line="260" w:lineRule="exact"/>
              <w:jc w:val="center"/>
              <w:rPr>
                <w:rFonts w:ascii="宋体" w:cs="宋体"/>
                <w:sz w:val="18"/>
                <w:szCs w:val="18"/>
              </w:rPr>
            </w:pPr>
          </w:p>
        </w:tc>
        <w:tc>
          <w:tcPr>
            <w:tcW w:w="723" w:type="dxa"/>
            <w:vMerge w:val="continue"/>
            <w:noWrap w:val="0"/>
            <w:vAlign w:val="center"/>
          </w:tcPr>
          <w:p w14:paraId="0A7C982E">
            <w:pPr>
              <w:spacing w:line="260" w:lineRule="exact"/>
              <w:jc w:val="center"/>
              <w:rPr>
                <w:rFonts w:ascii="宋体" w:cs="宋体"/>
                <w:sz w:val="18"/>
                <w:szCs w:val="18"/>
              </w:rPr>
            </w:pPr>
          </w:p>
        </w:tc>
        <w:tc>
          <w:tcPr>
            <w:tcW w:w="759" w:type="dxa"/>
            <w:gridSpan w:val="2"/>
            <w:noWrap w:val="0"/>
            <w:vAlign w:val="center"/>
          </w:tcPr>
          <w:p w14:paraId="552D27D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1FC4F4CA">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指标1：学员能力提升情况</w:t>
            </w:r>
          </w:p>
        </w:tc>
        <w:tc>
          <w:tcPr>
            <w:tcW w:w="4228" w:type="dxa"/>
            <w:gridSpan w:val="2"/>
            <w:noWrap w:val="0"/>
            <w:vAlign w:val="center"/>
          </w:tcPr>
          <w:p w14:paraId="1B82835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有一定提升</w:t>
            </w:r>
          </w:p>
        </w:tc>
      </w:tr>
      <w:tr w14:paraId="3AB19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38" w:type="dxa"/>
            <w:vMerge w:val="continue"/>
            <w:noWrap w:val="0"/>
            <w:vAlign w:val="center"/>
          </w:tcPr>
          <w:p w14:paraId="1E25E009">
            <w:pPr>
              <w:spacing w:line="260" w:lineRule="exact"/>
              <w:jc w:val="center"/>
              <w:rPr>
                <w:rFonts w:ascii="宋体" w:cs="宋体"/>
                <w:sz w:val="18"/>
                <w:szCs w:val="18"/>
              </w:rPr>
            </w:pPr>
          </w:p>
        </w:tc>
        <w:tc>
          <w:tcPr>
            <w:tcW w:w="723" w:type="dxa"/>
            <w:vMerge w:val="continue"/>
            <w:noWrap w:val="0"/>
            <w:vAlign w:val="center"/>
          </w:tcPr>
          <w:p w14:paraId="6F82F1BE">
            <w:pPr>
              <w:spacing w:line="260" w:lineRule="exact"/>
              <w:jc w:val="center"/>
              <w:rPr>
                <w:rFonts w:ascii="宋体" w:cs="宋体"/>
                <w:sz w:val="18"/>
                <w:szCs w:val="18"/>
              </w:rPr>
            </w:pPr>
          </w:p>
        </w:tc>
        <w:tc>
          <w:tcPr>
            <w:tcW w:w="759" w:type="dxa"/>
            <w:gridSpan w:val="2"/>
            <w:noWrap w:val="0"/>
            <w:vAlign w:val="center"/>
          </w:tcPr>
          <w:p w14:paraId="0394B97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76B389A8">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指标1：培训完成时间</w:t>
            </w:r>
          </w:p>
        </w:tc>
        <w:tc>
          <w:tcPr>
            <w:tcW w:w="4228" w:type="dxa"/>
            <w:gridSpan w:val="2"/>
            <w:noWrap w:val="0"/>
            <w:vAlign w:val="center"/>
          </w:tcPr>
          <w:p w14:paraId="6B495646">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按协议约定时间办结</w:t>
            </w:r>
          </w:p>
        </w:tc>
      </w:tr>
      <w:tr w14:paraId="778E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38" w:type="dxa"/>
            <w:vMerge w:val="continue"/>
            <w:noWrap w:val="0"/>
            <w:vAlign w:val="center"/>
          </w:tcPr>
          <w:p w14:paraId="69F4A89C">
            <w:pPr>
              <w:spacing w:line="260" w:lineRule="exact"/>
              <w:jc w:val="center"/>
              <w:rPr>
                <w:rFonts w:ascii="宋体" w:cs="宋体"/>
                <w:sz w:val="18"/>
                <w:szCs w:val="18"/>
              </w:rPr>
            </w:pPr>
          </w:p>
        </w:tc>
        <w:tc>
          <w:tcPr>
            <w:tcW w:w="723" w:type="dxa"/>
            <w:vMerge w:val="continue"/>
            <w:noWrap w:val="0"/>
            <w:vAlign w:val="center"/>
          </w:tcPr>
          <w:p w14:paraId="6497DCB9">
            <w:pPr>
              <w:spacing w:line="260" w:lineRule="exact"/>
              <w:jc w:val="center"/>
              <w:rPr>
                <w:rFonts w:ascii="宋体" w:cs="宋体"/>
                <w:sz w:val="18"/>
                <w:szCs w:val="18"/>
              </w:rPr>
            </w:pPr>
          </w:p>
        </w:tc>
        <w:tc>
          <w:tcPr>
            <w:tcW w:w="759" w:type="dxa"/>
            <w:gridSpan w:val="2"/>
            <w:noWrap w:val="0"/>
            <w:vAlign w:val="center"/>
          </w:tcPr>
          <w:p w14:paraId="08B2AF1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0249A750">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指标1：有助与降低培训支出压力</w:t>
            </w:r>
          </w:p>
        </w:tc>
        <w:tc>
          <w:tcPr>
            <w:tcW w:w="4228" w:type="dxa"/>
            <w:gridSpan w:val="2"/>
            <w:noWrap w:val="0"/>
            <w:vAlign w:val="center"/>
          </w:tcPr>
          <w:p w14:paraId="0679619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有助于</w:t>
            </w:r>
          </w:p>
        </w:tc>
      </w:tr>
      <w:tr w14:paraId="40365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38" w:type="dxa"/>
            <w:vMerge w:val="continue"/>
            <w:noWrap w:val="0"/>
            <w:vAlign w:val="center"/>
          </w:tcPr>
          <w:p w14:paraId="0D352A88">
            <w:pPr>
              <w:spacing w:line="260" w:lineRule="exact"/>
              <w:jc w:val="center"/>
              <w:rPr>
                <w:rFonts w:ascii="宋体" w:cs="宋体"/>
                <w:sz w:val="18"/>
                <w:szCs w:val="18"/>
              </w:rPr>
            </w:pPr>
          </w:p>
        </w:tc>
        <w:tc>
          <w:tcPr>
            <w:tcW w:w="723" w:type="dxa"/>
            <w:vMerge w:val="restart"/>
            <w:noWrap w:val="0"/>
            <w:vAlign w:val="center"/>
          </w:tcPr>
          <w:p w14:paraId="4EA504C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14:paraId="7DB563F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5E58BB41">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指标1：按时缴纳水电费及职工工会、养老保险等费用</w:t>
            </w:r>
          </w:p>
        </w:tc>
        <w:tc>
          <w:tcPr>
            <w:tcW w:w="4228" w:type="dxa"/>
            <w:gridSpan w:val="2"/>
            <w:noWrap w:val="0"/>
            <w:vAlign w:val="center"/>
          </w:tcPr>
          <w:p w14:paraId="35E55103">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按时缴纳</w:t>
            </w:r>
          </w:p>
        </w:tc>
      </w:tr>
      <w:tr w14:paraId="4ABA6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14:paraId="50E1E87E">
            <w:pPr>
              <w:spacing w:line="260" w:lineRule="exact"/>
              <w:jc w:val="center"/>
              <w:rPr>
                <w:rFonts w:ascii="宋体" w:cs="宋体"/>
                <w:sz w:val="18"/>
                <w:szCs w:val="18"/>
              </w:rPr>
            </w:pPr>
          </w:p>
        </w:tc>
        <w:tc>
          <w:tcPr>
            <w:tcW w:w="723" w:type="dxa"/>
            <w:vMerge w:val="continue"/>
            <w:noWrap w:val="0"/>
            <w:vAlign w:val="center"/>
          </w:tcPr>
          <w:p w14:paraId="5AEA8997">
            <w:pPr>
              <w:spacing w:line="260" w:lineRule="exact"/>
              <w:jc w:val="center"/>
              <w:rPr>
                <w:rFonts w:ascii="宋体" w:cs="宋体"/>
                <w:sz w:val="18"/>
                <w:szCs w:val="18"/>
              </w:rPr>
            </w:pPr>
          </w:p>
        </w:tc>
        <w:tc>
          <w:tcPr>
            <w:tcW w:w="759" w:type="dxa"/>
            <w:gridSpan w:val="2"/>
            <w:noWrap w:val="0"/>
            <w:vAlign w:val="center"/>
          </w:tcPr>
          <w:p w14:paraId="373138C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651656E1">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指标1：提高培训课程质量</w:t>
            </w:r>
          </w:p>
        </w:tc>
        <w:tc>
          <w:tcPr>
            <w:tcW w:w="4228" w:type="dxa"/>
            <w:gridSpan w:val="2"/>
            <w:noWrap w:val="0"/>
            <w:vAlign w:val="center"/>
          </w:tcPr>
          <w:p w14:paraId="60FD7C67">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有一定提高</w:t>
            </w:r>
          </w:p>
        </w:tc>
      </w:tr>
      <w:tr w14:paraId="56597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38" w:type="dxa"/>
            <w:vMerge w:val="continue"/>
            <w:noWrap w:val="0"/>
            <w:vAlign w:val="center"/>
          </w:tcPr>
          <w:p w14:paraId="3EA4CF40">
            <w:pPr>
              <w:spacing w:line="260" w:lineRule="exact"/>
              <w:jc w:val="center"/>
              <w:rPr>
                <w:rFonts w:ascii="宋体" w:cs="宋体"/>
                <w:sz w:val="18"/>
                <w:szCs w:val="18"/>
              </w:rPr>
            </w:pPr>
          </w:p>
        </w:tc>
        <w:tc>
          <w:tcPr>
            <w:tcW w:w="723" w:type="dxa"/>
            <w:vMerge w:val="continue"/>
            <w:noWrap w:val="0"/>
            <w:vAlign w:val="center"/>
          </w:tcPr>
          <w:p w14:paraId="5E5C7A97">
            <w:pPr>
              <w:spacing w:line="260" w:lineRule="exact"/>
              <w:jc w:val="center"/>
              <w:rPr>
                <w:rFonts w:ascii="宋体" w:cs="宋体"/>
                <w:sz w:val="18"/>
                <w:szCs w:val="18"/>
              </w:rPr>
            </w:pPr>
          </w:p>
        </w:tc>
        <w:tc>
          <w:tcPr>
            <w:tcW w:w="759" w:type="dxa"/>
            <w:gridSpan w:val="2"/>
            <w:noWrap w:val="0"/>
            <w:vAlign w:val="center"/>
          </w:tcPr>
          <w:p w14:paraId="1193463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7DA63087">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指标1：有利于保持良好的校园环境</w:t>
            </w:r>
          </w:p>
        </w:tc>
        <w:tc>
          <w:tcPr>
            <w:tcW w:w="4228" w:type="dxa"/>
            <w:gridSpan w:val="2"/>
            <w:noWrap w:val="0"/>
            <w:vAlign w:val="center"/>
          </w:tcPr>
          <w:p w14:paraId="6EF3F035">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有利于</w:t>
            </w:r>
          </w:p>
        </w:tc>
      </w:tr>
      <w:tr w14:paraId="30D4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14:paraId="63B591F0">
            <w:pPr>
              <w:spacing w:line="260" w:lineRule="exact"/>
              <w:jc w:val="center"/>
              <w:rPr>
                <w:rFonts w:ascii="宋体" w:cs="宋体"/>
                <w:sz w:val="18"/>
                <w:szCs w:val="18"/>
              </w:rPr>
            </w:pPr>
          </w:p>
        </w:tc>
        <w:tc>
          <w:tcPr>
            <w:tcW w:w="723" w:type="dxa"/>
            <w:vMerge w:val="continue"/>
            <w:noWrap w:val="0"/>
            <w:vAlign w:val="center"/>
          </w:tcPr>
          <w:p w14:paraId="2CE732A2">
            <w:pPr>
              <w:spacing w:line="260" w:lineRule="exact"/>
              <w:jc w:val="center"/>
              <w:rPr>
                <w:rFonts w:ascii="宋体" w:cs="宋体"/>
                <w:sz w:val="18"/>
                <w:szCs w:val="18"/>
              </w:rPr>
            </w:pPr>
          </w:p>
        </w:tc>
        <w:tc>
          <w:tcPr>
            <w:tcW w:w="759" w:type="dxa"/>
            <w:gridSpan w:val="2"/>
            <w:noWrap w:val="0"/>
            <w:vAlign w:val="center"/>
          </w:tcPr>
          <w:p w14:paraId="343A93A4">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46B0AAA9">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指标1：提升办学质量</w:t>
            </w:r>
          </w:p>
        </w:tc>
        <w:tc>
          <w:tcPr>
            <w:tcW w:w="4228" w:type="dxa"/>
            <w:gridSpan w:val="2"/>
            <w:noWrap w:val="0"/>
            <w:vAlign w:val="center"/>
          </w:tcPr>
          <w:p w14:paraId="62E60A86">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有一定提升</w:t>
            </w:r>
          </w:p>
        </w:tc>
      </w:tr>
      <w:tr w14:paraId="2C43B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8" w:type="dxa"/>
            <w:vMerge w:val="continue"/>
            <w:noWrap w:val="0"/>
            <w:vAlign w:val="center"/>
          </w:tcPr>
          <w:p w14:paraId="3DEBA3F5">
            <w:pPr>
              <w:spacing w:line="260" w:lineRule="exact"/>
              <w:jc w:val="center"/>
              <w:rPr>
                <w:rFonts w:ascii="宋体" w:cs="宋体"/>
                <w:sz w:val="18"/>
                <w:szCs w:val="18"/>
              </w:rPr>
            </w:pPr>
          </w:p>
        </w:tc>
        <w:tc>
          <w:tcPr>
            <w:tcW w:w="723" w:type="dxa"/>
            <w:noWrap w:val="0"/>
            <w:vAlign w:val="center"/>
          </w:tcPr>
          <w:p w14:paraId="28A4C27F">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09F9D5D0">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30BE3653">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指标1：教职工满意度</w:t>
            </w:r>
          </w:p>
        </w:tc>
        <w:tc>
          <w:tcPr>
            <w:tcW w:w="4228" w:type="dxa"/>
            <w:gridSpan w:val="2"/>
            <w:noWrap w:val="0"/>
            <w:vAlign w:val="center"/>
          </w:tcPr>
          <w:p w14:paraId="2BD65DA7">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≥90%</w:t>
            </w:r>
          </w:p>
        </w:tc>
      </w:tr>
    </w:tbl>
    <w:p w14:paraId="32D34140">
      <w:pPr>
        <w:topLinePunct/>
        <w:adjustRightInd w:val="0"/>
        <w:snapToGrid w:val="0"/>
        <w:spacing w:line="560" w:lineRule="exact"/>
        <w:ind w:firstLine="643" w:firstLineChars="200"/>
        <w:rPr>
          <w:rFonts w:hint="eastAsia" w:ascii="仿宋_GB2312" w:hAnsi="TimesNewRoman" w:eastAsia="仿宋_GB2312" w:cs="TimesNewRoman"/>
          <w:b/>
          <w:sz w:val="32"/>
          <w:szCs w:val="32"/>
        </w:rPr>
      </w:pPr>
    </w:p>
    <w:p w14:paraId="07265595">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4E4D9F0D">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2025年机关运行经费财政拨款预算</w:t>
      </w:r>
      <w:r>
        <w:rPr>
          <w:rFonts w:hint="eastAsia" w:ascii="仿宋_GB2312" w:hAnsi="TimesNewRoman" w:eastAsia="仿宋_GB2312" w:cs="TimesNewRoman"/>
          <w:sz w:val="32"/>
          <w:szCs w:val="32"/>
          <w:lang w:val="en-US" w:eastAsia="zh-CN"/>
        </w:rPr>
        <w:t>29.06</w:t>
      </w:r>
      <w:r>
        <w:rPr>
          <w:rFonts w:hint="eastAsia" w:ascii="仿宋_GB2312" w:hAnsi="TimesNewRoman" w:eastAsia="仿宋_GB2312" w:cs="TimesNewRoman"/>
          <w:sz w:val="32"/>
          <w:szCs w:val="32"/>
        </w:rPr>
        <w:t>万元，比2024年预算</w:t>
      </w:r>
      <w:r>
        <w:rPr>
          <w:rFonts w:hint="eastAsia" w:ascii="仿宋_GB2312" w:hAnsi="TimesNewRoman" w:eastAsia="仿宋_GB2312" w:cs="TimesNewRoman"/>
          <w:sz w:val="32"/>
          <w:szCs w:val="32"/>
          <w:lang w:val="en-US" w:eastAsia="zh-CN"/>
        </w:rPr>
        <w:t>增加2.62</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增长9.91</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增长</w:t>
      </w:r>
      <w:r>
        <w:rPr>
          <w:rFonts w:hint="eastAsia" w:ascii="仿宋_GB2312" w:hAnsi="TimesNewRoman" w:eastAsia="仿宋_GB2312" w:cs="TimesNewRoman"/>
          <w:sz w:val="32"/>
          <w:szCs w:val="32"/>
        </w:rPr>
        <w:t>主要原因是</w:t>
      </w:r>
      <w:r>
        <w:rPr>
          <w:rFonts w:hint="eastAsia" w:ascii="仿宋_GB2312" w:hAnsi="TimesNewRoman" w:eastAsia="仿宋_GB2312" w:cs="TimesNewRoman"/>
          <w:sz w:val="32"/>
          <w:szCs w:val="32"/>
          <w:lang w:val="en-US" w:eastAsia="zh-CN"/>
        </w:rPr>
        <w:t>单位新招录2人，公用经费预算增加</w:t>
      </w:r>
      <w:r>
        <w:rPr>
          <w:rFonts w:hint="eastAsia" w:ascii="仿宋_GB2312" w:hAnsi="TimesNewRoman" w:eastAsia="仿宋_GB2312" w:cs="TimesNewRoman"/>
          <w:sz w:val="32"/>
          <w:szCs w:val="32"/>
        </w:rPr>
        <w:t>。</w:t>
      </w:r>
    </w:p>
    <w:p w14:paraId="10749896">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199051E2">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2025年政府采购预算</w:t>
      </w:r>
      <w:r>
        <w:rPr>
          <w:rFonts w:hint="eastAsia" w:ascii="仿宋_GB2312" w:hAnsi="TimesNewRoman" w:eastAsia="仿宋_GB2312" w:cs="TimesNewRoman"/>
          <w:sz w:val="32"/>
          <w:szCs w:val="32"/>
          <w:lang w:val="en-US" w:eastAsia="zh-CN"/>
        </w:rPr>
        <w:t>115.74</w:t>
      </w:r>
      <w:r>
        <w:rPr>
          <w:rFonts w:hint="eastAsia" w:ascii="仿宋_GB2312" w:hAnsi="TimesNewRoman" w:eastAsia="仿宋_GB2312" w:cs="TimesNewRoman"/>
          <w:sz w:val="32"/>
          <w:szCs w:val="32"/>
        </w:rPr>
        <w:t>万元。其中：政府采购货物预算</w:t>
      </w:r>
      <w:r>
        <w:rPr>
          <w:rFonts w:hint="eastAsia" w:ascii="仿宋_GB2312" w:hAnsi="TimesNewRoman" w:eastAsia="仿宋_GB2312" w:cs="TimesNewRoman"/>
          <w:sz w:val="32"/>
          <w:szCs w:val="32"/>
          <w:lang w:val="en-US" w:eastAsia="zh-CN"/>
        </w:rPr>
        <w:t>0.74</w:t>
      </w:r>
      <w:r>
        <w:rPr>
          <w:rFonts w:hint="eastAsia" w:ascii="仿宋_GB2312" w:hAnsi="TimesNewRoman" w:eastAsia="仿宋_GB2312" w:cs="TimesNewRoman"/>
          <w:sz w:val="32"/>
          <w:szCs w:val="32"/>
        </w:rPr>
        <w:t>万元，政府采购工程预算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万元，政府采购服务预算</w:t>
      </w:r>
      <w:r>
        <w:rPr>
          <w:rFonts w:hint="eastAsia" w:ascii="仿宋_GB2312" w:hAnsi="TimesNewRoman" w:eastAsia="仿宋_GB2312" w:cs="TimesNewRoman"/>
          <w:sz w:val="32"/>
          <w:szCs w:val="32"/>
          <w:lang w:val="en-US" w:eastAsia="zh-CN"/>
        </w:rPr>
        <w:t>115</w:t>
      </w:r>
      <w:r>
        <w:rPr>
          <w:rFonts w:hint="eastAsia" w:ascii="仿宋_GB2312" w:hAnsi="TimesNewRoman" w:eastAsia="仿宋_GB2312" w:cs="TimesNewRoman"/>
          <w:sz w:val="32"/>
          <w:szCs w:val="32"/>
        </w:rPr>
        <w:t>万元。</w:t>
      </w:r>
    </w:p>
    <w:p w14:paraId="30FF7D69">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27CF7259">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截至2024年12月31日，</w:t>
      </w: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14:paraId="2417CD81">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2025年部门预算安排购置公务用车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6E135A63">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4DF6A399">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2025年，</w:t>
      </w:r>
      <w:r>
        <w:rPr>
          <w:rFonts w:hint="eastAsia" w:ascii="仿宋_GB2312" w:hAnsi="TimesNewRoman" w:eastAsia="仿宋_GB2312" w:cs="TimesNewRoman"/>
          <w:sz w:val="32"/>
          <w:szCs w:val="32"/>
          <w:lang w:val="en-US" w:eastAsia="zh-CN"/>
        </w:rPr>
        <w:t>中共寿县县委党校4</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140.02</w:t>
      </w:r>
      <w:r>
        <w:rPr>
          <w:rFonts w:hint="eastAsia" w:ascii="仿宋_GB2312" w:hAnsi="TimesNewRoman" w:eastAsia="仿宋_GB2312" w:cs="TimesNewRoman"/>
          <w:sz w:val="32"/>
          <w:szCs w:val="32"/>
        </w:rPr>
        <w:t>万元、单位资金当年安排</w:t>
      </w:r>
      <w:r>
        <w:rPr>
          <w:rFonts w:hint="eastAsia" w:ascii="仿宋_GB2312" w:hAnsi="TimesNewRoman" w:eastAsia="仿宋_GB2312" w:cs="TimesNewRoman"/>
          <w:sz w:val="32"/>
          <w:szCs w:val="32"/>
          <w:lang w:val="en-US" w:eastAsia="zh-CN"/>
        </w:rPr>
        <w:t>60</w:t>
      </w:r>
      <w:r>
        <w:rPr>
          <w:rFonts w:hint="eastAsia" w:ascii="仿宋_GB2312" w:hAnsi="TimesNewRoman" w:eastAsia="仿宋_GB2312" w:cs="TimesNewRoman"/>
          <w:sz w:val="32"/>
          <w:szCs w:val="32"/>
        </w:rPr>
        <w:t>万元。</w:t>
      </w:r>
    </w:p>
    <w:p w14:paraId="14B37CC4">
      <w:pPr>
        <w:topLinePunct/>
        <w:adjustRightInd w:val="0"/>
        <w:snapToGrid w:val="0"/>
        <w:spacing w:line="560" w:lineRule="exact"/>
        <w:rPr>
          <w:rFonts w:ascii="TimesNewRoman" w:hAnsi="TimesNewRoman" w:eastAsia="黑体" w:cs="TimesNewRoman"/>
          <w:sz w:val="36"/>
          <w:szCs w:val="36"/>
        </w:rPr>
      </w:pPr>
    </w:p>
    <w:p w14:paraId="4B9B53D9">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77DAAAB8">
      <w:pPr>
        <w:topLinePunct/>
        <w:adjustRightInd w:val="0"/>
        <w:snapToGrid w:val="0"/>
        <w:spacing w:line="560" w:lineRule="exact"/>
        <w:rPr>
          <w:rFonts w:ascii="TimesNewRoman" w:hAnsi="TimesNewRoman" w:eastAsia="黑体" w:cs="TimesNewRoman"/>
          <w:szCs w:val="32"/>
        </w:rPr>
      </w:pPr>
    </w:p>
    <w:p w14:paraId="213A5EBD">
      <w:pPr>
        <w:topLinePunct/>
        <w:adjustRightInd w:val="0"/>
        <w:snapToGrid w:val="0"/>
        <w:spacing w:line="560" w:lineRule="exact"/>
        <w:ind w:firstLine="640" w:firstLineChars="200"/>
        <w:rPr>
          <w:rFonts w:ascii="TimesNewRoman" w:hAnsi="TimesNewRoman" w:eastAsia="仿宋_GB2312" w:cs="TimesNewRoman"/>
          <w:kern w:val="0"/>
          <w:sz w:val="32"/>
          <w:szCs w:val="32"/>
          <w:lang w:val="en-US" w:eastAsia="zh-CN" w:bidi="ar-SA"/>
        </w:rPr>
      </w:pPr>
      <w:r>
        <w:rPr>
          <w:rFonts w:hint="eastAsia" w:ascii="TimesNewRoman" w:hAnsi="TimesNewRoman" w:eastAsia="仿宋_GB2312" w:cs="TimesNewRoman"/>
          <w:kern w:val="0"/>
          <w:sz w:val="32"/>
          <w:szCs w:val="32"/>
          <w:lang w:val="en-US" w:eastAsia="zh-CN" w:bidi="ar-SA"/>
        </w:rPr>
        <w:t>一、财政拨款收入：</w:t>
      </w:r>
      <w:r>
        <w:rPr>
          <w:rFonts w:ascii="TimesNewRoman" w:hAnsi="TimesNewRoman" w:eastAsia="仿宋_GB2312" w:cs="TimesNewRoman"/>
          <w:kern w:val="0"/>
          <w:sz w:val="32"/>
          <w:szCs w:val="32"/>
          <w:lang w:val="en-US" w:eastAsia="zh-CN" w:bidi="ar-SA"/>
        </w:rPr>
        <w:t>指部门或单位从同级财政部门取得的财政预算资金。</w:t>
      </w:r>
    </w:p>
    <w:p w14:paraId="7A50CAA8">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二、事业收入：指事业单位开展专业业务活动及辅助活动所取得的收入。</w:t>
      </w:r>
    </w:p>
    <w:p w14:paraId="71F8769D">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三、财政专户管理资金：指按照非税收入管理相关规定，纳入财政专户管理的教育收费等。</w:t>
      </w:r>
    </w:p>
    <w:p w14:paraId="20BACA77">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四、事业单位经营收入：指事业单位在专业业务活动及其辅助活动之外开展非独立核算经营活动取得的收入。</w:t>
      </w:r>
    </w:p>
    <w:p w14:paraId="29FEFA72">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五、附属单位上缴收入：本单位所属下级单位上缴给本单位的全部收入。</w:t>
      </w:r>
    </w:p>
    <w:p w14:paraId="0662B4E4">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六、上年结转：指以前年度安排、结转到本年仍按原用途继续使用的资金。</w:t>
      </w:r>
    </w:p>
    <w:p w14:paraId="517FABB0">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七、结转下年：指以前年度预算安排、因客观条件发生变化无法按原计划实施，需以后年度按原用途继续使用的资金。</w:t>
      </w:r>
    </w:p>
    <w:p w14:paraId="6DBE2757">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八、基本支出：指为保障机构正常运转、完成日常工作任务而发生的人员支出和公用支出。</w:t>
      </w:r>
    </w:p>
    <w:p w14:paraId="03E96065">
      <w:pPr>
        <w:pStyle w:val="3"/>
        <w:topLinePunct/>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九、项目支出：指在除基本支出之外的支出，主要用于完成特定的工作任务和事业发展目标。</w:t>
      </w:r>
      <w:r>
        <w:rPr>
          <w:rFonts w:ascii="TimesNewRoman" w:hAnsi="TimesNewRoman" w:eastAsia="仿宋_GB2312" w:cs="TimesNewRoman"/>
          <w:kern w:val="0"/>
          <w:sz w:val="32"/>
          <w:szCs w:val="32"/>
          <w:lang w:val="en-US" w:eastAsia="zh-CN" w:bidi="ar-SA"/>
        </w:rPr>
        <w:br w:type="textWrapping"/>
      </w:r>
      <w:r>
        <w:rPr>
          <w:rFonts w:ascii="TimesNewRoman" w:hAnsi="TimesNewRoman" w:eastAsia="仿宋_GB2312" w:cs="TimesNewRoman"/>
          <w:kern w:val="0"/>
          <w:sz w:val="32"/>
          <w:szCs w:val="32"/>
          <w:lang w:val="en-US" w:eastAsia="zh-CN" w:bidi="ar-SA"/>
        </w:rPr>
        <w:t xml:space="preserve">    十、机关运行经费: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6F55463D">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十一、</w:t>
      </w:r>
      <w:r>
        <w:rPr>
          <w:rFonts w:hint="eastAsia" w:ascii="TimesNewRoman" w:hAnsi="TimesNewRoman" w:eastAsia="仿宋_GB2312" w:cs="TimesNewRoman"/>
          <w:kern w:val="0"/>
          <w:sz w:val="32"/>
          <w:szCs w:val="32"/>
          <w:lang w:val="en-US" w:eastAsia="zh-CN" w:bidi="ar-SA"/>
        </w:rPr>
        <w:t>科学技术支出</w:t>
      </w:r>
      <w:r>
        <w:rPr>
          <w:rFonts w:ascii="TimesNewRoman" w:hAnsi="TimesNewRoman" w:eastAsia="仿宋_GB2312" w:cs="TimesNewRoman"/>
          <w:kern w:val="0"/>
          <w:sz w:val="32"/>
          <w:szCs w:val="32"/>
          <w:lang w:val="en-US" w:eastAsia="zh-CN" w:bidi="ar-SA"/>
        </w:rPr>
        <w:t>（类）</w:t>
      </w:r>
      <w:r>
        <w:rPr>
          <w:rFonts w:hint="eastAsia" w:ascii="TimesNewRoman" w:hAnsi="TimesNewRoman" w:eastAsia="仿宋_GB2312" w:cs="TimesNewRoman"/>
          <w:kern w:val="0"/>
          <w:sz w:val="32"/>
          <w:szCs w:val="32"/>
          <w:lang w:val="en-US" w:eastAsia="zh-CN" w:bidi="ar-SA"/>
        </w:rPr>
        <w:t>科学技术普及</w:t>
      </w:r>
      <w:r>
        <w:rPr>
          <w:rFonts w:ascii="TimesNewRoman" w:hAnsi="TimesNewRoman" w:eastAsia="仿宋_GB2312" w:cs="TimesNewRoman"/>
          <w:kern w:val="0"/>
          <w:sz w:val="32"/>
          <w:szCs w:val="32"/>
          <w:lang w:val="en-US" w:eastAsia="zh-CN" w:bidi="ar-SA"/>
        </w:rPr>
        <w:t>（款）</w:t>
      </w:r>
      <w:r>
        <w:rPr>
          <w:rFonts w:hint="eastAsia" w:ascii="TimesNewRoman" w:hAnsi="TimesNewRoman" w:eastAsia="仿宋_GB2312" w:cs="TimesNewRoman"/>
          <w:kern w:val="0"/>
          <w:sz w:val="32"/>
          <w:szCs w:val="32"/>
          <w:lang w:val="en-US" w:eastAsia="zh-CN" w:bidi="ar-SA"/>
        </w:rPr>
        <w:t>机构运行（项）</w:t>
      </w:r>
      <w:r>
        <w:rPr>
          <w:rFonts w:ascii="TimesNewRoman" w:hAnsi="TimesNewRoman" w:eastAsia="仿宋_GB2312" w:cs="TimesNewRoman"/>
          <w:kern w:val="0"/>
          <w:sz w:val="32"/>
          <w:szCs w:val="32"/>
          <w:lang w:val="en-US" w:eastAsia="zh-CN" w:bidi="ar-SA"/>
        </w:rPr>
        <w:t>：反映</w:t>
      </w:r>
      <w:r>
        <w:rPr>
          <w:rFonts w:hint="eastAsia" w:ascii="TimesNewRoman" w:hAnsi="TimesNewRoman" w:eastAsia="仿宋_GB2312" w:cs="TimesNewRoman"/>
          <w:kern w:val="0"/>
          <w:sz w:val="32"/>
          <w:szCs w:val="32"/>
          <w:lang w:val="en-US" w:eastAsia="zh-CN" w:bidi="ar-SA"/>
        </w:rPr>
        <w:t>县科协</w:t>
      </w:r>
      <w:r>
        <w:rPr>
          <w:rFonts w:ascii="TimesNewRoman" w:hAnsi="TimesNewRoman" w:eastAsia="仿宋_GB2312" w:cs="TimesNewRoman"/>
          <w:kern w:val="0"/>
          <w:sz w:val="32"/>
          <w:szCs w:val="32"/>
          <w:lang w:val="en-US" w:eastAsia="zh-CN" w:bidi="ar-SA"/>
        </w:rPr>
        <w:t>用于</w:t>
      </w:r>
      <w:r>
        <w:rPr>
          <w:rFonts w:hint="eastAsia" w:ascii="TimesNewRoman" w:hAnsi="TimesNewRoman" w:eastAsia="仿宋_GB2312" w:cs="TimesNewRoman"/>
          <w:kern w:val="0"/>
          <w:sz w:val="32"/>
          <w:szCs w:val="32"/>
          <w:lang w:val="en-US" w:eastAsia="zh-CN" w:bidi="ar-SA"/>
        </w:rPr>
        <w:t>科普工作</w:t>
      </w:r>
      <w:r>
        <w:rPr>
          <w:rFonts w:ascii="TimesNewRoman" w:hAnsi="TimesNewRoman" w:eastAsia="仿宋_GB2312" w:cs="TimesNewRoman"/>
          <w:kern w:val="0"/>
          <w:sz w:val="32"/>
          <w:szCs w:val="32"/>
          <w:lang w:val="en-US" w:eastAsia="zh-CN" w:bidi="ar-SA"/>
        </w:rPr>
        <w:t>业务方面的支出。</w:t>
      </w:r>
    </w:p>
    <w:p w14:paraId="00CE3A99">
      <w:pPr>
        <w:spacing w:line="560" w:lineRule="exact"/>
        <w:rPr>
          <w:rFonts w:hint="eastAsia" w:ascii="TimesNewRoman" w:hAnsi="TimesNewRoman" w:eastAsia="仿宋_GB2312" w:cs="TimesNewRoman"/>
          <w:kern w:val="0"/>
          <w:sz w:val="32"/>
          <w:szCs w:val="32"/>
          <w:lang w:val="en-US" w:eastAsia="zh-CN" w:bidi="ar-SA"/>
        </w:rPr>
      </w:pPr>
      <w:r>
        <w:rPr>
          <w:rFonts w:hint="eastAsia" w:ascii="TimesNewRoman" w:hAnsi="TimesNewRoman" w:eastAsia="仿宋_GB2312" w:cs="TimesNewRoman"/>
          <w:kern w:val="0"/>
          <w:sz w:val="32"/>
          <w:szCs w:val="32"/>
          <w:lang w:val="en-US" w:eastAsia="zh-CN" w:bidi="ar-SA"/>
        </w:rPr>
        <w:t xml:space="preserve">         </w:t>
      </w:r>
    </w:p>
    <w:p w14:paraId="58F699CF">
      <w:pPr>
        <w:rPr>
          <w:rFonts w:ascii="TimesNewRoman" w:hAnsi="TimesNewRoman" w:eastAsia="仿宋_GB2312" w:cs="TimesNewRoman"/>
          <w:kern w:val="0"/>
          <w:sz w:val="32"/>
          <w:szCs w:val="32"/>
          <w:lang w:val="en-US" w:eastAsia="zh-CN" w:bidi="ar-SA"/>
        </w:rPr>
      </w:pPr>
    </w:p>
    <w:sectPr>
      <w:footerReference r:id="rId3" w:type="default"/>
      <w:pgSz w:w="11906" w:h="16838"/>
      <w:pgMar w:top="1928" w:right="1531"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242675-504C-4FFD-A8E7-F508D554D0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09DDB3B-222C-449C-9DE9-761787631363}"/>
  </w:font>
  <w:font w:name="TimesNewRoman">
    <w:altName w:val="Arial Unicode MS"/>
    <w:panose1 w:val="02020603050405020304"/>
    <w:charset w:val="00"/>
    <w:family w:val="auto"/>
    <w:pitch w:val="default"/>
    <w:sig w:usb0="00000000" w:usb1="00000000" w:usb2="00000029" w:usb3="00000000" w:csb0="600001FF" w:csb1="FFFF0000"/>
    <w:embedRegular r:id="rId3" w:fontKey="{40FB12C3-DB18-4B83-B17C-A702B96BB121}"/>
  </w:font>
  <w:font w:name="Arial Unicode MS">
    <w:panose1 w:val="020B0604020202020204"/>
    <w:charset w:val="86"/>
    <w:family w:val="auto"/>
    <w:pitch w:val="default"/>
    <w:sig w:usb0="FFFFFFFF" w:usb1="E9FFFFFF" w:usb2="0000003F" w:usb3="00000000" w:csb0="603F01FF" w:csb1="FFFF0000"/>
  </w:font>
  <w:font w:name="方正小标宋简体">
    <w:panose1 w:val="02000000000000000000"/>
    <w:charset w:val="86"/>
    <w:family w:val="script"/>
    <w:pitch w:val="default"/>
    <w:sig w:usb0="00000001" w:usb1="080E0000" w:usb2="00000000" w:usb3="00000000" w:csb0="00040000" w:csb1="00000000"/>
    <w:embedRegular r:id="rId4" w:fontKey="{2955A3E4-0A58-46EF-8D37-43B1783C3124}"/>
  </w:font>
  <w:font w:name="仿宋_GB2312">
    <w:panose1 w:val="02010609030101010101"/>
    <w:charset w:val="86"/>
    <w:family w:val="auto"/>
    <w:pitch w:val="default"/>
    <w:sig w:usb0="00000001" w:usb1="080E0000" w:usb2="00000000" w:usb3="00000000" w:csb0="00040000" w:csb1="00000000"/>
    <w:embedRegular r:id="rId5" w:fontKey="{4C56F694-67F3-470C-9F30-46CB4461A340}"/>
  </w:font>
  <w:font w:name="楷体_GB2312">
    <w:altName w:val="楷体"/>
    <w:panose1 w:val="02010609030101010101"/>
    <w:charset w:val="86"/>
    <w:family w:val="modern"/>
    <w:pitch w:val="default"/>
    <w:sig w:usb0="00000000" w:usb1="00000000" w:usb2="00000000" w:usb3="00000000" w:csb0="00040000" w:csb1="00000000"/>
    <w:embedRegular r:id="rId6" w:fontKey="{F7192312-63EE-46D7-BB38-8245CDC0487A}"/>
  </w:font>
  <w:font w:name="楷体">
    <w:panose1 w:val="02010609060101010101"/>
    <w:charset w:val="86"/>
    <w:family w:val="modern"/>
    <w:pitch w:val="default"/>
    <w:sig w:usb0="800002BF" w:usb1="38CF7CFA" w:usb2="00000016" w:usb3="00000000" w:csb0="00040001" w:csb1="00000000"/>
    <w:embedRegular r:id="rId7" w:fontKey="{30FF6D89-438C-4C31-865F-96D693A75891}"/>
  </w:font>
  <w:font w:name="仿宋">
    <w:panose1 w:val="02010609060101010101"/>
    <w:charset w:val="86"/>
    <w:family w:val="modern"/>
    <w:pitch w:val="default"/>
    <w:sig w:usb0="800002BF" w:usb1="38CF7CFA" w:usb2="00000016" w:usb3="00000000" w:csb0="00040001" w:csb1="00000000"/>
    <w:embedRegular r:id="rId8" w:fontKey="{879E7BB8-FE7D-44A7-8BAC-E927DE55ABD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62C77">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7C81EEF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1YzE3MWRkYjlkNzQ4OGE0MjE2Yjg1MzJiY2QwMTYifQ=="/>
  </w:docVars>
  <w:rsids>
    <w:rsidRoot w:val="3B0F4405"/>
    <w:rsid w:val="05786E12"/>
    <w:rsid w:val="05972A55"/>
    <w:rsid w:val="05CD6BB2"/>
    <w:rsid w:val="09630EDC"/>
    <w:rsid w:val="0E493661"/>
    <w:rsid w:val="0F1F5EE0"/>
    <w:rsid w:val="0FBF695C"/>
    <w:rsid w:val="100131FC"/>
    <w:rsid w:val="102F5453"/>
    <w:rsid w:val="10C04E65"/>
    <w:rsid w:val="11923A62"/>
    <w:rsid w:val="133B24EE"/>
    <w:rsid w:val="15204125"/>
    <w:rsid w:val="16AA1B0A"/>
    <w:rsid w:val="17457E73"/>
    <w:rsid w:val="174D6C7D"/>
    <w:rsid w:val="19257C20"/>
    <w:rsid w:val="19E00326"/>
    <w:rsid w:val="21974FBE"/>
    <w:rsid w:val="233A0AA7"/>
    <w:rsid w:val="267C163E"/>
    <w:rsid w:val="272A390D"/>
    <w:rsid w:val="277E3C4B"/>
    <w:rsid w:val="285E10C3"/>
    <w:rsid w:val="28AD183D"/>
    <w:rsid w:val="2B4327FE"/>
    <w:rsid w:val="2B8E5A3A"/>
    <w:rsid w:val="2CF21667"/>
    <w:rsid w:val="323105FA"/>
    <w:rsid w:val="325B11BB"/>
    <w:rsid w:val="37D42E21"/>
    <w:rsid w:val="3B0F4405"/>
    <w:rsid w:val="3BA7084C"/>
    <w:rsid w:val="3C85293C"/>
    <w:rsid w:val="3FB4316F"/>
    <w:rsid w:val="420E7C76"/>
    <w:rsid w:val="45262AFA"/>
    <w:rsid w:val="455F7AA2"/>
    <w:rsid w:val="45FC3821"/>
    <w:rsid w:val="468667E7"/>
    <w:rsid w:val="471B419F"/>
    <w:rsid w:val="485E53E8"/>
    <w:rsid w:val="4AFB4D8A"/>
    <w:rsid w:val="4C9444D5"/>
    <w:rsid w:val="4FA365AE"/>
    <w:rsid w:val="50271AF2"/>
    <w:rsid w:val="5099030C"/>
    <w:rsid w:val="51974B50"/>
    <w:rsid w:val="52EC506B"/>
    <w:rsid w:val="530A3743"/>
    <w:rsid w:val="53DD77EF"/>
    <w:rsid w:val="545A6D69"/>
    <w:rsid w:val="5481043E"/>
    <w:rsid w:val="54FC33B5"/>
    <w:rsid w:val="55C43FFE"/>
    <w:rsid w:val="56552F27"/>
    <w:rsid w:val="571E4E6E"/>
    <w:rsid w:val="575A2AC0"/>
    <w:rsid w:val="57AF48B9"/>
    <w:rsid w:val="5834513B"/>
    <w:rsid w:val="5852253F"/>
    <w:rsid w:val="58DD1313"/>
    <w:rsid w:val="5B600FE3"/>
    <w:rsid w:val="5CE837F7"/>
    <w:rsid w:val="5F0756A6"/>
    <w:rsid w:val="5F824661"/>
    <w:rsid w:val="60AA541F"/>
    <w:rsid w:val="610477C7"/>
    <w:rsid w:val="62960B4F"/>
    <w:rsid w:val="629F7084"/>
    <w:rsid w:val="62BB38EC"/>
    <w:rsid w:val="635E6793"/>
    <w:rsid w:val="656201C7"/>
    <w:rsid w:val="65AA1CA1"/>
    <w:rsid w:val="66B94954"/>
    <w:rsid w:val="674D62AE"/>
    <w:rsid w:val="692D6AF6"/>
    <w:rsid w:val="6954706E"/>
    <w:rsid w:val="69561413"/>
    <w:rsid w:val="6A4113B2"/>
    <w:rsid w:val="6BC34011"/>
    <w:rsid w:val="6C727F37"/>
    <w:rsid w:val="6CD62255"/>
    <w:rsid w:val="6ED43C20"/>
    <w:rsid w:val="6FCA567B"/>
    <w:rsid w:val="700C2451"/>
    <w:rsid w:val="71746931"/>
    <w:rsid w:val="72B0768C"/>
    <w:rsid w:val="732C719A"/>
    <w:rsid w:val="73CA2808"/>
    <w:rsid w:val="73E4239E"/>
    <w:rsid w:val="755F1275"/>
    <w:rsid w:val="7859644F"/>
    <w:rsid w:val="7B817979"/>
    <w:rsid w:val="7B8B03F4"/>
    <w:rsid w:val="7C1C3A1B"/>
    <w:rsid w:val="7D2A660C"/>
    <w:rsid w:val="7D71487E"/>
    <w:rsid w:val="7E461224"/>
    <w:rsid w:val="7EB34790"/>
    <w:rsid w:val="7FC93EBA"/>
    <w:rsid w:val="7FDD3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ascii="Calibri" w:hAnsi="Calibri"/>
      <w:kern w:val="0"/>
      <w:sz w:val="24"/>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6605</Words>
  <Characters>7351</Characters>
  <Lines>0</Lines>
  <Paragraphs>0</Paragraphs>
  <TotalTime>2</TotalTime>
  <ScaleCrop>false</ScaleCrop>
  <LinksUpToDate>false</LinksUpToDate>
  <CharactersWithSpaces>7628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2025-01-11T13:48:00Z</dcterms:created>
  <dc:creator>Administrator</dc:creator>
  <cp:lastModifiedBy>常小呆的呆小琳</cp:lastModifiedBy>
  <dcterms:modified xsi:type="dcterms:W3CDTF">2025-02-13T07:18:05Z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0A57BFBDBB91422FAAC9E816E7EDF789_12</vt:lpwstr>
  </property>
  <property fmtid="{D5CDD505-2E9C-101B-9397-08002B2CF9AE}" pid="4" name="KSOTemplateDocerSaveRecord">
    <vt:lpwstr>eyJoZGlkIjoiMTRmZjliMDQ0Zjg0NjdjYjFlMjI3OGVhOGU1Yjg0NGUiLCJ1c2VySWQiOiIzNDQ3OTQ5OTMifQ==</vt:lpwstr>
  </property>
</Properties>
</file>