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TimesNewRoman" w:eastAsia="方正小标宋_GBK" w:cs="TimesNewRoman"/>
          <w:sz w:val="44"/>
          <w:szCs w:val="44"/>
        </w:rPr>
      </w:pPr>
    </w:p>
    <w:p>
      <w:pPr>
        <w:spacing w:line="560" w:lineRule="exact"/>
        <w:jc w:val="center"/>
        <w:rPr>
          <w:rFonts w:hint="eastAsia" w:ascii="方正小标宋_GBK" w:hAnsi="TimesNewRoman" w:eastAsia="方正小标宋_GBK" w:cs="TimesNewRoman"/>
          <w:sz w:val="44"/>
          <w:szCs w:val="44"/>
        </w:rPr>
      </w:pPr>
    </w:p>
    <w:p>
      <w:pPr>
        <w:spacing w:line="560" w:lineRule="exact"/>
        <w:jc w:val="center"/>
        <w:rPr>
          <w:rFonts w:hint="eastAsia" w:ascii="方正小标宋_GBK" w:hAnsi="TimesNewRoman" w:eastAsia="方正小标宋_GBK" w:cs="TimesNewRoman"/>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TimesNewRoman" w:eastAsia="方正小标宋_GBK" w:cs="TimesNewRoman"/>
          <w:spacing w:val="51"/>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TimesNewRoman"/>
          <w:spacing w:val="51"/>
          <w:sz w:val="44"/>
          <w:szCs w:val="44"/>
        </w:rPr>
      </w:pPr>
      <w:r>
        <w:rPr>
          <w:rFonts w:hint="eastAsia" w:ascii="方正小标宋简体" w:hAnsi="方正小标宋简体" w:eastAsia="方正小标宋简体" w:cs="TimesNewRoman"/>
          <w:spacing w:val="51"/>
          <w:sz w:val="44"/>
          <w:szCs w:val="44"/>
        </w:rPr>
        <w:t>寿县</w:t>
      </w:r>
      <w:r>
        <w:rPr>
          <w:rFonts w:hint="eastAsia" w:ascii="方正小标宋简体" w:hAnsi="方正小标宋简体" w:eastAsia="方正小标宋简体" w:cs="TimesNewRoman"/>
          <w:spacing w:val="51"/>
          <w:sz w:val="44"/>
          <w:szCs w:val="44"/>
          <w:lang w:val="en-US" w:eastAsia="zh-CN"/>
        </w:rPr>
        <w:t>县委社会工作部</w:t>
      </w:r>
      <w:r>
        <w:rPr>
          <w:rFonts w:hint="eastAsia" w:ascii="方正小标宋简体" w:hAnsi="方正小标宋简体" w:eastAsia="方正小标宋简体" w:cs="TimesNewRoman"/>
          <w:spacing w:val="51"/>
          <w:sz w:val="44"/>
          <w:szCs w:val="44"/>
        </w:rPr>
        <w:t>2025年</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hAnsi="方正小标宋简体" w:eastAsia="方正小标宋简体" w:cs="TimesNewRoman"/>
          <w:spacing w:val="51"/>
          <w:sz w:val="44"/>
          <w:szCs w:val="44"/>
        </w:rPr>
      </w:pPr>
      <w:r>
        <w:rPr>
          <w:rFonts w:hint="eastAsia" w:ascii="方正小标宋简体" w:hAnsi="方正小标宋简体" w:eastAsia="方正小标宋简体" w:cs="TimesNewRoman"/>
          <w:spacing w:val="51"/>
          <w:sz w:val="44"/>
          <w:szCs w:val="44"/>
        </w:rPr>
        <w:t>部门预算</w:t>
      </w:r>
    </w:p>
    <w:p>
      <w:pPr>
        <w:pStyle w:val="3"/>
        <w:adjustRightInd w:val="0"/>
        <w:snapToGrid w:val="0"/>
        <w:spacing w:line="560" w:lineRule="exact"/>
        <w:jc w:val="center"/>
        <w:outlineLvl w:val="0"/>
        <w:rPr>
          <w:rFonts w:hint="eastAsia" w:ascii="方正小标宋简体" w:hAnsi="方正小标宋简体" w:eastAsia="方正小标宋简体" w:cs="TimesNewRoman"/>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 xml:space="preserve">                       </w:t>
      </w: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eastAsia" w:ascii="仿宋_GB2312" w:hAnsi="TimesNewRoman" w:eastAsia="仿宋_GB2312" w:cs="TimesNewRoman"/>
          <w:bCs/>
          <w:sz w:val="32"/>
          <w:szCs w:val="32"/>
        </w:rPr>
      </w:pPr>
    </w:p>
    <w:p>
      <w:pPr>
        <w:pStyle w:val="3"/>
        <w:adjustRightInd w:val="0"/>
        <w:snapToGrid w:val="0"/>
        <w:spacing w:line="560" w:lineRule="exact"/>
        <w:jc w:val="center"/>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2025年1月</w:t>
      </w:r>
    </w:p>
    <w:p>
      <w:pPr>
        <w:pStyle w:val="3"/>
        <w:adjustRightInd w:val="0"/>
        <w:snapToGrid w:val="0"/>
        <w:spacing w:line="560" w:lineRule="exact"/>
        <w:jc w:val="center"/>
        <w:rPr>
          <w:rFonts w:hint="eastAsia" w:ascii="方正小标宋_GBK" w:hAnsi="TimesNewRoman" w:eastAsia="方正小标宋_GBK" w:cs="TimesNewRoman"/>
          <w:bCs/>
          <w:sz w:val="40"/>
          <w:szCs w:val="44"/>
        </w:rPr>
      </w:pPr>
      <w:r>
        <w:rPr>
          <w:rFonts w:hint="eastAsia" w:ascii="方正小标宋_GBK" w:hAnsi="TimesNewRoman" w:eastAsia="方正小标宋_GBK" w:cs="TimesNewRoman"/>
          <w:bCs/>
          <w:sz w:val="40"/>
          <w:szCs w:val="44"/>
        </w:rPr>
        <w:t>目  录</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第一部分 部门概况</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2.部门预算构成</w:t>
      </w:r>
    </w:p>
    <w:p>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3.2025年度主要工作任务</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rPr>
        <w:t>2025</w:t>
      </w:r>
      <w:r>
        <w:rPr>
          <w:rFonts w:ascii="黑体" w:hAnsi="黑体" w:eastAsia="黑体" w:cs="TimesNewRoman"/>
          <w:sz w:val="32"/>
          <w:szCs w:val="32"/>
        </w:rPr>
        <w:t>年部门预算情况说明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年收入总表的说明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年支出总表的说明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年财政拨款收支总表的说明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年一般公共预算基本支出表的说明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年政府性基金预算支出表的说明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年国有资本经营预算支出表的说明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年项目支出表的说明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年政府采购支出表的说明</w:t>
      </w:r>
    </w:p>
    <w:p>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rPr>
        <w:t>2025</w:t>
      </w:r>
      <w:r>
        <w:rPr>
          <w:rFonts w:ascii="仿宋_GB2312" w:hAnsi="TimesNewRoman" w:eastAsia="仿宋_GB2312" w:cs="TimesNewRoman"/>
          <w:bCs/>
          <w:sz w:val="32"/>
          <w:szCs w:val="32"/>
        </w:rPr>
        <w:t>年政府购买服务支出表的说明</w:t>
      </w:r>
    </w:p>
    <w:p>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12.关于2025年一般公共预算“三公”经费支出情况说明</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pPr>
        <w:pStyle w:val="3"/>
        <w:topLinePunct/>
        <w:adjustRightInd w:val="0"/>
        <w:snapToGrid w:val="0"/>
        <w:spacing w:beforeAutospacing="0" w:afterAutospacing="0" w:line="560" w:lineRule="exact"/>
        <w:ind w:firstLine="642" w:firstLineChars="200"/>
        <w:jc w:val="both"/>
        <w:rPr>
          <w:rFonts w:ascii="TimesNewRoman" w:hAnsi="TimesNewRoman" w:eastAsia="仿宋_GB2312" w:cs="TimesNewRoman"/>
          <w:b/>
          <w:sz w:val="32"/>
          <w:szCs w:val="32"/>
        </w:rPr>
      </w:pPr>
    </w:p>
    <w:p>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第一部分 部门概况</w:t>
      </w:r>
    </w:p>
    <w:p>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27" w:firstLineChars="196"/>
        <w:jc w:val="both"/>
        <w:textAlignment w:val="auto"/>
        <w:outlineLvl w:val="9"/>
        <w:rPr>
          <w:rFonts w:ascii="TimesNewRoman" w:hAnsi="TimesNewRoman" w:eastAsia="黑体" w:cs="TimesNewRoman"/>
          <w:bCs/>
          <w:sz w:val="32"/>
          <w:szCs w:val="32"/>
        </w:rPr>
      </w:pPr>
    </w:p>
    <w:p>
      <w:pPr>
        <w:pStyle w:val="3"/>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firstLine="642" w:firstLineChars="200"/>
        <w:jc w:val="both"/>
        <w:textAlignment w:val="auto"/>
        <w:outlineLvl w:val="9"/>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（一）贯彻执行社会工作的党内法规、法律法规规章和政策规划，研究相关理论、政策和规划，拟订相关党内法规及规范性文件并组织实施。深入调查研究，及时向县委报告工作情况并提出建议。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统筹指导群众利益协调、诉求表达、矛盾调处、权益保障等人民信访工作，协调解决人民群众急难愁盼的重大问题。指导人民建议征集工作，负责征集、办理公民、法人和其他组织提出的意见建议，向县委、县政府及时反映公民、法人和其他组织对全县经济社会发展提出的重要意见建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统筹推进党建引领基层治理和基层政权建设，健全和落实党建引领基层治理领导体制和工作机制，协调推进城乡社区治理体系和治理能力建设，推动基层民主政治建设，指导监督基层群众自治制度的有效实施，健全基层群众自治机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em w:val="dot"/>
          <w:lang w:val="en-US" w:eastAsia="zh-CN"/>
        </w:rPr>
        <w:t>指导</w:t>
      </w:r>
      <w:r>
        <w:rPr>
          <w:rFonts w:hint="eastAsia" w:ascii="仿宋_GB2312" w:hAnsi="仿宋_GB2312" w:eastAsia="仿宋_GB2312" w:cs="仿宋_GB2312"/>
          <w:sz w:val="32"/>
          <w:szCs w:val="32"/>
          <w:lang w:val="en-US" w:eastAsia="zh-CN"/>
        </w:rPr>
        <w:t>全县性社会组织党建工作，统一领导全县行业协会商会党的工作，协调推动行业协会商会深化改革和转型发展。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指导混合所有制企业、非公有制企业和新经济组织、新社会组织、新就业群体党建工作，指导协调相关企业单位、社会组织、社会组织、就业群体中党员的教育、管理、监督和服务工作，研究完善相关领域群众利益协调机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（六）负责全县志愿服务工作的统筹规划、协调指导、督促检查。指导全县社会工作人才队伍建设。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（七）完成县委交办的其他任务。</w:t>
      </w:r>
    </w:p>
    <w:p>
      <w:pPr>
        <w:pStyle w:val="3"/>
        <w:topLinePunct/>
        <w:adjustRightInd w:val="0"/>
        <w:snapToGrid w:val="0"/>
        <w:spacing w:beforeAutospacing="0" w:afterAutospacing="0" w:line="580" w:lineRule="exact"/>
        <w:ind w:firstLine="642"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ascii="楷体_GB2312" w:hAnsi="TimesNewRoman" w:eastAsia="楷体_GB2312" w:cs="TimesNewRoman"/>
          <w:b/>
          <w:bCs/>
          <w:sz w:val="32"/>
          <w:szCs w:val="32"/>
        </w:rPr>
        <w:t>部门预算构成</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从预算单位构成看，</w:t>
      </w: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县委社会工作部</w:t>
      </w:r>
      <w:r>
        <w:rPr>
          <w:rFonts w:hint="eastAsia" w:ascii="仿宋_GB2312" w:hAnsi="TimesNewRoman" w:eastAsia="仿宋_GB2312" w:cs="TimesNewRoman"/>
          <w:sz w:val="32"/>
          <w:szCs w:val="32"/>
        </w:rPr>
        <w:t>2025年度部门预算仅包括</w:t>
      </w:r>
      <w:r>
        <w:rPr>
          <w:rFonts w:hint="eastAsia" w:ascii="仿宋_GB2312" w:hAnsi="TimesNewRoman" w:eastAsia="仿宋_GB2312" w:cs="TimesNewRoman"/>
          <w:sz w:val="32"/>
          <w:szCs w:val="32"/>
          <w:lang w:val="en-US" w:eastAsia="zh-CN"/>
        </w:rPr>
        <w:t>县社会工作部</w:t>
      </w:r>
      <w:r>
        <w:rPr>
          <w:rFonts w:hint="eastAsia" w:ascii="仿宋_GB2312" w:hAnsi="TimesNewRoman" w:eastAsia="仿宋_GB2312" w:cs="TimesNewRoman"/>
          <w:sz w:val="32"/>
          <w:szCs w:val="32"/>
        </w:rPr>
        <w:t>本级预算，无其他下属单位预算。</w:t>
      </w:r>
    </w:p>
    <w:p>
      <w:pPr>
        <w:pStyle w:val="3"/>
        <w:topLinePunct/>
        <w:adjustRightInd w:val="0"/>
        <w:snapToGrid w:val="0"/>
        <w:spacing w:beforeAutospacing="0" w:afterAutospacing="0" w:line="580" w:lineRule="exact"/>
        <w:ind w:firstLine="642" w:firstLineChars="200"/>
        <w:jc w:val="both"/>
        <w:rPr>
          <w:rFonts w:ascii="TimesNewRoman" w:hAnsi="TimesNewRoman" w:eastAsia="仿宋_GB2312" w:cs="TimesNewRoman"/>
          <w:bCs/>
          <w:sz w:val="32"/>
          <w:szCs w:val="32"/>
        </w:rPr>
      </w:pPr>
      <w:r>
        <w:rPr>
          <w:rFonts w:hint="eastAsia" w:ascii="楷体_GB2312" w:hAnsi="TimesNewRoman" w:eastAsia="楷体_GB2312" w:cs="TimesNewRoman"/>
          <w:b/>
          <w:bCs/>
          <w:sz w:val="32"/>
          <w:szCs w:val="32"/>
        </w:rPr>
        <w:t>三、2025年度主要工作任务</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 xml:space="preserve">1.推广基层治理积分制。按照《关于在乡镇（园区）基层治理中推广运用积分制的通知》（寿社〔2024〕11号）文件，积极推动积分制在乡镇和村（社区）的落地实施。    </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 xml:space="preserve">2.推进基层党组织书记领办项目。指导乡镇（园区）、村（社区）两级抓好项目认领，对项目实施、项目验收实行全过程把控，清单化破解基层治理重点难点问题。   </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3.加强社区工作者队伍建设。</w:t>
      </w:r>
      <w:r>
        <w:rPr>
          <w:rFonts w:hint="eastAsia" w:ascii="仿宋_GB2312" w:hAnsi="TimesNewRoman" w:eastAsia="仿宋_GB2312" w:cs="TimesNewRoman"/>
          <w:kern w:val="0"/>
          <w:sz w:val="32"/>
          <w:szCs w:val="32"/>
          <w:lang w:val="en-US" w:eastAsia="zh-CN" w:bidi="ar-SA"/>
        </w:rPr>
        <w:t>通过公开招聘、定向培养等方式</w:t>
      </w:r>
      <w:r>
        <w:rPr>
          <w:rFonts w:hint="eastAsia" w:ascii="仿宋_GB2312" w:hAnsi="TimesNewRoman" w:eastAsia="仿宋_GB2312" w:cs="TimesNewRoman"/>
          <w:kern w:val="0"/>
          <w:sz w:val="32"/>
          <w:szCs w:val="32"/>
          <w:lang w:val="en-US" w:eastAsia="zh-CN" w:bidi="ar-SA"/>
        </w:rPr>
        <w:t xml:space="preserve">开展社区工作者招聘，充实社区工作者队伍，提高社区工作者的专业素质和业务能力。建立健全社区工作者激励机制，提高其待遇和职业发展空间。2025年底前，按照每万城镇常住人口拥有社区工作者不少于18人的标准配备。    </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4.深入推广“六尺巷”工作法。挖掘富有地域特色，与传统文化融合的议事协商案例，采取“柳下说事”、“编笆接枣、锯树留邻”等形式，深化议事协商机制推广工作。</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5.推进为基层减负赋能。破解基层治理“小马拉突出问题，开展村（社区）工作事务、机制牌子和证明事项专项整治工作，严格按照文件规范做好精简机制牌子、制度上墙事项和出具证明</w:t>
      </w:r>
      <w:r>
        <w:rPr>
          <w:rFonts w:hint="eastAsia" w:ascii="仿宋_GB2312" w:hAnsi="TimesNewRoman" w:eastAsia="仿宋_GB2312" w:cs="TimesNewRoman"/>
          <w:kern w:val="0"/>
          <w:sz w:val="32"/>
          <w:szCs w:val="32"/>
          <w:lang w:val="en-US" w:eastAsia="zh-CN" w:bidi="ar-SA"/>
        </w:rPr>
        <w:t>等相关工作。</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6.探索推进新业态、新就业群体党建工作。</w:t>
      </w:r>
      <w:r>
        <w:rPr>
          <w:rFonts w:hint="eastAsia" w:ascii="仿宋_GB2312" w:hAnsi="TimesNewRoman" w:eastAsia="仿宋_GB2312" w:cs="TimesNewRoman"/>
          <w:kern w:val="0"/>
          <w:sz w:val="32"/>
          <w:szCs w:val="32"/>
          <w:lang w:val="en-US" w:eastAsia="zh-CN" w:bidi="ar-SA"/>
        </w:rPr>
        <w:t>对照全省、全市重点网约出行、网约配送平台企业的合作企业和重点快递企业的加盟企业台账，核实合作企业、加盟企业中的新就业群体党员情况，指导推动相关行业部门、街道社区（园区）党组织，全面摸排走访，推进“两个覆盖”。</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7.做好园区非公企业党建工作调研评估配合工作。持续做好全国民营“500”强企业、省“百强”民营企业、规上工业企业等9类企业经营发展与党建情况、党组织和群团组织组建情况摸底排查工作。</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8.持续做好全国民营“500”强企业、省“百强”民营企业、规上工业企业等9类企业经营发展与党建情况、党组织和群团组织组建情况摸底排查工作。</w:t>
      </w:r>
    </w:p>
    <w:p>
      <w:pPr>
        <w:keepNext w:val="0"/>
        <w:keepLines w:val="0"/>
        <w:widowControl w:val="0"/>
        <w:suppressLineNumbers w:val="0"/>
        <w:spacing w:before="0" w:beforeAutospacing="0" w:after="0" w:afterAutospacing="0"/>
        <w:ind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9.做好党建指导员轮换、培训工作。对2025年度兼职和专职党建工作指导员做好聘任工作，谋划2025年度党建指导员培训工作。</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10.研究谋划行业协会商会党建工作。召开全县性行业协会商会工作推进会，要求各行业管理部门、业务主管单位、县级有关行业（综合）党委和各地所属行业协会商会党组织建立情况开展集中摸排。</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11.开展“党建强、发展强”案例征集。县级有关行业管理部门、行业（综合）党委总结提炼一批在“两企三新”、行业协会商会领域示范效应好、有推广价值的“党建强、发展强”典型案例。</w:t>
      </w:r>
    </w:p>
    <w:p>
      <w:pPr>
        <w:keepNext w:val="0"/>
        <w:keepLines w:val="0"/>
        <w:widowControl w:val="0"/>
        <w:suppressLineNumbers w:val="0"/>
        <w:spacing w:before="0" w:beforeAutospacing="0" w:after="0" w:afterAutospacing="0"/>
        <w:ind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12.推动志愿服务常态化开展，</w:t>
      </w:r>
      <w:r>
        <w:rPr>
          <w:rFonts w:hint="eastAsia" w:ascii="仿宋_GB2312" w:hAnsi="TimesNewRoman" w:eastAsia="仿宋_GB2312" w:cs="TimesNewRoman"/>
          <w:kern w:val="0"/>
          <w:sz w:val="32"/>
          <w:szCs w:val="32"/>
          <w:lang w:val="en-US" w:eastAsia="zh-CN" w:bidi="ar-SA"/>
        </w:rPr>
        <w:t>将基层治理与百姓生活深度融合，让志愿服务工作走深走实。</w:t>
      </w:r>
    </w:p>
    <w:p>
      <w:pPr>
        <w:keepNext w:val="0"/>
        <w:keepLines w:val="0"/>
        <w:widowControl w:val="0"/>
        <w:suppressLineNumbers w:val="0"/>
        <w:spacing w:before="0" w:beforeAutospacing="0" w:after="0" w:afterAutospacing="0"/>
        <w:ind w:right="0" w:firstLine="640" w:firstLineChars="200"/>
        <w:jc w:val="both"/>
        <w:rPr>
          <w:rFonts w:hint="eastAsia" w:ascii="仿宋_GB2312" w:hAnsi="TimesNewRoman" w:eastAsia="仿宋_GB2312" w:cs="TimesNewRoman"/>
          <w:kern w:val="0"/>
          <w:sz w:val="32"/>
          <w:szCs w:val="32"/>
          <w:lang w:val="en-US" w:eastAsia="zh-CN" w:bidi="ar-SA"/>
        </w:rPr>
      </w:pPr>
      <w:r>
        <w:rPr>
          <w:rFonts w:hint="eastAsia" w:ascii="仿宋_GB2312" w:hAnsi="TimesNewRoman" w:eastAsia="仿宋_GB2312" w:cs="TimesNewRoman"/>
          <w:kern w:val="0"/>
          <w:sz w:val="32"/>
          <w:szCs w:val="32"/>
          <w:lang w:val="en-US" w:eastAsia="zh-CN" w:bidi="ar-SA"/>
        </w:rPr>
        <w:t>13.发挥专业社工作用，吸纳社会工作专业人才参与社区志愿服务；培育壮大社区志愿服务组织（队伍）发挥基层党组织战斗堡垒作用，鼓励新经济组织、新社会组织、新就业群体支持参与志愿服务，以“一老一小”、新就业群体为服务重点开展更多“小而美”的志愿服务项目。</w:t>
      </w:r>
    </w:p>
    <w:p>
      <w:pPr>
        <w:keepNext w:val="0"/>
        <w:keepLines w:val="0"/>
        <w:widowControl w:val="0"/>
        <w:suppressLineNumbers w:val="0"/>
        <w:spacing w:before="0" w:beforeAutospacing="0" w:after="0" w:afterAutospacing="0"/>
        <w:ind w:right="0" w:firstLine="640" w:firstLineChars="200"/>
        <w:jc w:val="both"/>
        <w:rPr>
          <w:rFonts w:ascii="TimesNewRoman" w:hAnsi="TimesNewRoman" w:eastAsia="黑体" w:cs="TimesNewRoman"/>
          <w:bCs/>
          <w:sz w:val="36"/>
          <w:szCs w:val="36"/>
        </w:rPr>
      </w:pPr>
      <w:r>
        <w:rPr>
          <w:rFonts w:hint="eastAsia" w:ascii="仿宋_GB2312" w:hAnsi="TimesNewRoman" w:eastAsia="仿宋_GB2312" w:cs="TimesNewRoman"/>
          <w:kern w:val="0"/>
          <w:sz w:val="32"/>
          <w:szCs w:val="32"/>
          <w:lang w:val="en-US" w:eastAsia="zh-CN" w:bidi="ar-SA"/>
        </w:rPr>
        <w:t>14.信息宣传。</w:t>
      </w:r>
      <w:r>
        <w:rPr>
          <w:rFonts w:hint="eastAsia" w:ascii="仿宋_GB2312" w:hAnsi="TimesNewRoman" w:eastAsia="仿宋_GB2312" w:cs="TimesNewRoman"/>
          <w:kern w:val="0"/>
          <w:sz w:val="32"/>
          <w:szCs w:val="32"/>
          <w:lang w:val="en-US" w:eastAsia="zh-CN" w:bidi="ar-SA"/>
        </w:rPr>
        <w:t>加强公众号内容时效性和针对性，紧密围绕中心工作进行深入报道和宣传。关注基层实践和亮点工作，总结提炼进行对外宣传。关注行业动态和趋势，丰富公众号内容，学习其他优秀公众号的运营策略和成功经验，通过借鉴和创新，提升公众号的运营水平和吸引力。</w:t>
      </w:r>
    </w:p>
    <w:p>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rPr>
        <w:t>2025</w:t>
      </w:r>
      <w:r>
        <w:rPr>
          <w:rFonts w:ascii="TimesNewRoman" w:hAnsi="TimesNewRoman" w:eastAsia="黑体" w:cs="TimesNewRoman"/>
          <w:bCs/>
          <w:sz w:val="36"/>
          <w:szCs w:val="36"/>
        </w:rPr>
        <w:t>年部门预算情况说明</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一、关于2025年收支总表的说明</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w:t>
      </w: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所有收入和支出均纳入部门预算管理。</w:t>
      </w: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2025年收支总预算</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万元，收入全部是一般公共预算拨款收入，支出包括：</w:t>
      </w:r>
      <w:r>
        <w:rPr>
          <w:rFonts w:hint="eastAsia" w:ascii="仿宋_GB2312" w:hAnsi="TimesNewRoman" w:eastAsia="仿宋_GB2312" w:cs="TimesNewRoman"/>
          <w:sz w:val="32"/>
          <w:szCs w:val="32"/>
          <w:lang w:val="en-US" w:eastAsia="zh-CN"/>
        </w:rPr>
        <w:t>一般公共服务支出</w:t>
      </w:r>
      <w:r>
        <w:rPr>
          <w:rFonts w:hint="eastAsia" w:ascii="仿宋_GB2312" w:hAnsi="TimesNewRoman" w:eastAsia="仿宋_GB2312" w:cs="TimesNewRoman"/>
          <w:sz w:val="32"/>
          <w:szCs w:val="32"/>
        </w:rPr>
        <w:t>、社会保障和就业支出、卫生健康支出、住房保障支出。</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二、关于2025年收入总表的说明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2025年收入预算</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无</w:t>
      </w:r>
      <w:r>
        <w:rPr>
          <w:rFonts w:hint="eastAsia" w:ascii="仿宋_GB2312" w:hAnsi="TimesNewRoman" w:eastAsia="仿宋_GB2312" w:cs="TimesNewRoman"/>
          <w:sz w:val="32"/>
          <w:szCs w:val="32"/>
        </w:rPr>
        <w:t>上年结转收入。</w:t>
      </w:r>
    </w:p>
    <w:p>
      <w:pPr>
        <w:topLinePunct/>
        <w:adjustRightInd w:val="0"/>
        <w:snapToGrid w:val="0"/>
        <w:spacing w:line="58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万元，全部为一般公共预算拨款收入</w:t>
      </w:r>
      <w:r>
        <w:rPr>
          <w:rFonts w:hint="eastAsia" w:ascii="仿宋_GB2312" w:hAnsi="TimesNewRoman" w:eastAsia="仿宋_GB2312" w:cs="TimesNewRoman"/>
          <w:sz w:val="32"/>
          <w:szCs w:val="32"/>
          <w:lang w:eastAsia="zh-CN"/>
        </w:rPr>
        <w:t>。</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三、关于2025年支出总表的说明</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2025年支出预算</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万元，其中，基本支出</w:t>
      </w:r>
      <w:r>
        <w:rPr>
          <w:rFonts w:hint="eastAsia" w:ascii="仿宋_GB2312" w:hAnsi="TimesNewRoman" w:eastAsia="仿宋_GB2312" w:cs="TimesNewRoman"/>
          <w:sz w:val="32"/>
          <w:szCs w:val="32"/>
          <w:lang w:val="en-US" w:eastAsia="zh-CN"/>
        </w:rPr>
        <w:t>67.62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57.49</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50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42.51</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保障单位常规活动相关支出</w:t>
      </w:r>
      <w:r>
        <w:rPr>
          <w:rFonts w:hint="eastAsia" w:ascii="仿宋_GB2312" w:hAnsi="TimesNewRoman" w:eastAsia="仿宋_GB2312" w:cs="TimesNewRoman"/>
          <w:sz w:val="32"/>
          <w:szCs w:val="32"/>
        </w:rPr>
        <w:t>；事业单位经营支出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%；上缴上级支出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%；对附属单位补助支出</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四、关于2025年财政拨款收支总表的说明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2025年财政拨款收支预算</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万元。收入按资金来源分全部为一般公共预算拨款；按资金年度分全部为当年财政拨款收入。支出按功能分类分为：</w:t>
      </w:r>
      <w:r>
        <w:rPr>
          <w:rFonts w:hint="eastAsia" w:ascii="仿宋_GB2312" w:hAnsi="TimesNewRoman" w:eastAsia="仿宋_GB2312" w:cs="TimesNewRoman"/>
          <w:sz w:val="32"/>
          <w:szCs w:val="32"/>
          <w:lang w:val="en-US" w:eastAsia="zh-CN"/>
        </w:rPr>
        <w:t>一般公共服务</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100.37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85.33</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10.11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8.59</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2.15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1.83</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4.25</w:t>
      </w:r>
      <w:r>
        <w:rPr>
          <w:rFonts w:hint="eastAsia" w:ascii="仿宋_GB2312" w:hAnsi="TimesNewRoman" w:eastAsia="仿宋_GB2312" w:cs="TimesNewRoman"/>
          <w:sz w:val="32"/>
          <w:szCs w:val="32"/>
        </w:rPr>
        <w:t>%。</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五、关于2025年一般公共预算支出表的说明</w:t>
      </w:r>
    </w:p>
    <w:p>
      <w:pPr>
        <w:pStyle w:val="3"/>
        <w:topLinePunct/>
        <w:adjustRightInd w:val="0"/>
        <w:snapToGrid w:val="0"/>
        <w:spacing w:beforeAutospacing="0" w:afterAutospacing="0" w:line="580" w:lineRule="exact"/>
        <w:ind w:firstLine="629"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2025年一般公共预算支出</w:t>
      </w:r>
      <w:r>
        <w:rPr>
          <w:rFonts w:hint="eastAsia" w:ascii="仿宋_GB2312" w:hAnsi="TimesNewRoman" w:eastAsia="仿宋_GB2312" w:cs="TimesNewRoman"/>
          <w:sz w:val="32"/>
          <w:szCs w:val="32"/>
          <w:lang w:val="en-US" w:eastAsia="zh-CN"/>
        </w:rPr>
        <w:t>117.62</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pPr>
        <w:pStyle w:val="3"/>
        <w:topLinePunct/>
        <w:adjustRightInd w:val="0"/>
        <w:snapToGrid w:val="0"/>
        <w:spacing w:beforeAutospacing="0" w:afterAutospacing="0" w:line="580" w:lineRule="exact"/>
        <w:ind w:firstLine="629"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一般公共服务</w:t>
      </w:r>
      <w:r>
        <w:rPr>
          <w:rFonts w:hint="eastAsia" w:ascii="仿宋_GB2312" w:hAnsi="TimesNewRoman" w:eastAsia="仿宋_GB2312" w:cs="TimesNewRoman"/>
          <w:sz w:val="32"/>
          <w:szCs w:val="32"/>
        </w:rPr>
        <w:t>支出</w:t>
      </w:r>
      <w:r>
        <w:rPr>
          <w:rFonts w:hint="eastAsia" w:ascii="仿宋_GB2312" w:hAnsi="TimesNewRoman" w:eastAsia="仿宋_GB2312" w:cs="TimesNewRoman"/>
          <w:sz w:val="32"/>
          <w:szCs w:val="32"/>
          <w:lang w:val="en-US" w:eastAsia="zh-CN"/>
        </w:rPr>
        <w:t>100.37</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85.33</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10.11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8.59</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2.15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1.83</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4.25</w:t>
      </w:r>
      <w:r>
        <w:rPr>
          <w:rFonts w:hint="eastAsia" w:ascii="仿宋_GB2312" w:hAnsi="TimesNewRoman" w:eastAsia="仿宋_GB2312" w:cs="TimesNewRoman"/>
          <w:sz w:val="32"/>
          <w:szCs w:val="32"/>
        </w:rPr>
        <w:t>%。</w:t>
      </w:r>
    </w:p>
    <w:p>
      <w:pPr>
        <w:topLinePunct/>
        <w:adjustRightInd w:val="0"/>
        <w:snapToGrid w:val="0"/>
        <w:spacing w:line="58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pPr>
        <w:pStyle w:val="3"/>
        <w:adjustRightInd w:val="0"/>
        <w:snapToGrid w:val="0"/>
        <w:spacing w:before="0" w:beforeAutospacing="0" w:after="0" w:afterAutospacing="0" w:line="600" w:lineRule="exact"/>
        <w:ind w:firstLine="629" w:firstLineChars="196"/>
        <w:rPr>
          <w:rFonts w:hint="eastAsia" w:ascii="仿宋_GB2312" w:hAnsi="仿宋" w:eastAsia="仿宋_GB2312"/>
          <w:sz w:val="32"/>
          <w:szCs w:val="32"/>
          <w:lang w:eastAsia="zh-CN"/>
        </w:rPr>
      </w:pPr>
      <w:r>
        <w:rPr>
          <w:rFonts w:hint="eastAsia" w:ascii="仿宋" w:hAnsi="仿宋" w:eastAsia="仿宋"/>
          <w:b/>
          <w:sz w:val="32"/>
          <w:szCs w:val="32"/>
        </w:rPr>
        <w:t>1.</w:t>
      </w:r>
      <w:r>
        <w:rPr>
          <w:rFonts w:hint="eastAsia" w:ascii="仿宋" w:hAnsi="仿宋" w:eastAsia="仿宋"/>
          <w:b/>
          <w:sz w:val="32"/>
          <w:szCs w:val="32"/>
          <w:lang w:eastAsia="zh-CN"/>
        </w:rPr>
        <w:t>一般公共服务</w:t>
      </w:r>
      <w:r>
        <w:rPr>
          <w:rFonts w:hint="eastAsia" w:ascii="仿宋" w:hAnsi="仿宋" w:eastAsia="仿宋"/>
          <w:b/>
          <w:sz w:val="32"/>
          <w:szCs w:val="32"/>
        </w:rPr>
        <w:t>支出（类）</w:t>
      </w:r>
      <w:r>
        <w:rPr>
          <w:rFonts w:hint="eastAsia" w:ascii="仿宋" w:hAnsi="仿宋" w:eastAsia="仿宋"/>
          <w:b/>
          <w:sz w:val="32"/>
          <w:szCs w:val="32"/>
          <w:lang w:eastAsia="zh-CN"/>
        </w:rPr>
        <w:t>社会工作事务</w:t>
      </w:r>
      <w:r>
        <w:rPr>
          <w:rFonts w:hint="eastAsia" w:ascii="仿宋" w:hAnsi="仿宋" w:eastAsia="仿宋"/>
          <w:b/>
          <w:sz w:val="32"/>
          <w:szCs w:val="32"/>
        </w:rPr>
        <w:t>（款）</w:t>
      </w:r>
      <w:r>
        <w:rPr>
          <w:rFonts w:hint="eastAsia" w:ascii="仿宋" w:hAnsi="仿宋" w:eastAsia="仿宋"/>
          <w:b/>
          <w:sz w:val="32"/>
          <w:szCs w:val="32"/>
          <w:lang w:eastAsia="zh-CN"/>
        </w:rPr>
        <w:t>行政</w:t>
      </w:r>
      <w:r>
        <w:rPr>
          <w:rFonts w:hint="eastAsia" w:ascii="仿宋" w:hAnsi="仿宋" w:eastAsia="仿宋"/>
          <w:b/>
          <w:sz w:val="32"/>
          <w:szCs w:val="32"/>
        </w:rPr>
        <w:t>运行（项）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39</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adjustRightInd w:val="0"/>
        <w:snapToGrid w:val="0"/>
        <w:spacing w:before="0" w:beforeAutospacing="0" w:after="0" w:afterAutospacing="0" w:line="600" w:lineRule="exact"/>
        <w:ind w:firstLine="629" w:firstLineChars="196"/>
        <w:rPr>
          <w:rFonts w:hint="eastAsia" w:ascii="仿宋_GB2312" w:hAnsi="仿宋" w:eastAsia="仿宋_GB2312"/>
          <w:sz w:val="32"/>
          <w:szCs w:val="32"/>
          <w:lang w:eastAsia="zh-CN"/>
        </w:rPr>
      </w:pPr>
      <w:r>
        <w:rPr>
          <w:rFonts w:hint="eastAsia" w:ascii="仿宋" w:hAnsi="仿宋" w:eastAsia="仿宋"/>
          <w:b/>
          <w:sz w:val="32"/>
          <w:szCs w:val="32"/>
          <w:lang w:val="en-US" w:eastAsia="zh-CN"/>
        </w:rPr>
        <w:t>2.</w:t>
      </w:r>
      <w:r>
        <w:rPr>
          <w:rFonts w:hint="eastAsia" w:ascii="仿宋" w:hAnsi="仿宋" w:eastAsia="仿宋"/>
          <w:b/>
          <w:sz w:val="32"/>
          <w:szCs w:val="32"/>
          <w:lang w:eastAsia="zh-CN"/>
        </w:rPr>
        <w:t>一般公共服务</w:t>
      </w:r>
      <w:r>
        <w:rPr>
          <w:rFonts w:hint="eastAsia" w:ascii="仿宋" w:hAnsi="仿宋" w:eastAsia="仿宋"/>
          <w:b/>
          <w:sz w:val="32"/>
          <w:szCs w:val="32"/>
        </w:rPr>
        <w:t>支出（类）</w:t>
      </w:r>
      <w:r>
        <w:rPr>
          <w:rFonts w:hint="eastAsia" w:ascii="仿宋" w:hAnsi="仿宋" w:eastAsia="仿宋"/>
          <w:b/>
          <w:sz w:val="32"/>
          <w:szCs w:val="32"/>
          <w:lang w:eastAsia="zh-CN"/>
        </w:rPr>
        <w:t>社会工作事务</w:t>
      </w:r>
      <w:r>
        <w:rPr>
          <w:rFonts w:hint="eastAsia" w:ascii="仿宋" w:hAnsi="仿宋" w:eastAsia="仿宋"/>
          <w:b/>
          <w:sz w:val="32"/>
          <w:szCs w:val="32"/>
        </w:rPr>
        <w:t>（款）</w:t>
      </w:r>
      <w:r>
        <w:rPr>
          <w:rFonts w:hint="eastAsia" w:ascii="仿宋" w:hAnsi="仿宋" w:eastAsia="仿宋"/>
          <w:b/>
          <w:sz w:val="32"/>
          <w:szCs w:val="32"/>
          <w:lang w:eastAsia="zh-CN"/>
        </w:rPr>
        <w:t>一般行政管理事务</w:t>
      </w:r>
      <w:r>
        <w:rPr>
          <w:rFonts w:hint="eastAsia" w:ascii="仿宋" w:hAnsi="仿宋" w:eastAsia="仿宋"/>
          <w:b/>
          <w:sz w:val="32"/>
          <w:szCs w:val="32"/>
        </w:rPr>
        <w:t>（项）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adjustRightInd w:val="0"/>
        <w:snapToGrid w:val="0"/>
        <w:spacing w:before="0" w:beforeAutospacing="0" w:after="0" w:afterAutospacing="0" w:line="600" w:lineRule="exact"/>
        <w:ind w:firstLine="629" w:firstLineChars="196"/>
        <w:rPr>
          <w:rFonts w:hint="eastAsia" w:ascii="仿宋_GB2312" w:hAnsi="仿宋" w:eastAsia="仿宋_GB2312"/>
          <w:sz w:val="32"/>
          <w:szCs w:val="32"/>
          <w:lang w:eastAsia="zh-CN"/>
        </w:rPr>
      </w:pPr>
      <w:r>
        <w:rPr>
          <w:rFonts w:hint="eastAsia" w:ascii="仿宋" w:hAnsi="仿宋" w:eastAsia="仿宋"/>
          <w:b/>
          <w:sz w:val="32"/>
          <w:szCs w:val="32"/>
          <w:lang w:val="en-US" w:eastAsia="zh-CN"/>
        </w:rPr>
        <w:t>3.</w:t>
      </w:r>
      <w:r>
        <w:rPr>
          <w:rFonts w:hint="eastAsia" w:ascii="仿宋" w:hAnsi="仿宋" w:eastAsia="仿宋"/>
          <w:b/>
          <w:sz w:val="32"/>
          <w:szCs w:val="32"/>
          <w:lang w:eastAsia="zh-CN"/>
        </w:rPr>
        <w:t>一般公共服务</w:t>
      </w:r>
      <w:r>
        <w:rPr>
          <w:rFonts w:hint="eastAsia" w:ascii="仿宋" w:hAnsi="仿宋" w:eastAsia="仿宋"/>
          <w:b/>
          <w:sz w:val="32"/>
          <w:szCs w:val="32"/>
        </w:rPr>
        <w:t>支出（类）</w:t>
      </w:r>
      <w:r>
        <w:rPr>
          <w:rFonts w:hint="eastAsia" w:ascii="仿宋" w:hAnsi="仿宋" w:eastAsia="仿宋"/>
          <w:b/>
          <w:sz w:val="32"/>
          <w:szCs w:val="32"/>
          <w:lang w:eastAsia="zh-CN"/>
        </w:rPr>
        <w:t>社会工作事务</w:t>
      </w:r>
      <w:r>
        <w:rPr>
          <w:rFonts w:hint="eastAsia" w:ascii="仿宋" w:hAnsi="仿宋" w:eastAsia="仿宋"/>
          <w:b/>
          <w:sz w:val="32"/>
          <w:szCs w:val="32"/>
        </w:rPr>
        <w:t>（款）</w:t>
      </w:r>
      <w:r>
        <w:rPr>
          <w:rFonts w:hint="eastAsia" w:ascii="仿宋" w:hAnsi="仿宋" w:eastAsia="仿宋"/>
          <w:b/>
          <w:sz w:val="32"/>
          <w:szCs w:val="32"/>
          <w:lang w:eastAsia="zh-CN"/>
        </w:rPr>
        <w:t>事业</w:t>
      </w:r>
      <w:r>
        <w:rPr>
          <w:rFonts w:hint="eastAsia" w:ascii="仿宋" w:hAnsi="仿宋" w:eastAsia="仿宋"/>
          <w:b/>
          <w:sz w:val="32"/>
          <w:szCs w:val="32"/>
        </w:rPr>
        <w:t>运行（项）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10.26</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adjustRightInd w:val="0"/>
        <w:snapToGrid w:val="0"/>
        <w:spacing w:before="0" w:beforeAutospacing="0" w:after="0" w:afterAutospacing="0" w:line="600" w:lineRule="exact"/>
        <w:ind w:firstLine="629" w:firstLineChars="196"/>
        <w:rPr>
          <w:rFonts w:hint="eastAsia" w:ascii="仿宋_GB2312" w:hAnsi="仿宋" w:eastAsia="仿宋_GB2312"/>
          <w:sz w:val="32"/>
          <w:szCs w:val="32"/>
          <w:lang w:eastAsia="zh-CN"/>
        </w:rPr>
      </w:pPr>
      <w:r>
        <w:rPr>
          <w:rFonts w:hint="eastAsia" w:ascii="仿宋" w:hAnsi="仿宋" w:eastAsia="仿宋"/>
          <w:b/>
          <w:sz w:val="32"/>
          <w:szCs w:val="32"/>
          <w:lang w:val="en-US" w:eastAsia="zh-CN"/>
        </w:rPr>
        <w:t>4.一</w:t>
      </w:r>
      <w:r>
        <w:rPr>
          <w:rFonts w:hint="eastAsia" w:ascii="仿宋" w:hAnsi="仿宋" w:eastAsia="仿宋"/>
          <w:b/>
          <w:sz w:val="32"/>
          <w:szCs w:val="32"/>
          <w:lang w:eastAsia="zh-CN"/>
        </w:rPr>
        <w:t>般公共服务</w:t>
      </w:r>
      <w:r>
        <w:rPr>
          <w:rFonts w:hint="eastAsia" w:ascii="仿宋" w:hAnsi="仿宋" w:eastAsia="仿宋"/>
          <w:b/>
          <w:sz w:val="32"/>
          <w:szCs w:val="32"/>
        </w:rPr>
        <w:t>支出（类）</w:t>
      </w:r>
      <w:r>
        <w:rPr>
          <w:rFonts w:hint="eastAsia" w:ascii="仿宋" w:hAnsi="仿宋" w:eastAsia="仿宋"/>
          <w:b/>
          <w:sz w:val="32"/>
          <w:szCs w:val="32"/>
          <w:lang w:eastAsia="zh-CN"/>
        </w:rPr>
        <w:t>信访事务</w:t>
      </w:r>
      <w:r>
        <w:rPr>
          <w:rFonts w:hint="eastAsia" w:ascii="仿宋" w:hAnsi="仿宋" w:eastAsia="仿宋"/>
          <w:b/>
          <w:sz w:val="32"/>
          <w:szCs w:val="32"/>
        </w:rPr>
        <w:t>（款）</w:t>
      </w:r>
      <w:r>
        <w:rPr>
          <w:rFonts w:hint="eastAsia" w:ascii="仿宋" w:hAnsi="仿宋" w:eastAsia="仿宋"/>
          <w:b/>
          <w:sz w:val="32"/>
          <w:szCs w:val="32"/>
          <w:lang w:eastAsia="zh-CN"/>
        </w:rPr>
        <w:t>行政</w:t>
      </w:r>
      <w:r>
        <w:rPr>
          <w:rFonts w:hint="eastAsia" w:ascii="仿宋" w:hAnsi="仿宋" w:eastAsia="仿宋"/>
          <w:b/>
          <w:sz w:val="32"/>
          <w:szCs w:val="32"/>
        </w:rPr>
        <w:t>运行（项）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1.12</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adjustRightInd w:val="0"/>
        <w:snapToGrid w:val="0"/>
        <w:spacing w:before="0" w:beforeAutospacing="0" w:after="0" w:afterAutospacing="0" w:line="600" w:lineRule="exact"/>
        <w:ind w:firstLine="629" w:firstLineChars="196"/>
        <w:rPr>
          <w:rFonts w:ascii="仿宋_GB2312" w:hAnsi="仿宋" w:eastAsia="仿宋_GB2312"/>
          <w:sz w:val="32"/>
          <w:szCs w:val="32"/>
        </w:rPr>
      </w:pPr>
      <w:r>
        <w:rPr>
          <w:rFonts w:hint="eastAsia" w:ascii="仿宋_GB2312" w:hAnsi="TimesNewRoman" w:eastAsia="仿宋_GB2312" w:cs="TimesNewRoman"/>
          <w:b/>
          <w:sz w:val="32"/>
          <w:szCs w:val="32"/>
          <w:lang w:val="en-US" w:eastAsia="zh-CN"/>
        </w:rPr>
        <w:t>5</w:t>
      </w:r>
      <w:r>
        <w:rPr>
          <w:rFonts w:hint="eastAsia" w:ascii="仿宋_GB2312" w:hAnsi="TimesNewRoman" w:eastAsia="仿宋_GB2312" w:cs="TimesNewRoman"/>
          <w:b/>
          <w:sz w:val="32"/>
          <w:szCs w:val="32"/>
        </w:rPr>
        <w:t>.</w:t>
      </w:r>
      <w:r>
        <w:rPr>
          <w:rFonts w:hint="eastAsia" w:ascii="仿宋" w:hAnsi="仿宋" w:eastAsia="仿宋"/>
          <w:b/>
          <w:sz w:val="32"/>
          <w:szCs w:val="32"/>
        </w:rPr>
        <w:t>社会保障和就业支出（类） 行政事业单位养老支出（款）  机关事业单位基本养老保险缴费支出（项）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6.66</w:t>
      </w:r>
      <w:r>
        <w:rPr>
          <w:rFonts w:hint="eastAsia" w:ascii="仿宋_GB2312" w:hAnsi="仿宋" w:eastAsia="仿宋_GB2312"/>
          <w:sz w:val="32"/>
          <w:szCs w:val="32"/>
        </w:rPr>
        <w:t>万元。</w:t>
      </w:r>
    </w:p>
    <w:p>
      <w:pPr>
        <w:pStyle w:val="3"/>
        <w:adjustRightInd w:val="0"/>
        <w:snapToGrid w:val="0"/>
        <w:spacing w:before="0" w:beforeAutospacing="0" w:after="0" w:afterAutospacing="0" w:line="600" w:lineRule="exact"/>
        <w:ind w:firstLine="629" w:firstLineChars="196"/>
        <w:rPr>
          <w:rFonts w:hint="eastAsia" w:ascii="仿宋_GB2312" w:hAnsi="仿宋" w:eastAsia="仿宋_GB2312"/>
          <w:sz w:val="32"/>
          <w:szCs w:val="32"/>
          <w:lang w:eastAsia="zh-CN"/>
        </w:rPr>
      </w:pPr>
      <w:r>
        <w:rPr>
          <w:rFonts w:hint="eastAsia" w:ascii="仿宋_GB2312" w:hAnsi="TimesNewRoman" w:eastAsia="仿宋_GB2312" w:cs="TimesNewRoman"/>
          <w:b/>
          <w:sz w:val="32"/>
          <w:szCs w:val="32"/>
          <w:lang w:val="en-US" w:eastAsia="zh-CN"/>
        </w:rPr>
        <w:t>6</w:t>
      </w:r>
      <w:r>
        <w:rPr>
          <w:rFonts w:hint="eastAsia" w:ascii="仿宋_GB2312" w:hAnsi="TimesNewRoman" w:eastAsia="仿宋_GB2312" w:cs="TimesNewRoman"/>
          <w:b/>
          <w:sz w:val="32"/>
          <w:szCs w:val="32"/>
        </w:rPr>
        <w:t>.</w:t>
      </w:r>
      <w:r>
        <w:rPr>
          <w:rFonts w:hint="eastAsia" w:ascii="仿宋" w:hAnsi="仿宋" w:eastAsia="仿宋"/>
          <w:b/>
          <w:sz w:val="32"/>
          <w:szCs w:val="32"/>
        </w:rPr>
        <w:t>社会保障和就业支出（类） 行政事业单位养老支出（款）机关事业单位职业年金缴费支出（项）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3.33</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adjustRightInd w:val="0"/>
        <w:snapToGrid w:val="0"/>
        <w:spacing w:before="0" w:beforeAutospacing="0" w:after="0" w:afterAutospacing="0" w:line="600" w:lineRule="exact"/>
        <w:ind w:firstLine="629" w:firstLineChars="196"/>
        <w:rPr>
          <w:rFonts w:ascii="仿宋_GB2312" w:hAnsi="仿宋" w:eastAsia="仿宋_GB2312"/>
          <w:sz w:val="32"/>
          <w:szCs w:val="32"/>
        </w:rPr>
      </w:pPr>
      <w:r>
        <w:rPr>
          <w:rFonts w:hint="eastAsia" w:ascii="仿宋" w:hAnsi="仿宋" w:eastAsia="仿宋"/>
          <w:b/>
          <w:sz w:val="32"/>
          <w:szCs w:val="32"/>
          <w:lang w:val="en-US" w:eastAsia="zh-CN"/>
        </w:rPr>
        <w:t>7</w:t>
      </w:r>
      <w:r>
        <w:rPr>
          <w:rFonts w:hint="eastAsia" w:ascii="仿宋" w:hAnsi="仿宋" w:eastAsia="仿宋"/>
          <w:b/>
          <w:sz w:val="32"/>
          <w:szCs w:val="32"/>
        </w:rPr>
        <w:t>.社会保障和就业支出（类） 其他社会保障和就业支出（款）其他社会保障和就业支出（项）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ascii="仿宋_GB2312" w:hAnsi="仿宋" w:eastAsia="仿宋_GB2312"/>
          <w:sz w:val="32"/>
          <w:szCs w:val="32"/>
        </w:rPr>
        <w:t>0.</w:t>
      </w:r>
      <w:r>
        <w:rPr>
          <w:rFonts w:hint="eastAsia" w:ascii="仿宋_GB2312" w:hAnsi="仿宋" w:eastAsia="仿宋_GB2312"/>
          <w:sz w:val="32"/>
          <w:szCs w:val="32"/>
          <w:lang w:val="en-US" w:eastAsia="zh-CN"/>
        </w:rPr>
        <w:t>11</w:t>
      </w:r>
      <w:r>
        <w:rPr>
          <w:rFonts w:hint="eastAsia" w:ascii="仿宋_GB2312" w:hAnsi="仿宋" w:eastAsia="仿宋_GB2312"/>
          <w:sz w:val="32"/>
          <w:szCs w:val="32"/>
        </w:rPr>
        <w:t>万元。</w:t>
      </w:r>
    </w:p>
    <w:p>
      <w:pPr>
        <w:pStyle w:val="3"/>
        <w:adjustRightInd w:val="0"/>
        <w:snapToGrid w:val="0"/>
        <w:spacing w:before="0" w:beforeAutospacing="0" w:after="0" w:afterAutospacing="0" w:line="600" w:lineRule="exact"/>
        <w:ind w:firstLine="629" w:firstLineChars="196"/>
        <w:rPr>
          <w:rFonts w:ascii="仿宋_GB2312" w:hAnsi="仿宋" w:eastAsia="仿宋_GB2312"/>
          <w:sz w:val="32"/>
          <w:szCs w:val="32"/>
        </w:rPr>
      </w:pPr>
      <w:r>
        <w:rPr>
          <w:rFonts w:hint="eastAsia" w:ascii="仿宋" w:hAnsi="仿宋" w:eastAsia="仿宋"/>
          <w:b/>
          <w:sz w:val="32"/>
          <w:szCs w:val="32"/>
          <w:lang w:val="en-US" w:eastAsia="zh-CN"/>
        </w:rPr>
        <w:t>8</w:t>
      </w:r>
      <w:r>
        <w:rPr>
          <w:rFonts w:hint="eastAsia" w:ascii="仿宋" w:hAnsi="仿宋" w:eastAsia="仿宋"/>
          <w:b/>
          <w:sz w:val="32"/>
          <w:szCs w:val="32"/>
        </w:rPr>
        <w:t>.卫生健康支出（类）行政</w:t>
      </w:r>
      <w:r>
        <w:rPr>
          <w:rFonts w:hint="eastAsia" w:ascii="仿宋" w:hAnsi="仿宋" w:eastAsia="仿宋"/>
          <w:b/>
          <w:sz w:val="32"/>
          <w:szCs w:val="32"/>
          <w:lang w:val="en-US" w:eastAsia="zh-CN"/>
        </w:rPr>
        <w:t>事业</w:t>
      </w:r>
      <w:r>
        <w:rPr>
          <w:rFonts w:hint="eastAsia" w:ascii="仿宋" w:hAnsi="仿宋" w:eastAsia="仿宋"/>
          <w:b/>
          <w:sz w:val="32"/>
          <w:szCs w:val="32"/>
        </w:rPr>
        <w:t>单位医疗（款）行政单位医疗（项）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1.44</w:t>
      </w:r>
      <w:r>
        <w:rPr>
          <w:rFonts w:hint="eastAsia" w:ascii="仿宋_GB2312" w:hAnsi="仿宋" w:eastAsia="仿宋_GB2312"/>
          <w:sz w:val="32"/>
          <w:szCs w:val="32"/>
        </w:rPr>
        <w:t>万元。</w:t>
      </w:r>
    </w:p>
    <w:p>
      <w:pPr>
        <w:pStyle w:val="3"/>
        <w:adjustRightInd w:val="0"/>
        <w:snapToGrid w:val="0"/>
        <w:spacing w:before="0" w:beforeAutospacing="0" w:after="0" w:afterAutospacing="0" w:line="600" w:lineRule="exact"/>
        <w:ind w:firstLine="629" w:firstLineChars="196"/>
        <w:rPr>
          <w:rFonts w:ascii="仿宋_GB2312" w:hAnsi="仿宋" w:eastAsia="仿宋_GB2312"/>
          <w:sz w:val="32"/>
          <w:szCs w:val="32"/>
        </w:rPr>
      </w:pPr>
      <w:r>
        <w:rPr>
          <w:rFonts w:hint="eastAsia" w:ascii="仿宋" w:hAnsi="仿宋" w:eastAsia="仿宋"/>
          <w:b/>
          <w:sz w:val="32"/>
          <w:szCs w:val="32"/>
          <w:lang w:val="en-US" w:eastAsia="zh-CN"/>
        </w:rPr>
        <w:t>9</w:t>
      </w:r>
      <w:r>
        <w:rPr>
          <w:rFonts w:hint="eastAsia" w:ascii="仿宋" w:hAnsi="仿宋" w:eastAsia="仿宋"/>
          <w:b/>
          <w:sz w:val="32"/>
          <w:szCs w:val="32"/>
        </w:rPr>
        <w:t>.卫生健康支出（类）行政</w:t>
      </w:r>
      <w:r>
        <w:rPr>
          <w:rFonts w:hint="eastAsia" w:ascii="仿宋" w:hAnsi="仿宋" w:eastAsia="仿宋"/>
          <w:b/>
          <w:sz w:val="32"/>
          <w:szCs w:val="32"/>
          <w:lang w:val="en-US" w:eastAsia="zh-CN"/>
        </w:rPr>
        <w:t>事业</w:t>
      </w:r>
      <w:r>
        <w:rPr>
          <w:rFonts w:hint="eastAsia" w:ascii="仿宋" w:hAnsi="仿宋" w:eastAsia="仿宋"/>
          <w:b/>
          <w:sz w:val="32"/>
          <w:szCs w:val="32"/>
        </w:rPr>
        <w:t>单位医疗（款）</w:t>
      </w:r>
      <w:r>
        <w:rPr>
          <w:rFonts w:hint="eastAsia" w:ascii="仿宋" w:hAnsi="仿宋" w:eastAsia="仿宋"/>
          <w:b/>
          <w:sz w:val="32"/>
          <w:szCs w:val="32"/>
          <w:lang w:eastAsia="zh-CN"/>
        </w:rPr>
        <w:t>事业</w:t>
      </w:r>
      <w:r>
        <w:rPr>
          <w:rFonts w:hint="eastAsia" w:ascii="仿宋" w:hAnsi="仿宋" w:eastAsia="仿宋"/>
          <w:b/>
          <w:sz w:val="32"/>
          <w:szCs w:val="32"/>
        </w:rPr>
        <w:t>单位医疗（项）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0.71</w:t>
      </w:r>
      <w:r>
        <w:rPr>
          <w:rFonts w:hint="eastAsia" w:ascii="仿宋_GB2312" w:hAnsi="仿宋" w:eastAsia="仿宋_GB2312"/>
          <w:sz w:val="32"/>
          <w:szCs w:val="32"/>
        </w:rPr>
        <w:t>万元。</w:t>
      </w:r>
    </w:p>
    <w:p>
      <w:pPr>
        <w:adjustRightInd w:val="0"/>
        <w:snapToGrid w:val="0"/>
        <w:spacing w:line="600" w:lineRule="exact"/>
        <w:ind w:firstLine="642" w:firstLineChars="200"/>
        <w:rPr>
          <w:rFonts w:hint="eastAsia" w:ascii="仿宋_GB2312" w:hAnsi="仿宋" w:eastAsia="仿宋_GB2312"/>
          <w:sz w:val="32"/>
          <w:szCs w:val="32"/>
          <w:lang w:eastAsia="zh-CN"/>
        </w:rPr>
      </w:pPr>
      <w:r>
        <w:rPr>
          <w:rFonts w:hint="eastAsia" w:ascii="仿宋_GB2312" w:hAnsi="仿宋" w:eastAsia="仿宋_GB2312"/>
          <w:b/>
          <w:sz w:val="32"/>
          <w:szCs w:val="32"/>
          <w:lang w:val="en-US" w:eastAsia="zh-CN"/>
        </w:rPr>
        <w:t>10</w:t>
      </w:r>
      <w:r>
        <w:rPr>
          <w:rFonts w:hint="eastAsia" w:ascii="仿宋_GB2312" w:hAnsi="仿宋" w:eastAsia="仿宋_GB2312"/>
          <w:b/>
          <w:sz w:val="32"/>
          <w:szCs w:val="32"/>
        </w:rPr>
        <w:t>.住房保障支出（类）住房改革支出（款）住房公积金（项）</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六、关于2025年一般公共预算基本支出表的说明</w:t>
      </w:r>
    </w:p>
    <w:p>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2025年一般公共预算基本支出</w:t>
      </w:r>
      <w:r>
        <w:rPr>
          <w:rFonts w:hint="eastAsia" w:ascii="仿宋_GB2312" w:hAnsi="TimesNewRoman" w:eastAsia="仿宋_GB2312" w:cs="TimesNewRoman"/>
          <w:sz w:val="32"/>
          <w:szCs w:val="32"/>
          <w:lang w:val="en-US" w:eastAsia="zh-CN"/>
        </w:rPr>
        <w:t>67.62</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58.89</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8.74</w:t>
      </w:r>
      <w:r>
        <w:rPr>
          <w:rFonts w:hint="eastAsia" w:ascii="仿宋_GB2312" w:hAnsi="TimesNewRoman" w:eastAsia="仿宋_GB2312" w:cs="TimesNewRoman"/>
          <w:sz w:val="32"/>
          <w:szCs w:val="32"/>
        </w:rPr>
        <w:t>万元。</w:t>
      </w:r>
    </w:p>
    <w:p>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58.89</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w:t>
      </w:r>
      <w:r>
        <w:rPr>
          <w:rFonts w:hint="eastAsia" w:ascii="仿宋_GB2312" w:hAnsi="TimesNewRoman" w:eastAsia="仿宋_GB2312" w:cs="TimesNewRoman"/>
          <w:sz w:val="32"/>
          <w:szCs w:val="32"/>
          <w:u w:val="none"/>
          <w:lang w:eastAsia="zh-CN"/>
        </w:rPr>
        <w:t>绩效工资、</w:t>
      </w:r>
      <w:r>
        <w:rPr>
          <w:rFonts w:hint="eastAsia" w:ascii="仿宋_GB2312" w:hAnsi="TimesNewRoman" w:eastAsia="仿宋_GB2312" w:cs="TimesNewRoman"/>
          <w:sz w:val="32"/>
          <w:szCs w:val="32"/>
          <w:u w:val="none"/>
        </w:rPr>
        <w:t>机关事业单位基本养老保险费、职业年金缴费、职工基本医疗保险缴费、其他社会保障缴费、住房公积金</w:t>
      </w:r>
      <w:r>
        <w:rPr>
          <w:rFonts w:hint="eastAsia" w:ascii="仿宋_GB2312" w:hAnsi="TimesNewRoman" w:eastAsia="仿宋_GB2312" w:cs="TimesNewRoman"/>
          <w:sz w:val="32"/>
          <w:szCs w:val="32"/>
          <w:u w:val="none"/>
          <w:lang w:val="en-US" w:eastAsia="zh-CN"/>
        </w:rPr>
        <w:t>等</w:t>
      </w:r>
      <w:r>
        <w:rPr>
          <w:rFonts w:hint="eastAsia" w:ascii="仿宋_GB2312" w:hAnsi="TimesNewRoman" w:eastAsia="仿宋_GB2312" w:cs="TimesNewRoman"/>
          <w:sz w:val="32"/>
          <w:szCs w:val="32"/>
          <w:u w:val="none"/>
        </w:rPr>
        <w:t>。</w:t>
      </w:r>
    </w:p>
    <w:p>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8.74</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lang w:val="en-US" w:eastAsia="zh-CN"/>
        </w:rPr>
        <w:t>邮电费、</w:t>
      </w:r>
      <w:r>
        <w:rPr>
          <w:rFonts w:hint="eastAsia" w:ascii="仿宋_GB2312" w:hAnsi="TimesNewRoman" w:eastAsia="仿宋_GB2312" w:cs="TimesNewRoman"/>
          <w:sz w:val="32"/>
          <w:szCs w:val="32"/>
          <w:u w:val="none"/>
        </w:rPr>
        <w:t>印刷费、</w:t>
      </w:r>
      <w:r>
        <w:rPr>
          <w:rFonts w:hint="eastAsia" w:ascii="仿宋_GB2312" w:hAnsi="TimesNewRoman" w:eastAsia="仿宋_GB2312" w:cs="TimesNewRoman"/>
          <w:sz w:val="32"/>
          <w:szCs w:val="32"/>
          <w:u w:val="none"/>
          <w:lang w:val="en-US" w:eastAsia="zh-CN"/>
        </w:rPr>
        <w:t>差旅费、</w:t>
      </w:r>
      <w:r>
        <w:rPr>
          <w:rFonts w:hint="eastAsia" w:ascii="仿宋_GB2312" w:hAnsi="TimesNewRoman" w:eastAsia="仿宋_GB2312" w:cs="TimesNewRoman"/>
          <w:sz w:val="32"/>
          <w:szCs w:val="32"/>
          <w:u w:val="none"/>
        </w:rPr>
        <w:t>会议费、公务接待费、工会经费、</w:t>
      </w:r>
      <w:r>
        <w:rPr>
          <w:rFonts w:hint="eastAsia" w:ascii="仿宋_GB2312" w:hAnsi="TimesNewRoman" w:eastAsia="仿宋_GB2312" w:cs="TimesNewRoman"/>
          <w:sz w:val="32"/>
          <w:szCs w:val="32"/>
          <w:u w:val="none"/>
          <w:lang w:val="en-US" w:eastAsia="zh-CN"/>
        </w:rPr>
        <w:t>福利费、</w:t>
      </w:r>
      <w:r>
        <w:rPr>
          <w:rFonts w:hint="eastAsia" w:ascii="仿宋_GB2312" w:hAnsi="TimesNewRoman" w:eastAsia="仿宋_GB2312" w:cs="TimesNewRoman"/>
          <w:sz w:val="32"/>
          <w:szCs w:val="32"/>
          <w:u w:val="none"/>
        </w:rPr>
        <w:t>其他交通费用等。</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七、关于2025年政府性基金预算支出表的说明</w:t>
      </w:r>
    </w:p>
    <w:p>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2025年没有政府性基金预算拨款收入，也没有使用政府性基金预算拨款安排的支出。</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八、关于2025年国有资本经营预算支出表的说明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2025年没有国有资本经营预算拨款收入，也没有使用国有资本经营预算拨款安排的支出。</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九、关于2025年项目支出表的说明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rPr>
        <w:t>025年预算共安排项目支出</w:t>
      </w:r>
      <w:r>
        <w:rPr>
          <w:rFonts w:hint="eastAsia" w:ascii="仿宋_GB2312" w:hAnsi="TimesNewRoman" w:eastAsia="仿宋_GB2312" w:cs="TimesNewRoman"/>
          <w:sz w:val="32"/>
          <w:szCs w:val="32"/>
          <w:lang w:val="en-US" w:eastAsia="zh-CN"/>
        </w:rPr>
        <w:t>50</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50</w:t>
      </w:r>
      <w:r>
        <w:rPr>
          <w:rFonts w:hint="eastAsia" w:ascii="仿宋_GB2312" w:hAnsi="TimesNewRoman" w:eastAsia="仿宋_GB2312" w:cs="TimesNewRoman"/>
          <w:sz w:val="32"/>
          <w:szCs w:val="32"/>
        </w:rPr>
        <w:t>万元（其中，一般公共预算拨款安排</w:t>
      </w:r>
      <w:r>
        <w:rPr>
          <w:rFonts w:hint="eastAsia" w:ascii="仿宋_GB2312" w:hAnsi="TimesNewRoman" w:eastAsia="仿宋_GB2312" w:cs="TimesNewRoman"/>
          <w:sz w:val="32"/>
          <w:szCs w:val="32"/>
          <w:lang w:val="en-US" w:eastAsia="zh-CN"/>
        </w:rPr>
        <w:t>50</w:t>
      </w:r>
      <w:r>
        <w:rPr>
          <w:rFonts w:hint="eastAsia" w:ascii="仿宋_GB2312" w:hAnsi="TimesNewRoman" w:eastAsia="仿宋_GB2312" w:cs="TimesNewRoman"/>
          <w:sz w:val="32"/>
          <w:szCs w:val="32"/>
        </w:rPr>
        <w:t xml:space="preserve">万元），财政拨款上年结转安排 </w:t>
      </w:r>
      <w:r>
        <w:rPr>
          <w:rFonts w:hint="eastAsia" w:ascii="仿宋_GB2312" w:hAnsi="TimesNewRoman" w:eastAsia="仿宋_GB2312" w:cs="TimesNewRoman"/>
          <w:sz w:val="32"/>
          <w:szCs w:val="32"/>
          <w:lang w:val="en-US" w:eastAsia="zh-CN"/>
        </w:rPr>
        <w:t>00</w:t>
      </w:r>
      <w:r>
        <w:rPr>
          <w:rFonts w:hint="eastAsia" w:ascii="仿宋_GB2312" w:hAnsi="TimesNewRoman" w:eastAsia="仿宋_GB2312" w:cs="TimesNewRoman"/>
          <w:sz w:val="32"/>
          <w:szCs w:val="32"/>
        </w:rPr>
        <w:t>万元、财政专户管理</w:t>
      </w:r>
      <w:r>
        <w:rPr>
          <w:rFonts w:hint="eastAsia" w:ascii="仿宋_GB2312" w:hAnsi="TimesNewRoman" w:eastAsia="仿宋_GB2312" w:cs="TimesNewRoman"/>
          <w:sz w:val="32"/>
          <w:szCs w:val="32"/>
          <w:lang w:eastAsia="zh-CN"/>
        </w:rPr>
        <w:t>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lang w:eastAsia="zh-CN"/>
        </w:rPr>
        <w:t>万元和单位资金安排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lang w:eastAsia="zh-CN"/>
        </w:rPr>
        <w:t>万元。</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lang w:eastAsia="zh-CN"/>
        </w:rPr>
      </w:pPr>
      <w:r>
        <w:rPr>
          <w:rFonts w:hint="eastAsia" w:ascii="楷体_GB2312" w:hAnsi="TimesNewRoman" w:eastAsia="楷体_GB2312" w:cs="TimesNewRoman"/>
          <w:b/>
          <w:sz w:val="32"/>
          <w:szCs w:val="32"/>
          <w:lang w:eastAsia="zh-CN"/>
        </w:rPr>
        <w:t>十、关于2025年政府采购支出表的说明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lang w:val="en-US" w:eastAsia="zh-CN"/>
        </w:rPr>
        <w:t>2</w:t>
      </w:r>
      <w:r>
        <w:rPr>
          <w:rFonts w:hint="eastAsia" w:ascii="仿宋_GB2312" w:hAnsi="TimesNewRoman" w:eastAsia="仿宋_GB2312" w:cs="TimesNewRoman"/>
          <w:sz w:val="32"/>
          <w:szCs w:val="32"/>
          <w:lang w:eastAsia="zh-CN"/>
        </w:rPr>
        <w:t>025年</w:t>
      </w:r>
      <w:r>
        <w:rPr>
          <w:rFonts w:hint="default" w:ascii="仿宋_GB2312" w:hAnsi="TimesNewRoman" w:eastAsia="仿宋_GB2312" w:cs="TimesNewRoman"/>
          <w:sz w:val="32"/>
          <w:szCs w:val="32"/>
          <w:lang w:val="en-US" w:eastAsia="zh-CN"/>
        </w:rPr>
        <w:t>预算安排政府采购支出</w:t>
      </w:r>
      <w:r>
        <w:rPr>
          <w:rFonts w:hint="eastAsia" w:ascii="仿宋_GB2312" w:hAnsi="TimesNewRoman" w:eastAsia="仿宋_GB2312" w:cs="TimesNewRoman"/>
          <w:sz w:val="32"/>
          <w:szCs w:val="32"/>
          <w:lang w:val="en-US" w:eastAsia="zh-CN"/>
        </w:rPr>
        <w:t>6</w:t>
      </w:r>
      <w:r>
        <w:rPr>
          <w:rFonts w:hint="default" w:ascii="仿宋_GB2312" w:hAnsi="TimesNewRoman" w:eastAsia="仿宋_GB2312" w:cs="TimesNewRoman"/>
          <w:sz w:val="32"/>
          <w:szCs w:val="32"/>
          <w:lang w:val="en-US" w:eastAsia="zh-CN"/>
        </w:rPr>
        <w:t>万元，原因主要是</w:t>
      </w:r>
      <w:r>
        <w:rPr>
          <w:rFonts w:hint="eastAsia" w:ascii="仿宋_GB2312" w:hAnsi="TimesNewRoman" w:eastAsia="仿宋_GB2312" w:cs="TimesNewRoman"/>
          <w:sz w:val="32"/>
          <w:szCs w:val="32"/>
          <w:lang w:val="en-US" w:eastAsia="zh-CN"/>
        </w:rPr>
        <w:t>新成立单位需要采购正常办公用品</w:t>
      </w:r>
      <w:r>
        <w:rPr>
          <w:rFonts w:hint="default" w:ascii="仿宋_GB2312" w:hAnsi="TimesNewRoman" w:eastAsia="仿宋_GB2312" w:cs="TimesNewRoman"/>
          <w:sz w:val="32"/>
          <w:szCs w:val="32"/>
          <w:lang w:val="en-US" w:eastAsia="zh-CN"/>
        </w:rPr>
        <w:t>。其中，一般公共预算安排</w:t>
      </w:r>
      <w:r>
        <w:rPr>
          <w:rFonts w:hint="eastAsia" w:ascii="仿宋_GB2312" w:hAnsi="TimesNewRoman" w:eastAsia="仿宋_GB2312" w:cs="TimesNewRoman"/>
          <w:sz w:val="32"/>
          <w:szCs w:val="32"/>
          <w:lang w:val="en-US" w:eastAsia="zh-CN"/>
        </w:rPr>
        <w:t>6</w:t>
      </w:r>
      <w:r>
        <w:rPr>
          <w:rFonts w:hint="default" w:ascii="仿宋_GB2312" w:hAnsi="TimesNewRoman" w:eastAsia="仿宋_GB2312" w:cs="TimesNewRoman"/>
          <w:sz w:val="32"/>
          <w:szCs w:val="32"/>
          <w:lang w:val="en-US" w:eastAsia="zh-CN"/>
        </w:rPr>
        <w:t>万元，占</w:t>
      </w:r>
      <w:r>
        <w:rPr>
          <w:rFonts w:hint="eastAsia" w:ascii="仿宋_GB2312" w:hAnsi="TimesNewRoman" w:eastAsia="仿宋_GB2312" w:cs="TimesNewRoman"/>
          <w:sz w:val="32"/>
          <w:szCs w:val="32"/>
          <w:lang w:val="en-US" w:eastAsia="zh-CN"/>
        </w:rPr>
        <w:t>100</w:t>
      </w:r>
      <w:r>
        <w:rPr>
          <w:rFonts w:hint="default" w:ascii="仿宋_GB2312" w:hAnsi="TimesNewRoman" w:eastAsia="仿宋_GB2312" w:cs="TimesNewRoman"/>
          <w:sz w:val="32"/>
          <w:szCs w:val="32"/>
          <w:lang w:val="en-US" w:eastAsia="zh-CN"/>
        </w:rPr>
        <w:t>%；政府性基金预算安排</w:t>
      </w:r>
      <w:r>
        <w:rPr>
          <w:rFonts w:hint="eastAsia" w:ascii="仿宋_GB2312" w:hAnsi="TimesNewRoman" w:eastAsia="仿宋_GB2312" w:cs="TimesNewRoman"/>
          <w:sz w:val="32"/>
          <w:szCs w:val="32"/>
          <w:lang w:val="en-US" w:eastAsia="zh-CN"/>
        </w:rPr>
        <w:t>0</w:t>
      </w:r>
      <w:r>
        <w:rPr>
          <w:rFonts w:hint="default" w:ascii="仿宋_GB2312" w:hAnsi="TimesNewRoman" w:eastAsia="仿宋_GB2312" w:cs="TimesNewRoman"/>
          <w:sz w:val="32"/>
          <w:szCs w:val="32"/>
          <w:lang w:val="en-US" w:eastAsia="zh-CN"/>
        </w:rPr>
        <w:t>万元；国有资本经营预算安排</w:t>
      </w:r>
      <w:r>
        <w:rPr>
          <w:rFonts w:hint="eastAsia" w:ascii="仿宋_GB2312" w:hAnsi="TimesNewRoman" w:eastAsia="仿宋_GB2312" w:cs="TimesNewRoman"/>
          <w:sz w:val="32"/>
          <w:szCs w:val="32"/>
          <w:lang w:val="en-US" w:eastAsia="zh-CN"/>
        </w:rPr>
        <w:t>0</w:t>
      </w:r>
      <w:r>
        <w:rPr>
          <w:rFonts w:hint="default" w:ascii="仿宋_GB2312" w:hAnsi="TimesNewRoman" w:eastAsia="仿宋_GB2312" w:cs="TimesNewRoman"/>
          <w:sz w:val="32"/>
          <w:szCs w:val="32"/>
          <w:lang w:val="en-US" w:eastAsia="zh-CN"/>
        </w:rPr>
        <w:t>万元；财政专户管理资金安排</w:t>
      </w:r>
      <w:r>
        <w:rPr>
          <w:rFonts w:hint="eastAsia" w:ascii="仿宋_GB2312" w:hAnsi="TimesNewRoman" w:eastAsia="仿宋_GB2312" w:cs="TimesNewRoman"/>
          <w:sz w:val="32"/>
          <w:szCs w:val="32"/>
          <w:lang w:val="en-US" w:eastAsia="zh-CN"/>
        </w:rPr>
        <w:t>0</w:t>
      </w:r>
      <w:r>
        <w:rPr>
          <w:rFonts w:hint="default" w:ascii="仿宋_GB2312" w:hAnsi="TimesNewRoman" w:eastAsia="仿宋_GB2312" w:cs="TimesNewRoman"/>
          <w:sz w:val="32"/>
          <w:szCs w:val="32"/>
          <w:lang w:val="en-US" w:eastAsia="zh-CN"/>
        </w:rPr>
        <w:t>万元；单位资金安排</w:t>
      </w:r>
      <w:r>
        <w:rPr>
          <w:rFonts w:hint="eastAsia" w:ascii="仿宋_GB2312" w:hAnsi="TimesNewRoman" w:eastAsia="仿宋_GB2312" w:cs="TimesNewRoman"/>
          <w:sz w:val="32"/>
          <w:szCs w:val="32"/>
          <w:lang w:val="en-US" w:eastAsia="zh-CN"/>
        </w:rPr>
        <w:t>0</w:t>
      </w:r>
      <w:r>
        <w:rPr>
          <w:rFonts w:hint="default" w:ascii="仿宋_GB2312" w:hAnsi="TimesNewRoman" w:eastAsia="仿宋_GB2312" w:cs="TimesNewRoman"/>
          <w:sz w:val="32"/>
          <w:szCs w:val="32"/>
          <w:lang w:val="en-US" w:eastAsia="zh-CN"/>
        </w:rPr>
        <w:t>万元。</w:t>
      </w:r>
    </w:p>
    <w:p>
      <w:pPr>
        <w:pStyle w:val="3"/>
        <w:topLinePunct/>
        <w:adjustRightInd w:val="0"/>
        <w:snapToGrid w:val="0"/>
        <w:spacing w:beforeAutospacing="0" w:afterAutospacing="0" w:line="58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十一、关于2025年政府购买服务支出表的说明</w:t>
      </w:r>
    </w:p>
    <w:p>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sz w:val="32"/>
          <w:szCs w:val="32"/>
        </w:rPr>
        <w:t>2025年没有安排政府购买服务支出。</w:t>
      </w:r>
    </w:p>
    <w:p>
      <w:pPr>
        <w:pStyle w:val="3"/>
        <w:topLinePunct/>
        <w:adjustRightInd w:val="0"/>
        <w:snapToGrid w:val="0"/>
        <w:spacing w:beforeAutospacing="0" w:afterAutospacing="0" w:line="580" w:lineRule="exact"/>
        <w:ind w:firstLine="642"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w:t>
      </w:r>
      <w:r>
        <w:rPr>
          <w:rFonts w:hint="eastAsia" w:ascii="楷体_GB2312" w:hAnsi="TimesNewRoman" w:eastAsia="楷体_GB2312" w:cs="TimesNewRoman"/>
          <w:b/>
          <w:sz w:val="32"/>
          <w:szCs w:val="32"/>
        </w:rPr>
        <w:t>2025</w:t>
      </w:r>
      <w:r>
        <w:rPr>
          <w:rFonts w:ascii="楷体_GB2312" w:hAnsi="TimesNewRoman" w:eastAsia="楷体_GB2312" w:cs="TimesNewRoman"/>
          <w:b/>
          <w:sz w:val="32"/>
          <w:szCs w:val="32"/>
        </w:rPr>
        <w:t>年一般公共预算</w:t>
      </w:r>
      <w:r>
        <w:rPr>
          <w:rFonts w:hint="eastAsia" w:ascii="楷体_GB2312" w:hAnsi="TimesNewRoman" w:eastAsia="楷体_GB2312" w:cs="TimesNewRoman"/>
          <w:b/>
          <w:sz w:val="32"/>
          <w:szCs w:val="32"/>
          <w:lang w:eastAsia="zh-CN"/>
        </w:rPr>
        <w:t>“三公”</w:t>
      </w:r>
      <w:r>
        <w:rPr>
          <w:rFonts w:ascii="楷体_GB2312" w:hAnsi="TimesNewRoman" w:eastAsia="楷体_GB2312" w:cs="TimesNewRoman"/>
          <w:b/>
          <w:sz w:val="32"/>
          <w:szCs w:val="32"/>
        </w:rPr>
        <w:t>经费支出情况说明</w:t>
      </w:r>
    </w:p>
    <w:p>
      <w:pPr>
        <w:adjustRightInd w:val="0"/>
        <w:snapToGrid w:val="0"/>
        <w:spacing w:line="560" w:lineRule="exact"/>
        <w:ind w:firstLine="640" w:firstLineChars="200"/>
        <w:rPr>
          <w:rFonts w:ascii="仿宋_GB2312" w:hAnsi="TimesNewRoman" w:eastAsia="仿宋_GB2312" w:cs="TimesNewRoman"/>
          <w:kern w:val="0"/>
          <w:sz w:val="32"/>
          <w:szCs w:val="32"/>
        </w:rPr>
      </w:pPr>
      <w:r>
        <w:rPr>
          <w:rFonts w:hint="eastAsia" w:ascii="仿宋_GB2312" w:hAnsi="TimesNewRoman" w:eastAsia="仿宋_GB2312" w:cs="TimesNewRoman"/>
          <w:sz w:val="32"/>
          <w:szCs w:val="32"/>
          <w:lang w:eastAsia="zh-CN"/>
        </w:rPr>
        <w:t>寿县县委社会工作部</w:t>
      </w:r>
      <w:r>
        <w:rPr>
          <w:rFonts w:hint="eastAsia" w:ascii="仿宋_GB2312" w:hAnsi="TimesNewRoman" w:eastAsia="仿宋_GB2312" w:cs="TimesNewRoman"/>
          <w:kern w:val="0"/>
          <w:sz w:val="32"/>
          <w:szCs w:val="32"/>
        </w:rPr>
        <w:t>2025</w:t>
      </w:r>
      <w:r>
        <w:rPr>
          <w:rFonts w:ascii="仿宋_GB2312" w:hAnsi="TimesNewRoman" w:eastAsia="仿宋_GB2312" w:cs="TimesNewRoman"/>
          <w:kern w:val="0"/>
          <w:sz w:val="32"/>
          <w:szCs w:val="32"/>
        </w:rPr>
        <w:t>年一般公共预算</w:t>
      </w:r>
      <w:r>
        <w:rPr>
          <w:rFonts w:hint="eastAsia" w:ascii="仿宋_GB2312" w:hAnsi="TimesNewRoman" w:eastAsia="仿宋_GB2312" w:cs="TimesNewRoman"/>
          <w:kern w:val="0"/>
          <w:sz w:val="32"/>
          <w:szCs w:val="32"/>
          <w:lang w:eastAsia="zh-CN"/>
        </w:rPr>
        <w:t>“三公”</w:t>
      </w:r>
      <w:r>
        <w:rPr>
          <w:rFonts w:ascii="仿宋_GB2312" w:hAnsi="TimesNewRoman" w:eastAsia="仿宋_GB2312" w:cs="TimesNewRoman"/>
          <w:kern w:val="0"/>
          <w:sz w:val="32"/>
          <w:szCs w:val="32"/>
        </w:rPr>
        <w:t>经费支出预算为</w:t>
      </w:r>
      <w:r>
        <w:rPr>
          <w:rFonts w:hint="eastAsia" w:ascii="仿宋_GB2312" w:hAnsi="TimesNewRoman" w:eastAsia="仿宋_GB2312" w:cs="TimesNewRoman"/>
          <w:kern w:val="0"/>
          <w:sz w:val="32"/>
          <w:szCs w:val="32"/>
          <w:lang w:val="en-US" w:eastAsia="zh-CN"/>
        </w:rPr>
        <w:t>5</w:t>
      </w:r>
      <w:r>
        <w:rPr>
          <w:rFonts w:ascii="仿宋_GB2312" w:hAnsi="TimesNewRoman" w:eastAsia="仿宋_GB2312" w:cs="TimesNewRoman"/>
          <w:kern w:val="0"/>
          <w:sz w:val="32"/>
          <w:szCs w:val="32"/>
        </w:rPr>
        <w:t>万元。其中：因公出国（境）费支出预算为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万元，公务接待费支出预算为</w:t>
      </w:r>
      <w:r>
        <w:rPr>
          <w:rFonts w:hint="eastAsia" w:ascii="仿宋_GB2312" w:hAnsi="TimesNewRoman" w:eastAsia="仿宋_GB2312" w:cs="TimesNewRoman"/>
          <w:kern w:val="0"/>
          <w:sz w:val="32"/>
          <w:szCs w:val="32"/>
          <w:lang w:val="en-US" w:eastAsia="zh-CN"/>
        </w:rPr>
        <w:t>5</w:t>
      </w:r>
      <w:r>
        <w:rPr>
          <w:rFonts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ascii="仿宋_GB2312" w:hAnsi="TimesNewRoman" w:eastAsia="仿宋_GB2312" w:cs="TimesNewRoman"/>
          <w:kern w:val="0"/>
          <w:sz w:val="32"/>
          <w:szCs w:val="32"/>
        </w:rPr>
        <w:t>万元。具体情况如下：</w:t>
      </w:r>
    </w:p>
    <w:p>
      <w:pPr>
        <w:pStyle w:val="3"/>
        <w:adjustRightInd w:val="0"/>
        <w:snapToGrid w:val="0"/>
        <w:spacing w:beforeAutospacing="0" w:afterAutospacing="0" w:line="560" w:lineRule="exact"/>
        <w:ind w:firstLine="642" w:firstLineChars="200"/>
        <w:rPr>
          <w:rFonts w:ascii="仿宋_GB2312" w:hAnsi="TimesNewRoman" w:eastAsia="仿宋_GB2312" w:cs="TimesNewRoman"/>
          <w:sz w:val="32"/>
          <w:szCs w:val="32"/>
        </w:rPr>
      </w:pPr>
      <w:r>
        <w:rPr>
          <w:rFonts w:ascii="仿宋_GB2312" w:hAnsi="TimesNewRoman" w:eastAsia="仿宋_GB2312" w:cs="TimesNewRoman"/>
          <w:b/>
          <w:bCs/>
          <w:sz w:val="32"/>
          <w:szCs w:val="32"/>
        </w:rPr>
        <w:t>（一）因公出国（境）费</w:t>
      </w:r>
      <w:r>
        <w:rPr>
          <w:rFonts w:ascii="仿宋_GB2312" w:hAnsi="TimesNewRoman" w:eastAsia="仿宋_GB2312" w:cs="TimesNewRoman"/>
          <w:sz w:val="32"/>
          <w:szCs w:val="32"/>
        </w:rPr>
        <w:t>支</w:t>
      </w:r>
      <w:r>
        <w:rPr>
          <w:rFonts w:ascii="TimesNewRoman" w:hAnsi="TimesNewRoman" w:eastAsia="仿宋_GB2312" w:cs="TimesNewRoman"/>
          <w:sz w:val="32"/>
          <w:szCs w:val="32"/>
        </w:rPr>
        <w:t>出预算</w:t>
      </w:r>
      <w:r>
        <w:rPr>
          <w:rFonts w:hint="eastAsia" w:ascii="TimesNewRoman" w:hAnsi="TimesNewRoman" w:eastAsia="仿宋_GB2312" w:cs="TimesNewRoman"/>
          <w:sz w:val="32"/>
          <w:szCs w:val="32"/>
          <w:lang w:val="en-US" w:eastAsia="zh-CN"/>
        </w:rPr>
        <w:t>0</w:t>
      </w:r>
      <w:r>
        <w:rPr>
          <w:rFonts w:ascii="TimesNewRoman" w:hAnsi="TimesNewRoman" w:eastAsia="仿宋_GB2312" w:cs="TimesNewRoman"/>
          <w:sz w:val="32"/>
          <w:szCs w:val="32"/>
        </w:rPr>
        <w:t>万元</w:t>
      </w:r>
      <w:r>
        <w:rPr>
          <w:rFonts w:hint="eastAsia" w:ascii="仿宋_GB2312" w:hAnsi="TimesNewRoman" w:eastAsia="仿宋_GB2312" w:cs="TimesNewRoman"/>
          <w:sz w:val="32"/>
          <w:szCs w:val="32"/>
        </w:rPr>
        <w:t>。</w:t>
      </w:r>
    </w:p>
    <w:p>
      <w:pPr>
        <w:pStyle w:val="3"/>
        <w:adjustRightInd w:val="0"/>
        <w:snapToGrid w:val="0"/>
        <w:spacing w:beforeAutospacing="0" w:afterAutospacing="0" w:line="560" w:lineRule="exact"/>
        <w:ind w:firstLine="642" w:firstLineChars="200"/>
        <w:rPr>
          <w:rFonts w:hint="eastAsia" w:ascii="仿宋_GB2312" w:hAnsi="TimesNewRoman" w:eastAsia="仿宋_GB2312" w:cs="TimesNewRoman"/>
          <w:sz w:val="32"/>
          <w:szCs w:val="32"/>
        </w:rPr>
      </w:pPr>
      <w:r>
        <w:rPr>
          <w:rFonts w:ascii="仿宋_GB2312" w:hAnsi="TimesNewRoman" w:eastAsia="仿宋_GB2312" w:cs="TimesNewRoman"/>
          <w:b/>
          <w:bCs/>
          <w:sz w:val="32"/>
          <w:szCs w:val="32"/>
        </w:rPr>
        <w:t>（二）公务用车购置及运行费</w:t>
      </w:r>
      <w:r>
        <w:rPr>
          <w:rFonts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0</w:t>
      </w:r>
      <w:r>
        <w:rPr>
          <w:rFonts w:ascii="仿宋_GB2312" w:hAnsi="TimesNewRoman" w:eastAsia="仿宋_GB2312" w:cs="TimesNewRoman"/>
          <w:sz w:val="32"/>
          <w:szCs w:val="32"/>
        </w:rPr>
        <w:t>万元</w:t>
      </w:r>
      <w:r>
        <w:rPr>
          <w:rFonts w:hint="eastAsia" w:ascii="仿宋_GB2312" w:hAnsi="TimesNewRoman" w:eastAsia="仿宋_GB2312" w:cs="TimesNewRoman"/>
          <w:sz w:val="32"/>
          <w:szCs w:val="32"/>
        </w:rPr>
        <w:t>。</w:t>
      </w:r>
    </w:p>
    <w:p>
      <w:pPr>
        <w:pStyle w:val="3"/>
        <w:spacing w:beforeAutospacing="0" w:afterAutospacing="0" w:line="560" w:lineRule="exact"/>
        <w:ind w:firstLine="642"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（三）公务接待费</w:t>
      </w:r>
      <w:r>
        <w:rPr>
          <w:rFonts w:hint="eastAsia" w:ascii="仿宋_GB2312" w:hAnsi="TimesNewRoman" w:eastAsia="仿宋_GB2312" w:cs="TimesNewRoman"/>
          <w:sz w:val="32"/>
          <w:szCs w:val="32"/>
        </w:rPr>
        <w:t>支出预算</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default" w:ascii="TimesNewRoman" w:hAnsi="TimesNewRoman" w:eastAsia="仿宋_GB2312" w:cs="TimesNewRoman"/>
          <w:sz w:val="32"/>
          <w:szCs w:val="32"/>
        </w:rPr>
        <w:t>该项经费主要用于</w:t>
      </w:r>
      <w:r>
        <w:rPr>
          <w:rFonts w:hint="eastAsia" w:ascii="仿宋" w:hAnsi="仿宋" w:eastAsia="仿宋"/>
          <w:color w:val="000000"/>
          <w:sz w:val="32"/>
          <w:szCs w:val="32"/>
        </w:rPr>
        <w:t>因</w:t>
      </w:r>
      <w:r>
        <w:rPr>
          <w:rFonts w:hint="eastAsia" w:ascii="仿宋" w:hAnsi="仿宋" w:eastAsia="仿宋"/>
          <w:color w:val="000000"/>
          <w:sz w:val="32"/>
          <w:szCs w:val="32"/>
          <w:lang w:val="en-US" w:eastAsia="zh-CN"/>
        </w:rPr>
        <w:t>工作</w:t>
      </w:r>
      <w:r>
        <w:rPr>
          <w:rFonts w:hint="eastAsia" w:ascii="仿宋" w:hAnsi="仿宋" w:eastAsia="仿宋"/>
          <w:color w:val="000000"/>
          <w:sz w:val="32"/>
          <w:szCs w:val="32"/>
        </w:rPr>
        <w:t>需要招待</w:t>
      </w:r>
      <w:r>
        <w:rPr>
          <w:rFonts w:hint="eastAsia" w:ascii="仿宋" w:hAnsi="仿宋" w:eastAsia="仿宋"/>
          <w:color w:val="000000"/>
          <w:sz w:val="32"/>
          <w:szCs w:val="32"/>
          <w:lang w:val="en-US" w:eastAsia="zh-CN"/>
        </w:rPr>
        <w:t>上级来人调研、招商引资</w:t>
      </w:r>
      <w:r>
        <w:rPr>
          <w:rFonts w:hint="eastAsia" w:ascii="仿宋_GB2312" w:hAnsi="仿宋" w:eastAsia="仿宋_GB2312"/>
          <w:color w:val="000000"/>
          <w:sz w:val="32"/>
          <w:szCs w:val="32"/>
        </w:rPr>
        <w:t>等公务</w:t>
      </w:r>
      <w:r>
        <w:rPr>
          <w:rFonts w:hint="eastAsia" w:ascii="仿宋_GB2312" w:hAnsi="仿宋" w:eastAsia="仿宋_GB2312"/>
          <w:color w:val="000000"/>
          <w:sz w:val="32"/>
          <w:szCs w:val="32"/>
          <w:lang w:val="en-US" w:eastAsia="zh-CN"/>
        </w:rPr>
        <w:t>接待</w:t>
      </w:r>
      <w:r>
        <w:rPr>
          <w:rFonts w:hint="eastAsia" w:ascii="仿宋_GB2312" w:hAnsi="仿宋" w:eastAsia="仿宋_GB2312"/>
          <w:color w:val="000000"/>
          <w:sz w:val="32"/>
          <w:szCs w:val="32"/>
        </w:rPr>
        <w:t>支出</w:t>
      </w:r>
      <w:r>
        <w:rPr>
          <w:rFonts w:hint="eastAsia" w:ascii="仿宋_GB2312" w:hAnsi="TimesNewRoman" w:eastAsia="仿宋_GB2312" w:cs="TimesNewRoman"/>
          <w:sz w:val="32"/>
          <w:szCs w:val="32"/>
        </w:rPr>
        <w:t>。经费使用严格执行《党政机关厉行节约反对浪费条例》</w:t>
      </w:r>
      <w:r>
        <w:rPr>
          <w:rFonts w:hint="eastAsia" w:ascii="仿宋_GB2312" w:hAnsi="仿宋" w:eastAsia="仿宋_GB2312"/>
          <w:color w:val="000000"/>
          <w:sz w:val="32"/>
          <w:szCs w:val="32"/>
        </w:rPr>
        <w:t>（中发〔2013〕13号）</w:t>
      </w:r>
      <w:r>
        <w:rPr>
          <w:rFonts w:hint="eastAsia" w:ascii="仿宋_GB2312" w:hAnsi="TimesNewRoman" w:eastAsia="仿宋_GB2312" w:cs="TimesNewRoman"/>
          <w:sz w:val="32"/>
          <w:szCs w:val="32"/>
        </w:rPr>
        <w:t>和</w:t>
      </w:r>
      <w:r>
        <w:rPr>
          <w:rFonts w:hint="eastAsia" w:ascii="仿宋_GB2312" w:hAnsi="仿宋" w:eastAsia="仿宋_GB2312"/>
          <w:color w:val="000000"/>
          <w:sz w:val="32"/>
          <w:szCs w:val="32"/>
        </w:rPr>
        <w:t>《寿县党政机关公务接待管理规定</w:t>
      </w:r>
      <w:r>
        <w:rPr>
          <w:rFonts w:hint="eastAsia" w:ascii="仿宋_GB2312" w:hAnsi="TimesNewRoman" w:eastAsia="仿宋_GB2312" w:cs="TimesNewRoman"/>
          <w:sz w:val="32"/>
          <w:szCs w:val="32"/>
        </w:rPr>
        <w:t>》</w:t>
      </w:r>
      <w:r>
        <w:rPr>
          <w:rFonts w:hint="eastAsia" w:ascii="仿宋_GB2312" w:hAnsi="仿宋" w:eastAsia="仿宋_GB2312"/>
          <w:color w:val="000000"/>
          <w:sz w:val="32"/>
          <w:szCs w:val="32"/>
        </w:rPr>
        <w:t>（寿办发〔2015〕2号）规定。</w:t>
      </w:r>
    </w:p>
    <w:p>
      <w:pPr>
        <w:pStyle w:val="3"/>
        <w:topLinePunct/>
        <w:adjustRightInd w:val="0"/>
        <w:snapToGrid w:val="0"/>
        <w:spacing w:beforeAutospacing="0" w:afterAutospacing="0" w:line="560" w:lineRule="exact"/>
        <w:ind w:firstLine="642"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eastAsia="zh-CN"/>
        </w:rPr>
        <w:t>社会工作部运转</w:t>
      </w:r>
      <w:r>
        <w:rPr>
          <w:rFonts w:hint="eastAsia" w:ascii="仿宋_GB2312" w:hAnsi="楷体" w:eastAsia="仿宋_GB2312"/>
          <w:b/>
          <w:sz w:val="32"/>
          <w:szCs w:val="32"/>
        </w:rPr>
        <w:t>工作经费</w:t>
      </w:r>
      <w:r>
        <w:rPr>
          <w:rFonts w:hint="eastAsia" w:ascii="仿宋_GB2312" w:hAnsi="TimesNewRoman" w:eastAsia="仿宋_GB2312" w:cs="TimesNewRoman"/>
          <w:b/>
          <w:sz w:val="32"/>
          <w:szCs w:val="32"/>
        </w:rPr>
        <w:t>”项目。</w:t>
      </w:r>
    </w:p>
    <w:p>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lang w:eastAsia="zh-CN"/>
          <w14:textFill>
            <w14:solidFill>
              <w14:schemeClr w14:val="tx1"/>
            </w14:solidFill>
          </w14:textFill>
        </w:rPr>
      </w:pPr>
      <w:r>
        <w:rPr>
          <w:rFonts w:hint="eastAsia" w:ascii="仿宋_GB2312" w:hAnsi="TimesNewRoman" w:eastAsia="仿宋_GB2312" w:cs="TimesNewRoman"/>
          <w:sz w:val="32"/>
          <w:szCs w:val="32"/>
        </w:rPr>
        <w:t>（1）项目概述</w:t>
      </w:r>
      <w:r>
        <w:rPr>
          <w:rFonts w:hint="eastAsia" w:ascii="仿宋_GB2312" w:hAnsi="TimesNewRoman" w:eastAsia="仿宋_GB2312" w:cs="TimesNewRoman"/>
          <w:sz w:val="32"/>
          <w:szCs w:val="32"/>
          <w:lang w:val="en-US" w:eastAsia="zh-CN"/>
        </w:rPr>
        <w:t>:</w:t>
      </w:r>
      <w:r>
        <w:rPr>
          <w:rFonts w:hint="eastAsia" w:ascii="仿宋" w:hAnsi="仿宋" w:eastAsia="仿宋" w:cs="宋体"/>
          <w:color w:val="000000" w:themeColor="text1"/>
          <w:kern w:val="0"/>
          <w:sz w:val="32"/>
          <w:szCs w:val="32"/>
          <w14:textFill>
            <w14:solidFill>
              <w14:schemeClr w14:val="tx1"/>
            </w14:solidFill>
          </w14:textFill>
        </w:rPr>
        <w:t>寿县</w:t>
      </w:r>
      <w:r>
        <w:rPr>
          <w:rFonts w:hint="eastAsia" w:ascii="仿宋" w:hAnsi="仿宋" w:eastAsia="仿宋" w:cs="宋体"/>
          <w:color w:val="000000" w:themeColor="text1"/>
          <w:kern w:val="0"/>
          <w:sz w:val="32"/>
          <w:szCs w:val="32"/>
          <w:lang w:eastAsia="zh-CN"/>
          <w14:textFill>
            <w14:solidFill>
              <w14:schemeClr w14:val="tx1"/>
            </w14:solidFill>
          </w14:textFill>
        </w:rPr>
        <w:t>县委社会工作部保障部机关和下属事业单位社会工作服务中心正常运转，推动全县基层治理、志愿服务、社会工作人才建设及信访工作。</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sz w:val="32"/>
          <w:szCs w:val="32"/>
        </w:rPr>
        <w:t>（2）立项依据</w:t>
      </w:r>
      <w:r>
        <w:rPr>
          <w:rFonts w:hint="eastAsia" w:ascii="仿宋_GB2312" w:hAnsi="TimesNewRoman" w:eastAsia="仿宋_GB2312" w:cs="TimesNewRoman"/>
          <w:sz w:val="32"/>
          <w:szCs w:val="32"/>
          <w:lang w:eastAsia="zh-CN"/>
        </w:rPr>
        <w:t>：《关于寿县机构改革的实施意见》（寿办发〔2024〕4号）、中共寿县县委办公室关于印发《中共寿县县委社会工作部职能配置、内设机构和人员编制规定》（办〔2024〕15号）、《关于成立县社会工作服务中心的通知》（寿编〔2024〕27号）、《关于建立城市网格化管理专项工作组的通知》（淮社通〔2024〕12号）、《关于建立党组织领导的“众智汇”村（社区）党群议事协商机制的通知》（淮社通〔2024〕11号）、《关于在乡镇（园区）基层治理中推广积分制的通知》（寿社〔2024〕11号）。</w:t>
      </w:r>
    </w:p>
    <w:p>
      <w:pPr>
        <w:numPr>
          <w:ilvl w:val="0"/>
          <w:numId w:val="0"/>
        </w:numPr>
        <w:topLinePunct/>
        <w:adjustRightInd w:val="0"/>
        <w:snapToGrid w:val="0"/>
        <w:spacing w:line="580" w:lineRule="exact"/>
        <w:ind w:firstLine="640" w:firstLineChars="200"/>
        <w:rPr>
          <w:rFonts w:hint="default"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（3）实施主体</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寿县县委社会工作部</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（4）起止时间</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2025年度</w:t>
      </w:r>
    </w:p>
    <w:p>
      <w:pPr>
        <w:topLinePunct/>
        <w:adjustRightInd w:val="0"/>
        <w:snapToGrid w:val="0"/>
        <w:spacing w:line="580" w:lineRule="exact"/>
        <w:ind w:firstLine="640" w:firstLineChars="200"/>
        <w:rPr>
          <w:rFonts w:hint="eastAsia" w:ascii="仿宋" w:hAnsi="仿宋" w:eastAsia="仿宋" w:cs="宋体"/>
          <w:color w:val="000000" w:themeColor="text1"/>
          <w:kern w:val="0"/>
          <w:sz w:val="32"/>
          <w:szCs w:val="32"/>
          <w14:textFill>
            <w14:solidFill>
              <w14:schemeClr w14:val="tx1"/>
            </w14:solidFill>
          </w14:textFill>
        </w:rPr>
      </w:pPr>
      <w:r>
        <w:rPr>
          <w:rFonts w:hint="eastAsia" w:ascii="仿宋_GB2312" w:hAnsi="TimesNewRoman" w:eastAsia="仿宋_GB2312" w:cs="TimesNewRoman"/>
          <w:sz w:val="32"/>
          <w:szCs w:val="32"/>
        </w:rPr>
        <w:t>（5）项目内容</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1.</w:t>
      </w:r>
      <w:r>
        <w:rPr>
          <w:rFonts w:hint="eastAsia" w:ascii="仿宋" w:hAnsi="仿宋" w:eastAsia="仿宋" w:cs="宋体"/>
          <w:color w:val="000000" w:themeColor="text1"/>
          <w:kern w:val="0"/>
          <w:sz w:val="32"/>
          <w:szCs w:val="32"/>
          <w:lang w:eastAsia="zh-CN"/>
          <w14:textFill>
            <w14:solidFill>
              <w14:schemeClr w14:val="tx1"/>
            </w14:solidFill>
          </w14:textFill>
        </w:rPr>
        <w:t>保障部机关和下属事业单位社会工作服务中心正常运转。</w:t>
      </w:r>
      <w:r>
        <w:rPr>
          <w:rFonts w:hint="eastAsia" w:ascii="仿宋" w:hAnsi="仿宋" w:eastAsia="仿宋" w:cs="宋体"/>
          <w:color w:val="000000" w:themeColor="text1"/>
          <w:kern w:val="0"/>
          <w:sz w:val="32"/>
          <w:szCs w:val="32"/>
          <w:lang w:val="en-US" w:eastAsia="zh-CN"/>
          <w14:textFill>
            <w14:solidFill>
              <w14:schemeClr w14:val="tx1"/>
            </w14:solidFill>
          </w14:textFill>
        </w:rPr>
        <w:t>2.</w:t>
      </w:r>
      <w:r>
        <w:rPr>
          <w:rFonts w:hint="eastAsia" w:ascii="仿宋" w:hAnsi="仿宋" w:eastAsia="仿宋" w:cs="宋体"/>
          <w:color w:val="000000" w:themeColor="text1"/>
          <w:kern w:val="0"/>
          <w:sz w:val="32"/>
          <w:szCs w:val="32"/>
          <w:lang w:eastAsia="zh-CN"/>
          <w14:textFill>
            <w14:solidFill>
              <w14:schemeClr w14:val="tx1"/>
            </w14:solidFill>
          </w14:textFill>
        </w:rPr>
        <w:t>推动全县基层治理、志愿服务、社会工作人才建设及信访工作。</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（6）年度预算安排</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lang w:val="en-US" w:eastAsia="zh-CN"/>
        </w:rPr>
        <w:t>50万元</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（7）绩效目标。</w:t>
      </w:r>
    </w:p>
    <w:p>
      <w:pPr>
        <w:topLinePunct/>
        <w:adjustRightInd w:val="0"/>
        <w:snapToGrid w:val="0"/>
        <w:spacing w:line="560" w:lineRule="exact"/>
        <w:ind w:firstLine="640" w:firstLineChars="200"/>
        <w:rPr>
          <w:rFonts w:hint="eastAsia" w:ascii="仿宋_GB2312" w:hAnsi="楷体" w:eastAsia="仿宋_GB2312"/>
          <w:sz w:val="32"/>
          <w:szCs w:val="32"/>
        </w:rPr>
      </w:pPr>
    </w:p>
    <w:tbl>
      <w:tblPr>
        <w:tblStyle w:val="4"/>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822"/>
        <w:gridCol w:w="183"/>
        <w:gridCol w:w="1036"/>
        <w:gridCol w:w="2719"/>
        <w:gridCol w:w="1442"/>
        <w:gridCol w:w="469"/>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8"/>
            <w:tcBorders>
              <w:top w:val="nil"/>
              <w:left w:val="nil"/>
              <w:bottom w:val="nil"/>
              <w:right w:val="nil"/>
            </w:tcBorders>
            <w:vAlign w:val="center"/>
          </w:tcPr>
          <w:p>
            <w:pPr>
              <w:widowControl/>
              <w:jc w:val="center"/>
              <w:textAlignment w:val="center"/>
              <w:rPr>
                <w:rFonts w:hint="eastAsia" w:ascii="方正小标宋_GBK" w:eastAsia="方正小标宋_GBK" w:cs="宋体"/>
                <w:bCs/>
                <w:szCs w:val="32"/>
              </w:rPr>
            </w:pPr>
            <w:r>
              <w:rPr>
                <w:rFonts w:hint="eastAsia" w:ascii="方正小标宋_GBK" w:hAnsi="宋体" w:eastAsia="方正小标宋_GBK" w:cs="宋体"/>
                <w:color w:val="000000"/>
                <w:kern w:val="0"/>
                <w:sz w:val="28"/>
                <w:szCs w:val="28"/>
                <w:lang w:bidi="ar"/>
              </w:rPr>
              <w:t>项目支出绩效目标表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020" w:type="dxa"/>
            <w:gridSpan w:val="8"/>
            <w:tcBorders>
              <w:top w:val="nil"/>
              <w:left w:val="nil"/>
              <w:right w:val="nil"/>
            </w:tcBorders>
            <w:vAlign w:val="center"/>
          </w:tcPr>
          <w:p>
            <w:pPr>
              <w:widowControl/>
              <w:jc w:val="center"/>
              <w:textAlignment w:val="center"/>
              <w:rPr>
                <w:rFonts w:ascii="宋体" w:cs="宋体"/>
                <w:sz w:val="20"/>
              </w:rPr>
            </w:pPr>
            <w:r>
              <w:rPr>
                <w:rFonts w:hint="eastAsia" w:ascii="宋体" w:hAnsi="宋体" w:cs="宋体"/>
                <w:color w:val="000000"/>
                <w:kern w:val="0"/>
                <w:sz w:val="20"/>
                <w:szCs w:val="20"/>
                <w:lang w:bidi="ar"/>
              </w:rPr>
              <w:t xml:space="preserve"> （2025年度）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5"/>
            <w:vAlign w:val="center"/>
          </w:tcPr>
          <w:p>
            <w:pPr>
              <w:spacing w:line="260" w:lineRule="exact"/>
              <w:jc w:val="center"/>
              <w:rPr>
                <w:rFonts w:ascii="宋体" w:cs="宋体"/>
                <w:sz w:val="18"/>
                <w:szCs w:val="18"/>
              </w:rPr>
            </w:pPr>
            <w:r>
              <w:rPr>
                <w:rFonts w:hint="eastAsia" w:ascii="宋体" w:cs="宋体"/>
                <w:sz w:val="18"/>
                <w:szCs w:val="18"/>
              </w:rPr>
              <w:t>科普工作经费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主管部门    及代码</w:t>
            </w:r>
          </w:p>
        </w:tc>
        <w:tc>
          <w:tcPr>
            <w:tcW w:w="3755" w:type="dxa"/>
            <w:gridSpan w:val="2"/>
            <w:vAlign w:val="center"/>
          </w:tcPr>
          <w:p>
            <w:pPr>
              <w:spacing w:line="260" w:lineRule="exact"/>
              <w:jc w:val="center"/>
              <w:rPr>
                <w:rFonts w:hint="default" w:ascii="宋体" w:cs="宋体"/>
                <w:sz w:val="18"/>
                <w:szCs w:val="18"/>
                <w:lang w:val="en-US"/>
              </w:rPr>
            </w:pPr>
            <w:r>
              <w:rPr>
                <w:rFonts w:hint="eastAsia" w:ascii="宋体" w:cs="宋体"/>
                <w:sz w:val="18"/>
                <w:szCs w:val="18"/>
              </w:rPr>
              <w:t>寿县</w:t>
            </w:r>
            <w:r>
              <w:rPr>
                <w:rFonts w:hint="eastAsia" w:ascii="宋体" w:cs="宋体"/>
                <w:sz w:val="18"/>
                <w:szCs w:val="18"/>
                <w:lang w:eastAsia="zh-CN"/>
              </w:rPr>
              <w:t>县委社会工作部</w:t>
            </w:r>
            <w:r>
              <w:rPr>
                <w:rFonts w:hint="eastAsia" w:ascii="宋体" w:cs="宋体"/>
                <w:sz w:val="18"/>
                <w:szCs w:val="18"/>
                <w:lang w:val="en-US" w:eastAsia="zh-CN"/>
              </w:rPr>
              <w:t xml:space="preserve"> 118001</w:t>
            </w:r>
          </w:p>
        </w:tc>
        <w:tc>
          <w:tcPr>
            <w:tcW w:w="1442" w:type="dxa"/>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gridSpan w:val="2"/>
            <w:vAlign w:val="center"/>
          </w:tcPr>
          <w:p>
            <w:pPr>
              <w:spacing w:line="260" w:lineRule="exact"/>
              <w:jc w:val="center"/>
              <w:rPr>
                <w:rFonts w:hint="eastAsia" w:eastAsia="宋体"/>
                <w:sz w:val="18"/>
                <w:szCs w:val="18"/>
                <w:lang w:eastAsia="zh-CN"/>
              </w:rPr>
            </w:pPr>
            <w:r>
              <w:rPr>
                <w:rFonts w:hint="eastAsia"/>
                <w:sz w:val="18"/>
                <w:szCs w:val="18"/>
              </w:rPr>
              <w:t>寿县</w:t>
            </w:r>
            <w:r>
              <w:rPr>
                <w:rFonts w:hint="eastAsia"/>
                <w:sz w:val="18"/>
                <w:szCs w:val="18"/>
                <w:lang w:eastAsia="zh-CN"/>
              </w:rPr>
              <w:t>县委社会工作部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755" w:type="dxa"/>
            <w:gridSpan w:val="2"/>
            <w:vAlign w:val="center"/>
          </w:tcPr>
          <w:p>
            <w:pPr>
              <w:spacing w:line="260" w:lineRule="exact"/>
              <w:jc w:val="center"/>
              <w:rPr>
                <w:rFonts w:ascii="宋体" w:cs="宋体"/>
                <w:sz w:val="18"/>
                <w:szCs w:val="18"/>
              </w:rPr>
            </w:pPr>
            <w:r>
              <w:rPr>
                <w:rFonts w:hint="eastAsia" w:ascii="宋体" w:cs="宋体"/>
                <w:sz w:val="18"/>
                <w:szCs w:val="18"/>
                <w:lang w:val="en-US" w:eastAsia="zh-CN"/>
              </w:rPr>
              <w:t>本级项目</w:t>
            </w:r>
          </w:p>
        </w:tc>
        <w:tc>
          <w:tcPr>
            <w:tcW w:w="1442" w:type="dxa"/>
            <w:vAlign w:val="center"/>
          </w:tcPr>
          <w:p>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gridSpan w:val="2"/>
            <w:vAlign w:val="center"/>
          </w:tcPr>
          <w:p>
            <w:pPr>
              <w:spacing w:line="260" w:lineRule="exact"/>
              <w:jc w:val="center"/>
              <w:rPr>
                <w:sz w:val="18"/>
                <w:szCs w:val="18"/>
              </w:rPr>
            </w:pPr>
            <w:r>
              <w:rPr>
                <w:rFonts w:hint="eastAsia"/>
                <w:sz w:val="18"/>
                <w:szCs w:val="18"/>
                <w:lang w:val="en-US" w:eastAsia="zh-CN"/>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755"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3822" w:type="dxa"/>
            <w:gridSpan w:val="3"/>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755"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3822" w:type="dxa"/>
            <w:gridSpan w:val="3"/>
            <w:vAlign w:val="center"/>
          </w:tcPr>
          <w:p>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755"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3822" w:type="dxa"/>
            <w:gridSpan w:val="3"/>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vAlign w:val="center"/>
          </w:tcPr>
          <w:p>
            <w:pPr>
              <w:spacing w:line="260" w:lineRule="exact"/>
              <w:jc w:val="center"/>
              <w:rPr>
                <w:rFonts w:ascii="宋体" w:cs="宋体"/>
                <w:sz w:val="18"/>
                <w:szCs w:val="18"/>
              </w:rPr>
            </w:pPr>
          </w:p>
        </w:tc>
        <w:tc>
          <w:tcPr>
            <w:tcW w:w="3755" w:type="dxa"/>
            <w:gridSpan w:val="2"/>
            <w:vAlign w:val="center"/>
          </w:tcPr>
          <w:p>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3822" w:type="dxa"/>
            <w:gridSpan w:val="3"/>
            <w:vAlign w:val="center"/>
          </w:tcPr>
          <w:p>
            <w:pPr>
              <w:spacing w:line="260" w:lineRule="exact"/>
              <w:jc w:val="center"/>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7"/>
            <w:vAlign w:val="center"/>
          </w:tcPr>
          <w:p>
            <w:pPr>
              <w:spacing w:line="260" w:lineRule="exact"/>
              <w:jc w:val="left"/>
              <w:rPr>
                <w:rFonts w:hint="eastAsia" w:ascii="宋体" w:eastAsia="宋体" w:cs="宋体"/>
                <w:sz w:val="18"/>
                <w:szCs w:val="18"/>
                <w:lang w:eastAsia="zh-CN"/>
              </w:rPr>
            </w:pPr>
            <w:r>
              <w:rPr>
                <w:rFonts w:hint="eastAsia" w:ascii="宋体" w:cs="宋体"/>
                <w:sz w:val="18"/>
                <w:szCs w:val="18"/>
                <w:lang w:eastAsia="zh-CN"/>
              </w:rPr>
              <w:t>保障社会工作部机关正常运转，维护部下属事业单位社会工作服务中心正常运转，维护单位日常运行、对外宣传社会工作等。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822" w:type="dxa"/>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1219" w:type="dxa"/>
            <w:gridSpan w:val="2"/>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4630" w:type="dxa"/>
            <w:gridSpan w:val="3"/>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1911" w:type="dxa"/>
            <w:vAlign w:val="center"/>
          </w:tcPr>
          <w:p>
            <w:pPr>
              <w:spacing w:line="26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1219" w:type="dxa"/>
            <w:gridSpan w:val="2"/>
            <w:vMerge w:val="restart"/>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数量指标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cs="宋体"/>
                <w:i w:val="0"/>
                <w:color w:val="000000"/>
                <w:kern w:val="0"/>
                <w:sz w:val="20"/>
                <w:szCs w:val="20"/>
                <w:u w:val="none"/>
                <w:lang w:val="en-US" w:eastAsia="zh-CN" w:bidi="ar"/>
              </w:rPr>
              <w:t>电脑、打印机、碎纸机、沙发等</w:t>
            </w:r>
          </w:p>
        </w:tc>
        <w:tc>
          <w:tcPr>
            <w:tcW w:w="1911" w:type="dxa"/>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达到规定要求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Merge w:val="continue"/>
            <w:vAlign w:val="center"/>
          </w:tcPr>
          <w:p>
            <w:pPr>
              <w:jc w:val="center"/>
              <w:rPr>
                <w:rFonts w:ascii="宋体" w:cs="宋体"/>
                <w:sz w:val="18"/>
                <w:szCs w:val="18"/>
              </w:rPr>
            </w:pPr>
          </w:p>
        </w:tc>
        <w:tc>
          <w:tcPr>
            <w:tcW w:w="4630" w:type="dxa"/>
            <w:gridSpan w:val="3"/>
            <w:vAlign w:val="center"/>
          </w:tcPr>
          <w:p>
            <w:pPr>
              <w:keepNext w:val="0"/>
              <w:keepLines w:val="0"/>
              <w:widowControl/>
              <w:suppressLineNumbers w:val="0"/>
              <w:jc w:val="center"/>
              <w:textAlignment w:val="center"/>
              <w:rPr>
                <w:rFonts w:hint="eastAsia" w:ascii="宋体" w:eastAsia="宋体" w:cs="宋体"/>
                <w:sz w:val="18"/>
                <w:szCs w:val="18"/>
                <w:lang w:eastAsia="zh-CN"/>
              </w:rPr>
            </w:pPr>
            <w:r>
              <w:rPr>
                <w:rFonts w:hint="eastAsia" w:ascii="宋体" w:cs="宋体"/>
                <w:sz w:val="18"/>
                <w:szCs w:val="18"/>
                <w:lang w:eastAsia="zh-CN"/>
              </w:rPr>
              <w:t>发表信息</w:t>
            </w:r>
          </w:p>
        </w:tc>
        <w:tc>
          <w:tcPr>
            <w:tcW w:w="1911" w:type="dxa"/>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20篇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质量指标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完成</w:t>
            </w:r>
            <w:r>
              <w:rPr>
                <w:rFonts w:hint="eastAsia" w:ascii="宋体" w:hAnsi="宋体" w:cs="宋体"/>
                <w:i w:val="0"/>
                <w:color w:val="000000"/>
                <w:kern w:val="0"/>
                <w:sz w:val="20"/>
                <w:szCs w:val="20"/>
                <w:u w:val="none"/>
                <w:lang w:val="en-US" w:eastAsia="zh-CN" w:bidi="ar"/>
              </w:rPr>
              <w:t>县委社会工作部年度工作任务</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完成年度工作任务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时效指标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各项工作任务完成时限</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2025年12月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成本指标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各项工作经费支出</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在预算内从严控制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restart"/>
            <w:vAlign w:val="center"/>
          </w:tcPr>
          <w:p>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经济效益指标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加强</w:t>
            </w:r>
            <w:r>
              <w:rPr>
                <w:rFonts w:hint="eastAsia" w:ascii="宋体" w:hAnsi="宋体" w:cs="宋体"/>
                <w:i w:val="0"/>
                <w:color w:val="000000"/>
                <w:kern w:val="0"/>
                <w:sz w:val="20"/>
                <w:szCs w:val="20"/>
                <w:u w:val="none"/>
                <w:lang w:val="en-US" w:eastAsia="zh-CN" w:bidi="ar"/>
              </w:rPr>
              <w:t>基层治理</w:t>
            </w:r>
            <w:r>
              <w:rPr>
                <w:rFonts w:hint="eastAsia" w:ascii="宋体" w:hAnsi="宋体" w:eastAsia="宋体" w:cs="宋体"/>
                <w:i w:val="0"/>
                <w:color w:val="000000"/>
                <w:kern w:val="0"/>
                <w:sz w:val="20"/>
                <w:szCs w:val="20"/>
                <w:u w:val="none"/>
                <w:lang w:val="en-US" w:eastAsia="zh-CN" w:bidi="ar"/>
              </w:rPr>
              <w:t>建设</w:t>
            </w:r>
            <w:r>
              <w:rPr>
                <w:rFonts w:hint="eastAsia" w:ascii="宋体" w:hAnsi="宋体" w:cs="宋体"/>
                <w:i w:val="0"/>
                <w:color w:val="000000"/>
                <w:kern w:val="0"/>
                <w:sz w:val="20"/>
                <w:szCs w:val="20"/>
                <w:u w:val="none"/>
                <w:lang w:val="en-US" w:eastAsia="zh-CN" w:bidi="ar"/>
              </w:rPr>
              <w:t>、“两企三新”党建、行业协会商会党建、志愿服务工作</w:t>
            </w:r>
            <w:r>
              <w:rPr>
                <w:rFonts w:hint="eastAsia" w:ascii="宋体" w:hAnsi="宋体" w:eastAsia="宋体" w:cs="宋体"/>
                <w:i w:val="0"/>
                <w:color w:val="000000"/>
                <w:kern w:val="0"/>
                <w:sz w:val="20"/>
                <w:szCs w:val="20"/>
                <w:u w:val="none"/>
                <w:lang w:val="en-US" w:eastAsia="zh-CN" w:bidi="ar"/>
              </w:rPr>
              <w:t>，促进经济发展</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社会效益指标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加强</w:t>
            </w:r>
            <w:r>
              <w:rPr>
                <w:rFonts w:hint="eastAsia" w:ascii="宋体" w:hAnsi="宋体" w:cs="宋体"/>
                <w:i w:val="0"/>
                <w:color w:val="000000"/>
                <w:kern w:val="0"/>
                <w:sz w:val="20"/>
                <w:szCs w:val="20"/>
                <w:u w:val="none"/>
                <w:lang w:val="en-US" w:eastAsia="zh-CN" w:bidi="ar"/>
              </w:rPr>
              <w:t>基层治理</w:t>
            </w:r>
            <w:r>
              <w:rPr>
                <w:rFonts w:hint="eastAsia" w:ascii="宋体" w:hAnsi="宋体" w:eastAsia="宋体" w:cs="宋体"/>
                <w:i w:val="0"/>
                <w:color w:val="000000"/>
                <w:kern w:val="0"/>
                <w:sz w:val="20"/>
                <w:szCs w:val="20"/>
                <w:u w:val="none"/>
                <w:lang w:val="en-US" w:eastAsia="zh-CN" w:bidi="ar"/>
              </w:rPr>
              <w:t>建设</w:t>
            </w:r>
            <w:r>
              <w:rPr>
                <w:rFonts w:hint="eastAsia" w:ascii="宋体" w:hAnsi="宋体" w:cs="宋体"/>
                <w:i w:val="0"/>
                <w:color w:val="000000"/>
                <w:kern w:val="0"/>
                <w:sz w:val="20"/>
                <w:szCs w:val="20"/>
                <w:u w:val="none"/>
                <w:lang w:val="en-US" w:eastAsia="zh-CN" w:bidi="ar"/>
              </w:rPr>
              <w:t>、“两企三新”党建、行业协会商会党建、志愿服务工作，促进社会效益</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生态效益指标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不适用</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vAlign w:val="center"/>
          </w:tcPr>
          <w:p>
            <w:pPr>
              <w:spacing w:line="260" w:lineRule="exact"/>
              <w:jc w:val="center"/>
              <w:rPr>
                <w:rFonts w:ascii="宋体" w:cs="宋体"/>
                <w:sz w:val="18"/>
                <w:szCs w:val="18"/>
              </w:rPr>
            </w:pPr>
          </w:p>
        </w:tc>
        <w:tc>
          <w:tcPr>
            <w:tcW w:w="822" w:type="dxa"/>
            <w:vMerge w:val="continue"/>
            <w:vAlign w:val="center"/>
          </w:tcPr>
          <w:p>
            <w:pPr>
              <w:spacing w:line="260" w:lineRule="exact"/>
              <w:jc w:val="center"/>
              <w:rPr>
                <w:rFonts w:ascii="宋体" w:cs="宋体"/>
                <w:sz w:val="18"/>
                <w:szCs w:val="18"/>
              </w:rPr>
            </w:pPr>
          </w:p>
        </w:tc>
        <w:tc>
          <w:tcPr>
            <w:tcW w:w="1219" w:type="dxa"/>
            <w:gridSpan w:val="2"/>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000000"/>
                <w:kern w:val="0"/>
                <w:sz w:val="20"/>
                <w:szCs w:val="20"/>
                <w:u w:val="none"/>
                <w:lang w:val="en-US" w:eastAsia="zh-CN" w:bidi="ar"/>
              </w:rPr>
              <w:t>可持续影响指标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cs="宋体"/>
                <w:i w:val="0"/>
                <w:color w:val="000000"/>
                <w:kern w:val="0"/>
                <w:sz w:val="20"/>
                <w:szCs w:val="20"/>
                <w:u w:val="none"/>
                <w:lang w:val="en-US" w:eastAsia="zh-CN" w:bidi="ar"/>
              </w:rPr>
              <w:t>持续</w:t>
            </w:r>
            <w:r>
              <w:rPr>
                <w:rFonts w:hint="eastAsia" w:ascii="宋体" w:hAnsi="宋体" w:eastAsia="宋体" w:cs="宋体"/>
                <w:i w:val="0"/>
                <w:color w:val="000000"/>
                <w:kern w:val="0"/>
                <w:sz w:val="20"/>
                <w:szCs w:val="20"/>
                <w:u w:val="none"/>
                <w:lang w:val="en-US" w:eastAsia="zh-CN" w:bidi="ar"/>
              </w:rPr>
              <w:t>加强</w:t>
            </w:r>
            <w:r>
              <w:rPr>
                <w:rFonts w:hint="eastAsia" w:ascii="宋体" w:hAnsi="宋体" w:cs="宋体"/>
                <w:i w:val="0"/>
                <w:color w:val="000000"/>
                <w:kern w:val="0"/>
                <w:sz w:val="20"/>
                <w:szCs w:val="20"/>
                <w:u w:val="none"/>
                <w:lang w:val="en-US" w:eastAsia="zh-CN" w:bidi="ar"/>
              </w:rPr>
              <w:t>基层治理</w:t>
            </w:r>
            <w:r>
              <w:rPr>
                <w:rFonts w:hint="eastAsia" w:ascii="宋体" w:hAnsi="宋体" w:eastAsia="宋体" w:cs="宋体"/>
                <w:i w:val="0"/>
                <w:color w:val="000000"/>
                <w:kern w:val="0"/>
                <w:sz w:val="20"/>
                <w:szCs w:val="20"/>
                <w:u w:val="none"/>
                <w:lang w:val="en-US" w:eastAsia="zh-CN" w:bidi="ar"/>
              </w:rPr>
              <w:t>建设</w:t>
            </w:r>
            <w:r>
              <w:rPr>
                <w:rFonts w:hint="eastAsia" w:ascii="宋体" w:hAnsi="宋体" w:cs="宋体"/>
                <w:i w:val="0"/>
                <w:color w:val="000000"/>
                <w:kern w:val="0"/>
                <w:sz w:val="20"/>
                <w:szCs w:val="20"/>
                <w:u w:val="none"/>
                <w:lang w:val="en-US" w:eastAsia="zh-CN" w:bidi="ar"/>
              </w:rPr>
              <w:t>、“两企三新”党建、行业协会商会党建、志愿服务工作</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trPr>
        <w:tc>
          <w:tcPr>
            <w:tcW w:w="438" w:type="dxa"/>
            <w:vMerge w:val="continue"/>
            <w:vAlign w:val="center"/>
          </w:tcPr>
          <w:p>
            <w:pPr>
              <w:spacing w:line="260" w:lineRule="exact"/>
              <w:jc w:val="center"/>
              <w:rPr>
                <w:rFonts w:ascii="宋体" w:cs="宋体"/>
                <w:sz w:val="18"/>
                <w:szCs w:val="18"/>
              </w:rPr>
            </w:pPr>
          </w:p>
        </w:tc>
        <w:tc>
          <w:tcPr>
            <w:tcW w:w="822" w:type="dxa"/>
            <w:vAlign w:val="center"/>
          </w:tcPr>
          <w:p>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1219" w:type="dxa"/>
            <w:gridSpan w:val="2"/>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000000"/>
                <w:kern w:val="0"/>
                <w:sz w:val="20"/>
                <w:szCs w:val="20"/>
                <w:u w:val="none"/>
                <w:lang w:val="en-US" w:eastAsia="zh-CN" w:bidi="ar"/>
              </w:rPr>
              <w:t>服务对象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满意度指标</w:t>
            </w:r>
          </w:p>
        </w:tc>
        <w:tc>
          <w:tcPr>
            <w:tcW w:w="4630" w:type="dxa"/>
            <w:gridSpan w:val="3"/>
            <w:vAlign w:val="center"/>
          </w:tcPr>
          <w:p>
            <w:pPr>
              <w:keepNext w:val="0"/>
              <w:keepLines w:val="0"/>
              <w:widowControl/>
              <w:suppressLineNumbers w:val="0"/>
              <w:jc w:val="center"/>
              <w:textAlignment w:val="center"/>
              <w:rPr>
                <w:rFonts w:ascii="宋体" w:cs="宋体"/>
                <w:sz w:val="18"/>
                <w:szCs w:val="18"/>
              </w:rPr>
            </w:pPr>
            <w:r>
              <w:rPr>
                <w:rFonts w:hint="eastAsia" w:ascii="宋体" w:hAnsi="宋体" w:eastAsia="宋体" w:cs="宋体"/>
                <w:i w:val="0"/>
                <w:color w:val="000000"/>
                <w:kern w:val="0"/>
                <w:sz w:val="20"/>
                <w:szCs w:val="20"/>
                <w:u w:val="none"/>
                <w:lang w:val="en-US" w:eastAsia="zh-CN" w:bidi="ar"/>
              </w:rPr>
              <w:t>人民群众对</w:t>
            </w:r>
            <w:r>
              <w:rPr>
                <w:rFonts w:hint="eastAsia" w:ascii="宋体" w:hAnsi="宋体" w:cs="宋体"/>
                <w:i w:val="0"/>
                <w:color w:val="000000"/>
                <w:kern w:val="0"/>
                <w:sz w:val="20"/>
                <w:szCs w:val="20"/>
                <w:u w:val="none"/>
                <w:lang w:val="en-US" w:eastAsia="zh-CN" w:bidi="ar"/>
              </w:rPr>
              <w:t>社会</w:t>
            </w:r>
            <w:r>
              <w:rPr>
                <w:rFonts w:hint="eastAsia" w:ascii="宋体" w:hAnsi="宋体" w:eastAsia="宋体" w:cs="宋体"/>
                <w:i w:val="0"/>
                <w:color w:val="000000"/>
                <w:kern w:val="0"/>
                <w:sz w:val="20"/>
                <w:szCs w:val="20"/>
                <w:u w:val="none"/>
                <w:lang w:val="en-US" w:eastAsia="zh-CN" w:bidi="ar"/>
              </w:rPr>
              <w:t>工作满意度</w:t>
            </w:r>
          </w:p>
        </w:tc>
        <w:tc>
          <w:tcPr>
            <w:tcW w:w="1911"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持续提升</w:t>
            </w:r>
          </w:p>
        </w:tc>
      </w:tr>
    </w:tbl>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pPr>
        <w:topLinePunct/>
        <w:adjustRightInd w:val="0"/>
        <w:snapToGrid w:val="0"/>
        <w:spacing w:line="560" w:lineRule="exact"/>
        <w:ind w:firstLine="640" w:firstLineChars="200"/>
        <w:rPr>
          <w:rFonts w:hint="eastAsia" w:ascii="仿宋_GB2312" w:hAnsi="TimesNewRoman" w:eastAsia="仿宋_GB2312" w:cs="TimesNewRoman"/>
          <w:sz w:val="32"/>
          <w:szCs w:val="32"/>
          <w:lang w:eastAsia="zh-CN"/>
        </w:rPr>
      </w:pPr>
      <w:r>
        <w:rPr>
          <w:rFonts w:hint="eastAsia" w:ascii="仿宋_GB2312" w:hAnsi="TimesNewRoman" w:eastAsia="仿宋_GB2312" w:cs="TimesNewRoman"/>
          <w:kern w:val="0"/>
          <w:sz w:val="32"/>
          <w:szCs w:val="32"/>
          <w:lang w:eastAsia="zh-CN"/>
        </w:rPr>
        <w:t>寿县县委社会工作部</w:t>
      </w:r>
      <w:r>
        <w:rPr>
          <w:rFonts w:hint="eastAsia" w:ascii="仿宋_GB2312" w:hAnsi="TimesNewRoman" w:eastAsia="仿宋_GB2312" w:cs="TimesNewRoman"/>
          <w:sz w:val="32"/>
          <w:szCs w:val="32"/>
        </w:rPr>
        <w:t>2025年机关运行经费财政拨款预算</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p>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lang w:eastAsia="zh-CN"/>
        </w:rPr>
        <w:t>寿县县委社会工作部</w:t>
      </w:r>
      <w:r>
        <w:rPr>
          <w:rFonts w:hint="eastAsia" w:ascii="仿宋_GB2312" w:hAnsi="TimesNewRoman" w:eastAsia="仿宋_GB2312" w:cs="TimesNewRoman"/>
          <w:sz w:val="32"/>
          <w:szCs w:val="32"/>
        </w:rPr>
        <w:t>2025年政府采购预算</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（四）国有资产占有使用情况。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2025年部门预算安排购置公务用车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万元；安排购置单价100万元以上专用设备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ind w:firstLine="642"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2025年，</w:t>
      </w:r>
      <w:r>
        <w:rPr>
          <w:rFonts w:hint="eastAsia" w:ascii="仿宋_GB2312" w:hAnsi="TimesNewRoman" w:eastAsia="仿宋_GB2312" w:cs="TimesNewRoman"/>
          <w:kern w:val="0"/>
          <w:sz w:val="32"/>
          <w:szCs w:val="32"/>
          <w:lang w:eastAsia="zh-CN"/>
        </w:rPr>
        <w:t>寿县县委社会工作部</w:t>
      </w:r>
      <w:r>
        <w:rPr>
          <w:rFonts w:hint="eastAsia" w:ascii="仿宋_GB2312" w:hAnsi="TimesNewRoman" w:eastAsia="仿宋_GB2312" w:cs="TimesNewRoman"/>
          <w:sz w:val="32"/>
          <w:szCs w:val="32"/>
          <w:lang w:val="en-US" w:eastAsia="zh-CN"/>
        </w:rPr>
        <w:t>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67.62</w:t>
      </w:r>
      <w:r>
        <w:rPr>
          <w:rFonts w:hint="eastAsia" w:ascii="仿宋_GB2312" w:hAnsi="TimesNewRoman" w:eastAsia="仿宋_GB2312" w:cs="TimesNewRoman"/>
          <w:sz w:val="32"/>
          <w:szCs w:val="32"/>
        </w:rPr>
        <w:t>万元、政府性基金预算当年财政拨款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万元、国有资本经营预算当年财政拨款</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万元、财政专户管理资金当年安排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万元和单位资金当年安排</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pPr>
        <w:topLinePunct/>
        <w:adjustRightInd w:val="0"/>
        <w:snapToGrid w:val="0"/>
        <w:spacing w:line="560" w:lineRule="exact"/>
        <w:rPr>
          <w:rFonts w:ascii="TimesNewRoman" w:hAnsi="TimesNewRoman" w:eastAsia="黑体" w:cs="TimesNewRoman"/>
          <w:sz w:val="36"/>
          <w:szCs w:val="36"/>
        </w:rPr>
      </w:pPr>
    </w:p>
    <w:p>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pPr>
        <w:topLinePunct/>
        <w:adjustRightInd w:val="0"/>
        <w:snapToGrid w:val="0"/>
        <w:spacing w:line="560" w:lineRule="exact"/>
        <w:rPr>
          <w:rFonts w:ascii="TimesNewRoman" w:hAnsi="TimesNewRoman" w:eastAsia="黑体" w:cs="TimesNewRoman"/>
          <w:szCs w:val="32"/>
        </w:rPr>
      </w:pPr>
    </w:p>
    <w:p>
      <w:pPr>
        <w:topLinePunct/>
        <w:adjustRightInd w:val="0"/>
        <w:snapToGrid w:val="0"/>
        <w:spacing w:line="560" w:lineRule="exact"/>
        <w:ind w:firstLine="640" w:firstLineChars="200"/>
        <w:rPr>
          <w:rFonts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一、财政拨款收入：</w:t>
      </w:r>
      <w:r>
        <w:rPr>
          <w:rFonts w:ascii="TimesNewRoman" w:hAnsi="TimesNewRoman" w:eastAsia="仿宋_GB2312" w:cs="TimesNewRoman"/>
          <w:kern w:val="0"/>
          <w:sz w:val="32"/>
          <w:szCs w:val="32"/>
          <w:lang w:val="en-US" w:eastAsia="zh-CN" w:bidi="ar-SA"/>
        </w:rPr>
        <w:t>指部门或单位从同级财政部门取得的财政预算资金。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二、事业收入：指事业单位开展专业业务活动及辅助活动所取得的收入。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三、财政专户管理资金：指按照非税收入管理相关规定，纳入财政专户管理的教育收费等。</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四、事业单位经营收入：指事业单位在专业业务活动及其辅助活动之外开展非独立核算经营活动取得的收入。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五、附属单位上缴收入：本单位所属下级单位上缴给本单位的全部收入。</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六、上年结转：指以前年度安排、结转到本年仍按原用途继续使用的资金。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七、结转下年：指以前年度预算安排、因客观条件发生变化无法按原计划实施，需以后年度按原用途继续使用的资金。</w:t>
      </w:r>
    </w:p>
    <w:p>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八、基本支出：指为保障机构正常运转、完成日常工作任务而发生的人员支出和公用支出。</w:t>
      </w:r>
    </w:p>
    <w:p>
      <w:pPr>
        <w:pStyle w:val="3"/>
        <w:topLinePunct/>
        <w:spacing w:beforeAutospacing="0" w:afterAutospacing="0" w:line="560" w:lineRule="exact"/>
        <w:ind w:firstLine="627" w:firstLineChars="196"/>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九、项目支出：指在除基本支出之外的支出，主要用于完成特定的工作任务和事业发展目标。</w:t>
      </w:r>
      <w:r>
        <w:rPr>
          <w:rFonts w:ascii="TimesNewRoman" w:hAnsi="TimesNewRoman" w:eastAsia="仿宋_GB2312" w:cs="TimesNewRoman"/>
          <w:kern w:val="0"/>
          <w:sz w:val="32"/>
          <w:szCs w:val="32"/>
          <w:lang w:val="en-US" w:eastAsia="zh-CN" w:bidi="ar-SA"/>
        </w:rPr>
        <w:br w:type="textWrapping"/>
      </w:r>
      <w:r>
        <w:rPr>
          <w:rFonts w:ascii="TimesNewRoman" w:hAnsi="TimesNewRoman" w:eastAsia="仿宋_GB2312" w:cs="TimesNewRoman"/>
          <w:kern w:val="0"/>
          <w:sz w:val="32"/>
          <w:szCs w:val="32"/>
          <w:lang w:val="en-US" w:eastAsia="zh-CN" w:bidi="ar-SA"/>
        </w:rPr>
        <w:t xml:space="preserve">    十、机关运行经费: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keepNext w:val="0"/>
        <w:keepLines w:val="0"/>
        <w:widowControl w:val="0"/>
        <w:suppressLineNumbers w:val="0"/>
        <w:spacing w:before="0" w:beforeAutospacing="0" w:after="0" w:afterAutospacing="0"/>
        <w:ind w:left="0" w:right="0"/>
        <w:jc w:val="both"/>
        <w:rPr>
          <w:rFonts w:ascii="TimesNewRoman" w:hAnsi="TimesNewRoman" w:eastAsia="仿宋_GB2312" w:cs="TimesNewRoman"/>
          <w:kern w:val="0"/>
          <w:sz w:val="32"/>
          <w:szCs w:val="32"/>
          <w:lang w:val="en-US" w:eastAsia="zh-CN" w:bidi="ar-SA"/>
        </w:rPr>
      </w:pPr>
      <w:r>
        <w:rPr>
          <w:rFonts w:ascii="TimesNewRoman" w:hAnsi="TimesNewRoman" w:eastAsia="仿宋_GB2312" w:cs="TimesNewRoman"/>
          <w:kern w:val="0"/>
          <w:sz w:val="32"/>
          <w:szCs w:val="32"/>
          <w:lang w:val="en-US" w:eastAsia="zh-CN" w:bidi="ar-SA"/>
        </w:rPr>
        <w:t>十一、</w:t>
      </w:r>
      <w:r>
        <w:rPr>
          <w:rFonts w:hint="default" w:ascii="TimesNewRoman" w:hAnsi="TimesNewRoman" w:eastAsia="仿宋_GB2312" w:cs="TimesNewRoman"/>
          <w:kern w:val="0"/>
          <w:sz w:val="32"/>
          <w:szCs w:val="32"/>
          <w:lang w:val="en-US" w:eastAsia="zh-CN" w:bidi="ar-SA"/>
        </w:rPr>
        <w:t>一般公共服务支出（类）社会工作事务（款）行政运行（项）</w:t>
      </w:r>
      <w:r>
        <w:rPr>
          <w:rFonts w:ascii="TimesNewRoman" w:hAnsi="TimesNewRoman" w:eastAsia="仿宋_GB2312" w:cs="TimesNewRoman"/>
          <w:kern w:val="0"/>
          <w:sz w:val="32"/>
          <w:szCs w:val="32"/>
          <w:lang w:val="en-US" w:eastAsia="zh-CN" w:bidi="ar-SA"/>
        </w:rPr>
        <w:t>：反映</w:t>
      </w:r>
      <w:r>
        <w:rPr>
          <w:rFonts w:hint="eastAsia" w:ascii="TimesNewRoman" w:hAnsi="TimesNewRoman" w:eastAsia="仿宋_GB2312" w:cs="TimesNewRoman"/>
          <w:kern w:val="0"/>
          <w:sz w:val="32"/>
          <w:szCs w:val="32"/>
          <w:lang w:val="en-US" w:eastAsia="zh-CN" w:bidi="ar-SA"/>
        </w:rPr>
        <w:t>县委社会工作部</w:t>
      </w:r>
      <w:r>
        <w:rPr>
          <w:rFonts w:ascii="TimesNewRoman" w:hAnsi="TimesNewRoman" w:eastAsia="仿宋_GB2312" w:cs="TimesNewRoman"/>
          <w:kern w:val="0"/>
          <w:sz w:val="32"/>
          <w:szCs w:val="32"/>
          <w:lang w:val="en-US" w:eastAsia="zh-CN" w:bidi="ar-SA"/>
        </w:rPr>
        <w:t>用于</w:t>
      </w:r>
      <w:r>
        <w:rPr>
          <w:rFonts w:hint="eastAsia" w:ascii="TimesNewRoman" w:hAnsi="TimesNewRoman" w:eastAsia="仿宋_GB2312" w:cs="TimesNewRoman"/>
          <w:kern w:val="0"/>
          <w:sz w:val="32"/>
          <w:szCs w:val="32"/>
          <w:lang w:val="en-US" w:eastAsia="zh-CN" w:bidi="ar-SA"/>
        </w:rPr>
        <w:t>社会</w:t>
      </w:r>
      <w:bookmarkStart w:id="0" w:name="_GoBack"/>
      <w:bookmarkEnd w:id="0"/>
      <w:r>
        <w:rPr>
          <w:rFonts w:hint="eastAsia" w:ascii="TimesNewRoman" w:hAnsi="TimesNewRoman" w:eastAsia="仿宋_GB2312" w:cs="TimesNewRoman"/>
          <w:kern w:val="0"/>
          <w:sz w:val="32"/>
          <w:szCs w:val="32"/>
          <w:lang w:val="en-US" w:eastAsia="zh-CN" w:bidi="ar-SA"/>
        </w:rPr>
        <w:t>工作</w:t>
      </w:r>
      <w:r>
        <w:rPr>
          <w:rFonts w:ascii="TimesNewRoman" w:hAnsi="TimesNewRoman" w:eastAsia="仿宋_GB2312" w:cs="TimesNewRoman"/>
          <w:kern w:val="0"/>
          <w:sz w:val="32"/>
          <w:szCs w:val="32"/>
          <w:lang w:val="en-US" w:eastAsia="zh-CN" w:bidi="ar-SA"/>
        </w:rPr>
        <w:t>业务方面的支出。</w:t>
      </w:r>
    </w:p>
    <w:p>
      <w:pPr>
        <w:spacing w:line="560" w:lineRule="exact"/>
        <w:rPr>
          <w:rFonts w:hint="eastAsia" w:ascii="TimesNewRoman" w:hAnsi="TimesNewRoman" w:eastAsia="仿宋_GB2312" w:cs="TimesNewRoman"/>
          <w:kern w:val="0"/>
          <w:sz w:val="32"/>
          <w:szCs w:val="32"/>
          <w:lang w:val="en-US" w:eastAsia="zh-CN" w:bidi="ar-SA"/>
        </w:rPr>
      </w:pPr>
      <w:r>
        <w:rPr>
          <w:rFonts w:hint="eastAsia" w:ascii="TimesNewRoman" w:hAnsi="TimesNewRoman" w:eastAsia="仿宋_GB2312" w:cs="TimesNewRoman"/>
          <w:kern w:val="0"/>
          <w:sz w:val="32"/>
          <w:szCs w:val="32"/>
          <w:lang w:val="en-US" w:eastAsia="zh-CN" w:bidi="ar-SA"/>
        </w:rPr>
        <w:t xml:space="preserve">         </w:t>
      </w:r>
    </w:p>
    <w:p>
      <w:pPr>
        <w:rPr>
          <w:rFonts w:ascii="TimesNewRoman" w:hAnsi="TimesNewRoman" w:eastAsia="仿宋_GB2312" w:cs="TimesNewRoman"/>
          <w:kern w:val="0"/>
          <w:sz w:val="32"/>
          <w:szCs w:val="32"/>
          <w:lang w:val="en-US" w:eastAsia="zh-CN" w:bidi="ar-SA"/>
        </w:rPr>
      </w:pPr>
    </w:p>
    <w:sectPr>
      <w:footerReference r:id="rId3" w:type="default"/>
      <w:pgSz w:w="11906" w:h="16838"/>
      <w:pgMar w:top="1928" w:right="1531"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TimesNewRoman">
    <w:altName w:val="DejaVu Sans"/>
    <w:panose1 w:val="02020603050405020304"/>
    <w:charset w:val="00"/>
    <w:family w:val="auto"/>
    <w:pitch w:val="default"/>
    <w:sig w:usb0="00000000" w:usb1="00000000" w:usb2="00000029" w:usb3="00000000" w:csb0="600001FF" w:csb1="FFFF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00"/>
    <w:family w:val="auto"/>
    <w:pitch w:val="default"/>
    <w:sig w:usb0="00000000" w:usb1="00000000" w:usb2="00000000" w:usb3="00000000" w:csb0="00040000" w:csb1="00000000"/>
  </w:font>
  <w:font w:name="仿宋">
    <w:altName w:val="方正仿宋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4405"/>
    <w:rsid w:val="285E10C3"/>
    <w:rsid w:val="3B0F4405"/>
    <w:rsid w:val="485E53E8"/>
    <w:rsid w:val="5F0756A6"/>
    <w:rsid w:val="6ED43C20"/>
    <w:rsid w:val="7FFD8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table" w:styleId="5">
    <w:name w:val="Table Grid"/>
    <w:basedOn w:val="4"/>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1</Lines>
  <Paragraphs>1</Paragraphs>
  <TotalTime>13</TotalTime>
  <ScaleCrop>false</ScaleCrop>
  <LinksUpToDate>false</LinksUpToDate>
  <CharactersWithSpaces>0</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2025-01-11T21:48:00Z</dcterms:created>
  <dc:creator>Administrator</dc:creator>
  <cp:lastModifiedBy>Swaggy</cp:lastModifiedBy>
  <dcterms:modified xsi:type="dcterms:W3CDTF">2025-01-23T16:22:14Z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46BFE59B8FC554D636FC9167E35D9863_43</vt:lpwstr>
  </property>
</Properties>
</file>