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CEC5A">
      <w:pPr>
        <w:spacing w:line="560" w:lineRule="exact"/>
        <w:rPr>
          <w:rFonts w:ascii="黑体" w:hAnsi="黑体" w:eastAsia="黑体" w:cs="TimesNewRoman"/>
          <w:color w:val="auto"/>
          <w:sz w:val="32"/>
          <w:szCs w:val="32"/>
        </w:rPr>
      </w:pPr>
    </w:p>
    <w:p w14:paraId="4B8471E8">
      <w:pPr>
        <w:spacing w:line="560" w:lineRule="exact"/>
        <w:rPr>
          <w:rFonts w:ascii="TimesNewRoman" w:hAnsi="TimesNewRoman" w:eastAsia="黑体" w:cs="TimesNewRoman"/>
          <w:color w:val="auto"/>
          <w:szCs w:val="32"/>
        </w:rPr>
      </w:pPr>
    </w:p>
    <w:p w14:paraId="51CFF945">
      <w:pPr>
        <w:spacing w:line="560" w:lineRule="exact"/>
        <w:jc w:val="center"/>
        <w:rPr>
          <w:rFonts w:ascii="方正小标宋_GBK" w:hAnsi="TimesNewRoman" w:eastAsia="方正小标宋_GBK" w:cs="TimesNewRoman"/>
          <w:color w:val="auto"/>
          <w:szCs w:val="32"/>
        </w:rPr>
      </w:pPr>
    </w:p>
    <w:p w14:paraId="6528478C">
      <w:pPr>
        <w:spacing w:line="560" w:lineRule="exact"/>
        <w:jc w:val="center"/>
        <w:rPr>
          <w:rFonts w:ascii="方正小标宋_GBK" w:hAnsi="TimesNewRoman" w:eastAsia="方正小标宋_GBK" w:cs="TimesNewRoman"/>
          <w:color w:val="auto"/>
          <w:sz w:val="44"/>
          <w:szCs w:val="44"/>
        </w:rPr>
      </w:pPr>
      <w:r>
        <w:rPr>
          <w:rFonts w:hint="eastAsia" w:ascii="方正小标宋_GBK" w:hAnsi="TimesNewRoman" w:eastAsia="方正小标宋_GBK" w:cs="TimesNewRoman"/>
          <w:color w:val="auto"/>
          <w:sz w:val="44"/>
          <w:szCs w:val="44"/>
        </w:rPr>
        <w:t>寿县县委政法委</w:t>
      </w:r>
      <w:r>
        <w:rPr>
          <w:rFonts w:hint="eastAsia" w:ascii="方正小标宋_GBK" w:hAnsi="TimesNewRoman" w:eastAsia="方正小标宋_GBK" w:cs="TimesNewRoman"/>
          <w:color w:val="auto"/>
          <w:sz w:val="44"/>
          <w:szCs w:val="44"/>
          <w:lang w:eastAsia="zh-CN"/>
        </w:rPr>
        <w:t>2025</w:t>
      </w:r>
      <w:r>
        <w:rPr>
          <w:rFonts w:hint="eastAsia" w:ascii="方正小标宋_GBK" w:hAnsi="TimesNewRoman" w:eastAsia="方正小标宋_GBK" w:cs="TimesNewRoman"/>
          <w:color w:val="auto"/>
          <w:sz w:val="44"/>
          <w:szCs w:val="44"/>
        </w:rPr>
        <w:t>年部门预算</w:t>
      </w:r>
    </w:p>
    <w:p w14:paraId="286C64AD">
      <w:pPr>
        <w:pStyle w:val="4"/>
        <w:adjustRightInd w:val="0"/>
        <w:snapToGrid w:val="0"/>
        <w:spacing w:line="560" w:lineRule="exact"/>
        <w:jc w:val="center"/>
        <w:rPr>
          <w:rFonts w:ascii="TimesNewRoman" w:hAnsi="TimesNewRoman" w:eastAsia="黑体" w:cs="TimesNewRoman"/>
          <w:bCs/>
          <w:color w:val="auto"/>
          <w:sz w:val="36"/>
          <w:szCs w:val="36"/>
        </w:rPr>
      </w:pPr>
    </w:p>
    <w:p w14:paraId="1364B8DC">
      <w:pPr>
        <w:pStyle w:val="4"/>
        <w:adjustRightInd w:val="0"/>
        <w:snapToGrid w:val="0"/>
        <w:spacing w:line="560" w:lineRule="exact"/>
        <w:jc w:val="center"/>
        <w:rPr>
          <w:rFonts w:ascii="TimesNewRoman" w:hAnsi="TimesNewRoman" w:eastAsia="黑体" w:cs="TimesNewRoman"/>
          <w:bCs/>
          <w:color w:val="auto"/>
          <w:sz w:val="36"/>
          <w:szCs w:val="36"/>
        </w:rPr>
      </w:pPr>
    </w:p>
    <w:p w14:paraId="722684C1">
      <w:pPr>
        <w:pStyle w:val="4"/>
        <w:adjustRightInd w:val="0"/>
        <w:snapToGrid w:val="0"/>
        <w:spacing w:line="560" w:lineRule="exact"/>
        <w:jc w:val="center"/>
        <w:rPr>
          <w:rFonts w:ascii="TimesNewRoman" w:hAnsi="TimesNewRoman" w:eastAsia="黑体" w:cs="TimesNewRoman"/>
          <w:bCs/>
          <w:color w:val="auto"/>
          <w:sz w:val="36"/>
          <w:szCs w:val="36"/>
        </w:rPr>
      </w:pPr>
    </w:p>
    <w:p w14:paraId="0BF70795">
      <w:pPr>
        <w:pStyle w:val="4"/>
        <w:adjustRightInd w:val="0"/>
        <w:snapToGrid w:val="0"/>
        <w:spacing w:line="560" w:lineRule="exact"/>
        <w:jc w:val="center"/>
        <w:rPr>
          <w:rFonts w:ascii="TimesNewRoman" w:hAnsi="TimesNewRoman" w:eastAsia="黑体" w:cs="TimesNewRoman"/>
          <w:bCs/>
          <w:color w:val="auto"/>
          <w:sz w:val="36"/>
          <w:szCs w:val="36"/>
        </w:rPr>
      </w:pPr>
    </w:p>
    <w:p w14:paraId="17D462DA">
      <w:pPr>
        <w:pStyle w:val="4"/>
        <w:adjustRightInd w:val="0"/>
        <w:snapToGrid w:val="0"/>
        <w:spacing w:line="560" w:lineRule="exact"/>
        <w:jc w:val="center"/>
        <w:rPr>
          <w:rFonts w:hint="eastAsia" w:ascii="TimesNewRoman" w:hAnsi="TimesNewRoman" w:eastAsia="黑体" w:cs="TimesNewRoman"/>
          <w:bCs/>
          <w:color w:val="auto"/>
          <w:sz w:val="36"/>
          <w:szCs w:val="36"/>
        </w:rPr>
      </w:pPr>
    </w:p>
    <w:p w14:paraId="5B8F3821">
      <w:pPr>
        <w:pStyle w:val="4"/>
        <w:adjustRightInd w:val="0"/>
        <w:snapToGrid w:val="0"/>
        <w:spacing w:line="560" w:lineRule="exact"/>
        <w:jc w:val="center"/>
        <w:rPr>
          <w:rFonts w:ascii="TimesNewRoman" w:hAnsi="TimesNewRoman" w:eastAsia="黑体" w:cs="TimesNewRoman"/>
          <w:bCs/>
          <w:color w:val="auto"/>
          <w:sz w:val="36"/>
          <w:szCs w:val="36"/>
        </w:rPr>
      </w:pPr>
    </w:p>
    <w:p w14:paraId="6D727CCD">
      <w:pPr>
        <w:pStyle w:val="4"/>
        <w:adjustRightInd w:val="0"/>
        <w:snapToGrid w:val="0"/>
        <w:spacing w:line="560" w:lineRule="exact"/>
        <w:jc w:val="center"/>
        <w:rPr>
          <w:rFonts w:ascii="TimesNewRoman" w:hAnsi="TimesNewRoman" w:eastAsia="黑体" w:cs="TimesNewRoman"/>
          <w:bCs/>
          <w:color w:val="auto"/>
          <w:sz w:val="36"/>
          <w:szCs w:val="36"/>
        </w:rPr>
      </w:pPr>
    </w:p>
    <w:p w14:paraId="3AE132EA">
      <w:pPr>
        <w:pStyle w:val="4"/>
        <w:adjustRightInd w:val="0"/>
        <w:snapToGrid w:val="0"/>
        <w:spacing w:line="560" w:lineRule="exact"/>
        <w:jc w:val="center"/>
        <w:rPr>
          <w:rFonts w:ascii="TimesNewRoman" w:hAnsi="TimesNewRoman" w:eastAsia="黑体" w:cs="TimesNewRoman"/>
          <w:bCs/>
          <w:color w:val="auto"/>
          <w:sz w:val="36"/>
          <w:szCs w:val="36"/>
        </w:rPr>
      </w:pPr>
    </w:p>
    <w:p w14:paraId="73361FE3">
      <w:pPr>
        <w:pStyle w:val="4"/>
        <w:adjustRightInd w:val="0"/>
        <w:snapToGrid w:val="0"/>
        <w:spacing w:line="560" w:lineRule="exact"/>
        <w:jc w:val="center"/>
        <w:rPr>
          <w:rFonts w:ascii="TimesNewRoman" w:hAnsi="TimesNewRoman" w:eastAsia="黑体" w:cs="TimesNewRoman"/>
          <w:bCs/>
          <w:color w:val="auto"/>
          <w:sz w:val="36"/>
          <w:szCs w:val="36"/>
        </w:rPr>
      </w:pPr>
    </w:p>
    <w:p w14:paraId="74BF5165">
      <w:pPr>
        <w:pStyle w:val="4"/>
        <w:adjustRightInd w:val="0"/>
        <w:snapToGrid w:val="0"/>
        <w:spacing w:line="560" w:lineRule="exact"/>
        <w:jc w:val="center"/>
        <w:rPr>
          <w:rFonts w:ascii="TimesNewRoman" w:hAnsi="TimesNewRoman" w:eastAsia="黑体" w:cs="TimesNewRoman"/>
          <w:bCs/>
          <w:color w:val="auto"/>
          <w:sz w:val="32"/>
          <w:szCs w:val="32"/>
        </w:rPr>
      </w:pPr>
    </w:p>
    <w:p w14:paraId="61E56B2C">
      <w:pPr>
        <w:pStyle w:val="4"/>
        <w:adjustRightInd w:val="0"/>
        <w:snapToGrid w:val="0"/>
        <w:spacing w:line="560" w:lineRule="exact"/>
        <w:jc w:val="center"/>
        <w:rPr>
          <w:rFonts w:ascii="仿宋_GB2312" w:hAnsi="TimesNewRoman" w:eastAsia="仿宋_GB2312" w:cs="TimesNewRoman"/>
          <w:bCs/>
          <w:color w:val="auto"/>
          <w:sz w:val="32"/>
          <w:szCs w:val="32"/>
        </w:rPr>
      </w:pPr>
    </w:p>
    <w:p w14:paraId="3721433D">
      <w:pPr>
        <w:pStyle w:val="4"/>
        <w:adjustRightInd w:val="0"/>
        <w:snapToGrid w:val="0"/>
        <w:spacing w:line="560" w:lineRule="exact"/>
        <w:jc w:val="center"/>
        <w:rPr>
          <w:rFonts w:ascii="仿宋_GB2312" w:hAnsi="TimesNewRoman" w:eastAsia="仿宋_GB2312" w:cs="TimesNewRoman"/>
          <w:bCs/>
          <w:color w:val="auto"/>
          <w:sz w:val="36"/>
          <w:szCs w:val="32"/>
        </w:rPr>
      </w:pPr>
      <w:r>
        <w:rPr>
          <w:rFonts w:hint="eastAsia" w:ascii="仿宋_GB2312" w:hAnsi="TimesNewRoman" w:eastAsia="仿宋_GB2312" w:cs="TimesNewRoman"/>
          <w:bCs/>
          <w:color w:val="auto"/>
          <w:sz w:val="36"/>
          <w:szCs w:val="32"/>
          <w:lang w:eastAsia="zh-CN"/>
        </w:rPr>
        <w:t>2025</w:t>
      </w:r>
      <w:r>
        <w:rPr>
          <w:rFonts w:hint="eastAsia" w:ascii="仿宋_GB2312" w:hAnsi="TimesNewRoman" w:eastAsia="仿宋_GB2312" w:cs="TimesNewRoman"/>
          <w:bCs/>
          <w:color w:val="auto"/>
          <w:sz w:val="36"/>
          <w:szCs w:val="32"/>
        </w:rPr>
        <w:t>年</w:t>
      </w:r>
      <w:r>
        <w:rPr>
          <w:rFonts w:ascii="仿宋_GB2312" w:hAnsi="TimesNewRoman" w:eastAsia="仿宋_GB2312" w:cs="TimesNewRoman"/>
          <w:bCs/>
          <w:color w:val="auto"/>
          <w:sz w:val="36"/>
          <w:szCs w:val="32"/>
        </w:rPr>
        <w:t>1</w:t>
      </w:r>
      <w:r>
        <w:rPr>
          <w:rFonts w:hint="eastAsia" w:ascii="仿宋_GB2312" w:hAnsi="TimesNewRoman" w:eastAsia="仿宋_GB2312" w:cs="TimesNewRoman"/>
          <w:bCs/>
          <w:color w:val="auto"/>
          <w:sz w:val="36"/>
          <w:szCs w:val="32"/>
        </w:rPr>
        <w:t>月</w:t>
      </w:r>
    </w:p>
    <w:p w14:paraId="344BAD16">
      <w:pPr>
        <w:pStyle w:val="4"/>
        <w:adjustRightInd w:val="0"/>
        <w:snapToGrid w:val="0"/>
        <w:spacing w:line="560" w:lineRule="exact"/>
        <w:jc w:val="center"/>
        <w:rPr>
          <w:rFonts w:ascii="方正小标宋_GBK" w:hAnsi="TimesNewRoman" w:eastAsia="方正小标宋_GBK" w:cs="TimesNewRoman"/>
          <w:bCs/>
          <w:color w:val="auto"/>
          <w:sz w:val="44"/>
          <w:szCs w:val="44"/>
        </w:rPr>
      </w:pPr>
      <w:r>
        <w:rPr>
          <w:rFonts w:hint="eastAsia" w:ascii="方正小标宋_GBK" w:hAnsi="TimesNewRoman" w:eastAsia="方正小标宋_GBK" w:cs="TimesNewRoman"/>
          <w:bCs/>
          <w:color w:val="auto"/>
          <w:sz w:val="44"/>
          <w:szCs w:val="44"/>
        </w:rPr>
        <w:t>目  录</w:t>
      </w:r>
    </w:p>
    <w:p w14:paraId="6851F630">
      <w:pPr>
        <w:pStyle w:val="4"/>
        <w:topLinePunct/>
        <w:adjustRightInd w:val="0"/>
        <w:snapToGrid w:val="0"/>
        <w:spacing w:beforeAutospacing="0" w:afterAutospacing="0" w:line="560" w:lineRule="exact"/>
        <w:ind w:firstLine="640" w:firstLineChars="200"/>
        <w:jc w:val="both"/>
        <w:rPr>
          <w:rFonts w:ascii="黑体" w:hAnsi="黑体" w:eastAsia="黑体" w:cs="TimesNewRoman"/>
          <w:color w:val="auto"/>
          <w:sz w:val="32"/>
          <w:szCs w:val="32"/>
        </w:rPr>
      </w:pPr>
    </w:p>
    <w:p w14:paraId="5B7154BB">
      <w:pPr>
        <w:pStyle w:val="4"/>
        <w:topLinePunct/>
        <w:adjustRightInd w:val="0"/>
        <w:snapToGrid w:val="0"/>
        <w:spacing w:beforeAutospacing="0" w:afterAutospacing="0" w:line="560" w:lineRule="exact"/>
        <w:ind w:firstLine="640" w:firstLineChars="200"/>
        <w:jc w:val="both"/>
        <w:rPr>
          <w:rFonts w:ascii="黑体" w:hAnsi="黑体" w:eastAsia="黑体" w:cs="TimesNewRoman"/>
          <w:color w:val="auto"/>
          <w:sz w:val="32"/>
          <w:szCs w:val="32"/>
        </w:rPr>
      </w:pPr>
      <w:r>
        <w:rPr>
          <w:rFonts w:ascii="黑体" w:hAnsi="黑体" w:eastAsia="黑体" w:cs="TimesNewRoman"/>
          <w:color w:val="auto"/>
          <w:sz w:val="32"/>
          <w:szCs w:val="32"/>
        </w:rPr>
        <w:t>第一部分 部门概况</w:t>
      </w:r>
    </w:p>
    <w:p w14:paraId="3E7132BA">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hint="eastAsia" w:ascii="仿宋_GB2312" w:hAnsi="TimesNewRoman" w:eastAsia="仿宋_GB2312" w:cs="TimesNewRoman"/>
          <w:bCs/>
          <w:color w:val="auto"/>
          <w:sz w:val="32"/>
          <w:szCs w:val="32"/>
        </w:rPr>
        <w:t>1.主要职责</w:t>
      </w:r>
    </w:p>
    <w:p w14:paraId="7F1EE28F">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hint="eastAsia" w:ascii="仿宋_GB2312" w:hAnsi="TimesNewRoman" w:eastAsia="仿宋_GB2312" w:cs="TimesNewRoman"/>
          <w:bCs/>
          <w:color w:val="auto"/>
          <w:sz w:val="32"/>
          <w:szCs w:val="32"/>
        </w:rPr>
        <w:t>2.部门预算构成</w:t>
      </w:r>
    </w:p>
    <w:p w14:paraId="04FD924E">
      <w:pPr>
        <w:pStyle w:val="4"/>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color w:val="auto"/>
          <w:sz w:val="32"/>
          <w:szCs w:val="32"/>
          <w:lang w:val="en-US" w:eastAsia="zh-CN"/>
        </w:rPr>
      </w:pPr>
      <w:r>
        <w:rPr>
          <w:rFonts w:hint="eastAsia" w:ascii="仿宋_GB2312" w:hAnsi="TimesNewRoman" w:eastAsia="仿宋_GB2312" w:cs="TimesNewRoman"/>
          <w:bCs/>
          <w:color w:val="auto"/>
          <w:sz w:val="32"/>
          <w:szCs w:val="32"/>
        </w:rPr>
        <w:t>3.</w:t>
      </w:r>
      <w:r>
        <w:rPr>
          <w:rFonts w:hint="eastAsia" w:ascii="仿宋_GB2312" w:hAnsi="TimesNewRoman" w:eastAsia="仿宋_GB2312" w:cs="TimesNewRoman"/>
          <w:bCs/>
          <w:color w:val="auto"/>
          <w:sz w:val="32"/>
          <w:szCs w:val="32"/>
          <w:lang w:eastAsia="zh-CN"/>
        </w:rPr>
        <w:t>2025</w:t>
      </w:r>
      <w:r>
        <w:rPr>
          <w:rFonts w:hint="eastAsia" w:ascii="仿宋_GB2312" w:hAnsi="TimesNewRoman" w:eastAsia="仿宋_GB2312" w:cs="TimesNewRoman"/>
          <w:bCs/>
          <w:color w:val="auto"/>
          <w:sz w:val="32"/>
          <w:szCs w:val="32"/>
        </w:rPr>
        <w:t>年度主要工作任务</w:t>
      </w:r>
      <w:r>
        <w:rPr>
          <w:rFonts w:hint="eastAsia" w:ascii="仿宋_GB2312" w:hAnsi="TimesNewRoman" w:eastAsia="仿宋_GB2312" w:cs="TimesNewRoman"/>
          <w:bCs/>
          <w:color w:val="auto"/>
          <w:sz w:val="32"/>
          <w:szCs w:val="32"/>
          <w:lang w:val="en-US" w:eastAsia="zh-CN"/>
        </w:rPr>
        <w:tab/>
      </w:r>
      <w:r>
        <w:rPr>
          <w:rFonts w:hint="eastAsia" w:ascii="仿宋_GB2312" w:hAnsi="TimesNewRoman" w:eastAsia="仿宋_GB2312" w:cs="TimesNewRoman"/>
          <w:bCs/>
          <w:color w:val="auto"/>
          <w:sz w:val="32"/>
          <w:szCs w:val="32"/>
          <w:lang w:val="en-US" w:eastAsia="zh-CN"/>
        </w:rPr>
        <w:tab/>
      </w:r>
      <w:r>
        <w:rPr>
          <w:rFonts w:hint="eastAsia" w:ascii="仿宋_GB2312" w:hAnsi="TimesNewRoman" w:eastAsia="仿宋_GB2312" w:cs="TimesNewRoman"/>
          <w:bCs/>
          <w:color w:val="auto"/>
          <w:sz w:val="32"/>
          <w:szCs w:val="32"/>
          <w:lang w:val="en-US" w:eastAsia="zh-CN"/>
        </w:rPr>
        <w:tab/>
      </w:r>
      <w:r>
        <w:rPr>
          <w:rFonts w:hint="eastAsia" w:ascii="仿宋_GB2312" w:hAnsi="TimesNewRoman" w:eastAsia="仿宋_GB2312" w:cs="TimesNewRoman"/>
          <w:bCs/>
          <w:color w:val="auto"/>
          <w:sz w:val="32"/>
          <w:szCs w:val="32"/>
          <w:lang w:val="en-US" w:eastAsia="zh-CN"/>
        </w:rPr>
        <w:tab/>
      </w:r>
    </w:p>
    <w:p w14:paraId="77930FC4">
      <w:pPr>
        <w:pStyle w:val="4"/>
        <w:topLinePunct/>
        <w:adjustRightInd w:val="0"/>
        <w:snapToGrid w:val="0"/>
        <w:spacing w:beforeAutospacing="0" w:afterAutospacing="0" w:line="560" w:lineRule="exact"/>
        <w:ind w:firstLine="640" w:firstLineChars="200"/>
        <w:jc w:val="both"/>
        <w:rPr>
          <w:rFonts w:ascii="黑体" w:hAnsi="黑体" w:eastAsia="黑体" w:cs="TimesNewRoman"/>
          <w:color w:val="auto"/>
          <w:sz w:val="32"/>
          <w:szCs w:val="32"/>
        </w:rPr>
      </w:pPr>
      <w:r>
        <w:rPr>
          <w:rFonts w:ascii="黑体" w:hAnsi="黑体" w:eastAsia="黑体" w:cs="TimesNewRoman"/>
          <w:color w:val="auto"/>
          <w:sz w:val="32"/>
          <w:szCs w:val="32"/>
        </w:rPr>
        <w:t>第</w:t>
      </w:r>
      <w:r>
        <w:rPr>
          <w:rFonts w:hint="eastAsia" w:ascii="黑体" w:hAnsi="黑体" w:eastAsia="黑体" w:cs="TimesNewRoman"/>
          <w:color w:val="auto"/>
          <w:sz w:val="32"/>
          <w:szCs w:val="32"/>
          <w:lang w:val="en-US" w:eastAsia="zh-CN"/>
        </w:rPr>
        <w:t>二</w:t>
      </w:r>
      <w:r>
        <w:rPr>
          <w:rFonts w:ascii="黑体" w:hAnsi="黑体" w:eastAsia="黑体" w:cs="TimesNewRoman"/>
          <w:color w:val="auto"/>
          <w:sz w:val="32"/>
          <w:szCs w:val="32"/>
        </w:rPr>
        <w:t xml:space="preserve">部分 </w:t>
      </w:r>
      <w:r>
        <w:rPr>
          <w:rFonts w:hint="eastAsia" w:ascii="黑体" w:hAnsi="黑体" w:eastAsia="黑体" w:cs="TimesNewRoman"/>
          <w:color w:val="auto"/>
          <w:sz w:val="32"/>
          <w:szCs w:val="32"/>
          <w:lang w:eastAsia="zh-CN"/>
        </w:rPr>
        <w:t>2025</w:t>
      </w:r>
      <w:r>
        <w:rPr>
          <w:rFonts w:ascii="黑体" w:hAnsi="黑体" w:eastAsia="黑体" w:cs="TimesNewRoman"/>
          <w:color w:val="auto"/>
          <w:sz w:val="32"/>
          <w:szCs w:val="32"/>
        </w:rPr>
        <w:t>年部门</w:t>
      </w:r>
      <w:bookmarkStart w:id="0" w:name="_GoBack"/>
      <w:bookmarkEnd w:id="0"/>
      <w:r>
        <w:rPr>
          <w:rFonts w:ascii="黑体" w:hAnsi="黑体" w:eastAsia="黑体" w:cs="TimesNewRoman"/>
          <w:color w:val="auto"/>
          <w:sz w:val="32"/>
          <w:szCs w:val="32"/>
        </w:rPr>
        <w:t>预算情况说明</w:t>
      </w:r>
    </w:p>
    <w:p w14:paraId="1CD8B8E4">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1.关于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年收支总表的说明</w:t>
      </w:r>
    </w:p>
    <w:p w14:paraId="4A2B1C38">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2.关于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年收入总表的说明</w:t>
      </w:r>
    </w:p>
    <w:p w14:paraId="35BEB592">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3.关于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年支出总表的说明</w:t>
      </w:r>
    </w:p>
    <w:p w14:paraId="099CF468">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4.关于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年财政拨款收支总表的说明</w:t>
      </w:r>
    </w:p>
    <w:p w14:paraId="171AE279">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5.关于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年一般公共预算支出表的说明</w:t>
      </w:r>
    </w:p>
    <w:p w14:paraId="1B4EC493">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6.关于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年一般公共预算基本支出表的说明</w:t>
      </w:r>
    </w:p>
    <w:p w14:paraId="1A9D3E5E">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7.关于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年政府性基金预算支出表的说明</w:t>
      </w:r>
    </w:p>
    <w:p w14:paraId="3AF7E936">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8.关于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年国有资本经营预算支出表的说明</w:t>
      </w:r>
    </w:p>
    <w:p w14:paraId="730D7A3C">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9.关于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年项目支出表的说明</w:t>
      </w:r>
    </w:p>
    <w:p w14:paraId="7A9D54ED">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10.关于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年政府采购支出表的说明</w:t>
      </w:r>
    </w:p>
    <w:p w14:paraId="7C6F7FBA">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11.关于</w:t>
      </w:r>
      <w:r>
        <w:rPr>
          <w:rFonts w:hint="eastAsia" w:ascii="仿宋_GB2312" w:hAnsi="TimesNewRoman" w:eastAsia="仿宋_GB2312" w:cs="TimesNewRoman"/>
          <w:bCs/>
          <w:color w:val="auto"/>
          <w:sz w:val="32"/>
          <w:szCs w:val="32"/>
          <w:lang w:eastAsia="zh-CN"/>
        </w:rPr>
        <w:t>2025</w:t>
      </w:r>
      <w:r>
        <w:rPr>
          <w:rFonts w:ascii="仿宋_GB2312" w:hAnsi="TimesNewRoman" w:eastAsia="仿宋_GB2312" w:cs="TimesNewRoman"/>
          <w:bCs/>
          <w:color w:val="auto"/>
          <w:sz w:val="32"/>
          <w:szCs w:val="32"/>
        </w:rPr>
        <w:t>年政府购买服务支出表的说明</w:t>
      </w:r>
    </w:p>
    <w:p w14:paraId="07A10310">
      <w:pPr>
        <w:pStyle w:val="4"/>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color w:val="auto"/>
          <w:sz w:val="32"/>
          <w:szCs w:val="32"/>
          <w:lang w:val="en-US" w:eastAsia="zh-CN"/>
        </w:rPr>
      </w:pPr>
      <w:r>
        <w:rPr>
          <w:rFonts w:hint="eastAsia" w:ascii="仿宋_GB2312" w:hAnsi="TimesNewRoman" w:eastAsia="仿宋_GB2312" w:cs="TimesNewRoman"/>
          <w:bCs/>
          <w:color w:val="auto"/>
          <w:sz w:val="32"/>
          <w:szCs w:val="32"/>
          <w:lang w:val="en-US" w:eastAsia="zh-CN"/>
        </w:rPr>
        <w:t>12.2025年一般公共预算“三公”经费支出预算情况说明</w:t>
      </w:r>
    </w:p>
    <w:p w14:paraId="7B380084">
      <w:pPr>
        <w:pStyle w:val="4"/>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_GB2312" w:hAnsi="TimesNewRoman" w:eastAsia="仿宋_GB2312" w:cs="TimesNewRoman"/>
          <w:bCs/>
          <w:color w:val="auto"/>
          <w:sz w:val="32"/>
          <w:szCs w:val="32"/>
        </w:rPr>
        <w:t>1</w:t>
      </w:r>
      <w:r>
        <w:rPr>
          <w:rFonts w:hint="eastAsia" w:ascii="仿宋_GB2312" w:hAnsi="TimesNewRoman" w:eastAsia="仿宋_GB2312" w:cs="TimesNewRoman"/>
          <w:bCs/>
          <w:color w:val="auto"/>
          <w:sz w:val="32"/>
          <w:szCs w:val="32"/>
          <w:lang w:val="en-US" w:eastAsia="zh-CN"/>
        </w:rPr>
        <w:t>3.</w:t>
      </w:r>
      <w:r>
        <w:rPr>
          <w:rFonts w:ascii="仿宋_GB2312" w:hAnsi="TimesNewRoman" w:eastAsia="仿宋_GB2312" w:cs="TimesNewRoman"/>
          <w:bCs/>
          <w:color w:val="auto"/>
          <w:sz w:val="32"/>
          <w:szCs w:val="32"/>
        </w:rPr>
        <w:t>其他重要事项情况说明</w:t>
      </w:r>
    </w:p>
    <w:p w14:paraId="483F1A9C">
      <w:pPr>
        <w:pStyle w:val="4"/>
        <w:topLinePunct/>
        <w:adjustRightInd w:val="0"/>
        <w:snapToGrid w:val="0"/>
        <w:spacing w:beforeAutospacing="0" w:afterAutospacing="0" w:line="560" w:lineRule="exact"/>
        <w:ind w:firstLine="640" w:firstLineChars="200"/>
        <w:jc w:val="both"/>
        <w:rPr>
          <w:rFonts w:ascii="黑体" w:hAnsi="黑体" w:eastAsia="黑体" w:cs="TimesNewRoman"/>
          <w:color w:val="auto"/>
          <w:sz w:val="32"/>
          <w:szCs w:val="32"/>
        </w:rPr>
      </w:pPr>
      <w:r>
        <w:rPr>
          <w:rFonts w:ascii="黑体" w:hAnsi="黑体" w:eastAsia="黑体" w:cs="TimesNewRoman"/>
          <w:color w:val="auto"/>
          <w:sz w:val="32"/>
          <w:szCs w:val="32"/>
        </w:rPr>
        <w:t>第</w:t>
      </w:r>
      <w:r>
        <w:rPr>
          <w:rFonts w:hint="eastAsia" w:ascii="黑体" w:hAnsi="黑体" w:eastAsia="黑体" w:cs="TimesNewRoman"/>
          <w:color w:val="auto"/>
          <w:sz w:val="32"/>
          <w:szCs w:val="32"/>
          <w:lang w:val="en-US" w:eastAsia="zh-CN"/>
        </w:rPr>
        <w:t>三</w:t>
      </w:r>
      <w:r>
        <w:rPr>
          <w:rFonts w:ascii="黑体" w:hAnsi="黑体" w:eastAsia="黑体" w:cs="TimesNewRoman"/>
          <w:color w:val="auto"/>
          <w:sz w:val="32"/>
          <w:szCs w:val="32"/>
        </w:rPr>
        <w:t>部分 名词解释</w:t>
      </w:r>
    </w:p>
    <w:p w14:paraId="443D4CFE">
      <w:pPr>
        <w:pStyle w:val="4"/>
        <w:topLinePunct/>
        <w:adjustRightInd w:val="0"/>
        <w:snapToGrid w:val="0"/>
        <w:spacing w:beforeAutospacing="0" w:afterAutospacing="0" w:line="560" w:lineRule="exact"/>
        <w:jc w:val="both"/>
        <w:rPr>
          <w:rFonts w:ascii="TimesNewRoman" w:hAnsi="TimesNewRoman" w:eastAsia="黑体" w:cs="TimesNewRoman"/>
          <w:bCs/>
          <w:color w:val="auto"/>
          <w:sz w:val="36"/>
          <w:szCs w:val="36"/>
        </w:rPr>
      </w:pPr>
    </w:p>
    <w:p w14:paraId="370CED61">
      <w:pPr>
        <w:pStyle w:val="4"/>
        <w:topLinePunct/>
        <w:adjustRightInd w:val="0"/>
        <w:snapToGrid w:val="0"/>
        <w:spacing w:beforeAutospacing="0" w:afterAutospacing="0" w:line="560" w:lineRule="exact"/>
        <w:jc w:val="both"/>
        <w:rPr>
          <w:rFonts w:ascii="TimesNewRoman" w:hAnsi="TimesNewRoman" w:eastAsia="黑体" w:cs="TimesNewRoman"/>
          <w:bCs/>
          <w:color w:val="auto"/>
          <w:sz w:val="36"/>
          <w:szCs w:val="36"/>
        </w:rPr>
      </w:pPr>
    </w:p>
    <w:p w14:paraId="2C5DDD2F">
      <w:pPr>
        <w:pStyle w:val="4"/>
        <w:topLinePunct/>
        <w:adjustRightInd w:val="0"/>
        <w:snapToGrid w:val="0"/>
        <w:spacing w:beforeAutospacing="0" w:afterAutospacing="0" w:line="560" w:lineRule="exact"/>
        <w:jc w:val="center"/>
        <w:rPr>
          <w:rFonts w:ascii="TimesNewRoman" w:hAnsi="TimesNewRoman" w:eastAsia="黑体" w:cs="TimesNewRoman"/>
          <w:bCs/>
          <w:color w:val="auto"/>
          <w:sz w:val="36"/>
          <w:szCs w:val="36"/>
        </w:rPr>
      </w:pPr>
      <w:r>
        <w:rPr>
          <w:rFonts w:ascii="TimesNewRoman" w:hAnsi="TimesNewRoman" w:eastAsia="黑体" w:cs="TimesNewRoman"/>
          <w:bCs/>
          <w:color w:val="auto"/>
          <w:sz w:val="36"/>
          <w:szCs w:val="36"/>
        </w:rPr>
        <w:t>第一部分 部门概况</w:t>
      </w:r>
    </w:p>
    <w:p w14:paraId="183FABA7">
      <w:pPr>
        <w:pStyle w:val="4"/>
        <w:topLinePunct/>
        <w:adjustRightInd w:val="0"/>
        <w:snapToGrid w:val="0"/>
        <w:spacing w:beforeAutospacing="0" w:afterAutospacing="0" w:line="560" w:lineRule="exact"/>
        <w:ind w:firstLine="627" w:firstLineChars="196"/>
        <w:jc w:val="both"/>
        <w:rPr>
          <w:rFonts w:ascii="TimesNewRoman" w:hAnsi="TimesNewRoman" w:eastAsia="黑体" w:cs="TimesNewRoman"/>
          <w:bCs/>
          <w:color w:val="auto"/>
          <w:sz w:val="32"/>
          <w:szCs w:val="32"/>
        </w:rPr>
      </w:pPr>
    </w:p>
    <w:p w14:paraId="116001B7">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color w:val="auto"/>
          <w:sz w:val="32"/>
          <w:szCs w:val="32"/>
        </w:rPr>
      </w:pPr>
      <w:r>
        <w:rPr>
          <w:rFonts w:hint="eastAsia" w:ascii="楷体_GB2312" w:hAnsi="TimesNewRoman" w:eastAsia="楷体_GB2312" w:cs="TimesNewRoman"/>
          <w:b/>
          <w:bCs/>
          <w:color w:val="auto"/>
          <w:sz w:val="32"/>
          <w:szCs w:val="32"/>
        </w:rPr>
        <w:t>一、主要职责</w:t>
      </w:r>
    </w:p>
    <w:p w14:paraId="5EFEC5C4">
      <w:pPr>
        <w:pStyle w:val="4"/>
        <w:topLinePunct/>
        <w:adjustRightInd w:val="0"/>
        <w:snapToGrid w:val="0"/>
        <w:spacing w:beforeAutospacing="0" w:afterAutospacing="0" w:line="580" w:lineRule="exact"/>
        <w:ind w:firstLine="640" w:firstLineChars="200"/>
        <w:jc w:val="both"/>
        <w:rPr>
          <w:rFonts w:ascii="仿宋_GB2312" w:hAnsi="黑体" w:eastAsia="仿宋_GB2312"/>
          <w:bCs/>
          <w:color w:val="auto"/>
          <w:sz w:val="32"/>
          <w:szCs w:val="32"/>
        </w:rPr>
      </w:pPr>
      <w:r>
        <w:rPr>
          <w:rFonts w:hint="eastAsia" w:ascii="仿宋_GB2312" w:hAnsi="黑体" w:eastAsia="仿宋_GB2312"/>
          <w:bCs/>
          <w:color w:val="auto"/>
          <w:sz w:val="32"/>
          <w:szCs w:val="32"/>
        </w:rPr>
        <w:t>寿县县委政法委是县委领导和管理政法工作的职能部门，主要职责任务是把握政治方向、协调各方职能、统筹政法工作、建设政法队伍、督促依法履职、创造公正司法环境。</w:t>
      </w:r>
    </w:p>
    <w:p w14:paraId="036B3252">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color w:val="auto"/>
          <w:sz w:val="32"/>
          <w:szCs w:val="32"/>
        </w:rPr>
      </w:pPr>
      <w:r>
        <w:rPr>
          <w:rFonts w:hint="eastAsia" w:ascii="楷体_GB2312" w:hAnsi="TimesNewRoman" w:eastAsia="楷体_GB2312" w:cs="TimesNewRoman"/>
          <w:b/>
          <w:bCs/>
          <w:color w:val="auto"/>
          <w:sz w:val="32"/>
          <w:szCs w:val="32"/>
        </w:rPr>
        <w:t>二、</w:t>
      </w:r>
      <w:r>
        <w:rPr>
          <w:rFonts w:ascii="楷体_GB2312" w:hAnsi="TimesNewRoman" w:eastAsia="楷体_GB2312" w:cs="TimesNewRoman"/>
          <w:b/>
          <w:bCs/>
          <w:color w:val="auto"/>
          <w:sz w:val="32"/>
          <w:szCs w:val="32"/>
        </w:rPr>
        <w:t>部门预算构成</w:t>
      </w:r>
    </w:p>
    <w:p w14:paraId="08467A20">
      <w:pPr>
        <w:pStyle w:val="4"/>
        <w:topLinePunct/>
        <w:adjustRightInd w:val="0"/>
        <w:snapToGrid w:val="0"/>
        <w:spacing w:beforeAutospacing="0" w:afterAutospacing="0" w:line="580" w:lineRule="exact"/>
        <w:ind w:firstLine="640" w:firstLineChars="200"/>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从预算单位构成看，</w:t>
      </w:r>
      <w:r>
        <w:rPr>
          <w:rFonts w:hint="eastAsia" w:ascii="仿宋_GB2312" w:hAnsi="TimesNewRoman" w:eastAsia="仿宋_GB2312" w:cs="TimesNewRoman"/>
          <w:bCs/>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年度部门预算仅包括委本级预算，无其他下属单位预算。</w:t>
      </w:r>
    </w:p>
    <w:p w14:paraId="588ADB07">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color w:val="auto"/>
          <w:sz w:val="32"/>
          <w:szCs w:val="32"/>
        </w:rPr>
      </w:pPr>
      <w:r>
        <w:rPr>
          <w:rFonts w:hint="eastAsia" w:ascii="楷体_GB2312" w:hAnsi="TimesNewRoman" w:eastAsia="楷体_GB2312" w:cs="TimesNewRoman"/>
          <w:b/>
          <w:bCs/>
          <w:color w:val="auto"/>
          <w:sz w:val="32"/>
          <w:szCs w:val="32"/>
        </w:rPr>
        <w:t>三、</w:t>
      </w:r>
      <w:r>
        <w:rPr>
          <w:rFonts w:hint="eastAsia" w:ascii="楷体_GB2312" w:hAnsi="TimesNewRoman" w:eastAsia="楷体_GB2312" w:cs="TimesNewRoman"/>
          <w:b/>
          <w:bCs/>
          <w:color w:val="auto"/>
          <w:sz w:val="32"/>
          <w:szCs w:val="32"/>
          <w:lang w:eastAsia="zh-CN"/>
        </w:rPr>
        <w:t>2025</w:t>
      </w:r>
      <w:r>
        <w:rPr>
          <w:rFonts w:hint="eastAsia" w:ascii="楷体_GB2312" w:hAnsi="TimesNewRoman" w:eastAsia="楷体_GB2312" w:cs="TimesNewRoman"/>
          <w:b/>
          <w:bCs/>
          <w:color w:val="auto"/>
          <w:sz w:val="32"/>
          <w:szCs w:val="32"/>
        </w:rPr>
        <w:t>年度主要工作任务</w:t>
      </w:r>
    </w:p>
    <w:p w14:paraId="2F1BE803">
      <w:pPr>
        <w:pStyle w:val="4"/>
        <w:adjustRightInd w:val="0"/>
        <w:snapToGrid w:val="0"/>
        <w:spacing w:beforeAutospacing="0" w:afterAutospacing="0" w:line="600" w:lineRule="exact"/>
        <w:ind w:firstLine="627" w:firstLineChars="196"/>
        <w:jc w:val="both"/>
        <w:rPr>
          <w:rFonts w:hint="eastAsia" w:ascii="仿宋_GB2312" w:hAnsi="黑体" w:eastAsia="仿宋_GB2312"/>
          <w:bCs/>
          <w:color w:val="auto"/>
          <w:sz w:val="32"/>
          <w:szCs w:val="32"/>
        </w:rPr>
      </w:pPr>
      <w:r>
        <w:rPr>
          <w:rFonts w:hint="eastAsia" w:ascii="仿宋_GB2312" w:hAnsi="黑体" w:eastAsia="仿宋_GB2312"/>
          <w:bCs/>
          <w:color w:val="auto"/>
          <w:sz w:val="32"/>
          <w:szCs w:val="32"/>
        </w:rPr>
        <w:t>（一）全力维护社会大局稳定；</w:t>
      </w:r>
    </w:p>
    <w:p w14:paraId="466D8EDF">
      <w:pPr>
        <w:pStyle w:val="4"/>
        <w:adjustRightInd w:val="0"/>
        <w:snapToGrid w:val="0"/>
        <w:spacing w:beforeAutospacing="0" w:afterAutospacing="0" w:line="600" w:lineRule="exact"/>
        <w:ind w:firstLine="627" w:firstLineChars="196"/>
        <w:jc w:val="both"/>
        <w:rPr>
          <w:rFonts w:hint="eastAsia" w:ascii="仿宋_GB2312" w:hAnsi="黑体" w:eastAsia="仿宋_GB2312"/>
          <w:bCs/>
          <w:color w:val="auto"/>
          <w:sz w:val="32"/>
          <w:szCs w:val="32"/>
        </w:rPr>
      </w:pPr>
      <w:r>
        <w:rPr>
          <w:rFonts w:hint="eastAsia" w:ascii="仿宋_GB2312" w:hAnsi="黑体" w:eastAsia="仿宋_GB2312"/>
          <w:bCs/>
          <w:color w:val="auto"/>
          <w:sz w:val="32"/>
          <w:szCs w:val="32"/>
        </w:rPr>
        <w:t>（二）主动服务保障经济社会发展；</w:t>
      </w:r>
    </w:p>
    <w:p w14:paraId="683F5BBC">
      <w:pPr>
        <w:pStyle w:val="4"/>
        <w:adjustRightInd w:val="0"/>
        <w:snapToGrid w:val="0"/>
        <w:spacing w:beforeAutospacing="0" w:afterAutospacing="0" w:line="600" w:lineRule="exact"/>
        <w:ind w:firstLine="627" w:firstLineChars="196"/>
        <w:jc w:val="both"/>
        <w:rPr>
          <w:rFonts w:hint="eastAsia" w:ascii="仿宋_GB2312" w:hAnsi="黑体" w:eastAsia="仿宋_GB2312"/>
          <w:bCs/>
          <w:color w:val="auto"/>
          <w:sz w:val="32"/>
          <w:szCs w:val="32"/>
        </w:rPr>
      </w:pPr>
      <w:r>
        <w:rPr>
          <w:rFonts w:hint="eastAsia" w:ascii="仿宋_GB2312" w:hAnsi="黑体" w:eastAsia="仿宋_GB2312"/>
          <w:bCs/>
          <w:color w:val="auto"/>
          <w:sz w:val="32"/>
          <w:szCs w:val="32"/>
        </w:rPr>
        <w:t>（三）全面加强新时代平安寿县建设；</w:t>
      </w:r>
    </w:p>
    <w:p w14:paraId="6D59DF2A">
      <w:pPr>
        <w:pStyle w:val="4"/>
        <w:adjustRightInd w:val="0"/>
        <w:snapToGrid w:val="0"/>
        <w:spacing w:beforeAutospacing="0" w:afterAutospacing="0" w:line="600" w:lineRule="exact"/>
        <w:ind w:firstLine="627" w:firstLineChars="196"/>
        <w:jc w:val="both"/>
        <w:rPr>
          <w:rFonts w:hint="eastAsia" w:ascii="仿宋_GB2312" w:hAnsi="黑体" w:eastAsia="仿宋_GB2312"/>
          <w:bCs/>
          <w:color w:val="auto"/>
          <w:sz w:val="32"/>
          <w:szCs w:val="32"/>
        </w:rPr>
      </w:pPr>
      <w:r>
        <w:rPr>
          <w:rFonts w:hint="eastAsia" w:ascii="仿宋_GB2312" w:hAnsi="黑体" w:eastAsia="仿宋_GB2312"/>
          <w:bCs/>
          <w:color w:val="auto"/>
          <w:sz w:val="32"/>
          <w:szCs w:val="32"/>
        </w:rPr>
        <w:t>（四）常态化推进扫黑除恶专项斗争；</w:t>
      </w:r>
    </w:p>
    <w:p w14:paraId="6168339B">
      <w:pPr>
        <w:pStyle w:val="4"/>
        <w:adjustRightInd w:val="0"/>
        <w:snapToGrid w:val="0"/>
        <w:spacing w:beforeAutospacing="0" w:afterAutospacing="0" w:line="600" w:lineRule="exact"/>
        <w:ind w:firstLine="627" w:firstLineChars="196"/>
        <w:jc w:val="both"/>
        <w:rPr>
          <w:rFonts w:hint="eastAsia" w:ascii="仿宋_GB2312" w:hAnsi="黑体" w:eastAsia="仿宋_GB2312"/>
          <w:bCs/>
          <w:color w:val="auto"/>
          <w:sz w:val="32"/>
          <w:szCs w:val="32"/>
        </w:rPr>
      </w:pPr>
      <w:r>
        <w:rPr>
          <w:rFonts w:hint="eastAsia" w:ascii="仿宋_GB2312" w:hAnsi="黑体" w:eastAsia="仿宋_GB2312"/>
          <w:bCs/>
          <w:color w:val="auto"/>
          <w:sz w:val="32"/>
          <w:szCs w:val="32"/>
        </w:rPr>
        <w:t>（五）全面深化政法领域改革；</w:t>
      </w:r>
    </w:p>
    <w:p w14:paraId="6813E3E8">
      <w:pPr>
        <w:pStyle w:val="4"/>
        <w:adjustRightInd w:val="0"/>
        <w:snapToGrid w:val="0"/>
        <w:spacing w:beforeAutospacing="0" w:afterAutospacing="0" w:line="600" w:lineRule="exact"/>
        <w:ind w:firstLine="627" w:firstLineChars="196"/>
        <w:jc w:val="both"/>
        <w:rPr>
          <w:rFonts w:ascii="仿宋_GB2312" w:hAnsi="黑体" w:eastAsia="仿宋_GB2312"/>
          <w:bCs/>
          <w:color w:val="auto"/>
          <w:sz w:val="32"/>
          <w:szCs w:val="32"/>
        </w:rPr>
      </w:pPr>
      <w:r>
        <w:rPr>
          <w:rFonts w:hint="eastAsia" w:ascii="仿宋_GB2312" w:hAnsi="黑体" w:eastAsia="仿宋_GB2312"/>
          <w:bCs/>
          <w:color w:val="auto"/>
          <w:sz w:val="32"/>
          <w:szCs w:val="32"/>
        </w:rPr>
        <w:t>（六）坚持党对政法工作的绝对领导。</w:t>
      </w:r>
    </w:p>
    <w:p w14:paraId="27035463">
      <w:pPr>
        <w:pStyle w:val="4"/>
        <w:adjustRightInd w:val="0"/>
        <w:snapToGrid w:val="0"/>
        <w:spacing w:line="560" w:lineRule="exact"/>
        <w:rPr>
          <w:rFonts w:ascii="TimesNewRoman" w:hAnsi="TimesNewRoman" w:eastAsia="黑体" w:cs="TimesNewRoman"/>
          <w:bCs/>
          <w:color w:val="auto"/>
          <w:sz w:val="36"/>
          <w:szCs w:val="36"/>
        </w:rPr>
      </w:pPr>
    </w:p>
    <w:p w14:paraId="550EB406">
      <w:pPr>
        <w:pStyle w:val="4"/>
        <w:topLinePunct/>
        <w:adjustRightInd w:val="0"/>
        <w:snapToGrid w:val="0"/>
        <w:spacing w:beforeAutospacing="0" w:afterAutospacing="0" w:line="560" w:lineRule="exact"/>
        <w:jc w:val="center"/>
        <w:rPr>
          <w:rFonts w:ascii="TimesNewRoman" w:hAnsi="TimesNewRoman" w:eastAsia="黑体" w:cs="TimesNewRoman"/>
          <w:bCs/>
          <w:color w:val="auto"/>
          <w:sz w:val="36"/>
          <w:szCs w:val="36"/>
        </w:rPr>
      </w:pPr>
    </w:p>
    <w:p w14:paraId="5072C77F">
      <w:pPr>
        <w:pStyle w:val="4"/>
        <w:topLinePunct/>
        <w:adjustRightInd w:val="0"/>
        <w:snapToGrid w:val="0"/>
        <w:spacing w:beforeAutospacing="0" w:afterAutospacing="0" w:line="560" w:lineRule="exact"/>
        <w:jc w:val="center"/>
        <w:rPr>
          <w:rFonts w:ascii="TimesNewRoman" w:hAnsi="TimesNewRoman" w:eastAsia="黑体" w:cs="TimesNewRoman"/>
          <w:bCs/>
          <w:color w:val="auto"/>
          <w:sz w:val="36"/>
          <w:szCs w:val="36"/>
        </w:rPr>
      </w:pPr>
    </w:p>
    <w:p w14:paraId="2DF6177B">
      <w:pPr>
        <w:pStyle w:val="4"/>
        <w:topLinePunct/>
        <w:adjustRightInd w:val="0"/>
        <w:snapToGrid w:val="0"/>
        <w:spacing w:beforeAutospacing="0" w:afterAutospacing="0" w:line="560" w:lineRule="exact"/>
        <w:jc w:val="center"/>
        <w:rPr>
          <w:rFonts w:ascii="TimesNewRoman" w:hAnsi="TimesNewRoman" w:eastAsia="黑体" w:cs="TimesNewRoman"/>
          <w:bCs/>
          <w:color w:val="auto"/>
          <w:sz w:val="36"/>
          <w:szCs w:val="36"/>
        </w:rPr>
      </w:pPr>
    </w:p>
    <w:p w14:paraId="7C89E4DB">
      <w:pPr>
        <w:pStyle w:val="4"/>
        <w:topLinePunct/>
        <w:adjustRightInd w:val="0"/>
        <w:snapToGrid w:val="0"/>
        <w:spacing w:beforeAutospacing="0" w:afterAutospacing="0" w:line="560" w:lineRule="exact"/>
        <w:jc w:val="center"/>
        <w:rPr>
          <w:rFonts w:ascii="TimesNewRoman" w:hAnsi="TimesNewRoman" w:eastAsia="黑体" w:cs="TimesNewRoman"/>
          <w:bCs/>
          <w:color w:val="auto"/>
          <w:sz w:val="36"/>
          <w:szCs w:val="36"/>
        </w:rPr>
      </w:pPr>
      <w:r>
        <w:rPr>
          <w:rFonts w:ascii="TimesNewRoman" w:hAnsi="TimesNewRoman" w:eastAsia="黑体" w:cs="TimesNewRoman"/>
          <w:bCs/>
          <w:color w:val="auto"/>
          <w:sz w:val="36"/>
          <w:szCs w:val="36"/>
        </w:rPr>
        <w:t>第</w:t>
      </w:r>
      <w:r>
        <w:rPr>
          <w:rFonts w:hint="eastAsia" w:ascii="TimesNewRoman" w:hAnsi="TimesNewRoman" w:eastAsia="黑体" w:cs="TimesNewRoman"/>
          <w:bCs/>
          <w:color w:val="auto"/>
          <w:sz w:val="36"/>
          <w:szCs w:val="36"/>
          <w:lang w:val="en-US" w:eastAsia="zh-CN"/>
        </w:rPr>
        <w:t>二</w:t>
      </w:r>
      <w:r>
        <w:rPr>
          <w:rFonts w:ascii="TimesNewRoman" w:hAnsi="TimesNewRoman" w:eastAsia="黑体" w:cs="TimesNewRoman"/>
          <w:bCs/>
          <w:color w:val="auto"/>
          <w:sz w:val="36"/>
          <w:szCs w:val="36"/>
        </w:rPr>
        <w:t xml:space="preserve">部分 </w:t>
      </w:r>
      <w:r>
        <w:rPr>
          <w:rFonts w:hint="eastAsia" w:ascii="TimesNewRoman" w:hAnsi="TimesNewRoman" w:eastAsia="黑体" w:cs="TimesNewRoman"/>
          <w:bCs/>
          <w:color w:val="auto"/>
          <w:sz w:val="36"/>
          <w:szCs w:val="36"/>
          <w:lang w:eastAsia="zh-CN"/>
        </w:rPr>
        <w:t>2025</w:t>
      </w:r>
      <w:r>
        <w:rPr>
          <w:rFonts w:ascii="TimesNewRoman" w:hAnsi="TimesNewRoman" w:eastAsia="黑体" w:cs="TimesNewRoman"/>
          <w:bCs/>
          <w:color w:val="auto"/>
          <w:sz w:val="36"/>
          <w:szCs w:val="36"/>
        </w:rPr>
        <w:t>年部门预算情况说明</w:t>
      </w:r>
    </w:p>
    <w:p w14:paraId="70546E8D">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p>
    <w:p w14:paraId="2097A913">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一、关于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年收支总表的说明</w:t>
      </w:r>
    </w:p>
    <w:p w14:paraId="02AB5BFB">
      <w:pPr>
        <w:pStyle w:val="4"/>
        <w:topLinePunct/>
        <w:adjustRightInd w:val="0"/>
        <w:snapToGrid w:val="0"/>
        <w:spacing w:beforeAutospacing="0" w:afterAutospacing="0" w:line="580" w:lineRule="exact"/>
        <w:ind w:firstLine="627" w:firstLineChars="196"/>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按照综合预算的原则，寿县县委政法委所有收入和支出均纳入部门预算管理。寿县县委政法委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年收支总预算</w:t>
      </w:r>
      <w:r>
        <w:rPr>
          <w:rFonts w:hint="eastAsia" w:ascii="仿宋_GB2312" w:hAnsi="TimesNewRoman" w:eastAsia="仿宋_GB2312" w:cs="TimesNewRoman"/>
          <w:color w:val="auto"/>
          <w:sz w:val="32"/>
          <w:szCs w:val="32"/>
          <w:lang w:val="en-US" w:eastAsia="zh-CN"/>
        </w:rPr>
        <w:t>397.88</w:t>
      </w:r>
      <w:r>
        <w:rPr>
          <w:rFonts w:hint="eastAsia" w:ascii="仿宋_GB2312" w:hAnsi="TimesNewRoman" w:eastAsia="仿宋_GB2312" w:cs="TimesNewRoman"/>
          <w:color w:val="auto"/>
          <w:sz w:val="32"/>
          <w:szCs w:val="32"/>
        </w:rPr>
        <w:t>万元，收入全部是一般公共预算拨款收入397.88万元，支出包括：一般公共服务支出327.58万元、社会保障和就业支出38.28万元、卫生健康支出13.05</w:t>
      </w:r>
      <w:r>
        <w:rPr>
          <w:rFonts w:hint="eastAsia" w:ascii="仿宋_GB2312" w:hAnsi="TimesNewRoman" w:eastAsia="仿宋_GB2312" w:cs="TimesNewRoman"/>
          <w:color w:val="auto"/>
          <w:sz w:val="32"/>
          <w:szCs w:val="32"/>
          <w:lang w:val="en-US" w:eastAsia="zh-CN"/>
        </w:rPr>
        <w:t>万元、</w:t>
      </w:r>
      <w:r>
        <w:rPr>
          <w:rFonts w:hint="eastAsia" w:ascii="仿宋_GB2312" w:hAnsi="TimesNewRoman" w:eastAsia="仿宋_GB2312" w:cs="TimesNewRoman"/>
          <w:color w:val="auto"/>
          <w:sz w:val="32"/>
          <w:szCs w:val="32"/>
        </w:rPr>
        <w:t>住房保障支出18.97万元。</w:t>
      </w:r>
    </w:p>
    <w:p w14:paraId="32B1483A">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二、关于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年收入总表的说明</w:t>
      </w:r>
    </w:p>
    <w:p w14:paraId="5764424D">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kern w:val="0"/>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年收入预算397.88万元，全部为一般公共预算拨款收入。比202</w:t>
      </w:r>
      <w:r>
        <w:rPr>
          <w:rFonts w:hint="eastAsia" w:ascii="仿宋_GB2312" w:hAnsi="TimesNewRoman" w:eastAsia="仿宋_GB2312" w:cs="TimesNewRoman"/>
          <w:color w:val="auto"/>
          <w:sz w:val="32"/>
          <w:szCs w:val="32"/>
          <w:lang w:val="en-US" w:eastAsia="zh-CN"/>
        </w:rPr>
        <w:t>4</w:t>
      </w:r>
      <w:r>
        <w:rPr>
          <w:rFonts w:hint="eastAsia" w:ascii="仿宋_GB2312" w:hAnsi="TimesNewRoman" w:eastAsia="仿宋_GB2312" w:cs="TimesNewRoman"/>
          <w:color w:val="auto"/>
          <w:sz w:val="32"/>
          <w:szCs w:val="32"/>
        </w:rPr>
        <w:t>年预算</w:t>
      </w:r>
      <w:r>
        <w:rPr>
          <w:rFonts w:hint="eastAsia" w:ascii="仿宋_GB2312" w:hAnsi="TimesNewRoman" w:eastAsia="仿宋_GB2312" w:cs="TimesNewRoman"/>
          <w:color w:val="auto"/>
          <w:sz w:val="32"/>
          <w:szCs w:val="32"/>
          <w:lang w:val="en-US" w:eastAsia="zh-CN"/>
        </w:rPr>
        <w:t>增加18.18</w:t>
      </w:r>
      <w:r>
        <w:rPr>
          <w:rFonts w:hint="eastAsia" w:ascii="仿宋_GB2312" w:hAnsi="TimesNewRoman" w:eastAsia="仿宋_GB2312" w:cs="TimesNewRoman"/>
          <w:color w:val="auto"/>
          <w:sz w:val="32"/>
          <w:szCs w:val="32"/>
        </w:rPr>
        <w:t>万元，</w:t>
      </w:r>
      <w:r>
        <w:rPr>
          <w:rFonts w:hint="eastAsia" w:ascii="仿宋_GB2312" w:hAnsi="TimesNewRoman" w:eastAsia="仿宋_GB2312" w:cs="TimesNewRoman"/>
          <w:color w:val="auto"/>
          <w:sz w:val="32"/>
          <w:szCs w:val="32"/>
          <w:lang w:val="en-US" w:eastAsia="zh-CN"/>
        </w:rPr>
        <w:t>上升4.79</w:t>
      </w:r>
      <w:r>
        <w:rPr>
          <w:rFonts w:hint="eastAsia" w:ascii="仿宋_GB2312" w:hAnsi="TimesNewRoman" w:eastAsia="仿宋_GB2312" w:cs="TimesNewRoman"/>
          <w:color w:val="auto"/>
          <w:sz w:val="32"/>
          <w:szCs w:val="32"/>
        </w:rPr>
        <w:t>%，</w:t>
      </w:r>
      <w:r>
        <w:rPr>
          <w:rFonts w:hint="eastAsia" w:ascii="仿宋_GB2312" w:hAnsi="TimesNewRoman" w:eastAsia="仿宋_GB2312" w:cs="TimesNewRoman"/>
          <w:color w:val="auto"/>
          <w:sz w:val="32"/>
          <w:szCs w:val="32"/>
          <w:lang w:val="en-US" w:eastAsia="zh-CN"/>
        </w:rPr>
        <w:t>上升</w:t>
      </w:r>
      <w:r>
        <w:rPr>
          <w:rFonts w:hint="eastAsia" w:ascii="仿宋_GB2312" w:hAnsi="TimesNewRoman" w:eastAsia="仿宋_GB2312" w:cs="TimesNewRoman"/>
          <w:color w:val="auto"/>
          <w:sz w:val="32"/>
          <w:szCs w:val="32"/>
        </w:rPr>
        <w:t>原因主要是本年度有人员调</w:t>
      </w:r>
      <w:r>
        <w:rPr>
          <w:rFonts w:hint="eastAsia" w:ascii="仿宋_GB2312" w:hAnsi="TimesNewRoman" w:eastAsia="仿宋_GB2312" w:cs="TimesNewRoman"/>
          <w:color w:val="auto"/>
          <w:sz w:val="32"/>
          <w:szCs w:val="32"/>
          <w:lang w:val="en-US" w:eastAsia="zh-CN"/>
        </w:rPr>
        <w:t>入</w:t>
      </w:r>
      <w:r>
        <w:rPr>
          <w:rFonts w:hint="eastAsia" w:ascii="仿宋_GB2312" w:hAnsi="TimesNewRoman" w:eastAsia="仿宋_GB2312" w:cs="TimesNewRoman"/>
          <w:color w:val="auto"/>
          <w:sz w:val="32"/>
          <w:szCs w:val="32"/>
        </w:rPr>
        <w:t>。</w:t>
      </w:r>
    </w:p>
    <w:p w14:paraId="0E3C681E">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三、关于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年支出总表的说明</w:t>
      </w:r>
    </w:p>
    <w:p w14:paraId="75838585">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年支出预算397.88万元，比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预算增加18.18万元，上升4.79%，上升原因主要是本年度有人员调入。其中，基本支出272.22万元，占</w:t>
      </w:r>
      <w:r>
        <w:rPr>
          <w:rFonts w:ascii="仿宋_GB2312" w:hAnsi="TimesNewRoman" w:eastAsia="仿宋_GB2312" w:cs="TimesNewRoman"/>
          <w:color w:val="auto"/>
          <w:sz w:val="32"/>
          <w:szCs w:val="32"/>
        </w:rPr>
        <w:t>68.</w:t>
      </w:r>
      <w:r>
        <w:rPr>
          <w:rFonts w:hint="eastAsia" w:ascii="仿宋_GB2312" w:hAnsi="TimesNewRoman" w:eastAsia="仿宋_GB2312" w:cs="TimesNewRoman"/>
          <w:color w:val="auto"/>
          <w:sz w:val="32"/>
          <w:szCs w:val="32"/>
          <w:lang w:val="en-US" w:eastAsia="zh-CN"/>
        </w:rPr>
        <w:t>42</w:t>
      </w:r>
      <w:r>
        <w:rPr>
          <w:rFonts w:hint="eastAsia" w:ascii="仿宋_GB2312" w:hAnsi="TimesNewRoman" w:eastAsia="仿宋_GB2312" w:cs="TimesNewRoman"/>
          <w:color w:val="auto"/>
          <w:sz w:val="32"/>
          <w:szCs w:val="32"/>
        </w:rPr>
        <w:t>%，主要用于保障机构日常运转、完成日常工作任务；项目支出125.66万元，占3</w:t>
      </w:r>
      <w:r>
        <w:rPr>
          <w:rFonts w:ascii="仿宋_GB2312" w:hAnsi="TimesNewRoman" w:eastAsia="仿宋_GB2312" w:cs="TimesNewRoman"/>
          <w:color w:val="auto"/>
          <w:sz w:val="32"/>
          <w:szCs w:val="32"/>
        </w:rPr>
        <w:t>1.</w:t>
      </w:r>
      <w:r>
        <w:rPr>
          <w:rFonts w:hint="eastAsia" w:ascii="仿宋_GB2312" w:hAnsi="TimesNewRoman" w:eastAsia="仿宋_GB2312" w:cs="TimesNewRoman"/>
          <w:color w:val="auto"/>
          <w:sz w:val="32"/>
          <w:szCs w:val="32"/>
          <w:lang w:val="en-US" w:eastAsia="zh-CN"/>
        </w:rPr>
        <w:t>58</w:t>
      </w:r>
      <w:r>
        <w:rPr>
          <w:rFonts w:hint="eastAsia" w:ascii="仿宋_GB2312" w:hAnsi="TimesNewRoman" w:eastAsia="仿宋_GB2312" w:cs="TimesNewRoman"/>
          <w:color w:val="auto"/>
          <w:sz w:val="32"/>
          <w:szCs w:val="32"/>
        </w:rPr>
        <w:t>%，主要用于</w:t>
      </w:r>
      <w:r>
        <w:rPr>
          <w:rFonts w:hint="eastAsia" w:ascii="仿宋_GB2312" w:hAnsi="仿宋" w:eastAsia="仿宋_GB2312"/>
          <w:color w:val="auto"/>
          <w:sz w:val="32"/>
          <w:szCs w:val="32"/>
        </w:rPr>
        <w:t>平安建设、扫黑除恶常态化开展、维护国家政治安全、维护社会和谐稳定等政法工作</w:t>
      </w:r>
      <w:r>
        <w:rPr>
          <w:rFonts w:hint="eastAsia" w:ascii="仿宋_GB2312" w:hAnsi="TimesNewRoman" w:eastAsia="仿宋_GB2312" w:cs="TimesNewRoman"/>
          <w:color w:val="auto"/>
          <w:sz w:val="32"/>
          <w:szCs w:val="32"/>
        </w:rPr>
        <w:t>。</w:t>
      </w:r>
    </w:p>
    <w:p w14:paraId="127DA849">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四、关于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年财政拨款收支总表的说明</w:t>
      </w:r>
    </w:p>
    <w:p w14:paraId="436BD995">
      <w:pPr>
        <w:pStyle w:val="4"/>
        <w:topLinePunct/>
        <w:adjustRightInd w:val="0"/>
        <w:snapToGrid w:val="0"/>
        <w:spacing w:beforeAutospacing="0" w:afterAutospacing="0" w:line="580" w:lineRule="exact"/>
        <w:ind w:firstLine="640" w:firstLineChars="200"/>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年财政拨款收支预算397.88万元。收入按资金来源分全部为一般公共预算拨款。支出按功能分类分为：一般公共服务支出327.58万元，占</w:t>
      </w:r>
      <w:r>
        <w:rPr>
          <w:rFonts w:hint="eastAsia" w:ascii="仿宋_GB2312" w:hAnsi="TimesNewRoman" w:eastAsia="仿宋_GB2312" w:cs="TimesNewRoman"/>
          <w:color w:val="auto"/>
          <w:sz w:val="32"/>
          <w:szCs w:val="32"/>
          <w:lang w:val="en-US" w:eastAsia="zh-CN"/>
        </w:rPr>
        <w:t>82.33</w:t>
      </w:r>
      <w:r>
        <w:rPr>
          <w:rFonts w:hint="eastAsia" w:ascii="仿宋_GB2312" w:hAnsi="TimesNewRoman" w:eastAsia="仿宋_GB2312" w:cs="TimesNewRoman"/>
          <w:color w:val="auto"/>
          <w:sz w:val="32"/>
          <w:szCs w:val="32"/>
        </w:rPr>
        <w:t>%；社会保障和就业支出38.28万元，占</w:t>
      </w:r>
      <w:r>
        <w:rPr>
          <w:rFonts w:ascii="仿宋_GB2312" w:hAnsi="TimesNewRoman" w:eastAsia="仿宋_GB2312" w:cs="TimesNewRoman"/>
          <w:color w:val="auto"/>
          <w:sz w:val="32"/>
          <w:szCs w:val="32"/>
        </w:rPr>
        <w:t>9.</w:t>
      </w:r>
      <w:r>
        <w:rPr>
          <w:rFonts w:hint="eastAsia" w:ascii="仿宋_GB2312" w:hAnsi="TimesNewRoman" w:eastAsia="仿宋_GB2312" w:cs="TimesNewRoman"/>
          <w:color w:val="auto"/>
          <w:sz w:val="32"/>
          <w:szCs w:val="32"/>
          <w:lang w:val="en-US" w:eastAsia="zh-CN"/>
        </w:rPr>
        <w:t>62</w:t>
      </w:r>
      <w:r>
        <w:rPr>
          <w:rFonts w:hint="eastAsia" w:ascii="仿宋_GB2312" w:hAnsi="TimesNewRoman" w:eastAsia="仿宋_GB2312" w:cs="TimesNewRoman"/>
          <w:color w:val="auto"/>
          <w:sz w:val="32"/>
          <w:szCs w:val="32"/>
        </w:rPr>
        <w:t>%；卫生健康支出13.05</w:t>
      </w:r>
      <w:r>
        <w:rPr>
          <w:rFonts w:hint="eastAsia" w:ascii="仿宋_GB2312" w:hAnsi="TimesNewRoman" w:eastAsia="仿宋_GB2312" w:cs="TimesNewRoman"/>
          <w:color w:val="auto"/>
          <w:sz w:val="32"/>
          <w:szCs w:val="32"/>
          <w:lang w:val="en-US" w:eastAsia="zh-CN"/>
        </w:rPr>
        <w:t>万元，占3.28%；</w:t>
      </w:r>
      <w:r>
        <w:rPr>
          <w:rFonts w:hint="eastAsia" w:ascii="仿宋_GB2312" w:hAnsi="TimesNewRoman" w:eastAsia="仿宋_GB2312" w:cs="TimesNewRoman"/>
          <w:color w:val="auto"/>
          <w:sz w:val="32"/>
          <w:szCs w:val="32"/>
        </w:rPr>
        <w:t>住房保障支出18.97万元，占</w:t>
      </w:r>
      <w:r>
        <w:rPr>
          <w:rFonts w:ascii="仿宋_GB2312" w:hAnsi="TimesNewRoman" w:eastAsia="仿宋_GB2312" w:cs="TimesNewRoman"/>
          <w:color w:val="auto"/>
          <w:sz w:val="32"/>
          <w:szCs w:val="32"/>
        </w:rPr>
        <w:t>4.</w:t>
      </w:r>
      <w:r>
        <w:rPr>
          <w:rFonts w:hint="eastAsia" w:ascii="仿宋_GB2312" w:hAnsi="TimesNewRoman" w:eastAsia="仿宋_GB2312" w:cs="TimesNewRoman"/>
          <w:color w:val="auto"/>
          <w:sz w:val="32"/>
          <w:szCs w:val="32"/>
          <w:lang w:val="en-US" w:eastAsia="zh-CN"/>
        </w:rPr>
        <w:t>77</w:t>
      </w:r>
      <w:r>
        <w:rPr>
          <w:rFonts w:hint="eastAsia" w:ascii="仿宋_GB2312" w:hAnsi="TimesNewRoman" w:eastAsia="仿宋_GB2312" w:cs="TimesNewRoman"/>
          <w:color w:val="auto"/>
          <w:sz w:val="32"/>
          <w:szCs w:val="32"/>
        </w:rPr>
        <w:t>%。</w:t>
      </w:r>
    </w:p>
    <w:p w14:paraId="0A29FCEF">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五、关于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年一般公共预算支出表的说明</w:t>
      </w:r>
    </w:p>
    <w:p w14:paraId="01D1ABB0">
      <w:pPr>
        <w:pStyle w:val="4"/>
        <w:topLinePunct/>
        <w:adjustRightInd w:val="0"/>
        <w:snapToGrid w:val="0"/>
        <w:spacing w:beforeAutospacing="0" w:afterAutospacing="0" w:line="580" w:lineRule="exact"/>
        <w:ind w:firstLine="630" w:firstLineChars="196"/>
        <w:jc w:val="both"/>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（一）一般公共预算支出规模变化情况。</w:t>
      </w:r>
    </w:p>
    <w:p w14:paraId="418E4E7B">
      <w:pPr>
        <w:pStyle w:val="4"/>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color w:val="auto"/>
          <w:sz w:val="32"/>
          <w:szCs w:val="32"/>
          <w:lang w:eastAsia="zh-CN"/>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年一般公共预算支出397.88万元，比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预算增加18.18万元，上升4.79%，上升原因主要是本年度有人员调入</w:t>
      </w:r>
      <w:r>
        <w:rPr>
          <w:rFonts w:hint="eastAsia" w:ascii="仿宋_GB2312" w:hAnsi="TimesNewRoman" w:eastAsia="仿宋_GB2312" w:cs="TimesNewRoman"/>
          <w:color w:val="auto"/>
          <w:sz w:val="32"/>
          <w:szCs w:val="32"/>
          <w:lang w:eastAsia="zh-CN"/>
        </w:rPr>
        <w:t>。</w:t>
      </w:r>
    </w:p>
    <w:p w14:paraId="195C96DF">
      <w:pPr>
        <w:pStyle w:val="4"/>
        <w:topLinePunct/>
        <w:adjustRightInd w:val="0"/>
        <w:snapToGrid w:val="0"/>
        <w:spacing w:beforeAutospacing="0" w:afterAutospacing="0" w:line="580" w:lineRule="exact"/>
        <w:ind w:firstLine="630" w:firstLineChars="196"/>
        <w:jc w:val="both"/>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（二）一般公共预算支出结构情况。</w:t>
      </w:r>
    </w:p>
    <w:p w14:paraId="3EA89E6A">
      <w:pPr>
        <w:pStyle w:val="4"/>
        <w:topLinePunct/>
        <w:adjustRightInd w:val="0"/>
        <w:snapToGrid w:val="0"/>
        <w:spacing w:beforeAutospacing="0" w:afterAutospacing="0" w:line="580" w:lineRule="exact"/>
        <w:ind w:firstLine="640" w:firstLineChars="200"/>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一般公共服务支出327.58万元，占82.33%；社会保障和就业支出38.28万元，占9.62%；卫生健康支出13.05万元，占3.28%；住房保障支出18.97万元，占4.77%。</w:t>
      </w:r>
    </w:p>
    <w:p w14:paraId="437C8F22">
      <w:pPr>
        <w:topLinePunct/>
        <w:adjustRightInd w:val="0"/>
        <w:snapToGrid w:val="0"/>
        <w:spacing w:line="58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（三）一般公共预算支出具体使用情况。</w:t>
      </w:r>
    </w:p>
    <w:p w14:paraId="7C8E7FAD">
      <w:pPr>
        <w:topLinePunct/>
        <w:adjustRightInd w:val="0"/>
        <w:snapToGrid w:val="0"/>
        <w:spacing w:line="580" w:lineRule="exact"/>
        <w:ind w:firstLine="643" w:firstLineChars="200"/>
        <w:rPr>
          <w:rFonts w:ascii="仿宋_GB2312" w:hAnsi="TimesNewRoman" w:eastAsia="仿宋_GB2312" w:cs="TimesNewRoman"/>
          <w:color w:val="auto"/>
          <w:sz w:val="32"/>
          <w:szCs w:val="32"/>
        </w:rPr>
      </w:pPr>
      <w:r>
        <w:rPr>
          <w:rFonts w:hint="eastAsia" w:ascii="仿宋_GB2312" w:hAnsi="TimesNewRoman" w:eastAsia="仿宋_GB2312" w:cs="TimesNewRoman"/>
          <w:b/>
          <w:color w:val="auto"/>
          <w:sz w:val="32"/>
          <w:szCs w:val="32"/>
        </w:rPr>
        <w:t>1.一般公共服务支出（类）财政事务（款）行政运行（项）</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年预算327.58万元，比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w:t>
      </w:r>
      <w:r>
        <w:rPr>
          <w:rFonts w:hint="eastAsia" w:ascii="仿宋_GB2312" w:hAnsi="TimesNewRoman" w:eastAsia="仿宋_GB2312" w:cs="TimesNewRoman"/>
          <w:color w:val="auto"/>
          <w:sz w:val="32"/>
          <w:szCs w:val="32"/>
          <w:lang w:val="en-US" w:eastAsia="zh-CN"/>
        </w:rPr>
        <w:t>增加4</w:t>
      </w:r>
      <w:r>
        <w:rPr>
          <w:rFonts w:hint="eastAsia" w:ascii="仿宋_GB2312" w:hAnsi="TimesNewRoman" w:eastAsia="仿宋_GB2312" w:cs="TimesNewRoman"/>
          <w:color w:val="auto"/>
          <w:sz w:val="32"/>
          <w:szCs w:val="32"/>
        </w:rPr>
        <w:t>万元，</w:t>
      </w:r>
      <w:r>
        <w:rPr>
          <w:rFonts w:hint="eastAsia" w:ascii="仿宋_GB2312" w:hAnsi="TimesNewRoman" w:eastAsia="仿宋_GB2312" w:cs="TimesNewRoman"/>
          <w:color w:val="auto"/>
          <w:sz w:val="32"/>
          <w:szCs w:val="32"/>
          <w:lang w:val="en-US" w:eastAsia="zh-CN"/>
        </w:rPr>
        <w:t>上升1.24</w:t>
      </w:r>
      <w:r>
        <w:rPr>
          <w:rFonts w:hint="eastAsia" w:ascii="仿宋_GB2312" w:hAnsi="TimesNewRoman" w:eastAsia="仿宋_GB2312" w:cs="TimesNewRoman"/>
          <w:color w:val="auto"/>
          <w:sz w:val="32"/>
          <w:szCs w:val="32"/>
        </w:rPr>
        <w:t>%，上升原因主要是本年度有人员调入。</w:t>
      </w:r>
    </w:p>
    <w:p w14:paraId="49A3CCB7">
      <w:pPr>
        <w:topLinePunct/>
        <w:adjustRightInd w:val="0"/>
        <w:snapToGrid w:val="0"/>
        <w:spacing w:line="58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2.社会保障和就业支出（类）行政事业单位离退休（款）归口管理的行政事业单位离退休（项）</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年预算38.28万元，比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w:t>
      </w:r>
      <w:r>
        <w:rPr>
          <w:rFonts w:hint="eastAsia" w:ascii="仿宋_GB2312" w:hAnsi="TimesNewRoman" w:eastAsia="仿宋_GB2312" w:cs="TimesNewRoman"/>
          <w:color w:val="auto"/>
          <w:sz w:val="32"/>
          <w:szCs w:val="32"/>
          <w:lang w:val="en-US" w:eastAsia="zh-CN"/>
        </w:rPr>
        <w:t>增加0.86</w:t>
      </w:r>
      <w:r>
        <w:rPr>
          <w:rFonts w:hint="eastAsia" w:ascii="仿宋_GB2312" w:hAnsi="TimesNewRoman" w:eastAsia="仿宋_GB2312" w:cs="TimesNewRoman"/>
          <w:color w:val="auto"/>
          <w:sz w:val="32"/>
          <w:szCs w:val="32"/>
        </w:rPr>
        <w:t>万元，</w:t>
      </w:r>
      <w:r>
        <w:rPr>
          <w:rFonts w:hint="eastAsia" w:ascii="仿宋_GB2312" w:hAnsi="TimesNewRoman" w:eastAsia="仿宋_GB2312" w:cs="TimesNewRoman"/>
          <w:color w:val="auto"/>
          <w:sz w:val="32"/>
          <w:szCs w:val="32"/>
          <w:lang w:val="en-US" w:eastAsia="zh-CN"/>
        </w:rPr>
        <w:t>上升2.30</w:t>
      </w:r>
      <w:r>
        <w:rPr>
          <w:rFonts w:hint="eastAsia" w:ascii="仿宋_GB2312" w:hAnsi="TimesNewRoman" w:eastAsia="仿宋_GB2312" w:cs="TimesNewRoman"/>
          <w:color w:val="auto"/>
          <w:sz w:val="32"/>
          <w:szCs w:val="32"/>
        </w:rPr>
        <w:t>%，</w:t>
      </w:r>
      <w:r>
        <w:rPr>
          <w:rFonts w:hint="eastAsia" w:ascii="仿宋_GB2312" w:hAnsi="TimesNewRoman" w:eastAsia="仿宋_GB2312" w:cs="TimesNewRoman"/>
          <w:color w:val="auto"/>
          <w:sz w:val="32"/>
          <w:szCs w:val="32"/>
          <w:lang w:val="en-US" w:eastAsia="zh-CN"/>
        </w:rPr>
        <w:t>上升原因主要是本年度有人员调入</w:t>
      </w:r>
      <w:r>
        <w:rPr>
          <w:rFonts w:hint="eastAsia" w:ascii="仿宋_GB2312" w:hAnsi="TimesNewRoman" w:eastAsia="仿宋_GB2312" w:cs="TimesNewRoman"/>
          <w:color w:val="auto"/>
          <w:sz w:val="32"/>
          <w:szCs w:val="32"/>
        </w:rPr>
        <w:t>。</w:t>
      </w:r>
    </w:p>
    <w:p w14:paraId="7F5011CF">
      <w:pPr>
        <w:topLinePunct/>
        <w:adjustRightInd w:val="0"/>
        <w:snapToGrid w:val="0"/>
        <w:spacing w:line="580" w:lineRule="exact"/>
        <w:ind w:firstLine="643" w:firstLineChars="200"/>
        <w:rPr>
          <w:rFonts w:ascii="仿宋_GB2312" w:hAnsi="TimesNewRoman" w:eastAsia="仿宋_GB2312" w:cs="TimesNewRoman"/>
          <w:color w:val="auto"/>
          <w:sz w:val="32"/>
          <w:szCs w:val="32"/>
        </w:rPr>
      </w:pPr>
      <w:r>
        <w:rPr>
          <w:rFonts w:ascii="仿宋_GB2312" w:hAnsi="TimesNewRoman" w:eastAsia="仿宋_GB2312" w:cs="TimesNewRoman"/>
          <w:b/>
          <w:color w:val="auto"/>
          <w:sz w:val="32"/>
          <w:szCs w:val="32"/>
        </w:rPr>
        <w:t>3</w:t>
      </w:r>
      <w:r>
        <w:rPr>
          <w:rFonts w:hint="eastAsia" w:ascii="仿宋_GB2312" w:hAnsi="TimesNewRoman" w:eastAsia="仿宋_GB2312" w:cs="TimesNewRoman"/>
          <w:b/>
          <w:color w:val="auto"/>
          <w:sz w:val="32"/>
          <w:szCs w:val="32"/>
        </w:rPr>
        <w:t>.住房保障支出（类）住房改革支出（款）住房公积金（项）</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年预算18.97万元，比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w:t>
      </w:r>
      <w:r>
        <w:rPr>
          <w:rFonts w:hint="eastAsia" w:ascii="仿宋_GB2312" w:hAnsi="TimesNewRoman" w:eastAsia="仿宋_GB2312" w:cs="TimesNewRoman"/>
          <w:color w:val="auto"/>
          <w:sz w:val="32"/>
          <w:szCs w:val="32"/>
          <w:lang w:val="en-US" w:eastAsia="zh-CN"/>
        </w:rPr>
        <w:t>增加0.26</w:t>
      </w:r>
      <w:r>
        <w:rPr>
          <w:rFonts w:hint="eastAsia" w:ascii="仿宋_GB2312" w:hAnsi="TimesNewRoman" w:eastAsia="仿宋_GB2312" w:cs="TimesNewRoman"/>
          <w:color w:val="auto"/>
          <w:sz w:val="32"/>
          <w:szCs w:val="32"/>
        </w:rPr>
        <w:t>万元，</w:t>
      </w:r>
      <w:r>
        <w:rPr>
          <w:rFonts w:hint="eastAsia" w:ascii="仿宋_GB2312" w:hAnsi="TimesNewRoman" w:eastAsia="仿宋_GB2312" w:cs="TimesNewRoman"/>
          <w:color w:val="auto"/>
          <w:sz w:val="32"/>
          <w:szCs w:val="32"/>
          <w:lang w:val="en-US" w:eastAsia="zh-CN"/>
        </w:rPr>
        <w:t>上升</w:t>
      </w:r>
      <w:r>
        <w:rPr>
          <w:rFonts w:hint="eastAsia" w:ascii="仿宋_GB2312" w:hAnsi="TimesNewRoman" w:eastAsia="仿宋_GB2312" w:cs="TimesNewRoman"/>
          <w:color w:val="auto"/>
          <w:sz w:val="32"/>
          <w:szCs w:val="32"/>
        </w:rPr>
        <w:t>1</w:t>
      </w:r>
      <w:r>
        <w:rPr>
          <w:rFonts w:hint="eastAsia" w:ascii="仿宋_GB2312" w:hAnsi="TimesNewRoman" w:eastAsia="仿宋_GB2312" w:cs="TimesNewRoman"/>
          <w:color w:val="auto"/>
          <w:sz w:val="32"/>
          <w:szCs w:val="32"/>
          <w:lang w:val="en-US" w:eastAsia="zh-CN"/>
        </w:rPr>
        <w:t>.39</w:t>
      </w:r>
      <w:r>
        <w:rPr>
          <w:rFonts w:hint="eastAsia" w:ascii="仿宋_GB2312" w:hAnsi="TimesNewRoman" w:eastAsia="仿宋_GB2312" w:cs="TimesNewRoman"/>
          <w:color w:val="auto"/>
          <w:sz w:val="32"/>
          <w:szCs w:val="32"/>
        </w:rPr>
        <w:t>%，上升原因主要是本年度有人员调入。</w:t>
      </w:r>
    </w:p>
    <w:p w14:paraId="6EC507FC">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六、关于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年一般公共预算基本支出表的说明</w:t>
      </w:r>
    </w:p>
    <w:p w14:paraId="60909B2F">
      <w:pPr>
        <w:topLinePunct/>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年一般公共预算基本支出272.22万元，其中，人员经费249.92万元，公用经费22.30万元。</w:t>
      </w:r>
    </w:p>
    <w:p w14:paraId="35F70D60">
      <w:pPr>
        <w:topLinePunct/>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一）人员经费249.92万元，主要包括:基本工资68.82万元、津贴补贴42.76万元、奖金39.32万元、绩效工资7.17万元、机关事业单位基本养老保险费25.29万元、职业年金缴费12.65万元、职工基本医疗保险缴费8.52万元、公务员医疗补助缴费4.53万元、其他社会保障缴费0.35万元、住房公积金18.97万元、退休费17.29万元、生活补助1.51万元</w:t>
      </w:r>
      <w:r>
        <w:rPr>
          <w:rFonts w:hint="eastAsia" w:ascii="仿宋_GB2312" w:hAnsi="TimesNewRoman" w:eastAsia="仿宋_GB2312" w:cs="TimesNewRoman"/>
          <w:color w:val="auto"/>
          <w:sz w:val="32"/>
          <w:szCs w:val="32"/>
          <w:lang w:eastAsia="zh-CN"/>
        </w:rPr>
        <w:t>、其他对个人和家庭的补助2.74</w:t>
      </w:r>
      <w:r>
        <w:rPr>
          <w:rFonts w:hint="eastAsia" w:ascii="仿宋_GB2312" w:hAnsi="TimesNewRoman" w:eastAsia="仿宋_GB2312" w:cs="TimesNewRoman"/>
          <w:color w:val="auto"/>
          <w:sz w:val="32"/>
          <w:szCs w:val="32"/>
          <w:lang w:val="en-US" w:eastAsia="zh-CN"/>
        </w:rPr>
        <w:t>万元</w:t>
      </w:r>
      <w:r>
        <w:rPr>
          <w:rFonts w:hint="eastAsia" w:ascii="仿宋_GB2312" w:hAnsi="TimesNewRoman" w:eastAsia="仿宋_GB2312" w:cs="TimesNewRoman"/>
          <w:color w:val="auto"/>
          <w:sz w:val="32"/>
          <w:szCs w:val="32"/>
        </w:rPr>
        <w:t>。</w:t>
      </w:r>
    </w:p>
    <w:p w14:paraId="6EDA3E6A">
      <w:pPr>
        <w:topLinePunct/>
        <w:spacing w:line="580" w:lineRule="exact"/>
        <w:ind w:firstLine="640" w:firstLineChars="200"/>
        <w:rPr>
          <w:rFonts w:hint="eastAsia" w:ascii="仿宋_GB2312" w:hAnsi="TimesNewRoman" w:eastAsia="仿宋_GB2312" w:cs="TimesNewRoman"/>
          <w:color w:val="auto"/>
          <w:sz w:val="32"/>
          <w:szCs w:val="32"/>
          <w:lang w:eastAsia="zh-CN"/>
        </w:rPr>
      </w:pPr>
      <w:r>
        <w:rPr>
          <w:rFonts w:hint="eastAsia" w:ascii="仿宋_GB2312" w:hAnsi="TimesNewRoman" w:eastAsia="仿宋_GB2312" w:cs="TimesNewRoman"/>
          <w:color w:val="auto"/>
          <w:sz w:val="32"/>
          <w:szCs w:val="32"/>
        </w:rPr>
        <w:t>（二）公用经费22.30万元，主要包括：办公费2.00万元、差旅费1.52万元、维修（护）费1.24</w:t>
      </w:r>
      <w:r>
        <w:rPr>
          <w:rFonts w:hint="eastAsia" w:ascii="仿宋_GB2312" w:hAnsi="TimesNewRoman" w:eastAsia="仿宋_GB2312" w:cs="TimesNewRoman"/>
          <w:color w:val="auto"/>
          <w:sz w:val="32"/>
          <w:szCs w:val="32"/>
          <w:lang w:val="en-US" w:eastAsia="zh-CN"/>
        </w:rPr>
        <w:t>万元、租赁费1.00万元、</w:t>
      </w:r>
      <w:r>
        <w:rPr>
          <w:rFonts w:hint="eastAsia" w:ascii="仿宋_GB2312" w:hAnsi="TimesNewRoman" w:eastAsia="仿宋_GB2312" w:cs="TimesNewRoman"/>
          <w:color w:val="auto"/>
          <w:sz w:val="32"/>
          <w:szCs w:val="32"/>
        </w:rPr>
        <w:t>会议费1</w:t>
      </w:r>
      <w:r>
        <w:rPr>
          <w:rFonts w:ascii="仿宋_GB2312" w:hAnsi="TimesNewRoman" w:eastAsia="仿宋_GB2312" w:cs="TimesNewRoman"/>
          <w:color w:val="auto"/>
          <w:sz w:val="32"/>
          <w:szCs w:val="32"/>
        </w:rPr>
        <w:t>.80</w:t>
      </w:r>
      <w:r>
        <w:rPr>
          <w:rFonts w:hint="eastAsia" w:ascii="仿宋_GB2312" w:hAnsi="TimesNewRoman" w:eastAsia="仿宋_GB2312" w:cs="TimesNewRoman"/>
          <w:color w:val="auto"/>
          <w:sz w:val="32"/>
          <w:szCs w:val="32"/>
        </w:rPr>
        <w:t>万元、公务接待费2.90万元、工会经费2.37万元、　福利费1.03</w:t>
      </w:r>
      <w:r>
        <w:rPr>
          <w:rFonts w:hint="eastAsia" w:ascii="仿宋_GB2312" w:hAnsi="TimesNewRoman" w:eastAsia="仿宋_GB2312" w:cs="TimesNewRoman"/>
          <w:color w:val="auto"/>
          <w:sz w:val="32"/>
          <w:szCs w:val="32"/>
          <w:lang w:val="en-US" w:eastAsia="zh-CN"/>
        </w:rPr>
        <w:t>万元、</w:t>
      </w:r>
      <w:r>
        <w:rPr>
          <w:rFonts w:hint="eastAsia" w:ascii="仿宋_GB2312" w:hAnsi="TimesNewRoman" w:eastAsia="仿宋_GB2312" w:cs="TimesNewRoman"/>
          <w:color w:val="auto"/>
          <w:sz w:val="32"/>
          <w:szCs w:val="32"/>
        </w:rPr>
        <w:t>其他交通费用8.44万元</w:t>
      </w:r>
      <w:r>
        <w:rPr>
          <w:rFonts w:hint="eastAsia" w:ascii="仿宋_GB2312" w:hAnsi="TimesNewRoman" w:eastAsia="仿宋_GB2312" w:cs="TimesNewRoman"/>
          <w:color w:val="auto"/>
          <w:sz w:val="32"/>
          <w:szCs w:val="32"/>
          <w:lang w:eastAsia="zh-CN"/>
        </w:rPr>
        <w:t>。</w:t>
      </w:r>
    </w:p>
    <w:p w14:paraId="67DAF711">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七、关于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年政府性基金预算支出表的说明</w:t>
      </w:r>
    </w:p>
    <w:p w14:paraId="3C320618">
      <w:pPr>
        <w:pStyle w:val="4"/>
        <w:topLinePunct/>
        <w:adjustRightInd w:val="0"/>
        <w:snapToGrid w:val="0"/>
        <w:spacing w:beforeAutospacing="0" w:afterAutospacing="0" w:line="580" w:lineRule="exact"/>
        <w:ind w:firstLine="640" w:firstLineChars="200"/>
        <w:jc w:val="both"/>
        <w:rPr>
          <w:rFonts w:ascii="楷体_GB2312" w:hAnsi="TimesNewRoman" w:eastAsia="楷体_GB2312" w:cs="TimesNewRoman"/>
          <w:b/>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年没有政府性基金预算拨款收入，也没有使用政府性基金预算拨款安排的支出。</w:t>
      </w:r>
    </w:p>
    <w:p w14:paraId="318BBDC4">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八、关于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年国有资本经营预算支出表的说明</w:t>
      </w:r>
    </w:p>
    <w:p w14:paraId="52A5EE83">
      <w:pPr>
        <w:pStyle w:val="4"/>
        <w:topLinePunct/>
        <w:adjustRightInd w:val="0"/>
        <w:snapToGrid w:val="0"/>
        <w:spacing w:beforeAutospacing="0" w:afterAutospacing="0" w:line="580" w:lineRule="exact"/>
        <w:ind w:firstLine="640" w:firstLineChars="200"/>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年没有国有资本经营预算拨款收入，也没有使用国有资本经营预算拨款安排的支出。</w:t>
      </w:r>
    </w:p>
    <w:p w14:paraId="575EEFCF">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九、关于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年项目支出表的说明</w:t>
      </w:r>
    </w:p>
    <w:p w14:paraId="487A819E">
      <w:pPr>
        <w:pStyle w:val="4"/>
        <w:topLinePunct/>
        <w:adjustRightInd w:val="0"/>
        <w:snapToGrid w:val="0"/>
        <w:spacing w:beforeAutospacing="0" w:afterAutospacing="0" w:line="580" w:lineRule="exact"/>
        <w:ind w:firstLine="640" w:firstLineChars="200"/>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年预算共安排项目支出125.66万元，比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w:t>
      </w:r>
      <w:r>
        <w:rPr>
          <w:rFonts w:hint="eastAsia" w:ascii="仿宋_GB2312" w:hAnsi="TimesNewRoman" w:eastAsia="仿宋_GB2312" w:cs="TimesNewRoman"/>
          <w:color w:val="auto"/>
          <w:sz w:val="32"/>
          <w:szCs w:val="32"/>
          <w:lang w:val="en-US" w:eastAsia="zh-CN"/>
        </w:rPr>
        <w:t>增加6.91</w:t>
      </w:r>
      <w:r>
        <w:rPr>
          <w:rFonts w:hint="eastAsia" w:ascii="仿宋_GB2312" w:hAnsi="TimesNewRoman" w:eastAsia="仿宋_GB2312" w:cs="TimesNewRoman"/>
          <w:color w:val="auto"/>
          <w:sz w:val="32"/>
          <w:szCs w:val="32"/>
        </w:rPr>
        <w:t>万元，</w:t>
      </w:r>
      <w:r>
        <w:rPr>
          <w:rFonts w:hint="eastAsia" w:ascii="仿宋_GB2312" w:hAnsi="TimesNewRoman" w:eastAsia="仿宋_GB2312" w:cs="TimesNewRoman"/>
          <w:color w:val="auto"/>
          <w:sz w:val="32"/>
          <w:szCs w:val="32"/>
          <w:lang w:val="en-US" w:eastAsia="zh-CN"/>
        </w:rPr>
        <w:t>上升5.82</w:t>
      </w:r>
      <w:r>
        <w:rPr>
          <w:rFonts w:hint="eastAsia" w:ascii="仿宋_GB2312" w:hAnsi="TimesNewRoman" w:eastAsia="仿宋_GB2312" w:cs="TimesNewRoman"/>
          <w:color w:val="auto"/>
          <w:sz w:val="32"/>
          <w:szCs w:val="32"/>
        </w:rPr>
        <w:t>%，上升原因主要是</w:t>
      </w:r>
      <w:r>
        <w:rPr>
          <w:rFonts w:hint="eastAsia" w:ascii="仿宋_GB2312" w:hAnsi="TimesNewRoman" w:eastAsia="仿宋_GB2312" w:cs="TimesNewRoman"/>
          <w:color w:val="auto"/>
          <w:sz w:val="32"/>
          <w:szCs w:val="32"/>
          <w:lang w:val="en-US" w:eastAsia="zh-CN"/>
        </w:rPr>
        <w:t>增加见义勇为专项经费项目</w:t>
      </w:r>
      <w:r>
        <w:rPr>
          <w:rFonts w:hint="eastAsia" w:ascii="仿宋_GB2312" w:hAnsi="TimesNewRoman" w:eastAsia="仿宋_GB2312" w:cs="TimesNewRoman"/>
          <w:color w:val="auto"/>
          <w:sz w:val="32"/>
          <w:szCs w:val="32"/>
        </w:rPr>
        <w:t>。主要包括：本年财政拨款安排125.66万元，全部为一般公共预算拨款安排。</w:t>
      </w:r>
    </w:p>
    <w:p w14:paraId="118A1104">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十、关于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年政府采购支出表的说明</w:t>
      </w:r>
    </w:p>
    <w:p w14:paraId="29C0CF93">
      <w:pPr>
        <w:pStyle w:val="4"/>
        <w:topLinePunct/>
        <w:adjustRightInd w:val="0"/>
        <w:snapToGrid w:val="0"/>
        <w:spacing w:beforeAutospacing="0" w:afterAutospacing="0" w:line="580" w:lineRule="exact"/>
        <w:ind w:firstLine="640" w:firstLineChars="200"/>
        <w:jc w:val="both"/>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年预算安排政府采购支出</w:t>
      </w:r>
      <w:r>
        <w:rPr>
          <w:rFonts w:ascii="仿宋_GB2312" w:hAnsi="TimesNewRoman" w:eastAsia="仿宋_GB2312" w:cs="TimesNewRoman"/>
          <w:color w:val="auto"/>
          <w:sz w:val="32"/>
          <w:szCs w:val="32"/>
        </w:rPr>
        <w:t>5</w:t>
      </w:r>
      <w:r>
        <w:rPr>
          <w:rFonts w:hint="eastAsia" w:ascii="仿宋_GB2312" w:hAnsi="TimesNewRoman" w:eastAsia="仿宋_GB2312" w:cs="TimesNewRoman"/>
          <w:color w:val="auto"/>
          <w:sz w:val="32"/>
          <w:szCs w:val="32"/>
        </w:rPr>
        <w:t>万元，与</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预算一致，均为一般公共预算。</w:t>
      </w:r>
    </w:p>
    <w:p w14:paraId="364AC0D9">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十一、关于</w:t>
      </w:r>
      <w:r>
        <w:rPr>
          <w:rFonts w:hint="eastAsia" w:ascii="楷体_GB2312" w:hAnsi="TimesNewRoman" w:eastAsia="楷体_GB2312" w:cs="TimesNewRoman"/>
          <w:b/>
          <w:color w:val="auto"/>
          <w:sz w:val="32"/>
          <w:szCs w:val="32"/>
          <w:lang w:eastAsia="zh-CN"/>
        </w:rPr>
        <w:t>2025</w:t>
      </w:r>
      <w:r>
        <w:rPr>
          <w:rFonts w:hint="eastAsia" w:ascii="楷体_GB2312" w:hAnsi="TimesNewRoman" w:eastAsia="楷体_GB2312" w:cs="TimesNewRoman"/>
          <w:b/>
          <w:color w:val="auto"/>
          <w:sz w:val="32"/>
          <w:szCs w:val="32"/>
        </w:rPr>
        <w:t>年政府购买服务支出表的说明</w:t>
      </w:r>
    </w:p>
    <w:p w14:paraId="24ECCA7A">
      <w:pPr>
        <w:pStyle w:val="4"/>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年没有安排政府购买服务支出。</w:t>
      </w:r>
    </w:p>
    <w:p w14:paraId="06FDB7CC">
      <w:pPr>
        <w:widowControl w:val="0"/>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kern w:val="0"/>
          <w:sz w:val="32"/>
          <w:szCs w:val="32"/>
          <w:lang w:val="en-US" w:eastAsia="zh-CN" w:bidi="ar-SA"/>
        </w:rPr>
      </w:pPr>
      <w:r>
        <w:rPr>
          <w:rFonts w:hint="eastAsia" w:ascii="楷体_GB2312" w:hAnsi="TimesNewRoman" w:eastAsia="楷体_GB2312" w:cs="TimesNewRoman"/>
          <w:b/>
          <w:color w:val="auto"/>
          <w:kern w:val="0"/>
          <w:sz w:val="32"/>
          <w:szCs w:val="32"/>
          <w:lang w:val="en-US" w:eastAsia="zh-CN" w:bidi="ar-SA"/>
        </w:rPr>
        <w:t>十二、关于2025</w:t>
      </w:r>
      <w:r>
        <w:rPr>
          <w:rFonts w:ascii="楷体_GB2312" w:hAnsi="TimesNewRoman" w:eastAsia="楷体_GB2312" w:cs="TimesNewRoman"/>
          <w:b/>
          <w:color w:val="auto"/>
          <w:kern w:val="0"/>
          <w:sz w:val="32"/>
          <w:szCs w:val="32"/>
          <w:lang w:val="en-US" w:eastAsia="zh-CN" w:bidi="ar-SA"/>
        </w:rPr>
        <w:t>年一般公共预算“三公”经费支出情况说明</w:t>
      </w:r>
    </w:p>
    <w:p w14:paraId="16A5B4B2">
      <w:pPr>
        <w:adjustRightInd w:val="0"/>
        <w:snapToGrid w:val="0"/>
        <w:spacing w:line="560" w:lineRule="exact"/>
        <w:ind w:firstLine="640" w:firstLineChars="200"/>
        <w:rPr>
          <w:rFonts w:ascii="仿宋_GB2312" w:hAnsi="TimesNewRoman" w:eastAsia="仿宋_GB2312" w:cs="TimesNewRoman"/>
          <w:color w:val="auto"/>
          <w:kern w:val="0"/>
          <w:sz w:val="32"/>
          <w:szCs w:val="32"/>
        </w:rPr>
      </w:pPr>
      <w:r>
        <w:rPr>
          <w:rFonts w:hint="eastAsia" w:ascii="仿宋_GB2312" w:hAnsi="TimesNewRoman" w:eastAsia="仿宋_GB2312" w:cs="TimesNewRoman"/>
          <w:color w:val="auto"/>
          <w:kern w:val="0"/>
          <w:sz w:val="32"/>
          <w:szCs w:val="32"/>
        </w:rPr>
        <w:t>寿县县委政法委2025</w:t>
      </w:r>
      <w:r>
        <w:rPr>
          <w:rFonts w:ascii="仿宋_GB2312" w:hAnsi="TimesNewRoman" w:eastAsia="仿宋_GB2312" w:cs="TimesNewRoman"/>
          <w:color w:val="auto"/>
          <w:kern w:val="0"/>
          <w:sz w:val="32"/>
          <w:szCs w:val="32"/>
        </w:rPr>
        <w:t>年一般公共预算“三公”经费支出预算为</w:t>
      </w:r>
      <w:r>
        <w:rPr>
          <w:rFonts w:hint="eastAsia" w:ascii="仿宋_GB2312" w:hAnsi="TimesNewRoman" w:eastAsia="仿宋_GB2312" w:cs="TimesNewRoman"/>
          <w:color w:val="auto"/>
          <w:kern w:val="0"/>
          <w:sz w:val="32"/>
          <w:szCs w:val="32"/>
          <w:lang w:val="en-US" w:eastAsia="zh-CN"/>
        </w:rPr>
        <w:t>2.9</w:t>
      </w:r>
      <w:r>
        <w:rPr>
          <w:rFonts w:ascii="仿宋_GB2312" w:hAnsi="TimesNewRoman" w:eastAsia="仿宋_GB2312" w:cs="TimesNewRoman"/>
          <w:color w:val="auto"/>
          <w:kern w:val="0"/>
          <w:sz w:val="32"/>
          <w:szCs w:val="32"/>
        </w:rPr>
        <w:t>万元，比</w:t>
      </w:r>
      <w:r>
        <w:rPr>
          <w:rFonts w:hint="eastAsia" w:ascii="仿宋_GB2312" w:hAnsi="TimesNewRoman" w:eastAsia="仿宋_GB2312" w:cs="TimesNewRoman"/>
          <w:color w:val="auto"/>
          <w:kern w:val="0"/>
          <w:sz w:val="32"/>
          <w:szCs w:val="32"/>
        </w:rPr>
        <w:t>2024</w:t>
      </w:r>
      <w:r>
        <w:rPr>
          <w:rFonts w:ascii="仿宋_GB2312" w:hAnsi="TimesNewRoman" w:eastAsia="仿宋_GB2312" w:cs="TimesNewRoman"/>
          <w:color w:val="auto"/>
          <w:kern w:val="0"/>
          <w:sz w:val="32"/>
          <w:szCs w:val="32"/>
        </w:rPr>
        <w:t>年预算减少</w:t>
      </w:r>
      <w:r>
        <w:rPr>
          <w:rFonts w:hint="eastAsia" w:ascii="仿宋_GB2312" w:hAnsi="TimesNewRoman" w:eastAsia="仿宋_GB2312" w:cs="TimesNewRoman"/>
          <w:color w:val="auto"/>
          <w:kern w:val="0"/>
          <w:sz w:val="32"/>
          <w:szCs w:val="32"/>
          <w:lang w:val="en-US" w:eastAsia="zh-CN"/>
        </w:rPr>
        <w:t>0.5</w:t>
      </w:r>
      <w:r>
        <w:rPr>
          <w:rFonts w:ascii="仿宋_GB2312" w:hAnsi="TimesNewRoman" w:eastAsia="仿宋_GB2312" w:cs="TimesNewRoman"/>
          <w:color w:val="auto"/>
          <w:kern w:val="0"/>
          <w:sz w:val="32"/>
          <w:szCs w:val="32"/>
        </w:rPr>
        <w:t>万元，下降</w:t>
      </w:r>
      <w:r>
        <w:rPr>
          <w:rFonts w:hint="eastAsia" w:ascii="仿宋_GB2312" w:hAnsi="TimesNewRoman" w:eastAsia="仿宋_GB2312" w:cs="TimesNewRoman"/>
          <w:color w:val="auto"/>
          <w:kern w:val="0"/>
          <w:sz w:val="32"/>
          <w:szCs w:val="32"/>
          <w:lang w:val="en-US" w:eastAsia="zh-CN"/>
        </w:rPr>
        <w:t>14.71</w:t>
      </w:r>
      <w:r>
        <w:rPr>
          <w:rFonts w:ascii="仿宋_GB2312" w:hAnsi="TimesNewRoman" w:eastAsia="仿宋_GB2312" w:cs="TimesNewRoman"/>
          <w:color w:val="auto"/>
          <w:kern w:val="0"/>
          <w:sz w:val="32"/>
          <w:szCs w:val="32"/>
        </w:rPr>
        <w:t>%。其中：因公出国（境）费支出预算为</w:t>
      </w:r>
      <w:r>
        <w:rPr>
          <w:rFonts w:hint="eastAsia" w:ascii="仿宋_GB2312" w:hAnsi="TimesNewRoman" w:eastAsia="仿宋_GB2312" w:cs="TimesNewRoman"/>
          <w:color w:val="auto"/>
          <w:kern w:val="0"/>
          <w:sz w:val="32"/>
          <w:szCs w:val="32"/>
          <w:lang w:val="en-US" w:eastAsia="zh-CN"/>
        </w:rPr>
        <w:t>0</w:t>
      </w:r>
      <w:r>
        <w:rPr>
          <w:rFonts w:ascii="仿宋_GB2312" w:hAnsi="TimesNewRoman" w:eastAsia="仿宋_GB2312" w:cs="TimesNewRoman"/>
          <w:color w:val="auto"/>
          <w:kern w:val="0"/>
          <w:sz w:val="32"/>
          <w:szCs w:val="32"/>
        </w:rPr>
        <w:t>万元，公务接待费支出预算为</w:t>
      </w:r>
      <w:r>
        <w:rPr>
          <w:rFonts w:hint="eastAsia" w:ascii="仿宋_GB2312" w:hAnsi="TimesNewRoman" w:eastAsia="仿宋_GB2312" w:cs="TimesNewRoman"/>
          <w:color w:val="auto"/>
          <w:kern w:val="0"/>
          <w:sz w:val="32"/>
          <w:szCs w:val="32"/>
          <w:lang w:val="en-US" w:eastAsia="zh-CN"/>
        </w:rPr>
        <w:t>2.9</w:t>
      </w:r>
      <w:r>
        <w:rPr>
          <w:rFonts w:ascii="仿宋_GB2312" w:hAnsi="TimesNewRoman" w:eastAsia="仿宋_GB2312" w:cs="TimesNewRoman"/>
          <w:color w:val="auto"/>
          <w:kern w:val="0"/>
          <w:sz w:val="32"/>
          <w:szCs w:val="32"/>
        </w:rPr>
        <w:t>万元，公务用车购置及运行费支出预算为</w:t>
      </w:r>
      <w:r>
        <w:rPr>
          <w:rFonts w:hint="eastAsia" w:ascii="仿宋_GB2312" w:hAnsi="TimesNewRoman" w:eastAsia="仿宋_GB2312" w:cs="TimesNewRoman"/>
          <w:color w:val="auto"/>
          <w:kern w:val="0"/>
          <w:sz w:val="32"/>
          <w:szCs w:val="32"/>
          <w:lang w:val="en-US" w:eastAsia="zh-CN"/>
        </w:rPr>
        <w:t>0</w:t>
      </w:r>
      <w:r>
        <w:rPr>
          <w:rFonts w:ascii="仿宋_GB2312" w:hAnsi="TimesNewRoman" w:eastAsia="仿宋_GB2312" w:cs="TimesNewRoman"/>
          <w:color w:val="auto"/>
          <w:kern w:val="0"/>
          <w:sz w:val="32"/>
          <w:szCs w:val="32"/>
        </w:rPr>
        <w:t>万元。具体情况如下：</w:t>
      </w:r>
    </w:p>
    <w:p w14:paraId="7F43E92B">
      <w:pPr>
        <w:widowControl w:val="0"/>
        <w:adjustRightInd w:val="0"/>
        <w:snapToGrid w:val="0"/>
        <w:spacing w:beforeAutospacing="0" w:afterAutospacing="0" w:line="560" w:lineRule="exact"/>
        <w:ind w:firstLine="640" w:firstLineChars="200"/>
        <w:jc w:val="left"/>
        <w:rPr>
          <w:rFonts w:ascii="仿宋_GB2312" w:hAnsi="TimesNewRoman" w:eastAsia="仿宋_GB2312" w:cs="TimesNewRoman"/>
          <w:color w:val="auto"/>
          <w:kern w:val="0"/>
          <w:sz w:val="32"/>
          <w:szCs w:val="32"/>
          <w:lang w:val="en-US" w:eastAsia="zh-CN" w:bidi="ar-SA"/>
        </w:rPr>
      </w:pPr>
      <w:r>
        <w:rPr>
          <w:rFonts w:ascii="仿宋_GB2312" w:hAnsi="TimesNewRoman" w:eastAsia="仿宋_GB2312" w:cs="TimesNewRoman"/>
          <w:color w:val="auto"/>
          <w:kern w:val="0"/>
          <w:sz w:val="32"/>
          <w:szCs w:val="32"/>
          <w:lang w:val="en-US" w:eastAsia="zh-CN" w:bidi="ar-SA"/>
        </w:rPr>
        <w:t>（一）因公出国（境）费支</w:t>
      </w:r>
      <w:r>
        <w:rPr>
          <w:rFonts w:ascii="TimesNewRoman" w:hAnsi="TimesNewRoman" w:eastAsia="仿宋_GB2312" w:cs="TimesNewRoman"/>
          <w:color w:val="auto"/>
          <w:kern w:val="0"/>
          <w:sz w:val="32"/>
          <w:szCs w:val="32"/>
          <w:lang w:val="en-US" w:eastAsia="zh-CN" w:bidi="ar-SA"/>
        </w:rPr>
        <w:t>出预算</w:t>
      </w:r>
      <w:r>
        <w:rPr>
          <w:rFonts w:hint="eastAsia" w:ascii="TimesNewRoman" w:hAnsi="TimesNewRoman" w:eastAsia="仿宋_GB2312" w:cs="TimesNewRoman"/>
          <w:color w:val="auto"/>
          <w:kern w:val="0"/>
          <w:sz w:val="32"/>
          <w:szCs w:val="32"/>
          <w:lang w:val="en-US" w:eastAsia="zh-CN" w:bidi="ar-SA"/>
        </w:rPr>
        <w:t>0</w:t>
      </w:r>
      <w:r>
        <w:rPr>
          <w:rFonts w:ascii="TimesNewRoman" w:hAnsi="TimesNewRoman" w:eastAsia="仿宋_GB2312" w:cs="TimesNewRoman"/>
          <w:color w:val="auto"/>
          <w:kern w:val="0"/>
          <w:sz w:val="32"/>
          <w:szCs w:val="32"/>
          <w:lang w:val="en-US" w:eastAsia="zh-CN" w:bidi="ar-SA"/>
        </w:rPr>
        <w:t>万元,</w:t>
      </w:r>
      <w:r>
        <w:rPr>
          <w:rFonts w:ascii="仿宋_GB2312" w:hAnsi="TimesNewRoman" w:eastAsia="仿宋_GB2312" w:cs="TimesNewRoman"/>
          <w:color w:val="auto"/>
          <w:kern w:val="0"/>
          <w:sz w:val="32"/>
          <w:szCs w:val="32"/>
          <w:lang w:val="en-US" w:eastAsia="zh-CN" w:bidi="ar-SA"/>
        </w:rPr>
        <w:t xml:space="preserve"> </w:t>
      </w:r>
      <w:r>
        <w:rPr>
          <w:rFonts w:hint="eastAsia" w:ascii="仿宋_GB2312" w:hAnsi="TimesNewRoman" w:eastAsia="仿宋_GB2312" w:cs="TimesNewRoman"/>
          <w:color w:val="auto"/>
          <w:kern w:val="0"/>
          <w:sz w:val="32"/>
          <w:szCs w:val="32"/>
          <w:lang w:val="en-US" w:eastAsia="zh-CN" w:bidi="ar-SA"/>
        </w:rPr>
        <w:t>与2024</w:t>
      </w:r>
      <w:r>
        <w:rPr>
          <w:rFonts w:ascii="仿宋_GB2312" w:hAnsi="TimesNewRoman" w:eastAsia="仿宋_GB2312" w:cs="TimesNewRoman"/>
          <w:color w:val="auto"/>
          <w:kern w:val="0"/>
          <w:sz w:val="32"/>
          <w:szCs w:val="32"/>
          <w:lang w:val="en-US" w:eastAsia="zh-CN" w:bidi="ar-SA"/>
        </w:rPr>
        <w:t>年预算</w:t>
      </w:r>
      <w:r>
        <w:rPr>
          <w:rFonts w:hint="eastAsia" w:ascii="仿宋_GB2312" w:hAnsi="TimesNewRoman" w:eastAsia="仿宋_GB2312" w:cs="TimesNewRoman"/>
          <w:color w:val="auto"/>
          <w:kern w:val="0"/>
          <w:sz w:val="32"/>
          <w:szCs w:val="32"/>
          <w:lang w:val="en-US" w:eastAsia="zh-CN" w:bidi="ar-SA"/>
        </w:rPr>
        <w:t>相比无变化</w:t>
      </w:r>
      <w:r>
        <w:rPr>
          <w:rFonts w:ascii="仿宋_GB2312" w:hAnsi="TimesNewRoman" w:eastAsia="仿宋_GB2312" w:cs="TimesNewRoman"/>
          <w:color w:val="auto"/>
          <w:kern w:val="0"/>
          <w:sz w:val="32"/>
          <w:szCs w:val="32"/>
          <w:lang w:val="en-US" w:eastAsia="zh-CN" w:bidi="ar-SA"/>
        </w:rPr>
        <w:t>，</w:t>
      </w:r>
      <w:r>
        <w:rPr>
          <w:rFonts w:hint="eastAsia" w:ascii="仿宋_GB2312" w:hAnsi="TimesNewRoman" w:eastAsia="仿宋_GB2312" w:cs="TimesNewRoman"/>
          <w:color w:val="auto"/>
          <w:kern w:val="0"/>
          <w:sz w:val="32"/>
          <w:szCs w:val="32"/>
          <w:lang w:val="en-US" w:eastAsia="zh-CN" w:bidi="ar-SA"/>
        </w:rPr>
        <w:t>截止目前寿县政法委无因公出国（境）工作需要</w:t>
      </w:r>
      <w:r>
        <w:rPr>
          <w:rFonts w:ascii="仿宋_GB2312" w:hAnsi="TimesNewRoman" w:eastAsia="仿宋_GB2312" w:cs="TimesNewRoman"/>
          <w:color w:val="auto"/>
          <w:kern w:val="0"/>
          <w:sz w:val="32"/>
          <w:szCs w:val="32"/>
          <w:lang w:val="en-US" w:eastAsia="zh-CN" w:bidi="ar-SA"/>
        </w:rPr>
        <w:t>。</w:t>
      </w:r>
    </w:p>
    <w:p w14:paraId="21A8B6FA">
      <w:pPr>
        <w:widowControl w:val="0"/>
        <w:adjustRightInd w:val="0"/>
        <w:snapToGrid w:val="0"/>
        <w:spacing w:beforeAutospacing="0" w:afterAutospacing="0" w:line="560" w:lineRule="exact"/>
        <w:ind w:firstLine="640" w:firstLineChars="200"/>
        <w:jc w:val="left"/>
        <w:rPr>
          <w:rFonts w:hint="eastAsia" w:ascii="仿宋_GB2312" w:hAnsi="TimesNewRoman" w:eastAsia="仿宋_GB2312" w:cs="TimesNewRoman"/>
          <w:color w:val="auto"/>
          <w:kern w:val="0"/>
          <w:sz w:val="32"/>
          <w:szCs w:val="32"/>
          <w:lang w:val="en-US" w:eastAsia="zh-CN" w:bidi="ar-SA"/>
        </w:rPr>
      </w:pPr>
      <w:r>
        <w:rPr>
          <w:rFonts w:ascii="仿宋_GB2312" w:hAnsi="TimesNewRoman" w:eastAsia="仿宋_GB2312" w:cs="TimesNewRoman"/>
          <w:color w:val="auto"/>
          <w:kern w:val="0"/>
          <w:sz w:val="32"/>
          <w:szCs w:val="32"/>
          <w:lang w:val="en-US" w:eastAsia="zh-CN" w:bidi="ar-SA"/>
        </w:rPr>
        <w:t>（二）公务用车购置及运行费支出预算</w:t>
      </w:r>
      <w:r>
        <w:rPr>
          <w:rFonts w:hint="eastAsia" w:ascii="仿宋_GB2312" w:hAnsi="TimesNewRoman" w:eastAsia="仿宋_GB2312" w:cs="TimesNewRoman"/>
          <w:color w:val="auto"/>
          <w:kern w:val="0"/>
          <w:sz w:val="32"/>
          <w:szCs w:val="32"/>
          <w:lang w:val="en-US" w:eastAsia="zh-CN" w:bidi="ar-SA"/>
        </w:rPr>
        <w:t>0</w:t>
      </w:r>
      <w:r>
        <w:rPr>
          <w:rFonts w:ascii="仿宋_GB2312" w:hAnsi="TimesNewRoman" w:eastAsia="仿宋_GB2312" w:cs="TimesNewRoman"/>
          <w:color w:val="auto"/>
          <w:kern w:val="0"/>
          <w:sz w:val="32"/>
          <w:szCs w:val="32"/>
          <w:lang w:val="en-US" w:eastAsia="zh-CN" w:bidi="ar-SA"/>
        </w:rPr>
        <w:t>万元，</w:t>
      </w:r>
      <w:r>
        <w:rPr>
          <w:rFonts w:hint="eastAsia" w:ascii="仿宋_GB2312" w:hAnsi="TimesNewRoman" w:eastAsia="仿宋_GB2312" w:cs="TimesNewRoman"/>
          <w:color w:val="auto"/>
          <w:kern w:val="0"/>
          <w:sz w:val="32"/>
          <w:szCs w:val="32"/>
          <w:lang w:val="en-US" w:eastAsia="zh-CN" w:bidi="ar-SA"/>
        </w:rPr>
        <w:t>与2024年预算相比无变化。</w:t>
      </w:r>
    </w:p>
    <w:p w14:paraId="5167118A">
      <w:pPr>
        <w:widowControl w:val="0"/>
        <w:spacing w:beforeAutospacing="0" w:afterAutospacing="0" w:line="560" w:lineRule="exact"/>
        <w:ind w:firstLine="482" w:firstLineChars="150"/>
        <w:jc w:val="both"/>
        <w:rPr>
          <w:rFonts w:hint="eastAsia" w:ascii="仿宋_GB2312" w:hAnsi="TimesNewRoman" w:eastAsia="仿宋_GB2312" w:cs="TimesNewRoman"/>
          <w:color w:val="auto"/>
          <w:kern w:val="0"/>
          <w:sz w:val="32"/>
          <w:szCs w:val="32"/>
          <w:lang w:val="en-US" w:eastAsia="zh-CN" w:bidi="ar-SA"/>
        </w:rPr>
      </w:pPr>
      <w:r>
        <w:rPr>
          <w:rFonts w:hint="eastAsia" w:ascii="仿宋_GB2312" w:hAnsi="TimesNewRoman" w:eastAsia="仿宋_GB2312" w:cs="TimesNewRoman"/>
          <w:b/>
          <w:color w:val="auto"/>
          <w:kern w:val="0"/>
          <w:sz w:val="32"/>
          <w:szCs w:val="32"/>
          <w:lang w:val="en-US" w:eastAsia="zh-CN" w:bidi="ar-SA"/>
        </w:rPr>
        <w:t>（三）</w:t>
      </w:r>
      <w:r>
        <w:rPr>
          <w:rFonts w:hint="eastAsia" w:ascii="仿宋_GB2312" w:hAnsi="TimesNewRoman" w:eastAsia="仿宋_GB2312" w:cs="TimesNewRoman"/>
          <w:b/>
          <w:bCs w:val="0"/>
          <w:color w:val="auto"/>
          <w:kern w:val="0"/>
          <w:sz w:val="32"/>
          <w:szCs w:val="32"/>
          <w:lang w:val="en-US" w:eastAsia="zh-CN" w:bidi="ar-SA"/>
        </w:rPr>
        <w:t>公务接待费</w:t>
      </w:r>
      <w:r>
        <w:rPr>
          <w:rFonts w:hint="eastAsia" w:ascii="仿宋_GB2312" w:hAnsi="TimesNewRoman" w:eastAsia="仿宋_GB2312" w:cs="TimesNewRoman"/>
          <w:color w:val="auto"/>
          <w:kern w:val="0"/>
          <w:sz w:val="32"/>
          <w:szCs w:val="32"/>
          <w:lang w:val="en-US" w:eastAsia="zh-CN" w:bidi="ar-SA"/>
        </w:rPr>
        <w:t>支出预算2.9万元，比2024年预算减少（增加）0.5万元，下降14.71%，</w:t>
      </w:r>
      <w:r>
        <w:rPr>
          <w:rFonts w:ascii="TimesNewRoman" w:hAnsi="TimesNewRoman" w:eastAsia="仿宋_GB2312" w:cs="TimesNewRoman"/>
          <w:color w:val="auto"/>
          <w:sz w:val="32"/>
          <w:szCs w:val="32"/>
        </w:rPr>
        <w:t>下降原因主要是</w:t>
      </w:r>
      <w:r>
        <w:rPr>
          <w:rFonts w:hint="eastAsia" w:ascii="仿宋_GB2312" w:hAnsi="仿宋" w:eastAsia="仿宋_GB2312"/>
          <w:color w:val="auto"/>
          <w:sz w:val="32"/>
          <w:szCs w:val="32"/>
        </w:rPr>
        <w:t>落实“三公”经费管理制度，坚持厉行节约</w:t>
      </w:r>
      <w:r>
        <w:rPr>
          <w:rFonts w:hint="eastAsia" w:ascii="仿宋_GB2312" w:hAnsi="TimesNewRoman" w:eastAsia="仿宋_GB2312" w:cs="TimesNewRoman"/>
          <w:color w:val="auto"/>
          <w:kern w:val="0"/>
          <w:sz w:val="32"/>
          <w:szCs w:val="32"/>
          <w:lang w:val="en-US" w:eastAsia="zh-CN" w:bidi="ar-SA"/>
        </w:rPr>
        <w:t>。经费使用严格执行《党政机关厉行节约反对浪费条例》</w:t>
      </w:r>
      <w:r>
        <w:rPr>
          <w:rFonts w:hint="eastAsia" w:ascii="仿宋_GB2312" w:hAnsi="仿宋" w:eastAsia="仿宋_GB2312" w:cs="Times New Roman"/>
          <w:color w:val="auto"/>
          <w:kern w:val="0"/>
          <w:sz w:val="32"/>
          <w:szCs w:val="32"/>
          <w:lang w:val="en-US" w:eastAsia="zh-CN" w:bidi="ar-SA"/>
        </w:rPr>
        <w:t>（中发〔2013〕13号）</w:t>
      </w:r>
      <w:r>
        <w:rPr>
          <w:rFonts w:hint="eastAsia" w:ascii="仿宋_GB2312" w:hAnsi="TimesNewRoman" w:eastAsia="仿宋_GB2312" w:cs="TimesNewRoman"/>
          <w:color w:val="auto"/>
          <w:kern w:val="0"/>
          <w:sz w:val="32"/>
          <w:szCs w:val="32"/>
          <w:lang w:val="en-US" w:eastAsia="zh-CN" w:bidi="ar-SA"/>
        </w:rPr>
        <w:t>和</w:t>
      </w:r>
      <w:r>
        <w:rPr>
          <w:rFonts w:hint="eastAsia" w:ascii="仿宋_GB2312" w:hAnsi="仿宋" w:eastAsia="仿宋_GB2312" w:cs="Times New Roman"/>
          <w:color w:val="auto"/>
          <w:kern w:val="0"/>
          <w:sz w:val="32"/>
          <w:szCs w:val="32"/>
          <w:lang w:val="en-US" w:eastAsia="zh-CN" w:bidi="ar-SA"/>
        </w:rPr>
        <w:t>《寿县党政机关公务接待管理规定</w:t>
      </w:r>
      <w:r>
        <w:rPr>
          <w:rFonts w:hint="eastAsia" w:ascii="仿宋_GB2312" w:hAnsi="TimesNewRoman" w:eastAsia="仿宋_GB2312" w:cs="TimesNewRoman"/>
          <w:color w:val="auto"/>
          <w:kern w:val="0"/>
          <w:sz w:val="32"/>
          <w:szCs w:val="32"/>
          <w:lang w:val="en-US" w:eastAsia="zh-CN" w:bidi="ar-SA"/>
        </w:rPr>
        <w:t>》</w:t>
      </w:r>
      <w:r>
        <w:rPr>
          <w:rFonts w:hint="eastAsia" w:ascii="仿宋_GB2312" w:hAnsi="仿宋" w:eastAsia="仿宋_GB2312" w:cs="Times New Roman"/>
          <w:color w:val="auto"/>
          <w:kern w:val="0"/>
          <w:sz w:val="32"/>
          <w:szCs w:val="32"/>
          <w:lang w:val="en-US" w:eastAsia="zh-CN" w:bidi="ar-SA"/>
        </w:rPr>
        <w:t>（寿办发〔2015〕2号）规定。</w:t>
      </w:r>
    </w:p>
    <w:p w14:paraId="0C0AB5EC">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color w:val="auto"/>
          <w:sz w:val="32"/>
          <w:szCs w:val="32"/>
        </w:rPr>
      </w:pPr>
      <w:r>
        <w:rPr>
          <w:rFonts w:hint="eastAsia" w:ascii="楷体_GB2312" w:hAnsi="TimesNewRoman" w:eastAsia="楷体_GB2312" w:cs="TimesNewRoman"/>
          <w:b/>
          <w:color w:val="auto"/>
          <w:sz w:val="32"/>
          <w:szCs w:val="32"/>
        </w:rPr>
        <w:t>十</w:t>
      </w:r>
      <w:r>
        <w:rPr>
          <w:rFonts w:hint="eastAsia" w:ascii="楷体_GB2312" w:hAnsi="TimesNewRoman" w:eastAsia="楷体_GB2312" w:cs="TimesNewRoman"/>
          <w:b/>
          <w:color w:val="auto"/>
          <w:sz w:val="32"/>
          <w:szCs w:val="32"/>
          <w:lang w:val="en-US" w:eastAsia="zh-CN"/>
        </w:rPr>
        <w:t>三</w:t>
      </w:r>
      <w:r>
        <w:rPr>
          <w:rFonts w:hint="eastAsia" w:ascii="楷体_GB2312" w:hAnsi="TimesNewRoman" w:eastAsia="楷体_GB2312" w:cs="TimesNewRoman"/>
          <w:b/>
          <w:color w:val="auto"/>
          <w:sz w:val="32"/>
          <w:szCs w:val="32"/>
        </w:rPr>
        <w:t>、其他重要事项情况说明</w:t>
      </w:r>
    </w:p>
    <w:p w14:paraId="2507149B">
      <w:pPr>
        <w:topLinePunct/>
        <w:adjustRightInd w:val="0"/>
        <w:snapToGrid w:val="0"/>
        <w:spacing w:line="58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（一）项目及绩效目标情况。</w:t>
      </w:r>
    </w:p>
    <w:p w14:paraId="4470CCE0">
      <w:pPr>
        <w:topLinePunct/>
        <w:adjustRightInd w:val="0"/>
        <w:snapToGrid w:val="0"/>
        <w:spacing w:line="58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1.“政法委工作运转”项目。</w:t>
      </w:r>
    </w:p>
    <w:p w14:paraId="18B12EE6">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（1）项目概述。</w:t>
      </w:r>
      <w:r>
        <w:rPr>
          <w:rFonts w:hint="eastAsia" w:ascii="仿宋_GB2312" w:hAnsi="仿宋" w:eastAsia="仿宋_GB2312"/>
          <w:color w:val="auto"/>
          <w:sz w:val="32"/>
          <w:szCs w:val="32"/>
        </w:rPr>
        <w:t>保证单位工作顺利开展，助力平安建设、扫黑除恶工作推行，统筹协调社会治安综合治理、维稳、政治安全等工作，组织开展政法调研，分析政治舆情，推进严格执法、公正司法，深化政法领域改革，推动政法队伍建设。</w:t>
      </w:r>
    </w:p>
    <w:p w14:paraId="4B23F67A">
      <w:pPr>
        <w:adjustRightInd w:val="0"/>
        <w:snapToGrid w:val="0"/>
        <w:spacing w:line="600" w:lineRule="exact"/>
        <w:ind w:firstLine="640" w:firstLineChars="200"/>
        <w:rPr>
          <w:rFonts w:ascii="仿宋_GB2312" w:hAnsi="仿宋" w:eastAsia="仿宋_GB2312"/>
          <w:color w:val="auto"/>
          <w:sz w:val="32"/>
          <w:szCs w:val="32"/>
          <w:u w:val="single"/>
        </w:rPr>
      </w:pPr>
      <w:r>
        <w:rPr>
          <w:rFonts w:hint="eastAsia" w:ascii="仿宋_GB2312" w:hAnsi="TimesNewRoman" w:eastAsia="仿宋_GB2312" w:cs="TimesNewRoman"/>
          <w:color w:val="auto"/>
          <w:sz w:val="32"/>
          <w:szCs w:val="32"/>
        </w:rPr>
        <w:t>（2）立项依据。</w:t>
      </w:r>
      <w:r>
        <w:rPr>
          <w:rFonts w:hint="eastAsia" w:ascii="仿宋_GB2312" w:hAnsi="仿宋" w:eastAsia="仿宋_GB2312"/>
          <w:color w:val="auto"/>
          <w:sz w:val="32"/>
          <w:szCs w:val="32"/>
        </w:rPr>
        <w:t>《中共安徽省委办公厅、安徽省人民政府办公厅印发〈关于推进全省各级综治中心标准化建设与管理的指导意见〉的通知》（厅〔2018〕14号）、《中共淮南市委办公室、淮南市人民政府办公室印发〈关于推进全市各级综治中心标准化建设与管理的实施意见〉的通知》（淮办秘〔2018〕134号）等。</w:t>
      </w:r>
    </w:p>
    <w:p w14:paraId="7248C7BA">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（3）实施主体。</w:t>
      </w:r>
      <w:r>
        <w:rPr>
          <w:rFonts w:hint="eastAsia" w:ascii="仿宋_GB2312" w:hAnsi="仿宋" w:eastAsia="仿宋_GB2312"/>
          <w:color w:val="auto"/>
          <w:sz w:val="32"/>
          <w:szCs w:val="32"/>
        </w:rPr>
        <w:t>中共寿县县委政法委。</w:t>
      </w:r>
    </w:p>
    <w:p w14:paraId="4CD0E3EA">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（4）起止时间。</w:t>
      </w:r>
      <w:r>
        <w:rPr>
          <w:rFonts w:hint="eastAsia" w:ascii="仿宋_GB2312" w:hAnsi="TimesNewRoman" w:eastAsia="仿宋_GB2312" w:cs="TimesNewRoman"/>
          <w:color w:val="auto"/>
          <w:sz w:val="32"/>
          <w:szCs w:val="32"/>
          <w:lang w:val="en-US" w:eastAsia="zh-CN"/>
        </w:rPr>
        <w:t>2025年-2027</w:t>
      </w:r>
      <w:r>
        <w:rPr>
          <w:rFonts w:hint="eastAsia" w:ascii="仿宋_GB2312" w:hAnsi="仿宋" w:eastAsia="仿宋_GB2312"/>
          <w:color w:val="auto"/>
          <w:sz w:val="32"/>
          <w:szCs w:val="32"/>
        </w:rPr>
        <w:t>年。</w:t>
      </w:r>
    </w:p>
    <w:p w14:paraId="24A94922">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5）项目内容。政法工作督查、统筹协调社会治安综合治理、维稳、政治安全等工作，组织开展政法调研，分析政治舆情，推进严格执法、公正司法，深化政法改革，推动政法队伍建设；了解掌握和分析研判社会稳定形势、政法工作动态，创新完善多部门参与平安建设工作协调机制，协调推动预防、化解影响稳定的社会矛盾和风险，协调应对和妥善处置重大突发事件；完成党委和上级党委政法委员会交办的其他任务。</w:t>
      </w:r>
    </w:p>
    <w:p w14:paraId="5D18A816">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（6）年度预算安排。</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年度预算安排政法委工作运转项目经费105.66万元。</w:t>
      </w:r>
    </w:p>
    <w:p w14:paraId="7807CA76">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（7）绩效目标。</w:t>
      </w:r>
      <w:r>
        <w:rPr>
          <w:rFonts w:hint="eastAsia" w:ascii="仿宋_GB2312" w:hAnsi="楷体" w:eastAsia="仿宋_GB2312"/>
          <w:color w:val="auto"/>
          <w:sz w:val="32"/>
          <w:szCs w:val="32"/>
        </w:rPr>
        <w:t>一是维护社会大局稳定，二是促进社会公平公正，三是保障人民安居乐业。</w:t>
      </w:r>
    </w:p>
    <w:p w14:paraId="08D29E59">
      <w:pPr>
        <w:topLinePunct/>
        <w:adjustRightInd w:val="0"/>
        <w:snapToGrid w:val="0"/>
        <w:spacing w:line="580" w:lineRule="exact"/>
        <w:ind w:firstLine="640" w:firstLineChars="200"/>
        <w:rPr>
          <w:rFonts w:ascii="仿宋_GB2312" w:hAnsi="楷体" w:eastAsia="仿宋_GB2312"/>
          <w:color w:val="auto"/>
          <w:sz w:val="32"/>
          <w:szCs w:val="32"/>
        </w:rPr>
      </w:pPr>
    </w:p>
    <w:tbl>
      <w:tblPr>
        <w:tblStyle w:val="5"/>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2D59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vAlign w:val="center"/>
          </w:tcPr>
          <w:p w14:paraId="57A2CEC0">
            <w:pPr>
              <w:widowControl/>
              <w:jc w:val="both"/>
              <w:textAlignment w:val="center"/>
              <w:rPr>
                <w:rFonts w:ascii="宋体" w:hAnsi="宋体" w:cs="宋体"/>
                <w:b/>
                <w:color w:val="auto"/>
                <w:kern w:val="0"/>
                <w:sz w:val="28"/>
                <w:szCs w:val="28"/>
                <w:lang w:bidi="ar"/>
              </w:rPr>
            </w:pPr>
          </w:p>
          <w:p w14:paraId="6F32EB0E">
            <w:pPr>
              <w:widowControl/>
              <w:jc w:val="center"/>
              <w:textAlignment w:val="center"/>
              <w:rPr>
                <w:rFonts w:ascii="宋体" w:cs="宋体"/>
                <w:b/>
                <w:bCs/>
                <w:color w:val="auto"/>
                <w:szCs w:val="32"/>
              </w:rPr>
            </w:pPr>
            <w:r>
              <w:rPr>
                <w:rFonts w:hint="eastAsia" w:ascii="宋体" w:hAnsi="宋体" w:cs="宋体"/>
                <w:b/>
                <w:color w:val="auto"/>
                <w:kern w:val="0"/>
                <w:sz w:val="28"/>
                <w:szCs w:val="28"/>
                <w:lang w:bidi="ar"/>
              </w:rPr>
              <w:t>项目支出绩效目标表</w:t>
            </w:r>
          </w:p>
        </w:tc>
      </w:tr>
      <w:tr w14:paraId="6D01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vAlign w:val="center"/>
          </w:tcPr>
          <w:p w14:paraId="2769A640">
            <w:pPr>
              <w:widowControl/>
              <w:jc w:val="center"/>
              <w:textAlignment w:val="center"/>
              <w:rPr>
                <w:rFonts w:ascii="宋体" w:cs="宋体"/>
                <w:color w:val="auto"/>
                <w:sz w:val="20"/>
              </w:rPr>
            </w:pPr>
            <w:r>
              <w:rPr>
                <w:rFonts w:hint="eastAsia" w:ascii="宋体" w:hAnsi="宋体" w:cs="宋体"/>
                <w:color w:val="auto"/>
                <w:kern w:val="0"/>
                <w:sz w:val="20"/>
                <w:szCs w:val="20"/>
                <w:lang w:bidi="ar"/>
              </w:rPr>
              <w:t xml:space="preserve"> （</w:t>
            </w:r>
            <w:r>
              <w:rPr>
                <w:rFonts w:hint="eastAsia" w:ascii="宋体" w:hAnsi="宋体" w:cs="宋体"/>
                <w:color w:val="auto"/>
                <w:kern w:val="0"/>
                <w:sz w:val="20"/>
                <w:szCs w:val="20"/>
                <w:lang w:eastAsia="zh-CN" w:bidi="ar"/>
              </w:rPr>
              <w:t>2025</w:t>
            </w:r>
            <w:r>
              <w:rPr>
                <w:rFonts w:hint="eastAsia" w:ascii="宋体" w:hAnsi="宋体" w:cs="宋体"/>
                <w:color w:val="auto"/>
                <w:kern w:val="0"/>
                <w:sz w:val="20"/>
                <w:szCs w:val="20"/>
                <w:lang w:bidi="ar"/>
              </w:rPr>
              <w:t xml:space="preserve">年度）                                </w:t>
            </w:r>
          </w:p>
        </w:tc>
      </w:tr>
      <w:tr w14:paraId="5200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14:paraId="189DF90F">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项目名称</w:t>
            </w:r>
          </w:p>
        </w:tc>
        <w:tc>
          <w:tcPr>
            <w:tcW w:w="7577" w:type="dxa"/>
            <w:gridSpan w:val="4"/>
            <w:vAlign w:val="center"/>
          </w:tcPr>
          <w:p w14:paraId="2509152F">
            <w:pPr>
              <w:spacing w:line="260" w:lineRule="exact"/>
              <w:jc w:val="center"/>
              <w:rPr>
                <w:rFonts w:hint="eastAsia" w:ascii="宋体" w:cs="宋体"/>
                <w:color w:val="auto"/>
                <w:sz w:val="18"/>
                <w:szCs w:val="18"/>
              </w:rPr>
            </w:pPr>
            <w:r>
              <w:rPr>
                <w:rFonts w:hint="eastAsia" w:ascii="宋体" w:cs="宋体"/>
                <w:color w:val="auto"/>
                <w:sz w:val="18"/>
                <w:szCs w:val="18"/>
              </w:rPr>
              <w:t>政法委工作事务运转</w:t>
            </w:r>
          </w:p>
        </w:tc>
      </w:tr>
      <w:tr w14:paraId="6326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vAlign w:val="center"/>
          </w:tcPr>
          <w:p w14:paraId="30414A59">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主管部门   及代码</w:t>
            </w:r>
          </w:p>
        </w:tc>
        <w:tc>
          <w:tcPr>
            <w:tcW w:w="3349" w:type="dxa"/>
            <w:gridSpan w:val="2"/>
            <w:vAlign w:val="center"/>
          </w:tcPr>
          <w:p w14:paraId="559E086E">
            <w:pPr>
              <w:spacing w:line="260" w:lineRule="exact"/>
              <w:jc w:val="center"/>
              <w:rPr>
                <w:rFonts w:ascii="宋体" w:cs="宋体"/>
                <w:color w:val="auto"/>
                <w:sz w:val="18"/>
                <w:szCs w:val="18"/>
              </w:rPr>
            </w:pPr>
            <w:r>
              <w:rPr>
                <w:rFonts w:hint="eastAsia" w:ascii="宋体" w:cs="宋体"/>
                <w:color w:val="auto"/>
                <w:sz w:val="18"/>
                <w:szCs w:val="18"/>
              </w:rPr>
              <w:t>中共寿县县委政法委员会1</w:t>
            </w:r>
            <w:r>
              <w:rPr>
                <w:rFonts w:ascii="宋体" w:cs="宋体"/>
                <w:color w:val="auto"/>
                <w:sz w:val="18"/>
                <w:szCs w:val="18"/>
              </w:rPr>
              <w:t>09001</w:t>
            </w:r>
          </w:p>
        </w:tc>
        <w:tc>
          <w:tcPr>
            <w:tcW w:w="1848" w:type="dxa"/>
            <w:vAlign w:val="center"/>
          </w:tcPr>
          <w:p w14:paraId="2000A5AC">
            <w:pPr>
              <w:spacing w:line="260" w:lineRule="exact"/>
              <w:jc w:val="center"/>
              <w:textAlignment w:val="center"/>
              <w:rPr>
                <w:color w:val="auto"/>
                <w:sz w:val="18"/>
                <w:szCs w:val="18"/>
              </w:rPr>
            </w:pPr>
            <w:r>
              <w:rPr>
                <w:rFonts w:hint="eastAsia" w:ascii="宋体" w:hAnsi="宋体" w:cs="宋体"/>
                <w:color w:val="auto"/>
                <w:kern w:val="0"/>
                <w:sz w:val="18"/>
                <w:szCs w:val="18"/>
                <w:lang w:bidi="ar"/>
              </w:rPr>
              <w:t>实施单位</w:t>
            </w:r>
          </w:p>
        </w:tc>
        <w:tc>
          <w:tcPr>
            <w:tcW w:w="2380" w:type="dxa"/>
            <w:vAlign w:val="center"/>
          </w:tcPr>
          <w:p w14:paraId="1893F7C3">
            <w:pPr>
              <w:spacing w:line="260" w:lineRule="exact"/>
              <w:jc w:val="center"/>
              <w:rPr>
                <w:color w:val="auto"/>
                <w:sz w:val="18"/>
                <w:szCs w:val="18"/>
              </w:rPr>
            </w:pPr>
            <w:r>
              <w:rPr>
                <w:rFonts w:hint="eastAsia"/>
                <w:color w:val="auto"/>
                <w:sz w:val="18"/>
                <w:szCs w:val="18"/>
              </w:rPr>
              <w:t>寿县政法委</w:t>
            </w:r>
          </w:p>
        </w:tc>
      </w:tr>
      <w:tr w14:paraId="0BDC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14:paraId="6C4CB850">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项目来源</w:t>
            </w:r>
          </w:p>
        </w:tc>
        <w:tc>
          <w:tcPr>
            <w:tcW w:w="3349" w:type="dxa"/>
            <w:gridSpan w:val="2"/>
            <w:vAlign w:val="center"/>
          </w:tcPr>
          <w:p w14:paraId="3946D299">
            <w:pPr>
              <w:spacing w:line="260" w:lineRule="exact"/>
              <w:jc w:val="center"/>
              <w:rPr>
                <w:rFonts w:ascii="宋体" w:cs="宋体"/>
                <w:color w:val="auto"/>
                <w:sz w:val="18"/>
                <w:szCs w:val="18"/>
              </w:rPr>
            </w:pPr>
          </w:p>
        </w:tc>
        <w:tc>
          <w:tcPr>
            <w:tcW w:w="1848" w:type="dxa"/>
            <w:vAlign w:val="center"/>
          </w:tcPr>
          <w:p w14:paraId="0868C771">
            <w:pPr>
              <w:spacing w:line="260" w:lineRule="exact"/>
              <w:jc w:val="center"/>
              <w:textAlignment w:val="center"/>
              <w:rPr>
                <w:color w:val="auto"/>
                <w:sz w:val="18"/>
                <w:szCs w:val="18"/>
              </w:rPr>
            </w:pPr>
            <w:r>
              <w:rPr>
                <w:rFonts w:hint="eastAsia" w:ascii="宋体" w:hAnsi="宋体" w:cs="宋体"/>
                <w:color w:val="auto"/>
                <w:kern w:val="0"/>
                <w:sz w:val="18"/>
                <w:szCs w:val="18"/>
                <w:lang w:bidi="ar"/>
              </w:rPr>
              <w:t>项目期</w:t>
            </w:r>
          </w:p>
        </w:tc>
        <w:tc>
          <w:tcPr>
            <w:tcW w:w="2380" w:type="dxa"/>
            <w:vAlign w:val="center"/>
          </w:tcPr>
          <w:p w14:paraId="09E3945B">
            <w:pPr>
              <w:spacing w:line="260" w:lineRule="exact"/>
              <w:jc w:val="center"/>
              <w:rPr>
                <w:color w:val="auto"/>
                <w:sz w:val="18"/>
                <w:szCs w:val="18"/>
              </w:rPr>
            </w:pPr>
            <w:r>
              <w:rPr>
                <w:rFonts w:hint="eastAsia"/>
                <w:color w:val="auto"/>
                <w:sz w:val="18"/>
                <w:szCs w:val="18"/>
                <w:lang w:eastAsia="zh-CN"/>
              </w:rPr>
              <w:t>2025</w:t>
            </w:r>
            <w:r>
              <w:rPr>
                <w:rFonts w:hint="eastAsia"/>
                <w:color w:val="auto"/>
                <w:sz w:val="18"/>
                <w:szCs w:val="18"/>
              </w:rPr>
              <w:t>年</w:t>
            </w:r>
          </w:p>
        </w:tc>
      </w:tr>
      <w:tr w14:paraId="6DBE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vAlign w:val="center"/>
          </w:tcPr>
          <w:p w14:paraId="160F0E13">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项目资金</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（万元）</w:t>
            </w:r>
          </w:p>
        </w:tc>
        <w:tc>
          <w:tcPr>
            <w:tcW w:w="3349" w:type="dxa"/>
            <w:gridSpan w:val="2"/>
            <w:vAlign w:val="center"/>
          </w:tcPr>
          <w:p w14:paraId="35010D4D">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年度资金总额：</w:t>
            </w:r>
          </w:p>
        </w:tc>
        <w:tc>
          <w:tcPr>
            <w:tcW w:w="4228" w:type="dxa"/>
            <w:gridSpan w:val="2"/>
            <w:vAlign w:val="center"/>
          </w:tcPr>
          <w:p w14:paraId="315F3D86">
            <w:pPr>
              <w:spacing w:line="260" w:lineRule="exact"/>
              <w:jc w:val="right"/>
              <w:rPr>
                <w:rFonts w:ascii="宋体" w:cs="宋体"/>
                <w:color w:val="auto"/>
                <w:sz w:val="18"/>
                <w:szCs w:val="18"/>
              </w:rPr>
            </w:pPr>
            <w:r>
              <w:rPr>
                <w:rFonts w:hint="eastAsia" w:ascii="宋体" w:cs="宋体"/>
                <w:color w:val="auto"/>
                <w:sz w:val="18"/>
                <w:szCs w:val="18"/>
              </w:rPr>
              <w:t>105.66</w:t>
            </w:r>
          </w:p>
        </w:tc>
      </w:tr>
      <w:tr w14:paraId="7D90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47B68829">
            <w:pPr>
              <w:spacing w:line="260" w:lineRule="exact"/>
              <w:jc w:val="center"/>
              <w:rPr>
                <w:rFonts w:ascii="宋体" w:cs="宋体"/>
                <w:color w:val="auto"/>
                <w:sz w:val="18"/>
                <w:szCs w:val="18"/>
              </w:rPr>
            </w:pPr>
          </w:p>
        </w:tc>
        <w:tc>
          <w:tcPr>
            <w:tcW w:w="3349" w:type="dxa"/>
            <w:gridSpan w:val="2"/>
            <w:vAlign w:val="center"/>
          </w:tcPr>
          <w:p w14:paraId="038D9D22">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其中：财政拨款</w:t>
            </w:r>
          </w:p>
        </w:tc>
        <w:tc>
          <w:tcPr>
            <w:tcW w:w="4228" w:type="dxa"/>
            <w:gridSpan w:val="2"/>
            <w:vAlign w:val="center"/>
          </w:tcPr>
          <w:p w14:paraId="0364E253">
            <w:pPr>
              <w:spacing w:line="260" w:lineRule="exact"/>
              <w:jc w:val="right"/>
              <w:rPr>
                <w:rFonts w:ascii="宋体" w:cs="宋体"/>
                <w:color w:val="auto"/>
                <w:sz w:val="18"/>
                <w:szCs w:val="18"/>
              </w:rPr>
            </w:pPr>
            <w:r>
              <w:rPr>
                <w:rFonts w:hint="eastAsia" w:ascii="宋体" w:cs="宋体"/>
                <w:color w:val="auto"/>
                <w:sz w:val="18"/>
                <w:szCs w:val="18"/>
              </w:rPr>
              <w:t>105.66</w:t>
            </w:r>
          </w:p>
        </w:tc>
      </w:tr>
      <w:tr w14:paraId="6BBF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1B51AEC3">
            <w:pPr>
              <w:spacing w:line="260" w:lineRule="exact"/>
              <w:jc w:val="center"/>
              <w:rPr>
                <w:rFonts w:ascii="宋体" w:cs="宋体"/>
                <w:color w:val="auto"/>
                <w:sz w:val="18"/>
                <w:szCs w:val="18"/>
              </w:rPr>
            </w:pPr>
          </w:p>
        </w:tc>
        <w:tc>
          <w:tcPr>
            <w:tcW w:w="3349" w:type="dxa"/>
            <w:gridSpan w:val="2"/>
            <w:vAlign w:val="center"/>
          </w:tcPr>
          <w:p w14:paraId="6BF3549D">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上年结转</w:t>
            </w:r>
          </w:p>
        </w:tc>
        <w:tc>
          <w:tcPr>
            <w:tcW w:w="4228" w:type="dxa"/>
            <w:gridSpan w:val="2"/>
            <w:vAlign w:val="center"/>
          </w:tcPr>
          <w:p w14:paraId="6563C6E5">
            <w:pPr>
              <w:spacing w:line="260" w:lineRule="exact"/>
              <w:jc w:val="center"/>
              <w:rPr>
                <w:rFonts w:ascii="宋体" w:cs="宋体"/>
                <w:color w:val="auto"/>
                <w:sz w:val="18"/>
                <w:szCs w:val="18"/>
              </w:rPr>
            </w:pPr>
          </w:p>
        </w:tc>
      </w:tr>
      <w:tr w14:paraId="3E92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74CDEA04">
            <w:pPr>
              <w:spacing w:line="260" w:lineRule="exact"/>
              <w:jc w:val="center"/>
              <w:rPr>
                <w:rFonts w:ascii="宋体" w:cs="宋体"/>
                <w:color w:val="auto"/>
                <w:sz w:val="18"/>
                <w:szCs w:val="18"/>
              </w:rPr>
            </w:pPr>
          </w:p>
        </w:tc>
        <w:tc>
          <w:tcPr>
            <w:tcW w:w="3349" w:type="dxa"/>
            <w:gridSpan w:val="2"/>
            <w:vAlign w:val="center"/>
          </w:tcPr>
          <w:p w14:paraId="11C259A8">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其他资金</w:t>
            </w:r>
          </w:p>
        </w:tc>
        <w:tc>
          <w:tcPr>
            <w:tcW w:w="4228" w:type="dxa"/>
            <w:gridSpan w:val="2"/>
            <w:vAlign w:val="center"/>
          </w:tcPr>
          <w:p w14:paraId="165A510E">
            <w:pPr>
              <w:spacing w:line="260" w:lineRule="exact"/>
              <w:jc w:val="right"/>
              <w:rPr>
                <w:rFonts w:ascii="宋体" w:cs="宋体"/>
                <w:color w:val="auto"/>
                <w:sz w:val="18"/>
                <w:szCs w:val="18"/>
              </w:rPr>
            </w:pPr>
          </w:p>
        </w:tc>
      </w:tr>
      <w:tr w14:paraId="63FC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vAlign w:val="center"/>
          </w:tcPr>
          <w:p w14:paraId="7FE27EAB">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年度</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目标</w:t>
            </w:r>
          </w:p>
        </w:tc>
        <w:tc>
          <w:tcPr>
            <w:tcW w:w="8582" w:type="dxa"/>
            <w:gridSpan w:val="6"/>
            <w:vAlign w:val="center"/>
          </w:tcPr>
          <w:p w14:paraId="1AB9C305">
            <w:pPr>
              <w:spacing w:line="260" w:lineRule="exact"/>
              <w:jc w:val="left"/>
              <w:rPr>
                <w:rFonts w:ascii="宋体" w:cs="宋体"/>
                <w:color w:val="auto"/>
                <w:sz w:val="18"/>
                <w:szCs w:val="18"/>
              </w:rPr>
            </w:pPr>
            <w:r>
              <w:rPr>
                <w:rFonts w:hint="eastAsia" w:ascii="宋体" w:cs="宋体"/>
                <w:color w:val="auto"/>
                <w:sz w:val="18"/>
                <w:szCs w:val="18"/>
              </w:rPr>
              <w:t>组织开展政法调研，分析政治舆情，推进严格执法、公正司法，深化政法改革，推动政法队伍建设；了解掌握和分析研判社会稳定形势、政法工作动态，创新完善多部门参与平安建设工作协调机制，协调推动预防、化解影响稳定的社会矛盾和风险，协调应对和妥善处置重大突发事件；完成党委和上级党委政法委员会交办的其他任务。</w:t>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p>
          <w:p w14:paraId="5224F56D">
            <w:pPr>
              <w:rPr>
                <w:rFonts w:ascii="宋体" w:cs="宋体"/>
                <w:color w:val="auto"/>
                <w:sz w:val="18"/>
                <w:szCs w:val="18"/>
              </w:rPr>
            </w:pPr>
          </w:p>
        </w:tc>
      </w:tr>
      <w:tr w14:paraId="6E85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vAlign w:val="center"/>
          </w:tcPr>
          <w:p w14:paraId="1D04DEA0">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绩</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效</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指</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标</w:t>
            </w:r>
          </w:p>
        </w:tc>
        <w:tc>
          <w:tcPr>
            <w:tcW w:w="723" w:type="dxa"/>
            <w:vAlign w:val="center"/>
          </w:tcPr>
          <w:p w14:paraId="47942640">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一级</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指标</w:t>
            </w:r>
          </w:p>
        </w:tc>
        <w:tc>
          <w:tcPr>
            <w:tcW w:w="759" w:type="dxa"/>
            <w:gridSpan w:val="2"/>
            <w:vAlign w:val="center"/>
          </w:tcPr>
          <w:p w14:paraId="02270139">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二级指标</w:t>
            </w:r>
          </w:p>
        </w:tc>
        <w:tc>
          <w:tcPr>
            <w:tcW w:w="2872" w:type="dxa"/>
            <w:vAlign w:val="center"/>
          </w:tcPr>
          <w:p w14:paraId="1507E315">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三级指标</w:t>
            </w:r>
          </w:p>
        </w:tc>
        <w:tc>
          <w:tcPr>
            <w:tcW w:w="4228" w:type="dxa"/>
            <w:gridSpan w:val="2"/>
            <w:vAlign w:val="center"/>
          </w:tcPr>
          <w:p w14:paraId="20F38A5F">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指标值</w:t>
            </w:r>
          </w:p>
        </w:tc>
      </w:tr>
      <w:tr w14:paraId="43AE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02619BAF">
            <w:pPr>
              <w:spacing w:line="260" w:lineRule="exact"/>
              <w:jc w:val="center"/>
              <w:rPr>
                <w:rFonts w:ascii="宋体" w:cs="宋体"/>
                <w:color w:val="auto"/>
                <w:sz w:val="18"/>
                <w:szCs w:val="18"/>
              </w:rPr>
            </w:pPr>
          </w:p>
        </w:tc>
        <w:tc>
          <w:tcPr>
            <w:tcW w:w="723" w:type="dxa"/>
            <w:vMerge w:val="restart"/>
            <w:vAlign w:val="center"/>
          </w:tcPr>
          <w:p w14:paraId="1494D0E8">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产出指标</w:t>
            </w:r>
          </w:p>
        </w:tc>
        <w:tc>
          <w:tcPr>
            <w:tcW w:w="759" w:type="dxa"/>
            <w:gridSpan w:val="2"/>
            <w:vMerge w:val="restart"/>
            <w:vAlign w:val="center"/>
          </w:tcPr>
          <w:p w14:paraId="736DB6C2">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数量指标</w:t>
            </w:r>
          </w:p>
        </w:tc>
        <w:tc>
          <w:tcPr>
            <w:tcW w:w="2872" w:type="dxa"/>
            <w:vAlign w:val="center"/>
          </w:tcPr>
          <w:p w14:paraId="2857A540">
            <w:pPr>
              <w:widowControl/>
              <w:jc w:val="left"/>
              <w:rPr>
                <w:color w:val="auto"/>
                <w:kern w:val="0"/>
                <w:sz w:val="20"/>
                <w:szCs w:val="20"/>
              </w:rPr>
            </w:pPr>
            <w:r>
              <w:rPr>
                <w:rFonts w:hint="eastAsia"/>
                <w:color w:val="auto"/>
                <w:sz w:val="20"/>
                <w:szCs w:val="20"/>
              </w:rPr>
              <w:t>专题培训班人数</w:t>
            </w:r>
          </w:p>
        </w:tc>
        <w:tc>
          <w:tcPr>
            <w:tcW w:w="4228" w:type="dxa"/>
            <w:gridSpan w:val="2"/>
            <w:vAlign w:val="center"/>
          </w:tcPr>
          <w:p w14:paraId="5FC1003A">
            <w:pPr>
              <w:jc w:val="center"/>
              <w:rPr>
                <w:rFonts w:hint="eastAsia"/>
                <w:color w:val="auto"/>
                <w:sz w:val="20"/>
                <w:szCs w:val="20"/>
              </w:rPr>
            </w:pPr>
            <w:r>
              <w:rPr>
                <w:rFonts w:hint="eastAsia"/>
                <w:color w:val="auto"/>
                <w:sz w:val="20"/>
                <w:szCs w:val="20"/>
              </w:rPr>
              <w:t>≥30人</w:t>
            </w:r>
          </w:p>
        </w:tc>
      </w:tr>
      <w:tr w14:paraId="3D86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432616C0">
            <w:pPr>
              <w:spacing w:line="260" w:lineRule="exact"/>
              <w:jc w:val="center"/>
              <w:rPr>
                <w:rFonts w:ascii="宋体" w:cs="宋体"/>
                <w:color w:val="auto"/>
                <w:sz w:val="18"/>
                <w:szCs w:val="18"/>
              </w:rPr>
            </w:pPr>
          </w:p>
        </w:tc>
        <w:tc>
          <w:tcPr>
            <w:tcW w:w="723" w:type="dxa"/>
            <w:vMerge w:val="continue"/>
            <w:vAlign w:val="center"/>
          </w:tcPr>
          <w:p w14:paraId="7992BD44">
            <w:pPr>
              <w:spacing w:line="260" w:lineRule="exact"/>
              <w:jc w:val="center"/>
              <w:rPr>
                <w:rFonts w:ascii="宋体" w:cs="宋体"/>
                <w:color w:val="auto"/>
                <w:sz w:val="18"/>
                <w:szCs w:val="18"/>
              </w:rPr>
            </w:pPr>
          </w:p>
        </w:tc>
        <w:tc>
          <w:tcPr>
            <w:tcW w:w="759" w:type="dxa"/>
            <w:gridSpan w:val="2"/>
            <w:vMerge w:val="continue"/>
            <w:vAlign w:val="center"/>
          </w:tcPr>
          <w:p w14:paraId="243911E7">
            <w:pPr>
              <w:spacing w:line="260" w:lineRule="exact"/>
              <w:jc w:val="center"/>
              <w:rPr>
                <w:rFonts w:ascii="宋体" w:cs="宋体"/>
                <w:color w:val="auto"/>
                <w:sz w:val="18"/>
                <w:szCs w:val="18"/>
              </w:rPr>
            </w:pPr>
          </w:p>
        </w:tc>
        <w:tc>
          <w:tcPr>
            <w:tcW w:w="2872" w:type="dxa"/>
            <w:vAlign w:val="center"/>
          </w:tcPr>
          <w:p w14:paraId="603C9B41">
            <w:pPr>
              <w:jc w:val="left"/>
              <w:rPr>
                <w:rFonts w:hint="eastAsia"/>
                <w:color w:val="auto"/>
                <w:sz w:val="20"/>
                <w:szCs w:val="20"/>
              </w:rPr>
            </w:pPr>
            <w:r>
              <w:rPr>
                <w:rFonts w:hint="eastAsia"/>
                <w:color w:val="auto"/>
                <w:sz w:val="20"/>
                <w:szCs w:val="20"/>
              </w:rPr>
              <w:t>宣传册印刷数量</w:t>
            </w:r>
          </w:p>
        </w:tc>
        <w:tc>
          <w:tcPr>
            <w:tcW w:w="4228" w:type="dxa"/>
            <w:gridSpan w:val="2"/>
            <w:vAlign w:val="center"/>
          </w:tcPr>
          <w:p w14:paraId="6E31E91F">
            <w:pPr>
              <w:jc w:val="center"/>
              <w:rPr>
                <w:rFonts w:hint="eastAsia"/>
                <w:color w:val="auto"/>
                <w:sz w:val="20"/>
                <w:szCs w:val="20"/>
              </w:rPr>
            </w:pPr>
            <w:r>
              <w:rPr>
                <w:rFonts w:hint="eastAsia"/>
                <w:color w:val="auto"/>
                <w:sz w:val="20"/>
                <w:szCs w:val="20"/>
              </w:rPr>
              <w:t>≥10万份</w:t>
            </w:r>
          </w:p>
        </w:tc>
      </w:tr>
      <w:tr w14:paraId="1301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1C7F1C7F">
            <w:pPr>
              <w:spacing w:line="260" w:lineRule="exact"/>
              <w:jc w:val="center"/>
              <w:rPr>
                <w:rFonts w:ascii="宋体" w:cs="宋体"/>
                <w:color w:val="auto"/>
                <w:sz w:val="18"/>
                <w:szCs w:val="18"/>
              </w:rPr>
            </w:pPr>
          </w:p>
        </w:tc>
        <w:tc>
          <w:tcPr>
            <w:tcW w:w="723" w:type="dxa"/>
            <w:vMerge w:val="continue"/>
            <w:vAlign w:val="center"/>
          </w:tcPr>
          <w:p w14:paraId="78AF1882">
            <w:pPr>
              <w:spacing w:line="260" w:lineRule="exact"/>
              <w:jc w:val="center"/>
              <w:rPr>
                <w:rFonts w:ascii="宋体" w:cs="宋体"/>
                <w:color w:val="auto"/>
                <w:sz w:val="18"/>
                <w:szCs w:val="18"/>
              </w:rPr>
            </w:pPr>
          </w:p>
        </w:tc>
        <w:tc>
          <w:tcPr>
            <w:tcW w:w="759" w:type="dxa"/>
            <w:gridSpan w:val="2"/>
            <w:vAlign w:val="center"/>
          </w:tcPr>
          <w:p w14:paraId="2D3A1230">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质量指标</w:t>
            </w:r>
          </w:p>
        </w:tc>
        <w:tc>
          <w:tcPr>
            <w:tcW w:w="2872" w:type="dxa"/>
            <w:vAlign w:val="center"/>
          </w:tcPr>
          <w:p w14:paraId="087B8DB4">
            <w:pPr>
              <w:widowControl/>
              <w:jc w:val="left"/>
              <w:rPr>
                <w:color w:val="auto"/>
                <w:kern w:val="0"/>
                <w:sz w:val="20"/>
                <w:szCs w:val="20"/>
              </w:rPr>
            </w:pPr>
            <w:r>
              <w:rPr>
                <w:rFonts w:hint="eastAsia"/>
                <w:color w:val="auto"/>
                <w:sz w:val="20"/>
                <w:szCs w:val="20"/>
              </w:rPr>
              <w:t>本级综治中心服务场所建设</w:t>
            </w:r>
          </w:p>
        </w:tc>
        <w:tc>
          <w:tcPr>
            <w:tcW w:w="4228" w:type="dxa"/>
            <w:gridSpan w:val="2"/>
            <w:vAlign w:val="center"/>
          </w:tcPr>
          <w:p w14:paraId="72F2EA21">
            <w:pPr>
              <w:jc w:val="center"/>
              <w:rPr>
                <w:rFonts w:hint="eastAsia"/>
                <w:color w:val="auto"/>
                <w:sz w:val="20"/>
                <w:szCs w:val="20"/>
              </w:rPr>
            </w:pPr>
            <w:r>
              <w:rPr>
                <w:rFonts w:hint="eastAsia"/>
                <w:color w:val="auto"/>
                <w:sz w:val="20"/>
                <w:szCs w:val="20"/>
              </w:rPr>
              <w:t>完善场所设施</w:t>
            </w:r>
          </w:p>
        </w:tc>
      </w:tr>
      <w:tr w14:paraId="2F75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709C25BA">
            <w:pPr>
              <w:spacing w:line="260" w:lineRule="exact"/>
              <w:jc w:val="center"/>
              <w:rPr>
                <w:rFonts w:ascii="宋体" w:cs="宋体"/>
                <w:color w:val="auto"/>
                <w:sz w:val="18"/>
                <w:szCs w:val="18"/>
              </w:rPr>
            </w:pPr>
          </w:p>
        </w:tc>
        <w:tc>
          <w:tcPr>
            <w:tcW w:w="723" w:type="dxa"/>
            <w:vMerge w:val="continue"/>
            <w:vAlign w:val="center"/>
          </w:tcPr>
          <w:p w14:paraId="103361D4">
            <w:pPr>
              <w:spacing w:line="260" w:lineRule="exact"/>
              <w:jc w:val="center"/>
              <w:rPr>
                <w:rFonts w:ascii="宋体" w:cs="宋体"/>
                <w:color w:val="auto"/>
                <w:sz w:val="18"/>
                <w:szCs w:val="18"/>
              </w:rPr>
            </w:pPr>
          </w:p>
        </w:tc>
        <w:tc>
          <w:tcPr>
            <w:tcW w:w="759" w:type="dxa"/>
            <w:gridSpan w:val="2"/>
            <w:vAlign w:val="center"/>
          </w:tcPr>
          <w:p w14:paraId="1C591230">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时效指标</w:t>
            </w:r>
          </w:p>
        </w:tc>
        <w:tc>
          <w:tcPr>
            <w:tcW w:w="2872" w:type="dxa"/>
            <w:vAlign w:val="center"/>
          </w:tcPr>
          <w:p w14:paraId="17944428">
            <w:pPr>
              <w:widowControl/>
              <w:jc w:val="left"/>
              <w:rPr>
                <w:color w:val="auto"/>
                <w:kern w:val="0"/>
                <w:sz w:val="20"/>
                <w:szCs w:val="20"/>
              </w:rPr>
            </w:pPr>
            <w:r>
              <w:rPr>
                <w:rFonts w:hint="eastAsia"/>
                <w:color w:val="auto"/>
                <w:sz w:val="20"/>
                <w:szCs w:val="20"/>
              </w:rPr>
              <w:t>人才队伍融合发展</w:t>
            </w:r>
          </w:p>
        </w:tc>
        <w:tc>
          <w:tcPr>
            <w:tcW w:w="4228" w:type="dxa"/>
            <w:gridSpan w:val="2"/>
            <w:vAlign w:val="center"/>
          </w:tcPr>
          <w:p w14:paraId="4289BD9D">
            <w:pPr>
              <w:jc w:val="center"/>
              <w:rPr>
                <w:rFonts w:hint="eastAsia"/>
                <w:color w:val="auto"/>
                <w:sz w:val="20"/>
                <w:szCs w:val="20"/>
              </w:rPr>
            </w:pPr>
            <w:r>
              <w:rPr>
                <w:rFonts w:hint="eastAsia"/>
                <w:color w:val="auto"/>
                <w:sz w:val="20"/>
                <w:szCs w:val="20"/>
              </w:rPr>
              <w:t>群众参与制度化渠道</w:t>
            </w:r>
          </w:p>
        </w:tc>
      </w:tr>
      <w:tr w14:paraId="74D5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5C0095D4">
            <w:pPr>
              <w:spacing w:line="260" w:lineRule="exact"/>
              <w:jc w:val="center"/>
              <w:rPr>
                <w:rFonts w:ascii="宋体" w:cs="宋体"/>
                <w:color w:val="auto"/>
                <w:sz w:val="18"/>
                <w:szCs w:val="18"/>
              </w:rPr>
            </w:pPr>
          </w:p>
        </w:tc>
        <w:tc>
          <w:tcPr>
            <w:tcW w:w="723" w:type="dxa"/>
            <w:vMerge w:val="continue"/>
            <w:vAlign w:val="center"/>
          </w:tcPr>
          <w:p w14:paraId="1F3F15FF">
            <w:pPr>
              <w:spacing w:line="260" w:lineRule="exact"/>
              <w:jc w:val="center"/>
              <w:rPr>
                <w:rFonts w:ascii="宋体" w:cs="宋体"/>
                <w:color w:val="auto"/>
                <w:sz w:val="18"/>
                <w:szCs w:val="18"/>
              </w:rPr>
            </w:pPr>
          </w:p>
        </w:tc>
        <w:tc>
          <w:tcPr>
            <w:tcW w:w="759" w:type="dxa"/>
            <w:gridSpan w:val="2"/>
            <w:vAlign w:val="center"/>
          </w:tcPr>
          <w:p w14:paraId="6A4C8086">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成本指标</w:t>
            </w:r>
          </w:p>
        </w:tc>
        <w:tc>
          <w:tcPr>
            <w:tcW w:w="2872" w:type="dxa"/>
            <w:vAlign w:val="center"/>
          </w:tcPr>
          <w:p w14:paraId="39F4F443">
            <w:pPr>
              <w:widowControl/>
              <w:jc w:val="left"/>
              <w:rPr>
                <w:color w:val="auto"/>
                <w:kern w:val="0"/>
                <w:sz w:val="20"/>
                <w:szCs w:val="20"/>
              </w:rPr>
            </w:pPr>
            <w:r>
              <w:rPr>
                <w:rFonts w:hint="eastAsia"/>
                <w:color w:val="auto"/>
                <w:sz w:val="20"/>
                <w:szCs w:val="20"/>
              </w:rPr>
              <w:t>专题培训班</w:t>
            </w:r>
          </w:p>
        </w:tc>
        <w:tc>
          <w:tcPr>
            <w:tcW w:w="4228" w:type="dxa"/>
            <w:gridSpan w:val="2"/>
            <w:vAlign w:val="center"/>
          </w:tcPr>
          <w:p w14:paraId="16FA9851">
            <w:pPr>
              <w:jc w:val="center"/>
              <w:rPr>
                <w:rFonts w:hint="eastAsia"/>
                <w:color w:val="auto"/>
                <w:sz w:val="20"/>
                <w:szCs w:val="20"/>
              </w:rPr>
            </w:pPr>
            <w:r>
              <w:rPr>
                <w:rFonts w:hint="eastAsia"/>
                <w:color w:val="auto"/>
                <w:sz w:val="20"/>
                <w:szCs w:val="20"/>
              </w:rPr>
              <w:t>≤30万元</w:t>
            </w:r>
          </w:p>
        </w:tc>
      </w:tr>
      <w:tr w14:paraId="4A00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05887A5D">
            <w:pPr>
              <w:spacing w:line="260" w:lineRule="exact"/>
              <w:jc w:val="center"/>
              <w:rPr>
                <w:rFonts w:ascii="宋体" w:cs="宋体"/>
                <w:color w:val="auto"/>
                <w:sz w:val="18"/>
                <w:szCs w:val="18"/>
              </w:rPr>
            </w:pPr>
          </w:p>
        </w:tc>
        <w:tc>
          <w:tcPr>
            <w:tcW w:w="723" w:type="dxa"/>
            <w:vMerge w:val="restart"/>
            <w:vAlign w:val="center"/>
          </w:tcPr>
          <w:p w14:paraId="600702CC">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效益指标</w:t>
            </w:r>
          </w:p>
        </w:tc>
        <w:tc>
          <w:tcPr>
            <w:tcW w:w="759" w:type="dxa"/>
            <w:gridSpan w:val="2"/>
            <w:vAlign w:val="center"/>
          </w:tcPr>
          <w:p w14:paraId="54CB8991">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经济效益指标</w:t>
            </w:r>
          </w:p>
        </w:tc>
        <w:tc>
          <w:tcPr>
            <w:tcW w:w="2872" w:type="dxa"/>
            <w:vAlign w:val="center"/>
          </w:tcPr>
          <w:p w14:paraId="4EB6EC48">
            <w:pPr>
              <w:widowControl/>
              <w:jc w:val="left"/>
              <w:rPr>
                <w:color w:val="auto"/>
                <w:kern w:val="0"/>
                <w:sz w:val="20"/>
                <w:szCs w:val="20"/>
              </w:rPr>
            </w:pPr>
            <w:r>
              <w:rPr>
                <w:rFonts w:hint="eastAsia"/>
                <w:color w:val="auto"/>
                <w:sz w:val="20"/>
                <w:szCs w:val="20"/>
              </w:rPr>
              <w:t>无此类指标</w:t>
            </w:r>
          </w:p>
        </w:tc>
        <w:tc>
          <w:tcPr>
            <w:tcW w:w="4228" w:type="dxa"/>
            <w:gridSpan w:val="2"/>
            <w:vAlign w:val="center"/>
          </w:tcPr>
          <w:p w14:paraId="11C066B6">
            <w:pPr>
              <w:jc w:val="center"/>
              <w:rPr>
                <w:rFonts w:hint="eastAsia"/>
                <w:color w:val="auto"/>
                <w:sz w:val="20"/>
                <w:szCs w:val="20"/>
              </w:rPr>
            </w:pPr>
            <w:r>
              <w:rPr>
                <w:rFonts w:hint="eastAsia"/>
                <w:color w:val="auto"/>
                <w:sz w:val="20"/>
                <w:szCs w:val="20"/>
              </w:rPr>
              <w:t>无</w:t>
            </w:r>
          </w:p>
        </w:tc>
      </w:tr>
      <w:tr w14:paraId="4BFA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026C55DA">
            <w:pPr>
              <w:spacing w:line="260" w:lineRule="exact"/>
              <w:jc w:val="center"/>
              <w:rPr>
                <w:rFonts w:ascii="宋体" w:cs="宋体"/>
                <w:color w:val="auto"/>
                <w:sz w:val="18"/>
                <w:szCs w:val="18"/>
              </w:rPr>
            </w:pPr>
          </w:p>
        </w:tc>
        <w:tc>
          <w:tcPr>
            <w:tcW w:w="723" w:type="dxa"/>
            <w:vMerge w:val="continue"/>
            <w:vAlign w:val="center"/>
          </w:tcPr>
          <w:p w14:paraId="0D4048D6">
            <w:pPr>
              <w:spacing w:line="260" w:lineRule="exact"/>
              <w:jc w:val="center"/>
              <w:rPr>
                <w:rFonts w:ascii="宋体" w:cs="宋体"/>
                <w:color w:val="auto"/>
                <w:sz w:val="18"/>
                <w:szCs w:val="18"/>
              </w:rPr>
            </w:pPr>
          </w:p>
        </w:tc>
        <w:tc>
          <w:tcPr>
            <w:tcW w:w="759" w:type="dxa"/>
            <w:gridSpan w:val="2"/>
            <w:vAlign w:val="center"/>
          </w:tcPr>
          <w:p w14:paraId="14C6BF31">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社会效益指标</w:t>
            </w:r>
          </w:p>
        </w:tc>
        <w:tc>
          <w:tcPr>
            <w:tcW w:w="2872" w:type="dxa"/>
            <w:vAlign w:val="center"/>
          </w:tcPr>
          <w:p w14:paraId="77903D01">
            <w:pPr>
              <w:widowControl/>
              <w:jc w:val="left"/>
              <w:rPr>
                <w:color w:val="auto"/>
                <w:kern w:val="0"/>
                <w:sz w:val="20"/>
                <w:szCs w:val="20"/>
              </w:rPr>
            </w:pPr>
            <w:r>
              <w:rPr>
                <w:rFonts w:hint="eastAsia"/>
                <w:color w:val="auto"/>
                <w:sz w:val="20"/>
                <w:szCs w:val="20"/>
              </w:rPr>
              <w:t>社会网格化管理</w:t>
            </w:r>
          </w:p>
        </w:tc>
        <w:tc>
          <w:tcPr>
            <w:tcW w:w="4228" w:type="dxa"/>
            <w:gridSpan w:val="2"/>
            <w:vAlign w:val="center"/>
          </w:tcPr>
          <w:p w14:paraId="4D7292BC">
            <w:pPr>
              <w:jc w:val="center"/>
              <w:rPr>
                <w:rFonts w:hint="eastAsia"/>
                <w:color w:val="auto"/>
                <w:sz w:val="20"/>
                <w:szCs w:val="20"/>
              </w:rPr>
            </w:pPr>
            <w:r>
              <w:rPr>
                <w:rFonts w:hint="eastAsia"/>
                <w:color w:val="auto"/>
                <w:sz w:val="20"/>
                <w:szCs w:val="20"/>
              </w:rPr>
              <w:t>建立实体化运行机制，加强对相关部门人员力量整合</w:t>
            </w:r>
          </w:p>
        </w:tc>
      </w:tr>
      <w:tr w14:paraId="787A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10145C9E">
            <w:pPr>
              <w:spacing w:line="260" w:lineRule="exact"/>
              <w:jc w:val="center"/>
              <w:rPr>
                <w:rFonts w:ascii="宋体" w:cs="宋体"/>
                <w:color w:val="auto"/>
                <w:sz w:val="18"/>
                <w:szCs w:val="18"/>
              </w:rPr>
            </w:pPr>
          </w:p>
        </w:tc>
        <w:tc>
          <w:tcPr>
            <w:tcW w:w="723" w:type="dxa"/>
            <w:vMerge w:val="continue"/>
            <w:vAlign w:val="center"/>
          </w:tcPr>
          <w:p w14:paraId="0E1ABB4B">
            <w:pPr>
              <w:spacing w:line="260" w:lineRule="exact"/>
              <w:jc w:val="center"/>
              <w:rPr>
                <w:rFonts w:ascii="宋体" w:cs="宋体"/>
                <w:color w:val="auto"/>
                <w:sz w:val="18"/>
                <w:szCs w:val="18"/>
              </w:rPr>
            </w:pPr>
          </w:p>
        </w:tc>
        <w:tc>
          <w:tcPr>
            <w:tcW w:w="759" w:type="dxa"/>
            <w:gridSpan w:val="2"/>
            <w:vAlign w:val="center"/>
          </w:tcPr>
          <w:p w14:paraId="3E7260DF">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生态效益指标</w:t>
            </w:r>
          </w:p>
        </w:tc>
        <w:tc>
          <w:tcPr>
            <w:tcW w:w="2872" w:type="dxa"/>
            <w:vAlign w:val="center"/>
          </w:tcPr>
          <w:p w14:paraId="566C83A2">
            <w:pPr>
              <w:widowControl/>
              <w:jc w:val="left"/>
              <w:rPr>
                <w:color w:val="auto"/>
                <w:kern w:val="0"/>
                <w:sz w:val="20"/>
                <w:szCs w:val="20"/>
              </w:rPr>
            </w:pPr>
            <w:r>
              <w:rPr>
                <w:rFonts w:hint="eastAsia"/>
                <w:color w:val="auto"/>
                <w:sz w:val="20"/>
                <w:szCs w:val="20"/>
              </w:rPr>
              <w:t>创新社会治理方式、提升服务管理效能为重点</w:t>
            </w:r>
          </w:p>
        </w:tc>
        <w:tc>
          <w:tcPr>
            <w:tcW w:w="4228" w:type="dxa"/>
            <w:gridSpan w:val="2"/>
            <w:vAlign w:val="center"/>
          </w:tcPr>
          <w:p w14:paraId="42C08541">
            <w:pPr>
              <w:jc w:val="center"/>
              <w:rPr>
                <w:rFonts w:hint="eastAsia"/>
                <w:color w:val="auto"/>
                <w:sz w:val="20"/>
                <w:szCs w:val="20"/>
              </w:rPr>
            </w:pPr>
            <w:r>
              <w:rPr>
                <w:rFonts w:hint="eastAsia"/>
                <w:color w:val="auto"/>
                <w:sz w:val="20"/>
                <w:szCs w:val="20"/>
              </w:rPr>
              <w:t>增强人民群众满意度</w:t>
            </w:r>
          </w:p>
        </w:tc>
      </w:tr>
      <w:tr w14:paraId="70F4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vAlign w:val="center"/>
          </w:tcPr>
          <w:p w14:paraId="4FAF504D">
            <w:pPr>
              <w:spacing w:line="260" w:lineRule="exact"/>
              <w:jc w:val="center"/>
              <w:rPr>
                <w:rFonts w:ascii="宋体" w:cs="宋体"/>
                <w:color w:val="auto"/>
                <w:sz w:val="18"/>
                <w:szCs w:val="18"/>
              </w:rPr>
            </w:pPr>
          </w:p>
        </w:tc>
        <w:tc>
          <w:tcPr>
            <w:tcW w:w="723" w:type="dxa"/>
            <w:vMerge w:val="continue"/>
            <w:vAlign w:val="center"/>
          </w:tcPr>
          <w:p w14:paraId="7404B37F">
            <w:pPr>
              <w:spacing w:line="260" w:lineRule="exact"/>
              <w:jc w:val="center"/>
              <w:rPr>
                <w:rFonts w:ascii="宋体" w:cs="宋体"/>
                <w:color w:val="auto"/>
                <w:sz w:val="18"/>
                <w:szCs w:val="18"/>
              </w:rPr>
            </w:pPr>
          </w:p>
        </w:tc>
        <w:tc>
          <w:tcPr>
            <w:tcW w:w="759" w:type="dxa"/>
            <w:gridSpan w:val="2"/>
            <w:vAlign w:val="center"/>
          </w:tcPr>
          <w:p w14:paraId="3346DCB5">
            <w:pPr>
              <w:spacing w:line="260" w:lineRule="exact"/>
              <w:jc w:val="center"/>
              <w:rPr>
                <w:rFonts w:ascii="宋体" w:hAnsi="宋体" w:cs="宋体"/>
                <w:color w:val="auto"/>
                <w:sz w:val="18"/>
                <w:szCs w:val="18"/>
              </w:rPr>
            </w:pPr>
            <w:r>
              <w:rPr>
                <w:rFonts w:hint="eastAsia" w:ascii="宋体" w:hAnsi="宋体" w:cs="宋体"/>
                <w:color w:val="auto"/>
                <w:sz w:val="18"/>
                <w:szCs w:val="18"/>
              </w:rPr>
              <w:t>可持续影响指标</w:t>
            </w:r>
          </w:p>
        </w:tc>
        <w:tc>
          <w:tcPr>
            <w:tcW w:w="2872" w:type="dxa"/>
            <w:vAlign w:val="center"/>
          </w:tcPr>
          <w:p w14:paraId="4EB9E8AB">
            <w:pPr>
              <w:widowControl/>
              <w:jc w:val="left"/>
              <w:rPr>
                <w:color w:val="auto"/>
                <w:kern w:val="0"/>
                <w:sz w:val="20"/>
                <w:szCs w:val="20"/>
              </w:rPr>
            </w:pPr>
            <w:r>
              <w:rPr>
                <w:rFonts w:hint="eastAsia"/>
                <w:color w:val="auto"/>
                <w:sz w:val="20"/>
                <w:szCs w:val="20"/>
              </w:rPr>
              <w:t>扫黑除恶工作</w:t>
            </w:r>
          </w:p>
        </w:tc>
        <w:tc>
          <w:tcPr>
            <w:tcW w:w="4228" w:type="dxa"/>
            <w:gridSpan w:val="2"/>
            <w:vAlign w:val="center"/>
          </w:tcPr>
          <w:p w14:paraId="4789D4A2">
            <w:pPr>
              <w:jc w:val="center"/>
              <w:rPr>
                <w:rFonts w:hint="eastAsia"/>
                <w:color w:val="auto"/>
                <w:sz w:val="20"/>
                <w:szCs w:val="20"/>
              </w:rPr>
            </w:pPr>
            <w:r>
              <w:rPr>
                <w:rFonts w:hint="eastAsia"/>
                <w:color w:val="auto"/>
                <w:sz w:val="20"/>
                <w:szCs w:val="20"/>
              </w:rPr>
              <w:t>常态化运行</w:t>
            </w:r>
          </w:p>
        </w:tc>
      </w:tr>
      <w:tr w14:paraId="15AC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2A3C6AC2">
            <w:pPr>
              <w:spacing w:line="260" w:lineRule="exact"/>
              <w:jc w:val="center"/>
              <w:rPr>
                <w:rFonts w:ascii="宋体" w:cs="宋体"/>
                <w:color w:val="auto"/>
                <w:sz w:val="18"/>
                <w:szCs w:val="18"/>
              </w:rPr>
            </w:pPr>
          </w:p>
        </w:tc>
        <w:tc>
          <w:tcPr>
            <w:tcW w:w="723" w:type="dxa"/>
            <w:vAlign w:val="center"/>
          </w:tcPr>
          <w:p w14:paraId="2CD26883">
            <w:pPr>
              <w:spacing w:line="260" w:lineRule="exact"/>
              <w:jc w:val="center"/>
              <w:rPr>
                <w:rFonts w:ascii="宋体" w:hAnsi="宋体" w:cs="宋体"/>
                <w:color w:val="auto"/>
                <w:sz w:val="18"/>
                <w:szCs w:val="18"/>
              </w:rPr>
            </w:pPr>
            <w:r>
              <w:rPr>
                <w:rFonts w:hint="eastAsia" w:ascii="宋体" w:hAnsi="宋体" w:cs="宋体"/>
                <w:color w:val="auto"/>
                <w:sz w:val="18"/>
                <w:szCs w:val="18"/>
              </w:rPr>
              <w:t>满意度指标</w:t>
            </w:r>
          </w:p>
        </w:tc>
        <w:tc>
          <w:tcPr>
            <w:tcW w:w="759" w:type="dxa"/>
            <w:gridSpan w:val="2"/>
            <w:vAlign w:val="center"/>
          </w:tcPr>
          <w:p w14:paraId="24FF0A6A">
            <w:pPr>
              <w:spacing w:line="260" w:lineRule="exact"/>
              <w:jc w:val="center"/>
              <w:rPr>
                <w:rFonts w:ascii="宋体" w:hAnsi="宋体" w:cs="宋体"/>
                <w:color w:val="auto"/>
                <w:sz w:val="18"/>
                <w:szCs w:val="18"/>
              </w:rPr>
            </w:pPr>
            <w:r>
              <w:rPr>
                <w:rFonts w:hint="eastAsia" w:ascii="宋体" w:hAnsi="宋体" w:cs="宋体"/>
                <w:color w:val="auto"/>
                <w:sz w:val="18"/>
                <w:szCs w:val="18"/>
              </w:rPr>
              <w:t>满意度指标</w:t>
            </w:r>
          </w:p>
        </w:tc>
        <w:tc>
          <w:tcPr>
            <w:tcW w:w="2872" w:type="dxa"/>
            <w:vAlign w:val="center"/>
          </w:tcPr>
          <w:p w14:paraId="4434AAEE">
            <w:pPr>
              <w:widowControl/>
              <w:jc w:val="left"/>
              <w:rPr>
                <w:color w:val="auto"/>
                <w:kern w:val="0"/>
                <w:sz w:val="20"/>
                <w:szCs w:val="20"/>
              </w:rPr>
            </w:pPr>
            <w:r>
              <w:rPr>
                <w:rFonts w:hint="eastAsia"/>
                <w:color w:val="auto"/>
                <w:sz w:val="20"/>
                <w:szCs w:val="20"/>
              </w:rPr>
              <w:t>群众满意度调查</w:t>
            </w:r>
          </w:p>
        </w:tc>
        <w:tc>
          <w:tcPr>
            <w:tcW w:w="4228" w:type="dxa"/>
            <w:gridSpan w:val="2"/>
            <w:vAlign w:val="center"/>
          </w:tcPr>
          <w:p w14:paraId="44A6BC32">
            <w:pPr>
              <w:jc w:val="center"/>
              <w:rPr>
                <w:rFonts w:hint="eastAsia"/>
                <w:color w:val="auto"/>
                <w:sz w:val="20"/>
                <w:szCs w:val="20"/>
              </w:rPr>
            </w:pPr>
            <w:r>
              <w:rPr>
                <w:rFonts w:hint="eastAsia"/>
                <w:color w:val="auto"/>
                <w:sz w:val="20"/>
                <w:szCs w:val="20"/>
              </w:rPr>
              <w:t>≥95%</w:t>
            </w:r>
          </w:p>
        </w:tc>
      </w:tr>
    </w:tbl>
    <w:p w14:paraId="2718AC51">
      <w:pPr>
        <w:topLinePunct/>
        <w:adjustRightInd w:val="0"/>
        <w:snapToGrid w:val="0"/>
        <w:spacing w:line="58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lang w:val="en-US" w:eastAsia="zh-CN"/>
        </w:rPr>
        <w:t>2</w:t>
      </w:r>
      <w:r>
        <w:rPr>
          <w:rFonts w:hint="eastAsia" w:ascii="仿宋_GB2312" w:hAnsi="TimesNewRoman" w:eastAsia="仿宋_GB2312" w:cs="TimesNewRoman"/>
          <w:b/>
          <w:color w:val="auto"/>
          <w:sz w:val="32"/>
          <w:szCs w:val="32"/>
        </w:rPr>
        <w:t>.“2025年见义勇为专项经费”项目。</w:t>
      </w:r>
    </w:p>
    <w:p w14:paraId="700A2D31">
      <w:pPr>
        <w:topLinePunct/>
        <w:adjustRightInd w:val="0"/>
        <w:snapToGrid w:val="0"/>
        <w:spacing w:line="58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（1）项目概述。</w:t>
      </w:r>
      <w:r>
        <w:rPr>
          <w:rFonts w:hint="eastAsia" w:ascii="仿宋_GB2312" w:hAnsi="仿宋" w:eastAsia="仿宋_GB2312"/>
          <w:color w:val="auto"/>
          <w:sz w:val="32"/>
          <w:szCs w:val="32"/>
        </w:rPr>
        <w:t>寿县见义勇为工作在县委政法委的正确领导和上级部门的正确指导下，坚持以习近平新时代中国特色社会主义思想和习近平总书记关于见义勇为工作的重要指示精神为指导，加强组织领导、落实工作举措、健全完善机制，积极弘扬社会正能量，唱响见义勇为主旋律，为平安寿县建设贡献群防群治力量。</w:t>
      </w:r>
    </w:p>
    <w:p w14:paraId="2EAA6FAB">
      <w:pPr>
        <w:topLinePunct/>
        <w:adjustRightInd w:val="0"/>
        <w:snapToGrid w:val="0"/>
        <w:spacing w:line="580" w:lineRule="exact"/>
        <w:ind w:firstLine="640" w:firstLineChars="200"/>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（2）立项依据</w:t>
      </w:r>
      <w:r>
        <w:rPr>
          <w:rFonts w:hint="eastAsia" w:ascii="仿宋_GB2312" w:hAnsi="TimesNewRoman" w:eastAsia="仿宋_GB2312" w:cs="TimesNewRoman"/>
          <w:color w:val="auto"/>
          <w:sz w:val="32"/>
          <w:szCs w:val="32"/>
          <w:lang w:eastAsia="zh-CN"/>
        </w:rPr>
        <w:t>。</w:t>
      </w:r>
      <w:r>
        <w:rPr>
          <w:rFonts w:hint="eastAsia" w:ascii="仿宋_GB2312" w:hAnsi="TimesNewRoman" w:eastAsia="仿宋_GB2312" w:cs="TimesNewRoman"/>
          <w:color w:val="auto"/>
          <w:sz w:val="32"/>
          <w:szCs w:val="32"/>
        </w:rPr>
        <w:t>《淮南市保护和奖励见义勇为人员条例》</w:t>
      </w:r>
    </w:p>
    <w:p w14:paraId="330A1C4C">
      <w:pPr>
        <w:topLinePunct/>
        <w:adjustRightInd w:val="0"/>
        <w:snapToGrid w:val="0"/>
        <w:spacing w:line="580" w:lineRule="exact"/>
        <w:ind w:firstLine="640" w:firstLineChars="200"/>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（3）实施主体。中共寿县县委政法委。</w:t>
      </w:r>
    </w:p>
    <w:p w14:paraId="40982CE0">
      <w:pPr>
        <w:topLinePunct/>
        <w:adjustRightInd w:val="0"/>
        <w:snapToGrid w:val="0"/>
        <w:spacing w:line="580" w:lineRule="exact"/>
        <w:ind w:firstLine="640" w:firstLineChars="200"/>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（4）起止时间。20</w:t>
      </w:r>
      <w:r>
        <w:rPr>
          <w:rFonts w:hint="eastAsia" w:ascii="仿宋_GB2312" w:hAnsi="TimesNewRoman" w:eastAsia="仿宋_GB2312" w:cs="TimesNewRoman"/>
          <w:color w:val="auto"/>
          <w:sz w:val="32"/>
          <w:szCs w:val="32"/>
          <w:lang w:val="en-US" w:eastAsia="zh-CN"/>
        </w:rPr>
        <w:t>25</w:t>
      </w:r>
      <w:r>
        <w:rPr>
          <w:rFonts w:hint="eastAsia" w:ascii="仿宋_GB2312" w:hAnsi="TimesNewRoman" w:eastAsia="仿宋_GB2312" w:cs="TimesNewRoman"/>
          <w:color w:val="auto"/>
          <w:sz w:val="32"/>
          <w:szCs w:val="32"/>
        </w:rPr>
        <w:t>年</w:t>
      </w:r>
      <w:r>
        <w:rPr>
          <w:rFonts w:hint="eastAsia" w:ascii="仿宋_GB2312" w:hAnsi="TimesNewRoman" w:eastAsia="仿宋_GB2312" w:cs="TimesNewRoman"/>
          <w:color w:val="auto"/>
          <w:sz w:val="32"/>
          <w:szCs w:val="32"/>
          <w:lang w:val="en-US" w:eastAsia="zh-CN"/>
        </w:rPr>
        <w:t>1月</w:t>
      </w:r>
      <w:r>
        <w:rPr>
          <w:rFonts w:hint="eastAsia" w:ascii="仿宋_GB2312" w:hAnsi="TimesNewRoman" w:eastAsia="仿宋_GB2312" w:cs="TimesNewRoman"/>
          <w:color w:val="auto"/>
          <w:sz w:val="32"/>
          <w:szCs w:val="32"/>
        </w:rPr>
        <w:t>—</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w:t>
      </w:r>
      <w:r>
        <w:rPr>
          <w:rFonts w:hint="eastAsia" w:ascii="仿宋_GB2312" w:hAnsi="TimesNewRoman" w:eastAsia="仿宋_GB2312" w:cs="TimesNewRoman"/>
          <w:color w:val="auto"/>
          <w:sz w:val="32"/>
          <w:szCs w:val="32"/>
          <w:lang w:val="en-US" w:eastAsia="zh-CN"/>
        </w:rPr>
        <w:t>12月</w:t>
      </w:r>
      <w:r>
        <w:rPr>
          <w:rFonts w:hint="eastAsia" w:ascii="仿宋_GB2312" w:hAnsi="TimesNewRoman" w:eastAsia="仿宋_GB2312" w:cs="TimesNewRoman"/>
          <w:color w:val="auto"/>
          <w:sz w:val="32"/>
          <w:szCs w:val="32"/>
        </w:rPr>
        <w:t>。</w:t>
      </w:r>
    </w:p>
    <w:p w14:paraId="3FAE8B67">
      <w:pPr>
        <w:topLinePunct/>
        <w:adjustRightInd w:val="0"/>
        <w:snapToGrid w:val="0"/>
        <w:spacing w:line="580" w:lineRule="exact"/>
        <w:ind w:firstLine="640" w:firstLineChars="200"/>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5）项目内容。做好见义勇为人员表彰申报工作，开展见义勇为慰问活动，通过多种形式，帮助解决实际困难。积极做好见义勇为人员相关政策落实工作，宣传见义勇为先进事迹，弘扬社会正能量，形成人人向上向善良好氛围。</w:t>
      </w:r>
    </w:p>
    <w:p w14:paraId="79AE9379">
      <w:pPr>
        <w:topLinePunct/>
        <w:adjustRightInd w:val="0"/>
        <w:snapToGrid w:val="0"/>
        <w:spacing w:line="580" w:lineRule="exact"/>
        <w:ind w:firstLine="640" w:firstLineChars="200"/>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（6）年度预算安排。</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年度预算安排“2025年见义勇为专项经费”项目</w:t>
      </w:r>
      <w:r>
        <w:rPr>
          <w:rFonts w:hint="eastAsia" w:ascii="仿宋_GB2312" w:hAnsi="TimesNewRoman" w:eastAsia="仿宋_GB2312" w:cs="TimesNewRoman"/>
          <w:color w:val="auto"/>
          <w:sz w:val="32"/>
          <w:szCs w:val="32"/>
          <w:lang w:val="en-US" w:eastAsia="zh-CN"/>
        </w:rPr>
        <w:t>经费20</w:t>
      </w:r>
      <w:r>
        <w:rPr>
          <w:rFonts w:hint="eastAsia" w:ascii="仿宋_GB2312" w:hAnsi="TimesNewRoman" w:eastAsia="仿宋_GB2312" w:cs="TimesNewRoman"/>
          <w:color w:val="auto"/>
          <w:sz w:val="32"/>
          <w:szCs w:val="32"/>
        </w:rPr>
        <w:t>万元。</w:t>
      </w:r>
    </w:p>
    <w:p w14:paraId="7DE1651F">
      <w:pPr>
        <w:topLinePunct/>
        <w:adjustRightInd w:val="0"/>
        <w:snapToGrid w:val="0"/>
        <w:spacing w:line="580" w:lineRule="exact"/>
        <w:ind w:firstLine="640" w:firstLineChars="200"/>
        <w:rPr>
          <w:rFonts w:hint="eastAsia"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（7）绩效目标</w:t>
      </w:r>
      <w:r>
        <w:rPr>
          <w:rFonts w:hint="eastAsia" w:ascii="仿宋_GB2312" w:hAnsi="TimesNewRoman" w:eastAsia="仿宋_GB2312" w:cs="TimesNewRoman"/>
          <w:color w:val="auto"/>
          <w:sz w:val="32"/>
          <w:szCs w:val="32"/>
          <w:lang w:eastAsia="zh-CN"/>
        </w:rPr>
        <w:t>。规范见义勇为人员奖励和保障工作，</w:t>
      </w:r>
      <w:r>
        <w:rPr>
          <w:rFonts w:hint="eastAsia" w:ascii="仿宋_GB2312" w:hAnsi="TimesNewRoman" w:eastAsia="仿宋_GB2312" w:cs="TimesNewRoman"/>
          <w:color w:val="auto"/>
          <w:sz w:val="32"/>
          <w:szCs w:val="32"/>
        </w:rPr>
        <w:t>培育和践行社会主义核心价值观，促进社会主义精神文明建设，弘扬社会正气。</w:t>
      </w:r>
    </w:p>
    <w:p w14:paraId="3EF93B74">
      <w:pPr>
        <w:topLinePunct/>
        <w:adjustRightInd w:val="0"/>
        <w:snapToGrid w:val="0"/>
        <w:spacing w:line="580" w:lineRule="exact"/>
        <w:ind w:firstLine="640" w:firstLineChars="200"/>
        <w:rPr>
          <w:rFonts w:ascii="仿宋_GB2312" w:hAnsi="楷体" w:eastAsia="仿宋_GB2312"/>
          <w:color w:val="auto"/>
          <w:sz w:val="32"/>
          <w:szCs w:val="32"/>
        </w:rPr>
      </w:pPr>
    </w:p>
    <w:tbl>
      <w:tblPr>
        <w:tblStyle w:val="5"/>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7F84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vAlign w:val="center"/>
          </w:tcPr>
          <w:p w14:paraId="12F8BC07">
            <w:pPr>
              <w:widowControl/>
              <w:jc w:val="both"/>
              <w:textAlignment w:val="center"/>
              <w:rPr>
                <w:rFonts w:ascii="宋体" w:hAnsi="宋体" w:cs="宋体"/>
                <w:b/>
                <w:color w:val="auto"/>
                <w:kern w:val="0"/>
                <w:sz w:val="28"/>
                <w:szCs w:val="28"/>
                <w:lang w:bidi="ar"/>
              </w:rPr>
            </w:pPr>
          </w:p>
          <w:p w14:paraId="1CA67FF3">
            <w:pPr>
              <w:widowControl/>
              <w:jc w:val="center"/>
              <w:textAlignment w:val="center"/>
              <w:rPr>
                <w:rFonts w:ascii="宋体" w:cs="宋体"/>
                <w:b/>
                <w:bCs/>
                <w:color w:val="auto"/>
                <w:szCs w:val="32"/>
              </w:rPr>
            </w:pPr>
            <w:r>
              <w:rPr>
                <w:rFonts w:hint="eastAsia" w:ascii="宋体" w:hAnsi="宋体" w:cs="宋体"/>
                <w:b/>
                <w:color w:val="auto"/>
                <w:kern w:val="0"/>
                <w:sz w:val="28"/>
                <w:szCs w:val="28"/>
                <w:lang w:bidi="ar"/>
              </w:rPr>
              <w:t>项目支出绩效目标表</w:t>
            </w:r>
          </w:p>
        </w:tc>
      </w:tr>
      <w:tr w14:paraId="647F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vAlign w:val="center"/>
          </w:tcPr>
          <w:p w14:paraId="7F1F4BB0">
            <w:pPr>
              <w:widowControl/>
              <w:jc w:val="center"/>
              <w:textAlignment w:val="center"/>
              <w:rPr>
                <w:rFonts w:ascii="宋体" w:cs="宋体"/>
                <w:color w:val="auto"/>
                <w:sz w:val="20"/>
              </w:rPr>
            </w:pPr>
            <w:r>
              <w:rPr>
                <w:rFonts w:hint="eastAsia" w:ascii="宋体" w:hAnsi="宋体" w:cs="宋体"/>
                <w:color w:val="auto"/>
                <w:kern w:val="0"/>
                <w:sz w:val="20"/>
                <w:szCs w:val="20"/>
                <w:lang w:bidi="ar"/>
              </w:rPr>
              <w:t xml:space="preserve"> （</w:t>
            </w:r>
            <w:r>
              <w:rPr>
                <w:rFonts w:hint="eastAsia" w:ascii="宋体" w:hAnsi="宋体" w:cs="宋体"/>
                <w:color w:val="auto"/>
                <w:kern w:val="0"/>
                <w:sz w:val="20"/>
                <w:szCs w:val="20"/>
                <w:lang w:eastAsia="zh-CN" w:bidi="ar"/>
              </w:rPr>
              <w:t>2025</w:t>
            </w:r>
            <w:r>
              <w:rPr>
                <w:rFonts w:hint="eastAsia" w:ascii="宋体" w:hAnsi="宋体" w:cs="宋体"/>
                <w:color w:val="auto"/>
                <w:kern w:val="0"/>
                <w:sz w:val="20"/>
                <w:szCs w:val="20"/>
                <w:lang w:bidi="ar"/>
              </w:rPr>
              <w:t xml:space="preserve">年度）                                </w:t>
            </w:r>
          </w:p>
        </w:tc>
      </w:tr>
      <w:tr w14:paraId="3DE9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14:paraId="3C4187B3">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项目名称</w:t>
            </w:r>
          </w:p>
        </w:tc>
        <w:tc>
          <w:tcPr>
            <w:tcW w:w="7577" w:type="dxa"/>
            <w:gridSpan w:val="4"/>
            <w:vAlign w:val="center"/>
          </w:tcPr>
          <w:p w14:paraId="2F7E7AC4">
            <w:pPr>
              <w:spacing w:line="260" w:lineRule="exact"/>
              <w:jc w:val="center"/>
              <w:rPr>
                <w:rFonts w:hint="eastAsia" w:ascii="宋体" w:cs="宋体"/>
                <w:color w:val="auto"/>
                <w:sz w:val="18"/>
                <w:szCs w:val="18"/>
              </w:rPr>
            </w:pPr>
            <w:r>
              <w:rPr>
                <w:rFonts w:hint="eastAsia" w:ascii="宋体" w:cs="宋体"/>
                <w:color w:val="auto"/>
                <w:sz w:val="18"/>
                <w:szCs w:val="18"/>
              </w:rPr>
              <w:t>2025年见义勇为专项经费</w:t>
            </w:r>
          </w:p>
        </w:tc>
      </w:tr>
      <w:tr w14:paraId="4B48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vAlign w:val="center"/>
          </w:tcPr>
          <w:p w14:paraId="6C2788DB">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主管部门   及代码</w:t>
            </w:r>
          </w:p>
        </w:tc>
        <w:tc>
          <w:tcPr>
            <w:tcW w:w="3349" w:type="dxa"/>
            <w:gridSpan w:val="2"/>
            <w:vAlign w:val="center"/>
          </w:tcPr>
          <w:p w14:paraId="57C9CAF2">
            <w:pPr>
              <w:spacing w:line="260" w:lineRule="exact"/>
              <w:jc w:val="center"/>
              <w:rPr>
                <w:rFonts w:ascii="宋体" w:cs="宋体"/>
                <w:color w:val="auto"/>
                <w:sz w:val="18"/>
                <w:szCs w:val="18"/>
              </w:rPr>
            </w:pPr>
            <w:r>
              <w:rPr>
                <w:rFonts w:hint="eastAsia" w:ascii="宋体" w:cs="宋体"/>
                <w:color w:val="auto"/>
                <w:sz w:val="18"/>
                <w:szCs w:val="18"/>
              </w:rPr>
              <w:t>中共寿县县委政法委员会1</w:t>
            </w:r>
            <w:r>
              <w:rPr>
                <w:rFonts w:ascii="宋体" w:cs="宋体"/>
                <w:color w:val="auto"/>
                <w:sz w:val="18"/>
                <w:szCs w:val="18"/>
              </w:rPr>
              <w:t>09001</w:t>
            </w:r>
          </w:p>
        </w:tc>
        <w:tc>
          <w:tcPr>
            <w:tcW w:w="1848" w:type="dxa"/>
            <w:vAlign w:val="center"/>
          </w:tcPr>
          <w:p w14:paraId="6E2708DA">
            <w:pPr>
              <w:spacing w:line="260" w:lineRule="exact"/>
              <w:jc w:val="center"/>
              <w:textAlignment w:val="center"/>
              <w:rPr>
                <w:color w:val="auto"/>
                <w:sz w:val="18"/>
                <w:szCs w:val="18"/>
              </w:rPr>
            </w:pPr>
            <w:r>
              <w:rPr>
                <w:rFonts w:hint="eastAsia" w:ascii="宋体" w:hAnsi="宋体" w:cs="宋体"/>
                <w:color w:val="auto"/>
                <w:kern w:val="0"/>
                <w:sz w:val="18"/>
                <w:szCs w:val="18"/>
                <w:lang w:bidi="ar"/>
              </w:rPr>
              <w:t>实施单位</w:t>
            </w:r>
          </w:p>
        </w:tc>
        <w:tc>
          <w:tcPr>
            <w:tcW w:w="2380" w:type="dxa"/>
            <w:vAlign w:val="center"/>
          </w:tcPr>
          <w:p w14:paraId="1F76EF67">
            <w:pPr>
              <w:spacing w:line="260" w:lineRule="exact"/>
              <w:jc w:val="center"/>
              <w:rPr>
                <w:color w:val="auto"/>
                <w:sz w:val="18"/>
                <w:szCs w:val="18"/>
              </w:rPr>
            </w:pPr>
            <w:r>
              <w:rPr>
                <w:rFonts w:hint="eastAsia"/>
                <w:color w:val="auto"/>
                <w:sz w:val="18"/>
                <w:szCs w:val="18"/>
              </w:rPr>
              <w:t>寿县政法委</w:t>
            </w:r>
          </w:p>
        </w:tc>
      </w:tr>
      <w:tr w14:paraId="479B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14:paraId="3BC81F34">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项目来源</w:t>
            </w:r>
          </w:p>
        </w:tc>
        <w:tc>
          <w:tcPr>
            <w:tcW w:w="3349" w:type="dxa"/>
            <w:gridSpan w:val="2"/>
            <w:vAlign w:val="center"/>
          </w:tcPr>
          <w:p w14:paraId="33C6DAB3">
            <w:pPr>
              <w:spacing w:line="260" w:lineRule="exact"/>
              <w:jc w:val="center"/>
              <w:rPr>
                <w:rFonts w:ascii="宋体" w:cs="宋体"/>
                <w:color w:val="auto"/>
                <w:sz w:val="18"/>
                <w:szCs w:val="18"/>
              </w:rPr>
            </w:pPr>
          </w:p>
        </w:tc>
        <w:tc>
          <w:tcPr>
            <w:tcW w:w="1848" w:type="dxa"/>
            <w:vAlign w:val="center"/>
          </w:tcPr>
          <w:p w14:paraId="7861D7A5">
            <w:pPr>
              <w:spacing w:line="260" w:lineRule="exact"/>
              <w:jc w:val="center"/>
              <w:textAlignment w:val="center"/>
              <w:rPr>
                <w:color w:val="auto"/>
                <w:sz w:val="18"/>
                <w:szCs w:val="18"/>
              </w:rPr>
            </w:pPr>
            <w:r>
              <w:rPr>
                <w:rFonts w:hint="eastAsia" w:ascii="宋体" w:hAnsi="宋体" w:cs="宋体"/>
                <w:color w:val="auto"/>
                <w:kern w:val="0"/>
                <w:sz w:val="18"/>
                <w:szCs w:val="18"/>
                <w:lang w:bidi="ar"/>
              </w:rPr>
              <w:t>项目期</w:t>
            </w:r>
          </w:p>
        </w:tc>
        <w:tc>
          <w:tcPr>
            <w:tcW w:w="2380" w:type="dxa"/>
            <w:vAlign w:val="center"/>
          </w:tcPr>
          <w:p w14:paraId="26F472B1">
            <w:pPr>
              <w:spacing w:line="260" w:lineRule="exact"/>
              <w:jc w:val="center"/>
              <w:rPr>
                <w:color w:val="auto"/>
                <w:sz w:val="18"/>
                <w:szCs w:val="18"/>
              </w:rPr>
            </w:pPr>
            <w:r>
              <w:rPr>
                <w:rFonts w:hint="eastAsia" w:eastAsia="宋体"/>
                <w:color w:val="auto"/>
                <w:sz w:val="18"/>
                <w:szCs w:val="18"/>
                <w:lang w:eastAsia="zh-CN"/>
              </w:rPr>
              <w:t>2025</w:t>
            </w:r>
            <w:r>
              <w:rPr>
                <w:rFonts w:hint="eastAsia"/>
                <w:color w:val="auto"/>
                <w:sz w:val="18"/>
                <w:szCs w:val="18"/>
              </w:rPr>
              <w:t>年</w:t>
            </w:r>
          </w:p>
        </w:tc>
      </w:tr>
      <w:tr w14:paraId="56D2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vAlign w:val="center"/>
          </w:tcPr>
          <w:p w14:paraId="7D6EDCEF">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项目资金</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（万元）</w:t>
            </w:r>
          </w:p>
        </w:tc>
        <w:tc>
          <w:tcPr>
            <w:tcW w:w="3349" w:type="dxa"/>
            <w:gridSpan w:val="2"/>
            <w:vAlign w:val="center"/>
          </w:tcPr>
          <w:p w14:paraId="4BDD3885">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年度资金总额：</w:t>
            </w:r>
          </w:p>
        </w:tc>
        <w:tc>
          <w:tcPr>
            <w:tcW w:w="4228" w:type="dxa"/>
            <w:gridSpan w:val="2"/>
            <w:vAlign w:val="center"/>
          </w:tcPr>
          <w:p w14:paraId="6CFA61A6">
            <w:pPr>
              <w:spacing w:line="260" w:lineRule="exact"/>
              <w:jc w:val="right"/>
              <w:rPr>
                <w:rFonts w:hint="default" w:ascii="宋体" w:eastAsia="宋体" w:cs="宋体"/>
                <w:color w:val="auto"/>
                <w:sz w:val="18"/>
                <w:szCs w:val="18"/>
                <w:lang w:val="en-US" w:eastAsia="zh-CN"/>
              </w:rPr>
            </w:pPr>
            <w:r>
              <w:rPr>
                <w:rFonts w:hint="eastAsia" w:ascii="宋体" w:cs="宋体"/>
                <w:color w:val="auto"/>
                <w:sz w:val="18"/>
                <w:szCs w:val="18"/>
                <w:lang w:val="en-US" w:eastAsia="zh-CN"/>
              </w:rPr>
              <w:t>20</w:t>
            </w:r>
          </w:p>
        </w:tc>
      </w:tr>
      <w:tr w14:paraId="1101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649FBCFF">
            <w:pPr>
              <w:spacing w:line="260" w:lineRule="exact"/>
              <w:jc w:val="center"/>
              <w:rPr>
                <w:rFonts w:ascii="宋体" w:cs="宋体"/>
                <w:color w:val="auto"/>
                <w:sz w:val="18"/>
                <w:szCs w:val="18"/>
              </w:rPr>
            </w:pPr>
          </w:p>
        </w:tc>
        <w:tc>
          <w:tcPr>
            <w:tcW w:w="3349" w:type="dxa"/>
            <w:gridSpan w:val="2"/>
            <w:vAlign w:val="center"/>
          </w:tcPr>
          <w:p w14:paraId="23811D6F">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其中：财政拨款</w:t>
            </w:r>
          </w:p>
        </w:tc>
        <w:tc>
          <w:tcPr>
            <w:tcW w:w="4228" w:type="dxa"/>
            <w:gridSpan w:val="2"/>
            <w:vAlign w:val="center"/>
          </w:tcPr>
          <w:p w14:paraId="73FBA2CA">
            <w:pPr>
              <w:spacing w:line="260" w:lineRule="exact"/>
              <w:jc w:val="right"/>
              <w:rPr>
                <w:rFonts w:hint="default" w:ascii="宋体" w:eastAsia="宋体" w:cs="宋体"/>
                <w:color w:val="auto"/>
                <w:sz w:val="18"/>
                <w:szCs w:val="18"/>
                <w:lang w:val="en-US" w:eastAsia="zh-CN"/>
              </w:rPr>
            </w:pPr>
            <w:r>
              <w:rPr>
                <w:rFonts w:hint="eastAsia" w:ascii="宋体" w:cs="宋体"/>
                <w:color w:val="auto"/>
                <w:sz w:val="18"/>
                <w:szCs w:val="18"/>
                <w:lang w:val="en-US" w:eastAsia="zh-CN"/>
              </w:rPr>
              <w:t>20</w:t>
            </w:r>
          </w:p>
        </w:tc>
      </w:tr>
      <w:tr w14:paraId="5DB9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338B37C4">
            <w:pPr>
              <w:spacing w:line="260" w:lineRule="exact"/>
              <w:jc w:val="center"/>
              <w:rPr>
                <w:rFonts w:ascii="宋体" w:cs="宋体"/>
                <w:color w:val="auto"/>
                <w:sz w:val="18"/>
                <w:szCs w:val="18"/>
              </w:rPr>
            </w:pPr>
          </w:p>
        </w:tc>
        <w:tc>
          <w:tcPr>
            <w:tcW w:w="3349" w:type="dxa"/>
            <w:gridSpan w:val="2"/>
            <w:vAlign w:val="center"/>
          </w:tcPr>
          <w:p w14:paraId="73F3EE80">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上年结转</w:t>
            </w:r>
          </w:p>
        </w:tc>
        <w:tc>
          <w:tcPr>
            <w:tcW w:w="4228" w:type="dxa"/>
            <w:gridSpan w:val="2"/>
            <w:vAlign w:val="center"/>
          </w:tcPr>
          <w:p w14:paraId="183B36C8">
            <w:pPr>
              <w:spacing w:line="260" w:lineRule="exact"/>
              <w:jc w:val="center"/>
              <w:rPr>
                <w:rFonts w:ascii="宋体" w:cs="宋体"/>
                <w:color w:val="auto"/>
                <w:sz w:val="18"/>
                <w:szCs w:val="18"/>
              </w:rPr>
            </w:pPr>
          </w:p>
        </w:tc>
      </w:tr>
      <w:tr w14:paraId="6ED4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38777B85">
            <w:pPr>
              <w:spacing w:line="260" w:lineRule="exact"/>
              <w:jc w:val="center"/>
              <w:rPr>
                <w:rFonts w:ascii="宋体" w:cs="宋体"/>
                <w:color w:val="auto"/>
                <w:sz w:val="18"/>
                <w:szCs w:val="18"/>
              </w:rPr>
            </w:pPr>
          </w:p>
        </w:tc>
        <w:tc>
          <w:tcPr>
            <w:tcW w:w="3349" w:type="dxa"/>
            <w:gridSpan w:val="2"/>
            <w:vAlign w:val="center"/>
          </w:tcPr>
          <w:p w14:paraId="03C5647C">
            <w:pPr>
              <w:spacing w:line="260" w:lineRule="exact"/>
              <w:jc w:val="left"/>
              <w:textAlignment w:val="center"/>
              <w:rPr>
                <w:rFonts w:ascii="宋体" w:cs="宋体"/>
                <w:color w:val="auto"/>
                <w:sz w:val="18"/>
                <w:szCs w:val="18"/>
              </w:rPr>
            </w:pPr>
            <w:r>
              <w:rPr>
                <w:rFonts w:hint="eastAsia" w:ascii="宋体" w:hAnsi="宋体" w:cs="宋体"/>
                <w:color w:val="auto"/>
                <w:kern w:val="0"/>
                <w:sz w:val="18"/>
                <w:szCs w:val="18"/>
                <w:lang w:bidi="ar"/>
              </w:rPr>
              <w:t xml:space="preserve">         其他资金</w:t>
            </w:r>
          </w:p>
        </w:tc>
        <w:tc>
          <w:tcPr>
            <w:tcW w:w="4228" w:type="dxa"/>
            <w:gridSpan w:val="2"/>
            <w:vAlign w:val="center"/>
          </w:tcPr>
          <w:p w14:paraId="4229F98C">
            <w:pPr>
              <w:spacing w:line="260" w:lineRule="exact"/>
              <w:jc w:val="right"/>
              <w:rPr>
                <w:rFonts w:ascii="宋体" w:cs="宋体"/>
                <w:color w:val="auto"/>
                <w:sz w:val="18"/>
                <w:szCs w:val="18"/>
              </w:rPr>
            </w:pPr>
          </w:p>
        </w:tc>
      </w:tr>
      <w:tr w14:paraId="716F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vAlign w:val="center"/>
          </w:tcPr>
          <w:p w14:paraId="7CD3BA3C">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年度</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目标</w:t>
            </w:r>
          </w:p>
        </w:tc>
        <w:tc>
          <w:tcPr>
            <w:tcW w:w="8582" w:type="dxa"/>
            <w:gridSpan w:val="6"/>
            <w:vAlign w:val="center"/>
          </w:tcPr>
          <w:p w14:paraId="13F3BC1E">
            <w:pPr>
              <w:spacing w:line="260" w:lineRule="exact"/>
              <w:jc w:val="left"/>
              <w:rPr>
                <w:rFonts w:ascii="宋体" w:cs="宋体"/>
                <w:color w:val="auto"/>
                <w:sz w:val="18"/>
                <w:szCs w:val="18"/>
              </w:rPr>
            </w:pPr>
            <w:r>
              <w:rPr>
                <w:rFonts w:hint="eastAsia" w:ascii="宋体" w:cs="宋体"/>
                <w:color w:val="auto"/>
                <w:sz w:val="18"/>
                <w:szCs w:val="18"/>
              </w:rPr>
              <w:t>做好见义勇为人员表彰申报工作，开展见义勇为慰问活动，通过多种形式，帮助解决实际困难。积极做好见义勇为人员相关政策落实工作，宣传见义勇为先进事迹，弘扬社会正能量，形成人人向上向善良好氛围</w:t>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r>
              <w:rPr>
                <w:rFonts w:hint="eastAsia" w:ascii="宋体" w:cs="宋体"/>
                <w:color w:val="auto"/>
                <w:sz w:val="18"/>
                <w:szCs w:val="18"/>
              </w:rPr>
              <w:tab/>
            </w:r>
          </w:p>
          <w:p w14:paraId="027EADA5">
            <w:pPr>
              <w:rPr>
                <w:rFonts w:ascii="宋体" w:cs="宋体"/>
                <w:color w:val="auto"/>
                <w:sz w:val="18"/>
                <w:szCs w:val="18"/>
              </w:rPr>
            </w:pPr>
          </w:p>
        </w:tc>
      </w:tr>
      <w:tr w14:paraId="502B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vAlign w:val="center"/>
          </w:tcPr>
          <w:p w14:paraId="1A067EC8">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绩</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效</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指</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标</w:t>
            </w:r>
          </w:p>
        </w:tc>
        <w:tc>
          <w:tcPr>
            <w:tcW w:w="723" w:type="dxa"/>
            <w:vAlign w:val="center"/>
          </w:tcPr>
          <w:p w14:paraId="3A5F6EC8">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一级</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指标</w:t>
            </w:r>
          </w:p>
        </w:tc>
        <w:tc>
          <w:tcPr>
            <w:tcW w:w="759" w:type="dxa"/>
            <w:gridSpan w:val="2"/>
            <w:vAlign w:val="center"/>
          </w:tcPr>
          <w:p w14:paraId="419AAFBF">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二级指标</w:t>
            </w:r>
          </w:p>
        </w:tc>
        <w:tc>
          <w:tcPr>
            <w:tcW w:w="2872" w:type="dxa"/>
            <w:vAlign w:val="center"/>
          </w:tcPr>
          <w:p w14:paraId="3116BDD4">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三级指标</w:t>
            </w:r>
          </w:p>
        </w:tc>
        <w:tc>
          <w:tcPr>
            <w:tcW w:w="4228" w:type="dxa"/>
            <w:gridSpan w:val="2"/>
            <w:vAlign w:val="center"/>
          </w:tcPr>
          <w:p w14:paraId="2D520AD8">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指标值</w:t>
            </w:r>
          </w:p>
        </w:tc>
      </w:tr>
      <w:tr w14:paraId="775F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38" w:type="dxa"/>
            <w:vMerge w:val="continue"/>
            <w:vAlign w:val="center"/>
          </w:tcPr>
          <w:p w14:paraId="060DBB62">
            <w:pPr>
              <w:spacing w:line="260" w:lineRule="exact"/>
              <w:jc w:val="center"/>
              <w:rPr>
                <w:rFonts w:ascii="宋体" w:cs="宋体"/>
                <w:color w:val="auto"/>
                <w:sz w:val="18"/>
                <w:szCs w:val="18"/>
              </w:rPr>
            </w:pPr>
          </w:p>
        </w:tc>
        <w:tc>
          <w:tcPr>
            <w:tcW w:w="723" w:type="dxa"/>
            <w:vMerge w:val="restart"/>
            <w:vAlign w:val="center"/>
          </w:tcPr>
          <w:p w14:paraId="11C31203">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产出指标</w:t>
            </w:r>
          </w:p>
        </w:tc>
        <w:tc>
          <w:tcPr>
            <w:tcW w:w="759" w:type="dxa"/>
            <w:gridSpan w:val="2"/>
            <w:vAlign w:val="center"/>
          </w:tcPr>
          <w:p w14:paraId="5F98D8B7">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数量指标</w:t>
            </w:r>
          </w:p>
        </w:tc>
        <w:tc>
          <w:tcPr>
            <w:tcW w:w="2872" w:type="dxa"/>
            <w:vAlign w:val="center"/>
          </w:tcPr>
          <w:p w14:paraId="7DBF35FA">
            <w:pPr>
              <w:widowControl/>
              <w:jc w:val="left"/>
              <w:rPr>
                <w:color w:val="auto"/>
                <w:kern w:val="0"/>
                <w:sz w:val="20"/>
                <w:szCs w:val="20"/>
              </w:rPr>
            </w:pPr>
            <w:r>
              <w:rPr>
                <w:rFonts w:hint="eastAsia"/>
                <w:color w:val="auto"/>
                <w:sz w:val="20"/>
                <w:szCs w:val="20"/>
              </w:rPr>
              <w:t>补助补贴发放频次</w:t>
            </w:r>
          </w:p>
        </w:tc>
        <w:tc>
          <w:tcPr>
            <w:tcW w:w="4228" w:type="dxa"/>
            <w:gridSpan w:val="2"/>
            <w:vAlign w:val="center"/>
          </w:tcPr>
          <w:p w14:paraId="0DADC62A">
            <w:pPr>
              <w:jc w:val="center"/>
              <w:rPr>
                <w:rFonts w:hint="default"/>
                <w:color w:val="auto"/>
                <w:sz w:val="20"/>
                <w:szCs w:val="20"/>
                <w:lang w:val="en-US"/>
              </w:rPr>
            </w:pPr>
            <w:r>
              <w:rPr>
                <w:rFonts w:hint="eastAsia"/>
                <w:color w:val="auto"/>
                <w:sz w:val="20"/>
                <w:szCs w:val="20"/>
              </w:rPr>
              <w:t>≥</w:t>
            </w:r>
            <w:r>
              <w:rPr>
                <w:rFonts w:hint="eastAsia"/>
                <w:color w:val="auto"/>
                <w:sz w:val="20"/>
                <w:szCs w:val="20"/>
                <w:lang w:val="en-US" w:eastAsia="zh-CN"/>
              </w:rPr>
              <w:t>2次/年</w:t>
            </w:r>
          </w:p>
        </w:tc>
      </w:tr>
      <w:tr w14:paraId="2532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595F95DF">
            <w:pPr>
              <w:spacing w:line="260" w:lineRule="exact"/>
              <w:jc w:val="center"/>
              <w:rPr>
                <w:rFonts w:ascii="宋体" w:cs="宋体"/>
                <w:color w:val="auto"/>
                <w:sz w:val="18"/>
                <w:szCs w:val="18"/>
              </w:rPr>
            </w:pPr>
          </w:p>
        </w:tc>
        <w:tc>
          <w:tcPr>
            <w:tcW w:w="723" w:type="dxa"/>
            <w:vMerge w:val="continue"/>
            <w:vAlign w:val="center"/>
          </w:tcPr>
          <w:p w14:paraId="54C35179">
            <w:pPr>
              <w:spacing w:line="260" w:lineRule="exact"/>
              <w:jc w:val="center"/>
              <w:rPr>
                <w:rFonts w:ascii="宋体" w:cs="宋体"/>
                <w:color w:val="auto"/>
                <w:sz w:val="18"/>
                <w:szCs w:val="18"/>
              </w:rPr>
            </w:pPr>
          </w:p>
        </w:tc>
        <w:tc>
          <w:tcPr>
            <w:tcW w:w="759" w:type="dxa"/>
            <w:gridSpan w:val="2"/>
            <w:vAlign w:val="center"/>
          </w:tcPr>
          <w:p w14:paraId="23E13C79">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质量指标</w:t>
            </w:r>
          </w:p>
        </w:tc>
        <w:tc>
          <w:tcPr>
            <w:tcW w:w="2872" w:type="dxa"/>
            <w:vAlign w:val="center"/>
          </w:tcPr>
          <w:p w14:paraId="7181E0DE">
            <w:pPr>
              <w:widowControl/>
              <w:jc w:val="left"/>
              <w:rPr>
                <w:color w:val="auto"/>
                <w:kern w:val="0"/>
                <w:sz w:val="20"/>
                <w:szCs w:val="20"/>
              </w:rPr>
            </w:pPr>
            <w:r>
              <w:rPr>
                <w:rFonts w:hint="eastAsia"/>
                <w:color w:val="auto"/>
                <w:sz w:val="20"/>
                <w:szCs w:val="20"/>
              </w:rPr>
              <w:t>补助补贴资金支出合规性</w:t>
            </w:r>
          </w:p>
        </w:tc>
        <w:tc>
          <w:tcPr>
            <w:tcW w:w="4228" w:type="dxa"/>
            <w:gridSpan w:val="2"/>
            <w:vAlign w:val="center"/>
          </w:tcPr>
          <w:p w14:paraId="34B0CF5A">
            <w:pPr>
              <w:jc w:val="center"/>
              <w:rPr>
                <w:rFonts w:hint="eastAsia"/>
                <w:color w:val="auto"/>
                <w:sz w:val="20"/>
                <w:szCs w:val="20"/>
              </w:rPr>
            </w:pPr>
            <w:r>
              <w:rPr>
                <w:rFonts w:hint="eastAsia"/>
                <w:color w:val="auto"/>
                <w:sz w:val="20"/>
                <w:szCs w:val="20"/>
              </w:rPr>
              <w:t>合规发放</w:t>
            </w:r>
          </w:p>
        </w:tc>
      </w:tr>
      <w:tr w14:paraId="0A3A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3247B7A5">
            <w:pPr>
              <w:spacing w:line="260" w:lineRule="exact"/>
              <w:jc w:val="center"/>
              <w:rPr>
                <w:rFonts w:ascii="宋体" w:cs="宋体"/>
                <w:color w:val="auto"/>
                <w:sz w:val="18"/>
                <w:szCs w:val="18"/>
              </w:rPr>
            </w:pPr>
          </w:p>
        </w:tc>
        <w:tc>
          <w:tcPr>
            <w:tcW w:w="723" w:type="dxa"/>
            <w:vMerge w:val="continue"/>
            <w:vAlign w:val="center"/>
          </w:tcPr>
          <w:p w14:paraId="109D8FB5">
            <w:pPr>
              <w:spacing w:line="260" w:lineRule="exact"/>
              <w:jc w:val="center"/>
              <w:rPr>
                <w:rFonts w:ascii="宋体" w:cs="宋体"/>
                <w:color w:val="auto"/>
                <w:sz w:val="18"/>
                <w:szCs w:val="18"/>
              </w:rPr>
            </w:pPr>
          </w:p>
        </w:tc>
        <w:tc>
          <w:tcPr>
            <w:tcW w:w="759" w:type="dxa"/>
            <w:gridSpan w:val="2"/>
            <w:vAlign w:val="center"/>
          </w:tcPr>
          <w:p w14:paraId="55447579">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时效指标</w:t>
            </w:r>
          </w:p>
        </w:tc>
        <w:tc>
          <w:tcPr>
            <w:tcW w:w="2872" w:type="dxa"/>
            <w:vAlign w:val="center"/>
          </w:tcPr>
          <w:p w14:paraId="5C90D90C">
            <w:pPr>
              <w:widowControl/>
              <w:jc w:val="left"/>
              <w:rPr>
                <w:color w:val="auto"/>
                <w:kern w:val="0"/>
                <w:sz w:val="20"/>
                <w:szCs w:val="20"/>
              </w:rPr>
            </w:pPr>
            <w:r>
              <w:rPr>
                <w:rFonts w:hint="eastAsia"/>
                <w:color w:val="auto"/>
                <w:sz w:val="20"/>
                <w:szCs w:val="20"/>
              </w:rPr>
              <w:t>补助补贴资金发放及时率</w:t>
            </w:r>
          </w:p>
        </w:tc>
        <w:tc>
          <w:tcPr>
            <w:tcW w:w="4228" w:type="dxa"/>
            <w:gridSpan w:val="2"/>
            <w:vAlign w:val="center"/>
          </w:tcPr>
          <w:p w14:paraId="63FBD679">
            <w:pPr>
              <w:jc w:val="center"/>
              <w:rPr>
                <w:rFonts w:hint="eastAsia"/>
                <w:color w:val="auto"/>
                <w:sz w:val="20"/>
                <w:szCs w:val="20"/>
              </w:rPr>
            </w:pPr>
            <w:r>
              <w:rPr>
                <w:rFonts w:hint="eastAsia"/>
                <w:color w:val="auto"/>
              </w:rPr>
              <w:t>及时发放</w:t>
            </w:r>
          </w:p>
        </w:tc>
      </w:tr>
      <w:tr w14:paraId="1C0A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3A04DEA3">
            <w:pPr>
              <w:spacing w:line="260" w:lineRule="exact"/>
              <w:jc w:val="center"/>
              <w:rPr>
                <w:rFonts w:ascii="宋体" w:cs="宋体"/>
                <w:color w:val="auto"/>
                <w:sz w:val="18"/>
                <w:szCs w:val="18"/>
              </w:rPr>
            </w:pPr>
          </w:p>
        </w:tc>
        <w:tc>
          <w:tcPr>
            <w:tcW w:w="723" w:type="dxa"/>
            <w:vMerge w:val="continue"/>
            <w:vAlign w:val="center"/>
          </w:tcPr>
          <w:p w14:paraId="14720224">
            <w:pPr>
              <w:spacing w:line="260" w:lineRule="exact"/>
              <w:jc w:val="center"/>
              <w:rPr>
                <w:rFonts w:ascii="宋体" w:cs="宋体"/>
                <w:color w:val="auto"/>
                <w:sz w:val="18"/>
                <w:szCs w:val="18"/>
              </w:rPr>
            </w:pPr>
          </w:p>
        </w:tc>
        <w:tc>
          <w:tcPr>
            <w:tcW w:w="759" w:type="dxa"/>
            <w:gridSpan w:val="2"/>
            <w:vAlign w:val="center"/>
          </w:tcPr>
          <w:p w14:paraId="6F257E57">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成本指标</w:t>
            </w:r>
          </w:p>
        </w:tc>
        <w:tc>
          <w:tcPr>
            <w:tcW w:w="2872" w:type="dxa"/>
            <w:vAlign w:val="center"/>
          </w:tcPr>
          <w:p w14:paraId="53DD3934">
            <w:pPr>
              <w:widowControl/>
              <w:jc w:val="left"/>
              <w:rPr>
                <w:color w:val="auto"/>
                <w:kern w:val="0"/>
                <w:sz w:val="20"/>
                <w:szCs w:val="20"/>
              </w:rPr>
            </w:pPr>
            <w:r>
              <w:rPr>
                <w:rFonts w:hint="eastAsia"/>
                <w:color w:val="auto"/>
                <w:sz w:val="20"/>
                <w:szCs w:val="20"/>
              </w:rPr>
              <w:t>政策补助补贴标准</w:t>
            </w:r>
          </w:p>
        </w:tc>
        <w:tc>
          <w:tcPr>
            <w:tcW w:w="4228" w:type="dxa"/>
            <w:gridSpan w:val="2"/>
            <w:vAlign w:val="center"/>
          </w:tcPr>
          <w:p w14:paraId="60341BCD">
            <w:pPr>
              <w:jc w:val="center"/>
              <w:rPr>
                <w:rFonts w:hint="eastAsia"/>
                <w:color w:val="auto"/>
                <w:sz w:val="20"/>
                <w:szCs w:val="20"/>
              </w:rPr>
            </w:pPr>
            <w:r>
              <w:rPr>
                <w:rFonts w:hint="eastAsia"/>
                <w:color w:val="auto"/>
                <w:sz w:val="20"/>
                <w:szCs w:val="20"/>
              </w:rPr>
              <w:t>≥1000元/人（家）</w:t>
            </w:r>
          </w:p>
        </w:tc>
      </w:tr>
      <w:tr w14:paraId="5522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283C8842">
            <w:pPr>
              <w:spacing w:line="260" w:lineRule="exact"/>
              <w:jc w:val="center"/>
              <w:rPr>
                <w:rFonts w:ascii="宋体" w:cs="宋体"/>
                <w:color w:val="auto"/>
                <w:sz w:val="18"/>
                <w:szCs w:val="18"/>
              </w:rPr>
            </w:pPr>
          </w:p>
        </w:tc>
        <w:tc>
          <w:tcPr>
            <w:tcW w:w="723" w:type="dxa"/>
            <w:vMerge w:val="restart"/>
            <w:vAlign w:val="center"/>
          </w:tcPr>
          <w:p w14:paraId="45737FAF">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效益指标</w:t>
            </w:r>
          </w:p>
        </w:tc>
        <w:tc>
          <w:tcPr>
            <w:tcW w:w="759" w:type="dxa"/>
            <w:gridSpan w:val="2"/>
            <w:vAlign w:val="center"/>
          </w:tcPr>
          <w:p w14:paraId="249F1A29">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经济效益指标</w:t>
            </w:r>
          </w:p>
        </w:tc>
        <w:tc>
          <w:tcPr>
            <w:tcW w:w="2872" w:type="dxa"/>
            <w:vAlign w:val="center"/>
          </w:tcPr>
          <w:p w14:paraId="66562076">
            <w:pPr>
              <w:widowControl/>
              <w:jc w:val="left"/>
              <w:rPr>
                <w:color w:val="auto"/>
                <w:kern w:val="0"/>
                <w:sz w:val="20"/>
                <w:szCs w:val="20"/>
              </w:rPr>
            </w:pPr>
            <w:r>
              <w:rPr>
                <w:rFonts w:hint="eastAsia"/>
                <w:color w:val="auto"/>
                <w:sz w:val="20"/>
                <w:szCs w:val="20"/>
              </w:rPr>
              <w:t>无此类指标</w:t>
            </w:r>
          </w:p>
        </w:tc>
        <w:tc>
          <w:tcPr>
            <w:tcW w:w="4228" w:type="dxa"/>
            <w:gridSpan w:val="2"/>
            <w:vAlign w:val="center"/>
          </w:tcPr>
          <w:p w14:paraId="09C61380">
            <w:pPr>
              <w:jc w:val="center"/>
              <w:rPr>
                <w:rFonts w:hint="eastAsia"/>
                <w:color w:val="auto"/>
                <w:sz w:val="20"/>
                <w:szCs w:val="20"/>
              </w:rPr>
            </w:pPr>
            <w:r>
              <w:rPr>
                <w:rFonts w:hint="eastAsia"/>
                <w:color w:val="auto"/>
                <w:sz w:val="20"/>
                <w:szCs w:val="20"/>
              </w:rPr>
              <w:t>无</w:t>
            </w:r>
          </w:p>
        </w:tc>
      </w:tr>
      <w:tr w14:paraId="7F90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265C9282">
            <w:pPr>
              <w:spacing w:line="260" w:lineRule="exact"/>
              <w:jc w:val="center"/>
              <w:rPr>
                <w:rFonts w:ascii="宋体" w:cs="宋体"/>
                <w:color w:val="auto"/>
                <w:sz w:val="18"/>
                <w:szCs w:val="18"/>
              </w:rPr>
            </w:pPr>
          </w:p>
        </w:tc>
        <w:tc>
          <w:tcPr>
            <w:tcW w:w="723" w:type="dxa"/>
            <w:vMerge w:val="continue"/>
            <w:vAlign w:val="center"/>
          </w:tcPr>
          <w:p w14:paraId="1DAB1A0C">
            <w:pPr>
              <w:spacing w:line="260" w:lineRule="exact"/>
              <w:jc w:val="center"/>
              <w:rPr>
                <w:rFonts w:ascii="宋体" w:cs="宋体"/>
                <w:color w:val="auto"/>
                <w:sz w:val="18"/>
                <w:szCs w:val="18"/>
              </w:rPr>
            </w:pPr>
          </w:p>
        </w:tc>
        <w:tc>
          <w:tcPr>
            <w:tcW w:w="759" w:type="dxa"/>
            <w:gridSpan w:val="2"/>
            <w:vAlign w:val="center"/>
          </w:tcPr>
          <w:p w14:paraId="208483B4">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社会效益指标</w:t>
            </w:r>
          </w:p>
        </w:tc>
        <w:tc>
          <w:tcPr>
            <w:tcW w:w="2872" w:type="dxa"/>
            <w:vAlign w:val="center"/>
          </w:tcPr>
          <w:p w14:paraId="38E5606B">
            <w:pPr>
              <w:widowControl/>
              <w:jc w:val="left"/>
              <w:rPr>
                <w:color w:val="auto"/>
                <w:kern w:val="0"/>
                <w:sz w:val="20"/>
                <w:szCs w:val="20"/>
              </w:rPr>
            </w:pPr>
            <w:r>
              <w:rPr>
                <w:rFonts w:hint="eastAsia"/>
                <w:color w:val="auto"/>
                <w:sz w:val="20"/>
                <w:szCs w:val="20"/>
              </w:rPr>
              <w:t>对党委政府政策的宣传贯彻，保障人民利益的影响程度</w:t>
            </w:r>
          </w:p>
        </w:tc>
        <w:tc>
          <w:tcPr>
            <w:tcW w:w="4228" w:type="dxa"/>
            <w:gridSpan w:val="2"/>
            <w:vAlign w:val="center"/>
          </w:tcPr>
          <w:p w14:paraId="4584C0CB">
            <w:pPr>
              <w:jc w:val="center"/>
              <w:rPr>
                <w:rFonts w:hint="eastAsia"/>
                <w:color w:val="auto"/>
                <w:sz w:val="20"/>
                <w:szCs w:val="20"/>
              </w:rPr>
            </w:pPr>
            <w:r>
              <w:rPr>
                <w:rFonts w:hint="eastAsia"/>
                <w:color w:val="auto"/>
                <w:sz w:val="20"/>
                <w:szCs w:val="20"/>
              </w:rPr>
              <w:t>完成对县见义勇为人员的认定、评审、奖励等经费</w:t>
            </w:r>
          </w:p>
        </w:tc>
      </w:tr>
      <w:tr w14:paraId="160D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7ABD9FE5">
            <w:pPr>
              <w:spacing w:line="260" w:lineRule="exact"/>
              <w:jc w:val="center"/>
              <w:rPr>
                <w:rFonts w:ascii="宋体" w:cs="宋体"/>
                <w:color w:val="auto"/>
                <w:sz w:val="18"/>
                <w:szCs w:val="18"/>
              </w:rPr>
            </w:pPr>
          </w:p>
        </w:tc>
        <w:tc>
          <w:tcPr>
            <w:tcW w:w="723" w:type="dxa"/>
            <w:vMerge w:val="continue"/>
            <w:vAlign w:val="center"/>
          </w:tcPr>
          <w:p w14:paraId="155F061F">
            <w:pPr>
              <w:spacing w:line="260" w:lineRule="exact"/>
              <w:jc w:val="center"/>
              <w:rPr>
                <w:rFonts w:ascii="宋体" w:cs="宋体"/>
                <w:color w:val="auto"/>
                <w:sz w:val="18"/>
                <w:szCs w:val="18"/>
              </w:rPr>
            </w:pPr>
          </w:p>
        </w:tc>
        <w:tc>
          <w:tcPr>
            <w:tcW w:w="759" w:type="dxa"/>
            <w:gridSpan w:val="2"/>
            <w:vAlign w:val="center"/>
          </w:tcPr>
          <w:p w14:paraId="1FCD80A3">
            <w:pPr>
              <w:spacing w:line="260" w:lineRule="exact"/>
              <w:jc w:val="center"/>
              <w:textAlignment w:val="center"/>
              <w:rPr>
                <w:rFonts w:ascii="宋体" w:cs="宋体"/>
                <w:color w:val="auto"/>
                <w:sz w:val="18"/>
                <w:szCs w:val="18"/>
              </w:rPr>
            </w:pPr>
            <w:r>
              <w:rPr>
                <w:rFonts w:hint="eastAsia" w:ascii="宋体" w:hAnsi="宋体" w:cs="宋体"/>
                <w:color w:val="auto"/>
                <w:kern w:val="0"/>
                <w:sz w:val="18"/>
                <w:szCs w:val="18"/>
                <w:lang w:bidi="ar"/>
              </w:rPr>
              <w:t>生态效益指标</w:t>
            </w:r>
          </w:p>
        </w:tc>
        <w:tc>
          <w:tcPr>
            <w:tcW w:w="2872" w:type="dxa"/>
            <w:vAlign w:val="center"/>
          </w:tcPr>
          <w:p w14:paraId="65F0148E">
            <w:pPr>
              <w:widowControl/>
              <w:jc w:val="left"/>
              <w:rPr>
                <w:color w:val="auto"/>
                <w:kern w:val="0"/>
                <w:sz w:val="20"/>
                <w:szCs w:val="20"/>
              </w:rPr>
            </w:pPr>
            <w:r>
              <w:rPr>
                <w:rFonts w:hint="eastAsia"/>
                <w:color w:val="auto"/>
                <w:sz w:val="20"/>
                <w:szCs w:val="20"/>
              </w:rPr>
              <w:t>无此类指标</w:t>
            </w:r>
          </w:p>
        </w:tc>
        <w:tc>
          <w:tcPr>
            <w:tcW w:w="4228" w:type="dxa"/>
            <w:gridSpan w:val="2"/>
            <w:vAlign w:val="center"/>
          </w:tcPr>
          <w:p w14:paraId="79E625AF">
            <w:pPr>
              <w:jc w:val="center"/>
              <w:rPr>
                <w:rFonts w:hint="eastAsia" w:eastAsia="宋体"/>
                <w:color w:val="auto"/>
                <w:sz w:val="20"/>
                <w:szCs w:val="20"/>
                <w:lang w:eastAsia="zh-CN"/>
              </w:rPr>
            </w:pPr>
            <w:r>
              <w:rPr>
                <w:rFonts w:hint="eastAsia"/>
                <w:color w:val="auto"/>
                <w:sz w:val="20"/>
                <w:szCs w:val="20"/>
                <w:lang w:val="en-US" w:eastAsia="zh-CN"/>
              </w:rPr>
              <w:t>无</w:t>
            </w:r>
          </w:p>
        </w:tc>
      </w:tr>
      <w:tr w14:paraId="1E1C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vAlign w:val="center"/>
          </w:tcPr>
          <w:p w14:paraId="677C6A21">
            <w:pPr>
              <w:spacing w:line="260" w:lineRule="exact"/>
              <w:jc w:val="center"/>
              <w:rPr>
                <w:rFonts w:ascii="宋体" w:cs="宋体"/>
                <w:color w:val="auto"/>
                <w:sz w:val="18"/>
                <w:szCs w:val="18"/>
              </w:rPr>
            </w:pPr>
          </w:p>
        </w:tc>
        <w:tc>
          <w:tcPr>
            <w:tcW w:w="723" w:type="dxa"/>
            <w:vMerge w:val="continue"/>
            <w:vAlign w:val="center"/>
          </w:tcPr>
          <w:p w14:paraId="6BAD9F1F">
            <w:pPr>
              <w:spacing w:line="260" w:lineRule="exact"/>
              <w:jc w:val="center"/>
              <w:rPr>
                <w:rFonts w:ascii="宋体" w:cs="宋体"/>
                <w:color w:val="auto"/>
                <w:sz w:val="18"/>
                <w:szCs w:val="18"/>
              </w:rPr>
            </w:pPr>
          </w:p>
        </w:tc>
        <w:tc>
          <w:tcPr>
            <w:tcW w:w="759" w:type="dxa"/>
            <w:gridSpan w:val="2"/>
            <w:vAlign w:val="center"/>
          </w:tcPr>
          <w:p w14:paraId="6CB05FEC">
            <w:pPr>
              <w:spacing w:line="260" w:lineRule="exact"/>
              <w:jc w:val="center"/>
              <w:rPr>
                <w:rFonts w:ascii="宋体" w:hAnsi="宋体" w:cs="宋体"/>
                <w:color w:val="auto"/>
                <w:sz w:val="18"/>
                <w:szCs w:val="18"/>
              </w:rPr>
            </w:pPr>
            <w:r>
              <w:rPr>
                <w:rFonts w:hint="eastAsia" w:ascii="宋体" w:hAnsi="宋体" w:cs="宋体"/>
                <w:color w:val="auto"/>
                <w:sz w:val="18"/>
                <w:szCs w:val="18"/>
              </w:rPr>
              <w:t>可持续影响指标</w:t>
            </w:r>
          </w:p>
        </w:tc>
        <w:tc>
          <w:tcPr>
            <w:tcW w:w="2872" w:type="dxa"/>
            <w:vAlign w:val="center"/>
          </w:tcPr>
          <w:p w14:paraId="6742062A">
            <w:pPr>
              <w:widowControl/>
              <w:jc w:val="left"/>
              <w:rPr>
                <w:color w:val="auto"/>
                <w:kern w:val="0"/>
                <w:sz w:val="20"/>
                <w:szCs w:val="20"/>
              </w:rPr>
            </w:pPr>
            <w:r>
              <w:rPr>
                <w:rFonts w:hint="eastAsia"/>
                <w:color w:val="auto"/>
                <w:sz w:val="20"/>
                <w:szCs w:val="20"/>
              </w:rPr>
              <w:t>表彰见义勇为人士，营造互帮互助氛围</w:t>
            </w:r>
          </w:p>
        </w:tc>
        <w:tc>
          <w:tcPr>
            <w:tcW w:w="4228" w:type="dxa"/>
            <w:gridSpan w:val="2"/>
            <w:vAlign w:val="center"/>
          </w:tcPr>
          <w:p w14:paraId="430F41F2">
            <w:pPr>
              <w:jc w:val="center"/>
              <w:rPr>
                <w:rFonts w:hint="eastAsia"/>
                <w:color w:val="auto"/>
                <w:sz w:val="20"/>
                <w:szCs w:val="20"/>
              </w:rPr>
            </w:pPr>
            <w:r>
              <w:rPr>
                <w:rFonts w:hint="eastAsia"/>
                <w:color w:val="auto"/>
                <w:sz w:val="20"/>
                <w:szCs w:val="20"/>
              </w:rPr>
              <w:t>常态化推动</w:t>
            </w:r>
          </w:p>
        </w:tc>
      </w:tr>
      <w:tr w14:paraId="19333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10314598">
            <w:pPr>
              <w:spacing w:line="260" w:lineRule="exact"/>
              <w:jc w:val="center"/>
              <w:rPr>
                <w:rFonts w:ascii="宋体" w:cs="宋体"/>
                <w:color w:val="auto"/>
                <w:sz w:val="18"/>
                <w:szCs w:val="18"/>
              </w:rPr>
            </w:pPr>
          </w:p>
        </w:tc>
        <w:tc>
          <w:tcPr>
            <w:tcW w:w="723" w:type="dxa"/>
            <w:vAlign w:val="center"/>
          </w:tcPr>
          <w:p w14:paraId="4CE98C35">
            <w:pPr>
              <w:spacing w:line="260" w:lineRule="exact"/>
              <w:jc w:val="center"/>
              <w:rPr>
                <w:rFonts w:ascii="宋体" w:hAnsi="宋体" w:cs="宋体"/>
                <w:color w:val="auto"/>
                <w:sz w:val="18"/>
                <w:szCs w:val="18"/>
              </w:rPr>
            </w:pPr>
            <w:r>
              <w:rPr>
                <w:rFonts w:hint="eastAsia" w:ascii="宋体" w:hAnsi="宋体" w:cs="宋体"/>
                <w:color w:val="auto"/>
                <w:sz w:val="18"/>
                <w:szCs w:val="18"/>
              </w:rPr>
              <w:t>满意度指标</w:t>
            </w:r>
          </w:p>
        </w:tc>
        <w:tc>
          <w:tcPr>
            <w:tcW w:w="759" w:type="dxa"/>
            <w:gridSpan w:val="2"/>
            <w:vAlign w:val="center"/>
          </w:tcPr>
          <w:p w14:paraId="1B80666D">
            <w:pPr>
              <w:spacing w:line="260" w:lineRule="exact"/>
              <w:jc w:val="center"/>
              <w:rPr>
                <w:rFonts w:ascii="宋体" w:hAnsi="宋体" w:cs="宋体"/>
                <w:color w:val="auto"/>
                <w:sz w:val="18"/>
                <w:szCs w:val="18"/>
              </w:rPr>
            </w:pPr>
            <w:r>
              <w:rPr>
                <w:rFonts w:hint="eastAsia" w:ascii="宋体" w:hAnsi="宋体" w:cs="宋体"/>
                <w:color w:val="auto"/>
                <w:sz w:val="18"/>
                <w:szCs w:val="18"/>
              </w:rPr>
              <w:t>满意度指标</w:t>
            </w:r>
          </w:p>
        </w:tc>
        <w:tc>
          <w:tcPr>
            <w:tcW w:w="2872" w:type="dxa"/>
            <w:vAlign w:val="center"/>
          </w:tcPr>
          <w:p w14:paraId="7538ABD3">
            <w:pPr>
              <w:widowControl/>
              <w:jc w:val="left"/>
              <w:rPr>
                <w:color w:val="auto"/>
                <w:kern w:val="0"/>
                <w:sz w:val="20"/>
                <w:szCs w:val="20"/>
              </w:rPr>
            </w:pPr>
            <w:r>
              <w:rPr>
                <w:rFonts w:hint="eastAsia"/>
                <w:color w:val="auto"/>
                <w:sz w:val="20"/>
                <w:szCs w:val="20"/>
              </w:rPr>
              <w:t>受益对象满意度</w:t>
            </w:r>
          </w:p>
        </w:tc>
        <w:tc>
          <w:tcPr>
            <w:tcW w:w="4228" w:type="dxa"/>
            <w:gridSpan w:val="2"/>
            <w:vAlign w:val="center"/>
          </w:tcPr>
          <w:p w14:paraId="51B21C4D">
            <w:pPr>
              <w:jc w:val="center"/>
              <w:rPr>
                <w:rFonts w:hint="eastAsia"/>
                <w:color w:val="auto"/>
                <w:sz w:val="20"/>
                <w:szCs w:val="20"/>
              </w:rPr>
            </w:pPr>
            <w:r>
              <w:rPr>
                <w:rFonts w:hint="eastAsia"/>
                <w:color w:val="auto"/>
                <w:sz w:val="20"/>
                <w:szCs w:val="20"/>
              </w:rPr>
              <w:t>≥95%</w:t>
            </w:r>
          </w:p>
        </w:tc>
      </w:tr>
    </w:tbl>
    <w:p w14:paraId="1B7403EE">
      <w:pPr>
        <w:topLinePunct/>
        <w:adjustRightInd w:val="0"/>
        <w:snapToGrid w:val="0"/>
        <w:spacing w:line="560" w:lineRule="exact"/>
        <w:ind w:firstLine="643" w:firstLineChars="200"/>
        <w:rPr>
          <w:rFonts w:hint="eastAsia" w:ascii="仿宋_GB2312" w:hAnsi="TimesNewRoman" w:eastAsia="仿宋_GB2312" w:cs="TimesNewRoman"/>
          <w:b/>
          <w:color w:val="auto"/>
          <w:sz w:val="32"/>
          <w:szCs w:val="32"/>
        </w:rPr>
      </w:pPr>
    </w:p>
    <w:p w14:paraId="67D37CC1">
      <w:pPr>
        <w:topLinePunct/>
        <w:adjustRightInd w:val="0"/>
        <w:snapToGrid w:val="0"/>
        <w:spacing w:line="56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（二）机关运行经费。</w:t>
      </w:r>
    </w:p>
    <w:p w14:paraId="4A5F6494">
      <w:pPr>
        <w:topLinePunct/>
        <w:adjustRightInd w:val="0"/>
        <w:snapToGrid w:val="0"/>
        <w:spacing w:line="56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kern w:val="0"/>
          <w:sz w:val="32"/>
          <w:szCs w:val="32"/>
        </w:rPr>
        <w:t>寿县县委政法委</w:t>
      </w: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年机关运行经费财政拨款预算22.30万元，比</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预算减少</w:t>
      </w:r>
      <w:r>
        <w:rPr>
          <w:rFonts w:hint="eastAsia" w:ascii="仿宋_GB2312" w:hAnsi="TimesNewRoman" w:eastAsia="仿宋_GB2312" w:cs="TimesNewRoman"/>
          <w:color w:val="auto"/>
          <w:sz w:val="32"/>
          <w:szCs w:val="32"/>
          <w:lang w:val="en-US" w:eastAsia="zh-CN"/>
        </w:rPr>
        <w:t>1.99</w:t>
      </w:r>
      <w:r>
        <w:rPr>
          <w:rFonts w:hint="eastAsia" w:ascii="仿宋_GB2312" w:hAnsi="TimesNewRoman" w:eastAsia="仿宋_GB2312" w:cs="TimesNewRoman"/>
          <w:color w:val="auto"/>
          <w:sz w:val="32"/>
          <w:szCs w:val="32"/>
        </w:rPr>
        <w:t>万元，下降</w:t>
      </w:r>
      <w:r>
        <w:rPr>
          <w:rFonts w:hint="eastAsia" w:ascii="仿宋_GB2312" w:hAnsi="TimesNewRoman" w:eastAsia="仿宋_GB2312" w:cs="TimesNewRoman"/>
          <w:color w:val="auto"/>
          <w:sz w:val="32"/>
          <w:szCs w:val="32"/>
          <w:lang w:val="en-US" w:eastAsia="zh-CN"/>
        </w:rPr>
        <w:t>8.19</w:t>
      </w:r>
      <w:r>
        <w:rPr>
          <w:rFonts w:hint="eastAsia" w:ascii="仿宋_GB2312" w:hAnsi="TimesNewRoman" w:eastAsia="仿宋_GB2312" w:cs="TimesNewRoman"/>
          <w:color w:val="auto"/>
          <w:sz w:val="32"/>
          <w:szCs w:val="32"/>
        </w:rPr>
        <w:t>%，</w:t>
      </w:r>
      <w:r>
        <w:rPr>
          <w:rFonts w:hint="eastAsia" w:ascii="仿宋_GB2312" w:hAnsi="TimesNewRoman" w:eastAsia="仿宋_GB2312" w:cs="TimesNewRoman"/>
          <w:color w:val="auto"/>
          <w:sz w:val="32"/>
          <w:szCs w:val="32"/>
          <w:lang w:val="en-US" w:eastAsia="zh-CN"/>
        </w:rPr>
        <w:t>下降主要原因是财政压缩预算</w:t>
      </w:r>
      <w:r>
        <w:rPr>
          <w:rFonts w:hint="eastAsia" w:ascii="仿宋_GB2312" w:hAnsi="TimesNewRoman" w:eastAsia="仿宋_GB2312" w:cs="TimesNewRoman"/>
          <w:color w:val="auto"/>
          <w:sz w:val="32"/>
          <w:szCs w:val="32"/>
        </w:rPr>
        <w:t>。</w:t>
      </w:r>
    </w:p>
    <w:p w14:paraId="5E5F143F">
      <w:pPr>
        <w:topLinePunct/>
        <w:adjustRightInd w:val="0"/>
        <w:snapToGrid w:val="0"/>
        <w:spacing w:line="56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（三）政府采购情况。</w:t>
      </w:r>
    </w:p>
    <w:p w14:paraId="149BA1BF">
      <w:pPr>
        <w:topLinePunct/>
        <w:adjustRightInd w:val="0"/>
        <w:snapToGrid w:val="0"/>
        <w:spacing w:line="56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kern w:val="0"/>
          <w:sz w:val="32"/>
          <w:szCs w:val="32"/>
        </w:rPr>
        <w:t>寿县县委政法委</w:t>
      </w:r>
      <w:r>
        <w:rPr>
          <w:rFonts w:hint="eastAsia" w:ascii="仿宋_GB2312" w:hAnsi="TimesNewRoman" w:eastAsia="仿宋_GB2312" w:cs="TimesNewRoman"/>
          <w:color w:val="auto"/>
          <w:kern w:val="0"/>
          <w:sz w:val="32"/>
          <w:szCs w:val="32"/>
          <w:lang w:eastAsia="zh-CN"/>
        </w:rPr>
        <w:t>2025</w:t>
      </w:r>
      <w:r>
        <w:rPr>
          <w:rFonts w:hint="eastAsia" w:ascii="仿宋_GB2312" w:hAnsi="TimesNewRoman" w:eastAsia="仿宋_GB2312" w:cs="TimesNewRoman"/>
          <w:color w:val="auto"/>
          <w:sz w:val="32"/>
          <w:szCs w:val="32"/>
        </w:rPr>
        <w:t>年政府采购预算</w:t>
      </w:r>
      <w:r>
        <w:rPr>
          <w:rFonts w:ascii="仿宋_GB2312" w:hAnsi="TimesNewRoman" w:eastAsia="仿宋_GB2312" w:cs="TimesNewRoman"/>
          <w:color w:val="auto"/>
          <w:sz w:val="32"/>
          <w:szCs w:val="32"/>
        </w:rPr>
        <w:t>5</w:t>
      </w:r>
      <w:r>
        <w:rPr>
          <w:rFonts w:hint="eastAsia" w:ascii="仿宋_GB2312" w:hAnsi="TimesNewRoman" w:eastAsia="仿宋_GB2312" w:cs="TimesNewRoman"/>
          <w:color w:val="auto"/>
          <w:sz w:val="32"/>
          <w:szCs w:val="32"/>
        </w:rPr>
        <w:t>万元。其中：政府采购货物预算</w:t>
      </w:r>
      <w:r>
        <w:rPr>
          <w:rFonts w:ascii="仿宋_GB2312" w:hAnsi="TimesNewRoman" w:eastAsia="仿宋_GB2312" w:cs="TimesNewRoman"/>
          <w:color w:val="auto"/>
          <w:sz w:val="32"/>
          <w:szCs w:val="32"/>
        </w:rPr>
        <w:t>5</w:t>
      </w:r>
      <w:r>
        <w:rPr>
          <w:rFonts w:hint="eastAsia" w:ascii="仿宋_GB2312" w:hAnsi="TimesNewRoman" w:eastAsia="仿宋_GB2312" w:cs="TimesNewRoman"/>
          <w:color w:val="auto"/>
          <w:sz w:val="32"/>
          <w:szCs w:val="32"/>
        </w:rPr>
        <w:t>万元。</w:t>
      </w:r>
    </w:p>
    <w:p w14:paraId="21BF62BD">
      <w:pPr>
        <w:topLinePunct/>
        <w:adjustRightInd w:val="0"/>
        <w:snapToGrid w:val="0"/>
        <w:spacing w:line="56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（四）国有资产占有使用情况。</w:t>
      </w:r>
    </w:p>
    <w:p w14:paraId="2BC8FC08">
      <w:pPr>
        <w:topLinePunct/>
        <w:adjustRightInd w:val="0"/>
        <w:snapToGrid w:val="0"/>
        <w:spacing w:line="56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rPr>
        <w:t>截至</w:t>
      </w:r>
      <w:r>
        <w:rPr>
          <w:rFonts w:hint="eastAsia" w:ascii="仿宋_GB2312" w:hAnsi="TimesNewRoman" w:eastAsia="仿宋_GB2312" w:cs="TimesNewRoman"/>
          <w:color w:val="auto"/>
          <w:sz w:val="32"/>
          <w:szCs w:val="32"/>
          <w:lang w:eastAsia="zh-CN"/>
        </w:rPr>
        <w:t>2024年</w:t>
      </w:r>
      <w:r>
        <w:rPr>
          <w:rFonts w:hint="eastAsia" w:ascii="仿宋_GB2312" w:hAnsi="TimesNewRoman" w:eastAsia="仿宋_GB2312" w:cs="TimesNewRoman"/>
          <w:color w:val="auto"/>
          <w:sz w:val="32"/>
          <w:szCs w:val="32"/>
        </w:rPr>
        <w:t>12月31日，</w:t>
      </w:r>
      <w:r>
        <w:rPr>
          <w:rFonts w:hint="eastAsia" w:ascii="仿宋_GB2312" w:hAnsi="TimesNewRoman" w:eastAsia="仿宋_GB2312" w:cs="TimesNewRoman"/>
          <w:color w:val="auto"/>
          <w:kern w:val="0"/>
          <w:sz w:val="32"/>
          <w:szCs w:val="32"/>
        </w:rPr>
        <w:t>寿县县委政法委</w:t>
      </w:r>
      <w:r>
        <w:rPr>
          <w:rFonts w:hint="eastAsia" w:ascii="仿宋_GB2312" w:hAnsi="TimesNewRoman" w:eastAsia="仿宋_GB2312" w:cs="TimesNewRoman"/>
          <w:color w:val="auto"/>
          <w:sz w:val="32"/>
          <w:szCs w:val="32"/>
        </w:rPr>
        <w:t>共有车辆</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辆。单价50万元以上的通用设备</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台（套），单价100万元以上的专用设备</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台（套）。</w:t>
      </w:r>
    </w:p>
    <w:p w14:paraId="4A1C63DD">
      <w:pPr>
        <w:topLinePunct/>
        <w:adjustRightInd w:val="0"/>
        <w:snapToGrid w:val="0"/>
        <w:spacing w:line="56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年部门预算安排购置公务用车</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辆，购置费</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万元；安排购置单价50万元以上的通用设备</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台（套），购置费</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万元；安排购置单价100万元以上专用设备</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台（套），购置费</w:t>
      </w:r>
      <w:r>
        <w:rPr>
          <w:rFonts w:ascii="仿宋_GB2312" w:hAnsi="TimesNewRoman" w:eastAsia="仿宋_GB2312" w:cs="TimesNewRoman"/>
          <w:color w:val="auto"/>
          <w:sz w:val="32"/>
          <w:szCs w:val="32"/>
        </w:rPr>
        <w:t>0</w:t>
      </w:r>
      <w:r>
        <w:rPr>
          <w:rFonts w:hint="eastAsia" w:ascii="仿宋_GB2312" w:hAnsi="TimesNewRoman" w:eastAsia="仿宋_GB2312" w:cs="TimesNewRoman"/>
          <w:color w:val="auto"/>
          <w:sz w:val="32"/>
          <w:szCs w:val="32"/>
        </w:rPr>
        <w:t>万元。</w:t>
      </w:r>
    </w:p>
    <w:p w14:paraId="2F16DA4A">
      <w:pPr>
        <w:topLinePunct/>
        <w:adjustRightInd w:val="0"/>
        <w:snapToGrid w:val="0"/>
        <w:spacing w:line="560" w:lineRule="exact"/>
        <w:ind w:firstLine="643" w:firstLineChars="200"/>
        <w:rPr>
          <w:rFonts w:ascii="仿宋_GB2312" w:hAnsi="TimesNewRoman" w:eastAsia="仿宋_GB2312" w:cs="TimesNewRoman"/>
          <w:b/>
          <w:color w:val="auto"/>
          <w:sz w:val="32"/>
          <w:szCs w:val="32"/>
        </w:rPr>
      </w:pPr>
      <w:r>
        <w:rPr>
          <w:rFonts w:hint="eastAsia" w:ascii="仿宋_GB2312" w:hAnsi="TimesNewRoman" w:eastAsia="仿宋_GB2312" w:cs="TimesNewRoman"/>
          <w:b/>
          <w:color w:val="auto"/>
          <w:sz w:val="32"/>
          <w:szCs w:val="32"/>
        </w:rPr>
        <w:t>（五）绩效目标设置情况。</w:t>
      </w:r>
    </w:p>
    <w:p w14:paraId="2E2650C6">
      <w:pPr>
        <w:topLinePunct/>
        <w:adjustRightInd w:val="0"/>
        <w:snapToGrid w:val="0"/>
        <w:spacing w:line="560" w:lineRule="exact"/>
        <w:ind w:firstLine="640" w:firstLineChars="200"/>
        <w:rPr>
          <w:rFonts w:ascii="仿宋_GB2312" w:hAnsi="TimesNewRoman" w:eastAsia="仿宋_GB2312" w:cs="TimesNewRoman"/>
          <w:color w:val="auto"/>
          <w:sz w:val="32"/>
          <w:szCs w:val="32"/>
        </w:rPr>
      </w:pPr>
      <w:r>
        <w:rPr>
          <w:rFonts w:hint="eastAsia" w:ascii="仿宋_GB2312" w:hAnsi="TimesNewRoman" w:eastAsia="仿宋_GB2312" w:cs="TimesNewRoman"/>
          <w:color w:val="auto"/>
          <w:sz w:val="32"/>
          <w:szCs w:val="32"/>
          <w:lang w:eastAsia="zh-CN"/>
        </w:rPr>
        <w:t>2025</w:t>
      </w:r>
      <w:r>
        <w:rPr>
          <w:rFonts w:hint="eastAsia" w:ascii="仿宋_GB2312" w:hAnsi="TimesNewRoman" w:eastAsia="仿宋_GB2312" w:cs="TimesNewRoman"/>
          <w:color w:val="auto"/>
          <w:sz w:val="32"/>
          <w:szCs w:val="32"/>
        </w:rPr>
        <w:t>年，</w:t>
      </w:r>
      <w:r>
        <w:rPr>
          <w:rFonts w:hint="eastAsia" w:ascii="仿宋_GB2312" w:hAnsi="TimesNewRoman" w:eastAsia="仿宋_GB2312" w:cs="TimesNewRoman"/>
          <w:color w:val="auto"/>
          <w:kern w:val="0"/>
          <w:sz w:val="32"/>
          <w:szCs w:val="32"/>
        </w:rPr>
        <w:t>寿县县委政法委对</w:t>
      </w:r>
      <w:r>
        <w:rPr>
          <w:rFonts w:hint="eastAsia" w:ascii="仿宋_GB2312" w:hAnsi="TimesNewRoman" w:eastAsia="仿宋_GB2312" w:cs="TimesNewRoman"/>
          <w:color w:val="auto"/>
          <w:kern w:val="0"/>
          <w:sz w:val="32"/>
          <w:szCs w:val="32"/>
          <w:lang w:val="en-US" w:eastAsia="zh-CN"/>
        </w:rPr>
        <w:t>2</w:t>
      </w:r>
      <w:r>
        <w:rPr>
          <w:rFonts w:hint="eastAsia" w:ascii="仿宋_GB2312" w:hAnsi="TimesNewRoman" w:eastAsia="仿宋_GB2312" w:cs="TimesNewRoman"/>
          <w:color w:val="auto"/>
          <w:sz w:val="32"/>
          <w:szCs w:val="32"/>
        </w:rPr>
        <w:t>个项目实行了绩效目标管理，涉及一般公共预算当年财政拨款125.66万元。</w:t>
      </w:r>
    </w:p>
    <w:p w14:paraId="71CD5F1A">
      <w:pPr>
        <w:topLinePunct/>
        <w:adjustRightInd w:val="0"/>
        <w:snapToGrid w:val="0"/>
        <w:spacing w:line="560" w:lineRule="exact"/>
        <w:ind w:firstLine="640" w:firstLineChars="200"/>
        <w:rPr>
          <w:rFonts w:ascii="仿宋_GB2312" w:hAnsi="TimesNewRoman" w:eastAsia="仿宋_GB2312" w:cs="TimesNewRoman"/>
          <w:color w:val="auto"/>
          <w:sz w:val="32"/>
          <w:szCs w:val="32"/>
        </w:rPr>
      </w:pPr>
    </w:p>
    <w:p w14:paraId="1A7D9975">
      <w:pPr>
        <w:topLinePunct/>
        <w:adjustRightInd w:val="0"/>
        <w:snapToGrid w:val="0"/>
        <w:spacing w:line="560" w:lineRule="exact"/>
        <w:ind w:firstLine="640" w:firstLineChars="200"/>
        <w:rPr>
          <w:rFonts w:ascii="仿宋_GB2312" w:hAnsi="TimesNewRoman" w:eastAsia="仿宋_GB2312" w:cs="TimesNewRoman"/>
          <w:color w:val="auto"/>
          <w:sz w:val="32"/>
          <w:szCs w:val="32"/>
        </w:rPr>
      </w:pPr>
    </w:p>
    <w:p w14:paraId="0D208011">
      <w:pPr>
        <w:topLinePunct/>
        <w:adjustRightInd w:val="0"/>
        <w:snapToGrid w:val="0"/>
        <w:spacing w:line="560" w:lineRule="exact"/>
        <w:ind w:firstLine="640" w:firstLineChars="200"/>
        <w:rPr>
          <w:rFonts w:ascii="仿宋_GB2312" w:hAnsi="TimesNewRoman" w:eastAsia="仿宋_GB2312" w:cs="TimesNewRoman"/>
          <w:color w:val="auto"/>
          <w:sz w:val="32"/>
          <w:szCs w:val="32"/>
        </w:rPr>
      </w:pPr>
    </w:p>
    <w:p w14:paraId="6BA172EF">
      <w:pPr>
        <w:topLinePunct/>
        <w:adjustRightInd w:val="0"/>
        <w:snapToGrid w:val="0"/>
        <w:spacing w:line="560" w:lineRule="exact"/>
        <w:ind w:firstLine="640" w:firstLineChars="200"/>
        <w:rPr>
          <w:rFonts w:ascii="仿宋_GB2312" w:hAnsi="TimesNewRoman" w:eastAsia="仿宋_GB2312" w:cs="TimesNewRoman"/>
          <w:color w:val="auto"/>
          <w:sz w:val="32"/>
          <w:szCs w:val="32"/>
        </w:rPr>
      </w:pPr>
    </w:p>
    <w:p w14:paraId="34570AB9">
      <w:pPr>
        <w:topLinePunct/>
        <w:adjustRightInd w:val="0"/>
        <w:snapToGrid w:val="0"/>
        <w:spacing w:line="560" w:lineRule="exact"/>
        <w:ind w:firstLine="640" w:firstLineChars="200"/>
        <w:rPr>
          <w:rFonts w:hint="eastAsia" w:ascii="仿宋_GB2312" w:hAnsi="TimesNewRoman" w:eastAsia="仿宋_GB2312" w:cs="TimesNewRoman"/>
          <w:color w:val="auto"/>
          <w:sz w:val="32"/>
          <w:szCs w:val="32"/>
        </w:rPr>
      </w:pPr>
    </w:p>
    <w:p w14:paraId="09F0D86C">
      <w:pPr>
        <w:topLinePunct/>
        <w:adjustRightInd w:val="0"/>
        <w:snapToGrid w:val="0"/>
        <w:spacing w:line="560" w:lineRule="exact"/>
        <w:rPr>
          <w:rFonts w:ascii="TimesNewRoman" w:hAnsi="TimesNewRoman" w:eastAsia="黑体" w:cs="TimesNewRoman"/>
          <w:color w:val="auto"/>
          <w:sz w:val="36"/>
          <w:szCs w:val="36"/>
        </w:rPr>
      </w:pPr>
    </w:p>
    <w:p w14:paraId="241ED065">
      <w:pPr>
        <w:topLinePunct/>
        <w:adjustRightInd w:val="0"/>
        <w:snapToGrid w:val="0"/>
        <w:spacing w:line="560" w:lineRule="exact"/>
        <w:jc w:val="center"/>
        <w:rPr>
          <w:rFonts w:ascii="TimesNewRoman" w:hAnsi="TimesNewRoman" w:eastAsia="黑体" w:cs="TimesNewRoman"/>
          <w:color w:val="auto"/>
          <w:sz w:val="36"/>
          <w:szCs w:val="36"/>
        </w:rPr>
      </w:pPr>
    </w:p>
    <w:p w14:paraId="451534B1">
      <w:pPr>
        <w:topLinePunct/>
        <w:adjustRightInd w:val="0"/>
        <w:snapToGrid w:val="0"/>
        <w:spacing w:line="560" w:lineRule="exact"/>
        <w:jc w:val="center"/>
        <w:rPr>
          <w:rFonts w:ascii="TimesNewRoman" w:hAnsi="TimesNewRoman" w:eastAsia="黑体" w:cs="TimesNewRoman"/>
          <w:color w:val="auto"/>
          <w:sz w:val="36"/>
          <w:szCs w:val="36"/>
        </w:rPr>
      </w:pPr>
    </w:p>
    <w:p w14:paraId="5DAEE6E4">
      <w:pPr>
        <w:topLinePunct/>
        <w:adjustRightInd w:val="0"/>
        <w:snapToGrid w:val="0"/>
        <w:spacing w:line="560" w:lineRule="exact"/>
        <w:jc w:val="center"/>
        <w:rPr>
          <w:rFonts w:ascii="TimesNewRoman" w:hAnsi="TimesNewRoman" w:eastAsia="黑体" w:cs="TimesNewRoman"/>
          <w:color w:val="auto"/>
          <w:sz w:val="36"/>
          <w:szCs w:val="36"/>
        </w:rPr>
      </w:pPr>
    </w:p>
    <w:p w14:paraId="21CACE2C">
      <w:pPr>
        <w:topLinePunct/>
        <w:adjustRightInd w:val="0"/>
        <w:snapToGrid w:val="0"/>
        <w:spacing w:line="560" w:lineRule="exact"/>
        <w:jc w:val="center"/>
        <w:rPr>
          <w:rFonts w:ascii="TimesNewRoman" w:hAnsi="TimesNewRoman" w:eastAsia="黑体" w:cs="TimesNewRoman"/>
          <w:color w:val="auto"/>
          <w:sz w:val="36"/>
          <w:szCs w:val="36"/>
        </w:rPr>
      </w:pPr>
    </w:p>
    <w:p w14:paraId="7C96288F">
      <w:pPr>
        <w:topLinePunct/>
        <w:adjustRightInd w:val="0"/>
        <w:snapToGrid w:val="0"/>
        <w:spacing w:line="560" w:lineRule="exact"/>
        <w:jc w:val="center"/>
        <w:rPr>
          <w:rFonts w:ascii="TimesNewRoman" w:hAnsi="TimesNewRoman" w:eastAsia="黑体" w:cs="TimesNewRoman"/>
          <w:color w:val="auto"/>
          <w:sz w:val="36"/>
          <w:szCs w:val="36"/>
        </w:rPr>
      </w:pPr>
    </w:p>
    <w:p w14:paraId="0E0C150F">
      <w:pPr>
        <w:topLinePunct/>
        <w:adjustRightInd w:val="0"/>
        <w:snapToGrid w:val="0"/>
        <w:spacing w:line="560" w:lineRule="exact"/>
        <w:jc w:val="center"/>
        <w:rPr>
          <w:rFonts w:ascii="TimesNewRoman" w:hAnsi="TimesNewRoman" w:eastAsia="黑体" w:cs="TimesNewRoman"/>
          <w:color w:val="auto"/>
          <w:sz w:val="36"/>
          <w:szCs w:val="36"/>
        </w:rPr>
      </w:pPr>
    </w:p>
    <w:p w14:paraId="704278DD">
      <w:pPr>
        <w:topLinePunct/>
        <w:adjustRightInd w:val="0"/>
        <w:snapToGrid w:val="0"/>
        <w:spacing w:line="560" w:lineRule="exact"/>
        <w:jc w:val="center"/>
        <w:rPr>
          <w:rFonts w:ascii="TimesNewRoman" w:hAnsi="TimesNewRoman" w:eastAsia="黑体" w:cs="TimesNewRoman"/>
          <w:color w:val="auto"/>
          <w:sz w:val="36"/>
          <w:szCs w:val="36"/>
        </w:rPr>
      </w:pPr>
    </w:p>
    <w:p w14:paraId="06CA344C">
      <w:pPr>
        <w:topLinePunct/>
        <w:adjustRightInd w:val="0"/>
        <w:snapToGrid w:val="0"/>
        <w:spacing w:line="560" w:lineRule="exact"/>
        <w:jc w:val="center"/>
        <w:rPr>
          <w:rFonts w:ascii="TimesNewRoman" w:hAnsi="TimesNewRoman" w:eastAsia="黑体" w:cs="TimesNewRoman"/>
          <w:color w:val="auto"/>
          <w:sz w:val="36"/>
          <w:szCs w:val="36"/>
        </w:rPr>
      </w:pPr>
    </w:p>
    <w:p w14:paraId="00D4C931">
      <w:pPr>
        <w:topLinePunct/>
        <w:adjustRightInd w:val="0"/>
        <w:snapToGrid w:val="0"/>
        <w:spacing w:line="560" w:lineRule="exact"/>
        <w:jc w:val="center"/>
        <w:rPr>
          <w:rFonts w:ascii="TimesNewRoman" w:hAnsi="TimesNewRoman" w:eastAsia="黑体" w:cs="TimesNewRoman"/>
          <w:color w:val="auto"/>
          <w:sz w:val="36"/>
          <w:szCs w:val="36"/>
        </w:rPr>
      </w:pPr>
    </w:p>
    <w:p w14:paraId="076FC341">
      <w:pPr>
        <w:topLinePunct/>
        <w:adjustRightInd w:val="0"/>
        <w:snapToGrid w:val="0"/>
        <w:spacing w:line="560" w:lineRule="exact"/>
        <w:jc w:val="center"/>
        <w:rPr>
          <w:rFonts w:ascii="TimesNewRoman" w:hAnsi="TimesNewRoman" w:eastAsia="黑体" w:cs="TimesNewRoman"/>
          <w:color w:val="auto"/>
          <w:sz w:val="36"/>
          <w:szCs w:val="36"/>
        </w:rPr>
      </w:pPr>
    </w:p>
    <w:p w14:paraId="30B58A3C">
      <w:pPr>
        <w:topLinePunct/>
        <w:adjustRightInd w:val="0"/>
        <w:snapToGrid w:val="0"/>
        <w:spacing w:line="560" w:lineRule="exact"/>
        <w:jc w:val="center"/>
        <w:rPr>
          <w:rFonts w:ascii="TimesNewRoman" w:hAnsi="TimesNewRoman" w:eastAsia="黑体" w:cs="TimesNewRoman"/>
          <w:color w:val="auto"/>
          <w:sz w:val="36"/>
          <w:szCs w:val="36"/>
        </w:rPr>
      </w:pPr>
    </w:p>
    <w:p w14:paraId="4C7865DC">
      <w:pPr>
        <w:topLinePunct/>
        <w:adjustRightInd w:val="0"/>
        <w:snapToGrid w:val="0"/>
        <w:spacing w:line="560" w:lineRule="exact"/>
        <w:jc w:val="center"/>
        <w:rPr>
          <w:rFonts w:ascii="TimesNewRoman" w:hAnsi="TimesNewRoman" w:eastAsia="黑体" w:cs="TimesNewRoman"/>
          <w:color w:val="auto"/>
          <w:sz w:val="36"/>
          <w:szCs w:val="36"/>
        </w:rPr>
      </w:pPr>
    </w:p>
    <w:p w14:paraId="566C4361">
      <w:pPr>
        <w:topLinePunct/>
        <w:adjustRightInd w:val="0"/>
        <w:snapToGrid w:val="0"/>
        <w:spacing w:line="560" w:lineRule="exact"/>
        <w:jc w:val="center"/>
        <w:rPr>
          <w:rFonts w:ascii="TimesNewRoman" w:hAnsi="TimesNewRoman" w:eastAsia="黑体" w:cs="TimesNewRoman"/>
          <w:color w:val="auto"/>
          <w:sz w:val="36"/>
          <w:szCs w:val="36"/>
        </w:rPr>
      </w:pPr>
    </w:p>
    <w:p w14:paraId="538D5C40">
      <w:pPr>
        <w:topLinePunct/>
        <w:adjustRightInd w:val="0"/>
        <w:snapToGrid w:val="0"/>
        <w:spacing w:line="560" w:lineRule="exact"/>
        <w:jc w:val="center"/>
        <w:rPr>
          <w:rFonts w:ascii="TimesNewRoman" w:hAnsi="TimesNewRoman" w:eastAsia="黑体" w:cs="TimesNewRoman"/>
          <w:color w:val="auto"/>
          <w:sz w:val="36"/>
          <w:szCs w:val="36"/>
        </w:rPr>
      </w:pPr>
    </w:p>
    <w:p w14:paraId="59415C39">
      <w:pPr>
        <w:topLinePunct/>
        <w:adjustRightInd w:val="0"/>
        <w:snapToGrid w:val="0"/>
        <w:spacing w:line="560" w:lineRule="exact"/>
        <w:jc w:val="center"/>
        <w:rPr>
          <w:rFonts w:ascii="TimesNewRoman" w:hAnsi="TimesNewRoman" w:eastAsia="黑体" w:cs="TimesNewRoman"/>
          <w:color w:val="auto"/>
          <w:sz w:val="36"/>
          <w:szCs w:val="36"/>
        </w:rPr>
      </w:pPr>
      <w:r>
        <w:rPr>
          <w:rFonts w:ascii="TimesNewRoman" w:hAnsi="TimesNewRoman" w:eastAsia="黑体" w:cs="TimesNewRoman"/>
          <w:color w:val="auto"/>
          <w:sz w:val="36"/>
          <w:szCs w:val="36"/>
        </w:rPr>
        <w:t>第</w:t>
      </w:r>
      <w:r>
        <w:rPr>
          <w:rFonts w:hint="eastAsia" w:ascii="TimesNewRoman" w:hAnsi="TimesNewRoman" w:eastAsia="黑体" w:cs="TimesNewRoman"/>
          <w:color w:val="auto"/>
          <w:sz w:val="36"/>
          <w:szCs w:val="36"/>
          <w:lang w:val="en-US" w:eastAsia="zh-CN"/>
        </w:rPr>
        <w:t>三</w:t>
      </w:r>
      <w:r>
        <w:rPr>
          <w:rFonts w:ascii="TimesNewRoman" w:hAnsi="TimesNewRoman" w:eastAsia="黑体" w:cs="TimesNewRoman"/>
          <w:color w:val="auto"/>
          <w:sz w:val="36"/>
          <w:szCs w:val="36"/>
        </w:rPr>
        <w:t>部分 名词解释</w:t>
      </w:r>
    </w:p>
    <w:p w14:paraId="509C55E5">
      <w:pPr>
        <w:topLinePunct/>
        <w:adjustRightInd w:val="0"/>
        <w:snapToGrid w:val="0"/>
        <w:spacing w:line="560" w:lineRule="exact"/>
        <w:rPr>
          <w:rFonts w:ascii="TimesNewRoman" w:hAnsi="TimesNewRoman" w:eastAsia="黑体" w:cs="TimesNewRoman"/>
          <w:color w:val="auto"/>
          <w:szCs w:val="32"/>
        </w:rPr>
      </w:pPr>
    </w:p>
    <w:p w14:paraId="434FC720">
      <w:pPr>
        <w:topLinePunct/>
        <w:adjustRightInd w:val="0"/>
        <w:snapToGrid w:val="0"/>
        <w:spacing w:line="560" w:lineRule="exact"/>
        <w:ind w:firstLine="640" w:firstLineChars="200"/>
        <w:rPr>
          <w:rFonts w:ascii="TimesNewRoman" w:hAnsi="TimesNewRoman" w:eastAsia="仿宋_GB2312" w:cs="TimesNewRoman"/>
          <w:color w:val="auto"/>
          <w:kern w:val="0"/>
          <w:sz w:val="32"/>
          <w:szCs w:val="32"/>
          <w:lang w:val="en-US" w:eastAsia="zh-CN" w:bidi="ar-SA"/>
        </w:rPr>
      </w:pPr>
      <w:r>
        <w:rPr>
          <w:rFonts w:hint="eastAsia" w:ascii="楷体_GB2312" w:hAnsi="TimesNewRoman" w:eastAsia="楷体_GB2312" w:cs="TimesNewRoman"/>
          <w:color w:val="auto"/>
          <w:sz w:val="32"/>
          <w:szCs w:val="32"/>
        </w:rPr>
        <w:t>一、财政拨款收入</w:t>
      </w:r>
      <w:r>
        <w:rPr>
          <w:rFonts w:hint="eastAsia" w:ascii="楷体_GB2312" w:hAnsi="TimesNewRoman" w:eastAsia="楷体_GB2312" w:cs="TimesNewRoman"/>
          <w:b/>
          <w:color w:val="auto"/>
          <w:sz w:val="32"/>
          <w:szCs w:val="32"/>
        </w:rPr>
        <w:t>：</w:t>
      </w:r>
      <w:r>
        <w:rPr>
          <w:rFonts w:ascii="TimesNewRoman" w:hAnsi="TimesNewRoman" w:eastAsia="仿宋_GB2312" w:cs="TimesNewRoman"/>
          <w:color w:val="auto"/>
          <w:kern w:val="0"/>
          <w:sz w:val="32"/>
          <w:szCs w:val="32"/>
          <w:lang w:val="en-US" w:eastAsia="zh-CN" w:bidi="ar-SA"/>
        </w:rPr>
        <w:t>指部门或单位从同级财政部门取得的财政预算资金。</w:t>
      </w:r>
    </w:p>
    <w:p w14:paraId="62B1F3B8">
      <w:pPr>
        <w:pStyle w:val="4"/>
        <w:topLinePunct/>
        <w:adjustRightInd w:val="0"/>
        <w:snapToGrid w:val="0"/>
        <w:spacing w:beforeAutospacing="0" w:afterAutospacing="0" w:line="560" w:lineRule="exact"/>
        <w:ind w:firstLine="627" w:firstLineChars="196"/>
        <w:jc w:val="both"/>
        <w:rPr>
          <w:rFonts w:ascii="TimesNewRoman" w:hAnsi="TimesNewRoman" w:eastAsia="黑体" w:cs="TimesNewRoman"/>
          <w:color w:val="auto"/>
          <w:sz w:val="32"/>
          <w:szCs w:val="32"/>
        </w:rPr>
      </w:pPr>
      <w:r>
        <w:rPr>
          <w:rFonts w:ascii="楷体_GB2312" w:hAnsi="TimesNewRoman" w:eastAsia="楷体_GB2312" w:cs="TimesNewRoman"/>
          <w:color w:val="auto"/>
          <w:kern w:val="2"/>
          <w:sz w:val="32"/>
          <w:szCs w:val="32"/>
        </w:rPr>
        <w:t>二、事业收入：</w:t>
      </w:r>
      <w:r>
        <w:rPr>
          <w:rFonts w:ascii="TimesNewRoman" w:hAnsi="TimesNewRoman" w:eastAsia="仿宋_GB2312" w:cs="TimesNewRoman"/>
          <w:color w:val="auto"/>
          <w:sz w:val="32"/>
          <w:szCs w:val="32"/>
        </w:rPr>
        <w:t>指事业单位开展专业业务活动及辅助活动所取得的收入。</w:t>
      </w:r>
    </w:p>
    <w:p w14:paraId="468E0610">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三、财政专户管理资金：</w:t>
      </w:r>
      <w:r>
        <w:rPr>
          <w:rFonts w:ascii="TimesNewRoman" w:hAnsi="TimesNewRoman" w:eastAsia="仿宋_GB2312" w:cs="TimesNewRoman"/>
          <w:color w:val="auto"/>
          <w:sz w:val="32"/>
          <w:szCs w:val="32"/>
        </w:rPr>
        <w:t>指按照非税收入管理相关规定，纳入财政专户管理的教育收费等。</w:t>
      </w:r>
    </w:p>
    <w:p w14:paraId="51C9094C">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四、事业单位经营收入：</w:t>
      </w:r>
      <w:r>
        <w:rPr>
          <w:rFonts w:ascii="TimesNewRoman" w:hAnsi="TimesNewRoman" w:eastAsia="仿宋_GB2312" w:cs="TimesNewRoman"/>
          <w:color w:val="auto"/>
          <w:sz w:val="32"/>
          <w:szCs w:val="32"/>
        </w:rPr>
        <w:t>指事业单位在专业业务活动及其辅助活动之外开展非独立核算经营活动取得的收入。</w:t>
      </w:r>
    </w:p>
    <w:p w14:paraId="1DAA7A59">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五、附属单位上缴收入：</w:t>
      </w:r>
      <w:r>
        <w:rPr>
          <w:rFonts w:ascii="TimesNewRoman" w:hAnsi="TimesNewRoman" w:eastAsia="仿宋_GB2312" w:cs="TimesNewRoman"/>
          <w:color w:val="auto"/>
          <w:sz w:val="32"/>
          <w:szCs w:val="32"/>
        </w:rPr>
        <w:t>本单位所属下级单位上缴给本单位的全部收入。</w:t>
      </w:r>
    </w:p>
    <w:p w14:paraId="1911B869">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六、上年结转：</w:t>
      </w:r>
      <w:r>
        <w:rPr>
          <w:rFonts w:ascii="TimesNewRoman" w:hAnsi="TimesNewRoman" w:eastAsia="仿宋_GB2312" w:cs="TimesNewRoman"/>
          <w:color w:val="auto"/>
          <w:sz w:val="32"/>
          <w:szCs w:val="32"/>
        </w:rPr>
        <w:t>指以前年度安排、结转到本年仍按原用途继续使用的资金。</w:t>
      </w:r>
    </w:p>
    <w:p w14:paraId="3E7A60E6">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七、结转下年：</w:t>
      </w:r>
      <w:r>
        <w:rPr>
          <w:rFonts w:ascii="TimesNewRoman" w:hAnsi="TimesNewRoman" w:eastAsia="仿宋_GB2312" w:cs="TimesNewRoman"/>
          <w:color w:val="auto"/>
          <w:sz w:val="32"/>
          <w:szCs w:val="32"/>
        </w:rPr>
        <w:t>指以前年度预算安排、因客观条件发生变化无法按原计划实施，需以后年度按原用途继续使用的资金。</w:t>
      </w:r>
    </w:p>
    <w:p w14:paraId="5C13DC6B">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八、基本支出：</w:t>
      </w:r>
      <w:r>
        <w:rPr>
          <w:rFonts w:ascii="TimesNewRoman" w:hAnsi="TimesNewRoman" w:eastAsia="仿宋_GB2312" w:cs="TimesNewRoman"/>
          <w:color w:val="auto"/>
          <w:sz w:val="32"/>
          <w:szCs w:val="32"/>
        </w:rPr>
        <w:t>指为保障机构正常运转、完成日常工作任务而发生的人员支出和公用支出。</w:t>
      </w:r>
    </w:p>
    <w:p w14:paraId="57CC8035">
      <w:pPr>
        <w:pStyle w:val="4"/>
        <w:topLinePunct/>
        <w:spacing w:beforeAutospacing="0" w:afterAutospacing="0" w:line="560" w:lineRule="exact"/>
        <w:ind w:firstLine="627" w:firstLineChars="196"/>
        <w:jc w:val="both"/>
        <w:rPr>
          <w:rFonts w:ascii="TimesNewRoman" w:hAnsi="TimesNewRoman" w:eastAsia="仿宋_GB2312" w:cs="TimesNewRoman"/>
          <w:color w:val="auto"/>
          <w:sz w:val="32"/>
          <w:szCs w:val="32"/>
        </w:rPr>
      </w:pPr>
      <w:r>
        <w:rPr>
          <w:rFonts w:ascii="楷体_GB2312" w:hAnsi="TimesNewRoman" w:eastAsia="楷体_GB2312" w:cs="TimesNewRoman"/>
          <w:color w:val="auto"/>
          <w:kern w:val="2"/>
          <w:sz w:val="32"/>
          <w:szCs w:val="32"/>
        </w:rPr>
        <w:t>九、项目支出：</w:t>
      </w:r>
      <w:r>
        <w:rPr>
          <w:rFonts w:ascii="TimesNewRoman" w:hAnsi="TimesNewRoman" w:eastAsia="仿宋_GB2312" w:cs="TimesNewRoman"/>
          <w:color w:val="auto"/>
          <w:sz w:val="32"/>
          <w:szCs w:val="32"/>
        </w:rPr>
        <w:t>指在除基本支出之外的支出，主要用于完成特定的工作任务和事业发展目标。</w:t>
      </w:r>
      <w:r>
        <w:rPr>
          <w:rFonts w:ascii="TimesNewRoman" w:hAnsi="TimesNewRoman" w:eastAsia="仿宋_GB2312" w:cs="TimesNewRoman"/>
          <w:color w:val="auto"/>
          <w:sz w:val="32"/>
          <w:szCs w:val="32"/>
        </w:rPr>
        <w:br w:type="textWrapping"/>
      </w:r>
      <w:r>
        <w:rPr>
          <w:rFonts w:ascii="楷体_GB2312" w:hAnsi="TimesNewRoman" w:eastAsia="楷体_GB2312" w:cs="TimesNewRoman"/>
          <w:color w:val="auto"/>
          <w:kern w:val="2"/>
          <w:sz w:val="32"/>
          <w:szCs w:val="32"/>
        </w:rPr>
        <w:t xml:space="preserve">    十、机关运行经费:</w:t>
      </w:r>
      <w:r>
        <w:rPr>
          <w:rFonts w:ascii="TimesNewRoman" w:hAnsi="TimesNewRoman" w:eastAsia="仿宋_GB2312" w:cs="TimesNewRoman"/>
          <w:color w:val="auto"/>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986C57A">
      <w:pPr>
        <w:pStyle w:val="4"/>
        <w:topLinePunct/>
        <w:adjustRightInd w:val="0"/>
        <w:snapToGrid w:val="0"/>
        <w:spacing w:beforeAutospacing="0" w:afterAutospacing="0" w:line="560" w:lineRule="exact"/>
        <w:ind w:firstLine="627" w:firstLineChars="196"/>
        <w:jc w:val="both"/>
        <w:rPr>
          <w:rFonts w:ascii="TimesNewRoman" w:hAnsi="TimesNewRoman" w:eastAsia="楷体_GB2312" w:cs="TimesNewRoman"/>
          <w:color w:val="auto"/>
          <w:sz w:val="32"/>
          <w:szCs w:val="32"/>
        </w:rPr>
        <w:sectPr>
          <w:footerReference r:id="rId3" w:type="default"/>
          <w:pgSz w:w="11907" w:h="16840"/>
          <w:pgMar w:top="2098" w:right="1474" w:bottom="1985" w:left="1588" w:header="851" w:footer="1021" w:gutter="0"/>
          <w:cols w:space="425" w:num="1"/>
          <w:docGrid w:type="lines" w:linePitch="312" w:charSpace="0"/>
        </w:sectPr>
      </w:pPr>
      <w:r>
        <w:rPr>
          <w:rFonts w:ascii="楷体_GB2312" w:hAnsi="TimesNewRoman" w:eastAsia="楷体_GB2312" w:cs="TimesNewRoman"/>
          <w:color w:val="auto"/>
          <w:kern w:val="2"/>
          <w:sz w:val="32"/>
          <w:szCs w:val="32"/>
        </w:rPr>
        <w:t>十一、一般公共服务支出（类）财政事务（款）财政国库业务：</w:t>
      </w:r>
      <w:r>
        <w:rPr>
          <w:rFonts w:ascii="TimesNewRoman" w:hAnsi="TimesNewRoman" w:eastAsia="仿宋_GB2312" w:cs="TimesNewRoman"/>
          <w:color w:val="auto"/>
          <w:sz w:val="32"/>
          <w:szCs w:val="32"/>
        </w:rPr>
        <w:t>反映</w:t>
      </w:r>
      <w:r>
        <w:rPr>
          <w:rFonts w:hint="eastAsia" w:ascii="TimesNewRoman" w:hAnsi="TimesNewRoman" w:eastAsia="仿宋_GB2312" w:cs="TimesNewRoman"/>
          <w:color w:val="auto"/>
          <w:sz w:val="32"/>
          <w:szCs w:val="32"/>
        </w:rPr>
        <w:t>县</w:t>
      </w:r>
      <w:r>
        <w:rPr>
          <w:rFonts w:hint="eastAsia" w:ascii="TimesNewRoman" w:hAnsi="TimesNewRoman" w:eastAsia="仿宋_GB2312" w:cs="TimesNewRoman"/>
          <w:color w:val="auto"/>
          <w:sz w:val="32"/>
          <w:szCs w:val="32"/>
          <w:u w:val="single"/>
        </w:rPr>
        <w:t>财政局</w:t>
      </w:r>
      <w:r>
        <w:rPr>
          <w:rFonts w:ascii="TimesNewRoman" w:hAnsi="TimesNewRoman" w:eastAsia="仿宋_GB2312" w:cs="TimesNewRoman"/>
          <w:color w:val="auto"/>
          <w:sz w:val="32"/>
          <w:szCs w:val="32"/>
        </w:rPr>
        <w:t>用于国库集中收付业务方面的支出。</w:t>
      </w:r>
    </w:p>
    <w:p w14:paraId="5D32C119">
      <w:pPr>
        <w:rPr>
          <w:color w:val="auto"/>
        </w:rPr>
      </w:pPr>
    </w:p>
    <w:sectPr>
      <w:footerReference r:id="rId4" w:type="default"/>
      <w:type w:val="oddPage"/>
      <w:pgSz w:w="11907" w:h="16840"/>
      <w:pgMar w:top="2098" w:right="1474" w:bottom="1985" w:left="1588" w:header="85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Arial"/>
    <w:panose1 w:val="00000000000000000000"/>
    <w:charset w:val="00"/>
    <w:family w:val="auto"/>
    <w:pitch w:val="default"/>
    <w:sig w:usb0="00000000" w:usb1="00000000" w:usb2="00000029" w:usb3="00000000" w:csb0="600001FF" w:csb1="FFFF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汉仪中秀体简">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57FF6">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24</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5D98450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1F8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xMzU0MGNiODRkZjMxOTk4NmUxY2Y0OWNmZjRjMmQifQ=="/>
  </w:docVars>
  <w:rsids>
    <w:rsidRoot w:val="34C97AC9"/>
    <w:rsid w:val="00063B44"/>
    <w:rsid w:val="00204640"/>
    <w:rsid w:val="00492892"/>
    <w:rsid w:val="004B7093"/>
    <w:rsid w:val="005026C4"/>
    <w:rsid w:val="0057415D"/>
    <w:rsid w:val="0058338A"/>
    <w:rsid w:val="00710E09"/>
    <w:rsid w:val="00973CC8"/>
    <w:rsid w:val="00AA1601"/>
    <w:rsid w:val="00B40884"/>
    <w:rsid w:val="00BB063D"/>
    <w:rsid w:val="041B0A5C"/>
    <w:rsid w:val="05326C92"/>
    <w:rsid w:val="057C07C4"/>
    <w:rsid w:val="070E4360"/>
    <w:rsid w:val="0D8F132C"/>
    <w:rsid w:val="10CC4C14"/>
    <w:rsid w:val="1D660B43"/>
    <w:rsid w:val="24E836C8"/>
    <w:rsid w:val="265E1D7A"/>
    <w:rsid w:val="29DE0D99"/>
    <w:rsid w:val="2AF215E7"/>
    <w:rsid w:val="316E0AD0"/>
    <w:rsid w:val="34C97AC9"/>
    <w:rsid w:val="366C3C46"/>
    <w:rsid w:val="39827B7C"/>
    <w:rsid w:val="39DC7D6B"/>
    <w:rsid w:val="3E044368"/>
    <w:rsid w:val="496C04E9"/>
    <w:rsid w:val="4E7F7BF0"/>
    <w:rsid w:val="4FBB35F1"/>
    <w:rsid w:val="559E63C4"/>
    <w:rsid w:val="56FC5E53"/>
    <w:rsid w:val="5CA93FCD"/>
    <w:rsid w:val="5CB72AC9"/>
    <w:rsid w:val="5EB37FD7"/>
    <w:rsid w:val="62F92E8C"/>
    <w:rsid w:val="634F24A8"/>
    <w:rsid w:val="6EA202A7"/>
    <w:rsid w:val="757D4A66"/>
    <w:rsid w:val="76E94E08"/>
    <w:rsid w:val="778B24D1"/>
    <w:rsid w:val="78B029B2"/>
    <w:rsid w:val="7C7E3AE5"/>
    <w:rsid w:val="7EA111FA"/>
    <w:rsid w:val="7EDA0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ascii="Calibri" w:hAnsi="Calibri"/>
      <w:kern w:val="0"/>
      <w:sz w:val="24"/>
    </w:rPr>
  </w:style>
  <w:style w:type="character" w:styleId="7">
    <w:name w:val="Strong"/>
    <w:basedOn w:val="6"/>
    <w:qFormat/>
    <w:uiPriority w:val="0"/>
    <w:rPr>
      <w:b/>
      <w:bCs/>
    </w:rPr>
  </w:style>
  <w:style w:type="character" w:customStyle="1" w:styleId="8">
    <w:name w:val="页眉 字符"/>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1579</Words>
  <Characters>1977</Characters>
  <Lines>85</Lines>
  <Paragraphs>24</Paragraphs>
  <TotalTime>406</TotalTime>
  <ScaleCrop>false</ScaleCrop>
  <LinksUpToDate>false</LinksUpToDate>
  <CharactersWithSpaces>2603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2024-01-22T08:11:00Z</dcterms:created>
  <dc:creator>二蛋</dc:creator>
  <cp:lastModifiedBy>求甚解的木木</cp:lastModifiedBy>
  <cp:lastPrinted>2025-01-26T00:58:00Z</cp:lastPrinted>
  <dcterms:modified xsi:type="dcterms:W3CDTF">2025-02-18T01:30:25Z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AB12261BCF484B528A5866483B2ED966_11</vt:lpwstr>
  </property>
  <property fmtid="{D5CDD505-2E9C-101B-9397-08002B2CF9AE}" pid="4" name="KSOTemplateDocerSaveRecord">
    <vt:lpwstr>eyJoZGlkIjoiODFhZTZlMGE1OWE3ZWFmNGMyMDRjYTBiMTg2OWQ5NjkiLCJ1c2VySWQiOiIyNjM2MDM3MTcifQ==</vt:lpwstr>
  </property>
</Properties>
</file>