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医疗保障权益管理中心办公经费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寿县医疗保障权益管理中心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92.50 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92.50 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92.50 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92.50 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为贯彻落实医疗保障基金监督管理办法、建立健全医疗保障基金安全防控机制、信用评价体系和信息披露制度，组织开展对参保单位和个体人员医疗保险参保进行稽核,监督管理医疗行为和医疗费用,受理投诉举报，依法查处违法违规行为及办理参保登记、变更、注销等业务，保障新农合管理机构正常运转和工作支出需要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为贯彻落实医疗保障基金监督管理办法、建立健全医疗保障基金安全防控机制、信用评价体系和信息披露制度，组织开展对参保单位和个体人员医疗保险参保进行稽核,监督管理医疗行为和医疗费用,受理投诉举报，依法查处违法违规行为及办理参保登记、变更、注销等业务，保障新农合管理机构正常运转和工作支出需要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指标1：经费支出合理性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严格执行相关财经法规、制度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指标1：经费支出合理性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严格执行相关财经法规、制度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指标2：符合受理条件的线索受理率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指标2：符合受理条件的线索受理率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right="0" w:firstLine="200" w:firstLineChars="100"/>
              <w:rPr>
                <w:rFonts w:eastAsia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指标3：监督举报登记率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指标1：经费支出时效性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1年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指标1：经费支出时效性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1年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指标2：处理投诉举报问题的及时性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≤7工作日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指标2：处理投诉举报问题的及时性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≤7工作日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指标3：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指标1：保障单位正常运转、加强对医疗机构监管、保障医保制度有效运行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有保障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不断提高定点医药机构、定点药房和广大参保群众政策知晓率，强化定点医药机构、定点药房和参保人员法制意识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影响程度明显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指标2：不断提高定点医药机构、定点药房和广大参保群众政策知晓率，强化定点医药机构、定点药房和参保人员法制意识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影响程度明显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指标2：对健全基本医疗保险制度体系，完善基本医保筹资机制和待遇保障政策，更好保障全县人民群众就医需求、减轻医药费用负担的持续影响程度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影响程度明显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eastAsia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指标3：对健全基本医疗保险制度体系，完善基本医保筹资机制和待遇保障政策，更好保障全县人民群众就医需求、减轻医药费用负担的持续影响程度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影响程度明显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指标3：落实医疗保障基金监督管理办法、建立健全医疗保障基金安全防控机制、信用评价体系和信息披露制度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影响程度明显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eastAsia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 xml:space="preserve"> 指标4：落实医疗保障基金监督管理办法、建立健全医疗保障基金安全防控机制、信用评价体系和信息披露制度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影响程度明显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/>
                <w:sz w:val="20"/>
                <w:szCs w:val="20"/>
              </w:rPr>
              <w:t>：保障单位正常运转、加强对医疗机构监管、保障医保制度有效运行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有保障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指标1：对提升医保基金监管工作水平，维护医保基金安全，推动医保事业可持续发展的影响程度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影响程度明显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指标1：对提升医保基金监管工作水平，维护医保基金安全，推动医保事业可持续发展的影响程度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影响程度明显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62E303A"/>
    <w:rsid w:val="08C849CC"/>
    <w:rsid w:val="092E2FAF"/>
    <w:rsid w:val="0B157C24"/>
    <w:rsid w:val="108D3DE4"/>
    <w:rsid w:val="3E1C6F8C"/>
    <w:rsid w:val="4CAB18D4"/>
    <w:rsid w:val="500E77DA"/>
    <w:rsid w:val="55110643"/>
    <w:rsid w:val="5E957172"/>
    <w:rsid w:val="67EE6452"/>
    <w:rsid w:val="71BA0CAF"/>
    <w:rsid w:val="7B4A03E1"/>
    <w:rsid w:val="7E2C131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2022-02-16T07:46:40Z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2052-11.1.0.10132</vt:lpwstr>
  </property>
</Properties>
</file>