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tbl>
      <w:tblPr>
        <w:tblStyle w:val="TableNormal"/>
        <w:tblW w:w="9191" w:type="dxa"/>
        <w:tblInd w:w="-78" w:type="dxa"/>
        <w:tblLayout w:type="fixed"/>
        <w:tblCellMar>
          <w:top w:w="0" w:type="dxa"/>
          <w:left w:w="108" w:type="dxa"/>
          <w:bottom w:w="0" w:type="dxa"/>
          <w:right w:w="108" w:type="dxa"/>
        </w:tblCellMar>
      </w:tblPr>
      <w:tblGrid>
        <w:gridCol w:w="450"/>
        <w:gridCol w:w="617"/>
        <w:gridCol w:w="916"/>
        <w:gridCol w:w="1467"/>
        <w:gridCol w:w="1150"/>
        <w:gridCol w:w="633"/>
        <w:gridCol w:w="700"/>
        <w:gridCol w:w="1284"/>
        <w:gridCol w:w="1350"/>
        <w:gridCol w:w="624"/>
      </w:tblGrid>
      <w:tr>
        <w:tblPrEx>
          <w:tblW w:w="9191" w:type="dxa"/>
          <w:tblInd w:w="-78" w:type="dxa"/>
          <w:tblLayout w:type="fixed"/>
          <w:tblCellMar>
            <w:top w:w="0" w:type="dxa"/>
            <w:left w:w="108" w:type="dxa"/>
            <w:bottom w:w="0" w:type="dxa"/>
            <w:right w:w="108" w:type="dxa"/>
          </w:tblCellMar>
        </w:tblPrEx>
        <w:trPr>
          <w:trHeight w:val="474"/>
        </w:trPr>
        <w:tc>
          <w:tcPr>
            <w:tcW w:w="9191" w:type="dxa"/>
            <w:gridSpan w:val="10"/>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b/>
                <w:bCs/>
                <w:sz w:val="32"/>
                <w:szCs w:val="32"/>
              </w:rPr>
            </w:pPr>
            <w:r>
              <w:rPr>
                <w:rFonts w:hint="eastAsia"/>
                <w:b/>
                <w:bCs/>
                <w:sz w:val="32"/>
                <w:szCs w:val="32"/>
              </w:rPr>
              <w:t>项目支出绩效目标表</w:t>
            </w:r>
          </w:p>
        </w:tc>
      </w:tr>
      <w:tr>
        <w:tblPrEx>
          <w:tblW w:w="9191" w:type="dxa"/>
          <w:tblInd w:w="-78" w:type="dxa"/>
          <w:tblLayout w:type="fixed"/>
          <w:tblCellMar>
            <w:top w:w="0" w:type="dxa"/>
            <w:left w:w="108" w:type="dxa"/>
            <w:bottom w:w="0" w:type="dxa"/>
            <w:right w:w="108" w:type="dxa"/>
          </w:tblCellMar>
        </w:tblPrEx>
        <w:trPr>
          <w:trHeight w:val="179"/>
        </w:trPr>
        <w:tc>
          <w:tcPr>
            <w:tcW w:w="9191" w:type="dxa"/>
            <w:gridSpan w:val="10"/>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w:t>
            </w:r>
            <w:r>
              <w:rPr>
                <w:rFonts w:hint="eastAsia"/>
                <w:sz w:val="20"/>
                <w:szCs w:val="20"/>
                <w:lang w:eastAsia="zh-CN"/>
              </w:rPr>
              <w:t>2022</w:t>
            </w:r>
            <w:r>
              <w:rPr>
                <w:rFonts w:hint="eastAsia"/>
                <w:sz w:val="20"/>
                <w:szCs w:val="20"/>
              </w:rPr>
              <w:t xml:space="preserve"> 年度）</w:t>
            </w:r>
          </w:p>
        </w:tc>
      </w:tr>
      <w:tr>
        <w:tblPrEx>
          <w:tblW w:w="9191" w:type="dxa"/>
          <w:tblInd w:w="-78" w:type="dxa"/>
          <w:tblLayout w:type="fixed"/>
          <w:tblCellMar>
            <w:top w:w="0" w:type="dxa"/>
            <w:left w:w="108" w:type="dxa"/>
            <w:bottom w:w="0" w:type="dxa"/>
            <w:right w:w="108" w:type="dxa"/>
          </w:tblCellMar>
        </w:tblPrEx>
        <w:trPr>
          <w:trHeight w:val="330"/>
        </w:trPr>
        <w:tc>
          <w:tcPr>
            <w:tcW w:w="1067"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color w:val="000000"/>
                <w:sz w:val="20"/>
                <w:szCs w:val="20"/>
              </w:rPr>
            </w:pPr>
            <w:r>
              <w:rPr>
                <w:rFonts w:hint="eastAsia"/>
                <w:color w:val="000000"/>
                <w:sz w:val="20"/>
                <w:szCs w:val="20"/>
              </w:rPr>
              <w:t>项目名称</w:t>
            </w:r>
          </w:p>
        </w:tc>
        <w:tc>
          <w:tcPr>
            <w:tcW w:w="8124" w:type="dxa"/>
            <w:gridSpan w:val="8"/>
            <w:tcBorders>
              <w:top w:val="single" w:sz="4" w:space="0" w:color="auto"/>
              <w:left w:val="nil"/>
              <w:bottom w:val="single" w:sz="4" w:space="0" w:color="auto"/>
              <w:right w:val="single" w:sz="4" w:space="0" w:color="000000"/>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color w:val="000000"/>
                <w:sz w:val="20"/>
                <w:szCs w:val="20"/>
              </w:rPr>
            </w:pPr>
            <w:r>
              <w:rPr>
                <w:rFonts w:hint="eastAsia"/>
                <w:color w:val="000000"/>
                <w:sz w:val="20"/>
                <w:szCs w:val="20"/>
              </w:rPr>
              <w:t>医保中心专项业务费、档案达标管理费及离休人员管理费　</w:t>
            </w:r>
          </w:p>
        </w:tc>
      </w:tr>
      <w:tr>
        <w:tblPrEx>
          <w:tblW w:w="9191" w:type="dxa"/>
          <w:tblInd w:w="-78" w:type="dxa"/>
          <w:tblLayout w:type="fixed"/>
          <w:tblCellMar>
            <w:top w:w="0" w:type="dxa"/>
            <w:left w:w="108" w:type="dxa"/>
            <w:bottom w:w="0" w:type="dxa"/>
            <w:right w:w="108" w:type="dxa"/>
          </w:tblCellMar>
        </w:tblPrEx>
        <w:trPr>
          <w:trHeight w:val="330"/>
        </w:trPr>
        <w:tc>
          <w:tcPr>
            <w:tcW w:w="1067"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color w:val="000000"/>
                <w:sz w:val="20"/>
                <w:szCs w:val="20"/>
              </w:rPr>
            </w:pPr>
            <w:r>
              <w:rPr>
                <w:rFonts w:hint="eastAsia"/>
                <w:color w:val="000000"/>
                <w:sz w:val="20"/>
                <w:szCs w:val="20"/>
              </w:rPr>
              <w:t>实施单位</w:t>
            </w:r>
          </w:p>
        </w:tc>
        <w:tc>
          <w:tcPr>
            <w:tcW w:w="8124" w:type="dxa"/>
            <w:gridSpan w:val="8"/>
            <w:tcBorders>
              <w:top w:val="single" w:sz="4" w:space="0" w:color="auto"/>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color w:val="000000"/>
                <w:sz w:val="20"/>
                <w:szCs w:val="20"/>
              </w:rPr>
            </w:pPr>
            <w:r>
              <w:rPr>
                <w:rFonts w:hint="eastAsia"/>
                <w:color w:val="000000"/>
                <w:sz w:val="20"/>
                <w:szCs w:val="20"/>
              </w:rPr>
              <w:t>　寿县医疗保险基金管理中心</w:t>
            </w:r>
          </w:p>
        </w:tc>
      </w:tr>
      <w:tr>
        <w:tblPrEx>
          <w:tblW w:w="9191" w:type="dxa"/>
          <w:tblInd w:w="-78" w:type="dxa"/>
          <w:tblLayout w:type="fixed"/>
          <w:tblCellMar>
            <w:top w:w="0" w:type="dxa"/>
            <w:left w:w="108" w:type="dxa"/>
            <w:bottom w:w="0" w:type="dxa"/>
            <w:right w:w="108" w:type="dxa"/>
          </w:tblCellMar>
        </w:tblPrEx>
        <w:trPr>
          <w:trHeight w:val="330"/>
        </w:trPr>
        <w:tc>
          <w:tcPr>
            <w:tcW w:w="1067" w:type="dxa"/>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color w:val="000000"/>
                <w:sz w:val="20"/>
                <w:szCs w:val="20"/>
              </w:rPr>
            </w:pPr>
            <w:r>
              <w:rPr>
                <w:rFonts w:hint="eastAsia"/>
                <w:color w:val="000000"/>
                <w:sz w:val="20"/>
                <w:szCs w:val="20"/>
              </w:rPr>
              <w:t>项目属性</w:t>
            </w:r>
          </w:p>
        </w:tc>
        <w:tc>
          <w:tcPr>
            <w:tcW w:w="8124" w:type="dxa"/>
            <w:gridSpan w:val="8"/>
            <w:tcBorders>
              <w:top w:val="single" w:sz="4" w:space="0" w:color="auto"/>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color w:val="000000"/>
                <w:sz w:val="20"/>
                <w:szCs w:val="20"/>
              </w:rPr>
            </w:pPr>
            <w:r>
              <w:rPr>
                <w:rFonts w:hint="eastAsia"/>
                <w:color w:val="000000"/>
                <w:sz w:val="20"/>
                <w:szCs w:val="20"/>
              </w:rPr>
              <w:t>常年项目　</w:t>
            </w:r>
          </w:p>
        </w:tc>
      </w:tr>
      <w:tr>
        <w:tblPrEx>
          <w:tblW w:w="9191" w:type="dxa"/>
          <w:tblInd w:w="-78" w:type="dxa"/>
          <w:tblLayout w:type="fixed"/>
          <w:tblCellMar>
            <w:top w:w="0" w:type="dxa"/>
            <w:left w:w="108" w:type="dxa"/>
            <w:bottom w:w="0" w:type="dxa"/>
            <w:right w:w="108" w:type="dxa"/>
          </w:tblCellMar>
        </w:tblPrEx>
        <w:trPr>
          <w:trHeight w:val="330"/>
        </w:trPr>
        <w:tc>
          <w:tcPr>
            <w:tcW w:w="1983" w:type="dxa"/>
            <w:gridSpan w:val="3"/>
            <w:vMerge w:val="restart"/>
            <w:tcBorders>
              <w:top w:val="single" w:sz="4" w:space="0" w:color="auto"/>
              <w:left w:val="single" w:sz="4" w:space="0" w:color="auto"/>
              <w:bottom w:val="single" w:sz="4" w:space="0" w:color="000000"/>
              <w:right w:val="single" w:sz="4" w:space="0" w:color="000000"/>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项目资金</w:t>
            </w:r>
            <w:r>
              <w:rPr>
                <w:rFonts w:hint="eastAsia"/>
                <w:sz w:val="20"/>
                <w:szCs w:val="20"/>
              </w:rPr>
              <w:br/>
            </w:r>
            <w:r>
              <w:rPr>
                <w:rFonts w:hint="eastAsia"/>
                <w:sz w:val="20"/>
                <w:szCs w:val="20"/>
              </w:rPr>
              <w:t>（万元）</w:t>
            </w: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xml:space="preserve"> 中期资金总额：</w:t>
            </w:r>
          </w:p>
        </w:tc>
        <w:tc>
          <w:tcPr>
            <w:tcW w:w="1783" w:type="dxa"/>
            <w:gridSpan w:val="2"/>
            <w:tcBorders>
              <w:top w:val="single" w:sz="4" w:space="0" w:color="auto"/>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26.58 　</w:t>
            </w:r>
          </w:p>
        </w:tc>
        <w:tc>
          <w:tcPr>
            <w:tcW w:w="1984" w:type="dxa"/>
            <w:gridSpan w:val="2"/>
            <w:tcBorders>
              <w:top w:val="single" w:sz="4" w:space="0" w:color="auto"/>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xml:space="preserve"> 年度资金总额：</w:t>
            </w:r>
          </w:p>
        </w:tc>
        <w:tc>
          <w:tcPr>
            <w:tcW w:w="1974" w:type="dxa"/>
            <w:gridSpan w:val="2"/>
            <w:tcBorders>
              <w:top w:val="single" w:sz="4" w:space="0" w:color="auto"/>
              <w:left w:val="nil"/>
              <w:bottom w:val="single" w:sz="4" w:space="0" w:color="auto"/>
              <w:right w:val="single" w:sz="4" w:space="0" w:color="000000"/>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26.58 　</w:t>
            </w:r>
          </w:p>
        </w:tc>
      </w:tr>
      <w:tr>
        <w:tblPrEx>
          <w:tblW w:w="9191" w:type="dxa"/>
          <w:tblInd w:w="-78" w:type="dxa"/>
          <w:tblLayout w:type="fixed"/>
          <w:tblCellMar>
            <w:top w:w="0" w:type="dxa"/>
            <w:left w:w="108" w:type="dxa"/>
            <w:bottom w:w="0" w:type="dxa"/>
            <w:right w:w="108" w:type="dxa"/>
          </w:tblCellMar>
        </w:tblPrEx>
        <w:trPr>
          <w:trHeight w:val="330"/>
        </w:trPr>
        <w:tc>
          <w:tcPr>
            <w:tcW w:w="1983" w:type="dxa"/>
            <w:gridSpan w:val="3"/>
            <w:vMerge/>
            <w:tcBorders>
              <w:top w:val="single" w:sz="4" w:space="0" w:color="auto"/>
              <w:left w:val="single" w:sz="4" w:space="0" w:color="auto"/>
              <w:bottom w:val="single" w:sz="4" w:space="0" w:color="000000"/>
              <w:right w:val="single" w:sz="4" w:space="0" w:color="000000"/>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xml:space="preserve">   其中：财政拨款</w:t>
            </w:r>
          </w:p>
        </w:tc>
        <w:tc>
          <w:tcPr>
            <w:tcW w:w="1783" w:type="dxa"/>
            <w:gridSpan w:val="2"/>
            <w:tcBorders>
              <w:top w:val="single" w:sz="4" w:space="0" w:color="auto"/>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26.58 　</w:t>
            </w:r>
          </w:p>
        </w:tc>
        <w:tc>
          <w:tcPr>
            <w:tcW w:w="1984" w:type="dxa"/>
            <w:gridSpan w:val="2"/>
            <w:tcBorders>
              <w:top w:val="single" w:sz="4" w:space="0" w:color="auto"/>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xml:space="preserve">   其中：财政拨款</w:t>
            </w:r>
          </w:p>
        </w:tc>
        <w:tc>
          <w:tcPr>
            <w:tcW w:w="1974" w:type="dxa"/>
            <w:gridSpan w:val="2"/>
            <w:tcBorders>
              <w:top w:val="single" w:sz="4" w:space="0" w:color="auto"/>
              <w:left w:val="nil"/>
              <w:bottom w:val="single" w:sz="4" w:space="0" w:color="auto"/>
              <w:right w:val="single" w:sz="4" w:space="0" w:color="000000"/>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26.58 　</w:t>
            </w:r>
          </w:p>
        </w:tc>
      </w:tr>
      <w:tr>
        <w:tblPrEx>
          <w:tblW w:w="9191" w:type="dxa"/>
          <w:tblInd w:w="-78" w:type="dxa"/>
          <w:tblLayout w:type="fixed"/>
          <w:tblCellMar>
            <w:top w:w="0" w:type="dxa"/>
            <w:left w:w="108" w:type="dxa"/>
            <w:bottom w:w="0" w:type="dxa"/>
            <w:right w:w="108" w:type="dxa"/>
          </w:tblCellMar>
        </w:tblPrEx>
        <w:trPr>
          <w:trHeight w:val="340"/>
        </w:trPr>
        <w:tc>
          <w:tcPr>
            <w:tcW w:w="1983" w:type="dxa"/>
            <w:gridSpan w:val="3"/>
            <w:vMerge/>
            <w:tcBorders>
              <w:top w:val="single" w:sz="4" w:space="0" w:color="auto"/>
              <w:left w:val="single" w:sz="4" w:space="0" w:color="auto"/>
              <w:bottom w:val="single" w:sz="4" w:space="0" w:color="000000"/>
              <w:right w:val="single" w:sz="4" w:space="0" w:color="000000"/>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xml:space="preserve">        其他资金</w:t>
            </w:r>
          </w:p>
        </w:tc>
        <w:tc>
          <w:tcPr>
            <w:tcW w:w="1783" w:type="dxa"/>
            <w:gridSpan w:val="2"/>
            <w:tcBorders>
              <w:top w:val="single" w:sz="4" w:space="0" w:color="auto"/>
              <w:left w:val="nil"/>
              <w:bottom w:val="single" w:sz="4" w:space="0" w:color="auto"/>
              <w:right w:val="single" w:sz="4" w:space="0" w:color="000000"/>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　</w:t>
            </w:r>
          </w:p>
        </w:tc>
        <w:tc>
          <w:tcPr>
            <w:tcW w:w="1984" w:type="dxa"/>
            <w:gridSpan w:val="2"/>
            <w:tcBorders>
              <w:top w:val="single" w:sz="4" w:space="0" w:color="auto"/>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xml:space="preserve">         其他资金</w:t>
            </w:r>
          </w:p>
        </w:tc>
        <w:tc>
          <w:tcPr>
            <w:tcW w:w="1974" w:type="dxa"/>
            <w:gridSpan w:val="2"/>
            <w:tcBorders>
              <w:top w:val="single" w:sz="4" w:space="0" w:color="auto"/>
              <w:left w:val="nil"/>
              <w:bottom w:val="single" w:sz="4" w:space="0" w:color="auto"/>
              <w:right w:val="single" w:sz="4" w:space="0" w:color="000000"/>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　</w:t>
            </w:r>
          </w:p>
        </w:tc>
      </w:tr>
      <w:tr>
        <w:tblPrEx>
          <w:tblW w:w="9191" w:type="dxa"/>
          <w:tblInd w:w="-78" w:type="dxa"/>
          <w:tblLayout w:type="fixed"/>
          <w:tblCellMar>
            <w:top w:w="0" w:type="dxa"/>
            <w:left w:w="108" w:type="dxa"/>
            <w:bottom w:w="0" w:type="dxa"/>
            <w:right w:w="108" w:type="dxa"/>
          </w:tblCellMar>
        </w:tblPrEx>
        <w:trPr>
          <w:trHeight w:val="330"/>
        </w:trPr>
        <w:tc>
          <w:tcPr>
            <w:tcW w:w="450" w:type="dxa"/>
            <w:vMerge w:val="restart"/>
            <w:tcBorders>
              <w:top w:val="nil"/>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总</w:t>
            </w:r>
            <w:r>
              <w:rPr>
                <w:rFonts w:hint="eastAsia"/>
                <w:sz w:val="20"/>
                <w:szCs w:val="20"/>
              </w:rPr>
              <w:br/>
            </w:r>
            <w:r>
              <w:rPr>
                <w:rFonts w:hint="eastAsia"/>
                <w:sz w:val="20"/>
                <w:szCs w:val="20"/>
              </w:rPr>
              <w:t>体</w:t>
            </w:r>
            <w:r>
              <w:rPr>
                <w:rFonts w:hint="eastAsia"/>
                <w:sz w:val="20"/>
                <w:szCs w:val="20"/>
              </w:rPr>
              <w:br/>
            </w:r>
            <w:r>
              <w:rPr>
                <w:rFonts w:hint="eastAsia"/>
                <w:sz w:val="20"/>
                <w:szCs w:val="20"/>
              </w:rPr>
              <w:t>目</w:t>
            </w:r>
            <w:r>
              <w:rPr>
                <w:rFonts w:hint="eastAsia"/>
                <w:sz w:val="20"/>
                <w:szCs w:val="20"/>
              </w:rPr>
              <w:br/>
            </w:r>
            <w:r>
              <w:rPr>
                <w:rFonts w:hint="eastAsia"/>
                <w:sz w:val="20"/>
                <w:szCs w:val="20"/>
              </w:rPr>
              <w:t>标</w:t>
            </w:r>
          </w:p>
        </w:tc>
        <w:tc>
          <w:tcPr>
            <w:tcW w:w="4783" w:type="dxa"/>
            <w:gridSpan w:val="5"/>
            <w:tcBorders>
              <w:top w:val="single" w:sz="4" w:space="0" w:color="auto"/>
              <w:left w:val="nil"/>
              <w:bottom w:val="single" w:sz="4" w:space="0" w:color="auto"/>
              <w:right w:val="nil"/>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中期目标（20</w:t>
            </w:r>
            <w:r>
              <w:rPr>
                <w:rFonts w:hint="eastAsia"/>
                <w:sz w:val="20"/>
                <w:szCs w:val="20"/>
                <w:lang w:val="en-US" w:eastAsia="zh-CN"/>
              </w:rPr>
              <w:t>22</w:t>
            </w:r>
            <w:r>
              <w:rPr>
                <w:rFonts w:hint="eastAsia"/>
                <w:sz w:val="20"/>
                <w:szCs w:val="20"/>
              </w:rPr>
              <w:t>年—20</w:t>
            </w:r>
            <w:r>
              <w:rPr>
                <w:rFonts w:hint="eastAsia"/>
                <w:sz w:val="20"/>
                <w:szCs w:val="20"/>
                <w:lang w:val="en-US" w:eastAsia="zh-CN"/>
              </w:rPr>
              <w:t>22</w:t>
            </w:r>
            <w:r>
              <w:rPr>
                <w:rFonts w:hint="eastAsia"/>
                <w:sz w:val="20"/>
                <w:szCs w:val="20"/>
              </w:rPr>
              <w:t>+n年）</w:t>
            </w:r>
          </w:p>
        </w:tc>
        <w:tc>
          <w:tcPr>
            <w:tcW w:w="3958" w:type="dxa"/>
            <w:gridSpan w:val="4"/>
            <w:tcBorders>
              <w:top w:val="single" w:sz="4" w:space="0" w:color="auto"/>
              <w:left w:val="single" w:sz="4" w:space="0" w:color="auto"/>
              <w:bottom w:val="single" w:sz="4" w:space="0" w:color="auto"/>
              <w:right w:val="single" w:sz="4" w:space="0" w:color="000000"/>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年度目标</w:t>
            </w:r>
          </w:p>
        </w:tc>
      </w:tr>
      <w:tr>
        <w:tblPrEx>
          <w:tblW w:w="9191" w:type="dxa"/>
          <w:tblInd w:w="-78" w:type="dxa"/>
          <w:tblLayout w:type="fixed"/>
          <w:tblCellMar>
            <w:top w:w="0" w:type="dxa"/>
            <w:left w:w="108" w:type="dxa"/>
            <w:bottom w:w="0" w:type="dxa"/>
            <w:right w:w="108" w:type="dxa"/>
          </w:tblCellMar>
        </w:tblPrEx>
        <w:trPr>
          <w:trHeight w:val="998"/>
        </w:trPr>
        <w:tc>
          <w:tcPr>
            <w:tcW w:w="450" w:type="dxa"/>
            <w:vMerge/>
            <w:tcBorders>
              <w:top w:val="nil"/>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4783" w:type="dxa"/>
            <w:gridSpan w:val="5"/>
            <w:tcBorders>
              <w:top w:val="single" w:sz="4" w:space="0" w:color="auto"/>
              <w:left w:val="nil"/>
              <w:bottom w:val="single" w:sz="4" w:space="0" w:color="auto"/>
              <w:right w:val="nil"/>
            </w:tcBorders>
            <w:noWrap w:val="0"/>
            <w:vAlign w:val="top"/>
          </w:tcPr>
          <w:p>
            <w:pPr>
              <w:keepNext w:val="0"/>
              <w:keepLines w:val="0"/>
              <w:suppressLineNumbers w:val="0"/>
              <w:spacing w:before="0" w:beforeAutospacing="0" w:after="0" w:afterAutospacing="0"/>
              <w:ind w:left="0" w:right="0"/>
              <w:rPr>
                <w:rFonts w:hint="eastAsia"/>
                <w:sz w:val="11"/>
                <w:szCs w:val="11"/>
              </w:rPr>
            </w:pPr>
            <w:r>
              <w:rPr>
                <w:rFonts w:hint="eastAsia"/>
                <w:sz w:val="11"/>
                <w:szCs w:val="11"/>
              </w:rPr>
              <w:t>根据第二十次县长办公会议纪要第七条，从2015年起对社会保险经办机构按照年社保费征收数额的千分之一的比例给予工作经费补助；保障医疗保险业务档案达标管理的目标实现；保障离休人员管理工作正常开展</w:t>
            </w:r>
          </w:p>
          <w:p>
            <w:pPr>
              <w:keepNext w:val="0"/>
              <w:keepLines w:val="0"/>
              <w:suppressLineNumbers w:val="0"/>
              <w:spacing w:before="0" w:beforeAutospacing="0" w:after="0" w:afterAutospacing="0"/>
              <w:ind w:left="0" w:right="0"/>
              <w:rPr>
                <w:rFonts w:ascii="宋体" w:eastAsia="宋体" w:hAnsi="宋体" w:cs="宋体" w:hint="default"/>
                <w:sz w:val="11"/>
                <w:szCs w:val="11"/>
              </w:rPr>
            </w:pPr>
          </w:p>
        </w:tc>
        <w:tc>
          <w:tcPr>
            <w:tcW w:w="3958" w:type="dxa"/>
            <w:gridSpan w:val="4"/>
            <w:tcBorders>
              <w:top w:val="single" w:sz="4" w:space="0" w:color="auto"/>
              <w:left w:val="single" w:sz="4" w:space="0" w:color="auto"/>
              <w:bottom w:val="single" w:sz="4" w:space="0" w:color="auto"/>
              <w:right w:val="single" w:sz="4" w:space="0" w:color="000000"/>
            </w:tcBorders>
            <w:noWrap w:val="0"/>
            <w:vAlign w:val="top"/>
          </w:tcPr>
          <w:p>
            <w:pPr>
              <w:keepNext w:val="0"/>
              <w:keepLines w:val="0"/>
              <w:suppressLineNumbers w:val="0"/>
              <w:spacing w:before="0" w:beforeAutospacing="0" w:after="0" w:afterAutospacing="0"/>
              <w:ind w:left="0" w:right="0"/>
              <w:rPr>
                <w:rFonts w:ascii="宋体" w:eastAsia="宋体" w:hAnsi="宋体" w:cs="宋体" w:hint="default"/>
                <w:sz w:val="11"/>
                <w:szCs w:val="11"/>
              </w:rPr>
            </w:pPr>
            <w:r>
              <w:rPr>
                <w:rFonts w:hint="eastAsia"/>
                <w:sz w:val="11"/>
                <w:szCs w:val="11"/>
              </w:rPr>
              <w:t>根据第二十次县长办公会议纪要第七条，从2015年起对社会保险经办机构按照年社保费征收数额的千分之一的比例给予工作经费补助；保障医疗保险业务档案达标管理的目标实现；保障离休人员管理工作正常开展</w:t>
            </w:r>
          </w:p>
        </w:tc>
      </w:tr>
      <w:tr>
        <w:tblPrEx>
          <w:tblW w:w="9191" w:type="dxa"/>
          <w:tblInd w:w="-78" w:type="dxa"/>
          <w:tblLayout w:type="fixed"/>
          <w:tblCellMar>
            <w:top w:w="0" w:type="dxa"/>
            <w:left w:w="108" w:type="dxa"/>
            <w:bottom w:w="0" w:type="dxa"/>
            <w:right w:w="108" w:type="dxa"/>
          </w:tblCellMar>
        </w:tblPrEx>
        <w:trPr>
          <w:trHeight w:val="830"/>
        </w:trPr>
        <w:tc>
          <w:tcPr>
            <w:tcW w:w="450" w:type="dxa"/>
            <w:vMerge w:val="restart"/>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绩</w:t>
            </w:r>
            <w:r>
              <w:rPr>
                <w:rFonts w:hint="eastAsia"/>
                <w:sz w:val="20"/>
                <w:szCs w:val="20"/>
              </w:rPr>
              <w:br/>
            </w:r>
            <w:r>
              <w:rPr>
                <w:rFonts w:hint="eastAsia"/>
                <w:sz w:val="20"/>
                <w:szCs w:val="20"/>
              </w:rPr>
              <w:t>效</w:t>
            </w:r>
            <w:r>
              <w:rPr>
                <w:rFonts w:hint="eastAsia"/>
                <w:sz w:val="20"/>
                <w:szCs w:val="20"/>
              </w:rPr>
              <w:br/>
            </w:r>
            <w:r>
              <w:rPr>
                <w:rFonts w:hint="eastAsia"/>
                <w:sz w:val="20"/>
                <w:szCs w:val="20"/>
              </w:rPr>
              <w:t>指</w:t>
            </w:r>
            <w:r>
              <w:rPr>
                <w:rFonts w:hint="eastAsia"/>
                <w:sz w:val="20"/>
                <w:szCs w:val="20"/>
              </w:rPr>
              <w:br/>
            </w:r>
            <w:r>
              <w:rPr>
                <w:rFonts w:hint="eastAsia"/>
                <w:sz w:val="20"/>
                <w:szCs w:val="20"/>
              </w:rPr>
              <w:t>标</w:t>
            </w:r>
          </w:p>
        </w:tc>
        <w:tc>
          <w:tcPr>
            <w:tcW w:w="617" w:type="dxa"/>
            <w:tcBorders>
              <w:top w:val="nil"/>
              <w:left w:val="nil"/>
              <w:bottom w:val="nil"/>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一级</w:t>
            </w:r>
            <w:r>
              <w:rPr>
                <w:rFonts w:hint="eastAsia"/>
                <w:sz w:val="20"/>
                <w:szCs w:val="20"/>
              </w:rPr>
              <w:br/>
            </w:r>
            <w:r>
              <w:rPr>
                <w:rFonts w:hint="eastAsia"/>
                <w:sz w:val="20"/>
                <w:szCs w:val="20"/>
              </w:rPr>
              <w:t>指标</w:t>
            </w:r>
          </w:p>
        </w:tc>
        <w:tc>
          <w:tcPr>
            <w:tcW w:w="916"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hint="default"/>
                <w:sz w:val="20"/>
                <w:szCs w:val="20"/>
              </w:rPr>
            </w:pPr>
            <w:r>
              <w:rPr>
                <w:rFonts w:hint="eastAsia"/>
                <w:sz w:val="20"/>
                <w:szCs w:val="20"/>
              </w:rPr>
              <w:t>二级</w:t>
            </w:r>
          </w:p>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指标</w:t>
            </w: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三级指标</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指标值</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绩效标准</w:t>
            </w:r>
          </w:p>
        </w:tc>
        <w:tc>
          <w:tcPr>
            <w:tcW w:w="70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hint="default"/>
                <w:sz w:val="20"/>
                <w:szCs w:val="20"/>
              </w:rPr>
            </w:pPr>
            <w:r>
              <w:rPr>
                <w:rFonts w:hint="eastAsia"/>
                <w:sz w:val="20"/>
                <w:szCs w:val="20"/>
              </w:rPr>
              <w:t>二级</w:t>
            </w:r>
          </w:p>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指标</w:t>
            </w:r>
          </w:p>
        </w:tc>
        <w:tc>
          <w:tcPr>
            <w:tcW w:w="1284" w:type="dxa"/>
            <w:tcBorders>
              <w:top w:val="nil"/>
              <w:left w:val="nil"/>
              <w:bottom w:val="single" w:sz="4" w:space="0" w:color="auto"/>
              <w:right w:val="nil"/>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三级指标</w:t>
            </w:r>
          </w:p>
        </w:tc>
        <w:tc>
          <w:tcPr>
            <w:tcW w:w="1350" w:type="dxa"/>
            <w:tcBorders>
              <w:top w:val="nil"/>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指标值</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jc w:val="center"/>
              <w:rPr>
                <w:rFonts w:ascii="宋体" w:eastAsia="宋体" w:hAnsi="宋体" w:cs="宋体" w:hint="default"/>
                <w:sz w:val="20"/>
                <w:szCs w:val="20"/>
              </w:rPr>
            </w:pPr>
            <w:r>
              <w:rPr>
                <w:rFonts w:hint="eastAsia"/>
                <w:sz w:val="20"/>
                <w:szCs w:val="20"/>
              </w:rPr>
              <w:t>绩效标准</w:t>
            </w: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val="restart"/>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20"/>
                <w:szCs w:val="20"/>
              </w:rPr>
              <w:t>产</w:t>
            </w:r>
            <w:r>
              <w:rPr>
                <w:rFonts w:hint="eastAsia"/>
                <w:sz w:val="20"/>
                <w:szCs w:val="20"/>
              </w:rPr>
              <w:br/>
            </w:r>
            <w:r>
              <w:rPr>
                <w:rFonts w:hint="eastAsia"/>
                <w:sz w:val="20"/>
                <w:szCs w:val="20"/>
              </w:rPr>
              <w:t>出</w:t>
            </w:r>
            <w:r>
              <w:rPr>
                <w:rFonts w:hint="eastAsia"/>
                <w:sz w:val="20"/>
                <w:szCs w:val="20"/>
              </w:rPr>
              <w:br/>
            </w:r>
            <w:r>
              <w:rPr>
                <w:rFonts w:hint="eastAsia"/>
                <w:sz w:val="20"/>
                <w:szCs w:val="20"/>
              </w:rPr>
              <w:t>指</w:t>
            </w:r>
            <w:r>
              <w:rPr>
                <w:rFonts w:hint="eastAsia"/>
                <w:sz w:val="20"/>
                <w:szCs w:val="20"/>
              </w:rPr>
              <w:br/>
            </w:r>
            <w:r>
              <w:rPr>
                <w:rFonts w:hint="eastAsia"/>
                <w:sz w:val="20"/>
                <w:szCs w:val="20"/>
              </w:rPr>
              <w:t>标</w:t>
            </w:r>
          </w:p>
        </w:tc>
        <w:tc>
          <w:tcPr>
            <w:tcW w:w="916" w:type="dxa"/>
            <w:vMerge w:val="restart"/>
            <w:tcBorders>
              <w:top w:val="nil"/>
              <w:left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eastAsia"/>
                <w:sz w:val="11"/>
                <w:szCs w:val="11"/>
                <w:lang w:val="en-US" w:eastAsia="zh-CN"/>
              </w:rPr>
            </w:pPr>
            <w:r>
              <w:rPr>
                <w:rFonts w:hint="eastAsia"/>
                <w:sz w:val="11"/>
                <w:szCs w:val="11"/>
                <w:lang w:val="en-US" w:eastAsia="zh-CN"/>
              </w:rPr>
              <w:t>数量质量</w:t>
            </w:r>
          </w:p>
        </w:tc>
        <w:tc>
          <w:tcPr>
            <w:tcW w:w="146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离休人员管理费</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保障经办机构管理支出</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vMerge w:val="restart"/>
            <w:tcBorders>
              <w:top w:val="nil"/>
              <w:left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lang w:val="en-US" w:eastAsia="zh-CN"/>
              </w:rPr>
            </w:pPr>
            <w:r>
              <w:rPr>
                <w:rFonts w:hint="eastAsia"/>
                <w:sz w:val="11"/>
                <w:szCs w:val="11"/>
                <w:lang w:val="en-US" w:eastAsia="zh-CN"/>
              </w:rPr>
              <w:t>数量</w:t>
            </w:r>
          </w:p>
          <w:p>
            <w:pPr>
              <w:keepNext w:val="0"/>
              <w:keepLines w:val="0"/>
              <w:suppressLineNumbers w:val="0"/>
              <w:spacing w:before="0" w:beforeAutospacing="0" w:after="0" w:afterAutospacing="0"/>
              <w:ind w:left="0" w:right="0"/>
              <w:rPr>
                <w:rFonts w:hint="default"/>
                <w:sz w:val="11"/>
                <w:szCs w:val="11"/>
                <w:lang w:val="en-US" w:eastAsia="zh-CN"/>
              </w:rPr>
            </w:pPr>
            <w:r>
              <w:rPr>
                <w:rFonts w:hint="eastAsia"/>
                <w:sz w:val="11"/>
                <w:szCs w:val="11"/>
                <w:lang w:val="en-US" w:eastAsia="zh-CN"/>
              </w:rPr>
              <w:t>指标</w:t>
            </w: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离休人员管理费</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保障经办机构管理支出</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w:t>
            </w:r>
          </w:p>
        </w:tc>
      </w:tr>
      <w:tr>
        <w:tblPrEx>
          <w:tblW w:w="9191" w:type="dxa"/>
          <w:tblInd w:w="-78" w:type="dxa"/>
          <w:tblLayout w:type="fixed"/>
          <w:tblCellMar>
            <w:top w:w="0" w:type="dxa"/>
            <w:left w:w="108" w:type="dxa"/>
            <w:bottom w:w="0" w:type="dxa"/>
            <w:right w:w="108" w:type="dxa"/>
          </w:tblCellMar>
        </w:tblPrEx>
        <w:trPr>
          <w:trHeight w:val="524"/>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vMerge/>
            <w:tcBorders>
              <w:left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146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医保业务档案达标管理费</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规范管理医保业务档案</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vMerge/>
            <w:tcBorders>
              <w:left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lang w:val="en-US" w:eastAsia="zh-CN"/>
              </w:rPr>
            </w:pP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医保业务档案达标管理费</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规范管理医保业务档案</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w:t>
            </w:r>
          </w:p>
        </w:tc>
      </w:tr>
      <w:tr>
        <w:tblPrEx>
          <w:tblW w:w="9191" w:type="dxa"/>
          <w:tblInd w:w="-78" w:type="dxa"/>
          <w:tblLayout w:type="fixed"/>
          <w:tblCellMar>
            <w:top w:w="0" w:type="dxa"/>
            <w:left w:w="108" w:type="dxa"/>
            <w:bottom w:w="0" w:type="dxa"/>
            <w:right w:w="108" w:type="dxa"/>
          </w:tblCellMar>
        </w:tblPrEx>
        <w:trPr>
          <w:trHeight w:val="524"/>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vMerge/>
            <w:tcBorders>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1467" w:type="dxa"/>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eastAsia"/>
                <w:sz w:val="11"/>
                <w:szCs w:val="11"/>
              </w:rPr>
            </w:pPr>
            <w:r>
              <w:rPr>
                <w:rFonts w:hint="eastAsia"/>
                <w:sz w:val="11"/>
                <w:szCs w:val="11"/>
              </w:rPr>
              <w:t>医保业务档案达标管理费</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eastAsia"/>
                <w:sz w:val="11"/>
                <w:szCs w:val="11"/>
              </w:rPr>
            </w:pPr>
            <w:r>
              <w:rPr>
                <w:rFonts w:hint="eastAsia"/>
                <w:sz w:val="11"/>
                <w:szCs w:val="11"/>
              </w:rPr>
              <w:t>医保经办机构专项业务费</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eastAsia"/>
                <w:sz w:val="11"/>
                <w:szCs w:val="11"/>
              </w:rPr>
            </w:pPr>
          </w:p>
        </w:tc>
        <w:tc>
          <w:tcPr>
            <w:tcW w:w="700" w:type="dxa"/>
            <w:vMerge/>
            <w:tcBorders>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lang w:val="en-US" w:eastAsia="zh-CN"/>
              </w:rPr>
            </w:pP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eastAsia"/>
                <w:sz w:val="11"/>
                <w:szCs w:val="11"/>
              </w:rPr>
            </w:pPr>
            <w:r>
              <w:rPr>
                <w:rFonts w:hint="eastAsia"/>
                <w:sz w:val="11"/>
                <w:szCs w:val="11"/>
              </w:rPr>
              <w:t>医保业务档案达标管理费</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eastAsia"/>
                <w:sz w:val="11"/>
                <w:szCs w:val="11"/>
              </w:rPr>
            </w:pPr>
            <w:r>
              <w:rPr>
                <w:rFonts w:hint="eastAsia"/>
                <w:sz w:val="11"/>
                <w:szCs w:val="11"/>
              </w:rPr>
              <w:t>医保经办机构专项业务费</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eastAsia"/>
                <w:sz w:val="11"/>
                <w:szCs w:val="11"/>
              </w:rPr>
            </w:pP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质量</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指标</w:t>
            </w:r>
          </w:p>
        </w:tc>
        <w:tc>
          <w:tcPr>
            <w:tcW w:w="1467" w:type="dxa"/>
            <w:tcBorders>
              <w:top w:val="single" w:sz="4" w:space="0" w:color="auto"/>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经费支出合规性</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严格执行相关财经法规、制度</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质量</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指标</w:t>
            </w: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经费支出合规性</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严格执行相关财经法规、制度</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vMerge w:val="restart"/>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时效</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指标</w:t>
            </w: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经费支出时效性</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按经费支出计划</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vMerge w:val="restart"/>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时效</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指标</w:t>
            </w: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经费支出时效性</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leftChars="0" w:rightChars="0"/>
              <w:rPr>
                <w:rFonts w:hint="default"/>
                <w:sz w:val="11"/>
                <w:szCs w:val="11"/>
              </w:rPr>
            </w:pPr>
            <w:r>
              <w:rPr>
                <w:rFonts w:hint="eastAsia"/>
                <w:sz w:val="11"/>
                <w:szCs w:val="11"/>
              </w:rPr>
              <w:t>　按经费支出计划</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vMerge w:val="restart"/>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成本</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指标</w:t>
            </w: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指标1：</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vMerge w:val="restart"/>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成本</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指标</w:t>
            </w: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指标1：</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single" w:sz="4" w:space="0" w:color="auto"/>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val="restart"/>
            <w:tcBorders>
              <w:top w:val="nil"/>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20"/>
                <w:szCs w:val="20"/>
              </w:rPr>
            </w:pPr>
            <w:r>
              <w:rPr>
                <w:rFonts w:hint="eastAsia"/>
                <w:sz w:val="20"/>
                <w:szCs w:val="20"/>
              </w:rPr>
              <w:t>效</w:t>
            </w:r>
            <w:r>
              <w:rPr>
                <w:rFonts w:hint="eastAsia"/>
                <w:sz w:val="20"/>
                <w:szCs w:val="20"/>
              </w:rPr>
              <w:br/>
            </w:r>
            <w:r>
              <w:rPr>
                <w:rFonts w:hint="eastAsia"/>
                <w:sz w:val="20"/>
                <w:szCs w:val="20"/>
              </w:rPr>
              <w:t>益</w:t>
            </w:r>
            <w:r>
              <w:rPr>
                <w:rFonts w:hint="eastAsia"/>
                <w:sz w:val="20"/>
                <w:szCs w:val="20"/>
              </w:rPr>
              <w:br/>
            </w:r>
            <w:r>
              <w:rPr>
                <w:rFonts w:hint="eastAsia"/>
                <w:sz w:val="20"/>
                <w:szCs w:val="20"/>
              </w:rPr>
              <w:t>指</w:t>
            </w:r>
            <w:r>
              <w:rPr>
                <w:rFonts w:hint="eastAsia"/>
                <w:sz w:val="20"/>
                <w:szCs w:val="20"/>
              </w:rPr>
              <w:br/>
            </w:r>
            <w:r>
              <w:rPr>
                <w:rFonts w:hint="eastAsia"/>
                <w:sz w:val="20"/>
                <w:szCs w:val="20"/>
              </w:rPr>
              <w:t>标</w:t>
            </w:r>
          </w:p>
        </w:tc>
        <w:tc>
          <w:tcPr>
            <w:tcW w:w="916"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经济效益指标</w:t>
            </w: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指标1：</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经济效</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益指标</w:t>
            </w: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指标1：</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nil"/>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社会效益指标</w:t>
            </w: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保障经办机构正常开展工作</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影响程度较高</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社会效</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益指标</w:t>
            </w: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保障经办机构正常开展工作</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leftChars="0" w:rightChars="0"/>
              <w:rPr>
                <w:rFonts w:hint="default"/>
                <w:sz w:val="11"/>
                <w:szCs w:val="11"/>
              </w:rPr>
            </w:pPr>
            <w:r>
              <w:rPr>
                <w:rFonts w:hint="eastAsia"/>
                <w:sz w:val="11"/>
                <w:szCs w:val="11"/>
              </w:rPr>
              <w:t>　影响程度较高</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r>
      <w:tr>
        <w:tblPrEx>
          <w:tblW w:w="9191" w:type="dxa"/>
          <w:tblInd w:w="-78" w:type="dxa"/>
          <w:tblLayout w:type="fixed"/>
          <w:tblCellMar>
            <w:top w:w="0" w:type="dxa"/>
            <w:left w:w="108" w:type="dxa"/>
            <w:bottom w:w="0" w:type="dxa"/>
            <w:right w:w="108" w:type="dxa"/>
          </w:tblCellMar>
        </w:tblPrEx>
        <w:trPr>
          <w:trHeight w:val="441"/>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nil"/>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生态效益指标</w:t>
            </w: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指标1：</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生态效益指标</w:t>
            </w: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指标1：</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r>
      <w:tr>
        <w:tblPrEx>
          <w:tblW w:w="9191" w:type="dxa"/>
          <w:tblInd w:w="-78" w:type="dxa"/>
          <w:tblLayout w:type="fixed"/>
          <w:tblCellMar>
            <w:top w:w="0" w:type="dxa"/>
            <w:left w:w="108" w:type="dxa"/>
            <w:bottom w:w="0" w:type="dxa"/>
            <w:right w:w="108" w:type="dxa"/>
          </w:tblCellMar>
        </w:tblPrEx>
        <w:trPr>
          <w:trHeight w:val="374"/>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nil"/>
              <w:left w:val="single" w:sz="4" w:space="0" w:color="auto"/>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916"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可持续影响指标</w:t>
            </w: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保障离休干部医疗待遇正常享受</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维护社会稳定</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可持续</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影响指标</w:t>
            </w: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lang w:val="en-US" w:eastAsia="zh-CN"/>
              </w:rPr>
            </w:pPr>
            <w:r>
              <w:rPr>
                <w:rFonts w:hint="eastAsia"/>
                <w:sz w:val="11"/>
                <w:szCs w:val="11"/>
              </w:rPr>
              <w:t>保障离休干部医疗待遇正常享受</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leftChars="0" w:rightChars="0"/>
              <w:rPr>
                <w:rFonts w:ascii="Times New Roman" w:eastAsia="宋体" w:hAnsi="Times New Roman" w:cs="Times New Roman" w:hint="default"/>
                <w:kern w:val="2"/>
                <w:sz w:val="11"/>
                <w:szCs w:val="11"/>
                <w:lang w:val="en-US" w:eastAsia="zh-CN" w:bidi="ar-SA"/>
              </w:rPr>
            </w:pPr>
            <w:r>
              <w:rPr>
                <w:rFonts w:hint="eastAsia"/>
                <w:sz w:val="11"/>
                <w:szCs w:val="11"/>
              </w:rPr>
              <w:t>　维护社会稳定</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val="restart"/>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20"/>
                <w:szCs w:val="20"/>
              </w:rPr>
            </w:pPr>
            <w:r>
              <w:rPr>
                <w:rFonts w:hint="eastAsia"/>
                <w:sz w:val="20"/>
                <w:szCs w:val="20"/>
              </w:rPr>
              <w:t>满意度指标</w:t>
            </w:r>
          </w:p>
        </w:tc>
        <w:tc>
          <w:tcPr>
            <w:tcW w:w="916" w:type="dxa"/>
            <w:vMerge w:val="restart"/>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服务对象满意度指标</w:t>
            </w: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参保人员满意度</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≥90%</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vMerge w:val="restart"/>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服务对</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象满意</w:t>
            </w:r>
          </w:p>
          <w:p>
            <w:pPr>
              <w:keepNext w:val="0"/>
              <w:keepLines w:val="0"/>
              <w:suppressLineNumbers w:val="0"/>
              <w:spacing w:before="0" w:beforeAutospacing="0" w:after="0" w:afterAutospacing="0"/>
              <w:ind w:left="0" w:right="0"/>
              <w:rPr>
                <w:rFonts w:hint="default"/>
                <w:sz w:val="11"/>
                <w:szCs w:val="11"/>
              </w:rPr>
            </w:pPr>
            <w:r>
              <w:rPr>
                <w:rFonts w:hint="eastAsia"/>
                <w:sz w:val="11"/>
                <w:szCs w:val="11"/>
              </w:rPr>
              <w:t>度指标</w:t>
            </w: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leftChars="0" w:rightChars="0"/>
              <w:rPr>
                <w:rFonts w:ascii="Times New Roman" w:eastAsia="宋体" w:hAnsi="Times New Roman" w:cs="Times New Roman" w:hint="default"/>
                <w:kern w:val="2"/>
                <w:sz w:val="11"/>
                <w:szCs w:val="11"/>
                <w:lang w:val="en-US" w:eastAsia="zh-CN" w:bidi="ar-SA"/>
              </w:rPr>
            </w:pPr>
            <w:r>
              <w:rPr>
                <w:rFonts w:hint="eastAsia"/>
                <w:sz w:val="11"/>
                <w:szCs w:val="11"/>
              </w:rPr>
              <w:t>参保人员满意度</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leftChars="0" w:rightChars="0"/>
              <w:rPr>
                <w:rFonts w:ascii="Times New Roman" w:eastAsia="宋体" w:hAnsi="Times New Roman" w:cs="Times New Roman" w:hint="default"/>
                <w:kern w:val="2"/>
                <w:sz w:val="11"/>
                <w:szCs w:val="11"/>
                <w:lang w:val="en-US" w:eastAsia="zh-CN" w:bidi="ar-SA"/>
              </w:rPr>
            </w:pPr>
            <w:r>
              <w:rPr>
                <w:rFonts w:hint="eastAsia"/>
                <w:sz w:val="11"/>
                <w:szCs w:val="11"/>
              </w:rPr>
              <w:t>　≥90%</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w:t>
            </w:r>
          </w:p>
        </w:tc>
      </w:tr>
      <w:tr>
        <w:tblPrEx>
          <w:tblW w:w="9191" w:type="dxa"/>
          <w:tblInd w:w="-78" w:type="dxa"/>
          <w:tblLayout w:type="fixed"/>
          <w:tblCellMar>
            <w:top w:w="0" w:type="dxa"/>
            <w:left w:w="108" w:type="dxa"/>
            <w:bottom w:w="0" w:type="dxa"/>
            <w:right w:w="108" w:type="dxa"/>
          </w:tblCellMar>
        </w:tblPrEx>
        <w:trPr>
          <w:trHeight w:val="315"/>
        </w:trPr>
        <w:tc>
          <w:tcPr>
            <w:tcW w:w="45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617"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p>
        </w:tc>
        <w:tc>
          <w:tcPr>
            <w:tcW w:w="916"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1467"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w:t>
            </w:r>
          </w:p>
        </w:tc>
        <w:tc>
          <w:tcPr>
            <w:tcW w:w="11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633"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w:t>
            </w:r>
          </w:p>
        </w:tc>
        <w:tc>
          <w:tcPr>
            <w:tcW w:w="700" w:type="dxa"/>
            <w:vMerge/>
            <w:tcBorders>
              <w:top w:val="nil"/>
              <w:left w:val="single" w:sz="4" w:space="0" w:color="auto"/>
              <w:bottom w:val="single" w:sz="4" w:space="0" w:color="000000"/>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p>
        </w:tc>
        <w:tc>
          <w:tcPr>
            <w:tcW w:w="128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hint="default"/>
                <w:sz w:val="11"/>
                <w:szCs w:val="11"/>
              </w:rPr>
            </w:pPr>
            <w:r>
              <w:rPr>
                <w:rFonts w:hint="eastAsia"/>
                <w:sz w:val="11"/>
                <w:szCs w:val="11"/>
              </w:rPr>
              <w:t xml:space="preserve"> ……</w:t>
            </w:r>
          </w:p>
        </w:tc>
        <w:tc>
          <w:tcPr>
            <w:tcW w:w="1350"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w:t>
            </w:r>
          </w:p>
        </w:tc>
        <w:tc>
          <w:tcPr>
            <w:tcW w:w="624" w:type="dxa"/>
            <w:tcBorders>
              <w:top w:val="nil"/>
              <w:left w:val="nil"/>
              <w:bottom w:val="single" w:sz="4" w:space="0" w:color="auto"/>
              <w:right w:val="single" w:sz="4" w:space="0" w:color="auto"/>
            </w:tcBorders>
            <w:noWrap w:val="0"/>
            <w:vAlign w:val="center"/>
          </w:tcPr>
          <w:p>
            <w:pPr>
              <w:keepNext w:val="0"/>
              <w:keepLines w:val="0"/>
              <w:suppressLineNumbers w:val="0"/>
              <w:spacing w:before="0" w:beforeAutospacing="0" w:after="0" w:afterAutospacing="0"/>
              <w:ind w:left="0" w:right="0"/>
              <w:rPr>
                <w:rFonts w:ascii="宋体" w:eastAsia="宋体" w:hAnsi="宋体" w:cs="宋体" w:hint="default"/>
                <w:sz w:val="20"/>
                <w:szCs w:val="20"/>
              </w:rPr>
            </w:pPr>
            <w:r>
              <w:rPr>
                <w:rFonts w:hint="eastAsia"/>
                <w:sz w:val="20"/>
                <w:szCs w:val="20"/>
              </w:rPr>
              <w:t>　</w:t>
            </w:r>
          </w:p>
        </w:tc>
      </w:tr>
    </w:tbl>
    <w:p>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08D3DE4"/>
    <w:rsid w:val="108D3DE4"/>
    <w:rsid w:val="1D877E4D"/>
    <w:rsid w:val="1EDC4666"/>
    <w:rsid w:val="325C78CB"/>
    <w:rsid w:val="44650D7A"/>
    <w:rsid w:val="5CFF786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文档存本地丢失不负责</dc:creator>
  <cp:lastModifiedBy>Administrator</cp:lastModifiedBy>
  <cp:revision>1</cp:revision>
  <dcterms:created xsi:type="dcterms:W3CDTF">2022-02-10T01:28:00Z</dcterms:created>
  <dcterms:modified xsi:type="dcterms:W3CDTF">2022-02-16T07:01:13Z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5C4931D1ED9648A28125BD889A125C1E</vt:lpwstr>
  </property>
  <property fmtid="{D5CDD505-2E9C-101B-9397-08002B2CF9AE}" pid="3" name="KSOProductBuildVer">
    <vt:lpwstr>2052-11.1.0.11294</vt:lpwstr>
  </property>
</Properties>
</file>