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 w:eastAsia="方正小标宋_GBK" w:cs="仿宋"/>
          <w:color w:val="000000" w:themeColor="text1"/>
          <w:sz w:val="40"/>
          <w:szCs w:val="32"/>
          <w14:textFill>
            <w14:solidFill>
              <w14:schemeClr w14:val="tx1"/>
            </w14:solidFill>
          </w14:textFill>
        </w:rPr>
      </w:pPr>
      <w:r>
        <w:rPr>
          <w:rFonts w:hint="eastAsia" w:ascii="方正小标宋_GBK" w:hAnsi="仿宋" w:eastAsia="方正小标宋_GBK" w:cs="仿宋"/>
          <w:color w:val="000000" w:themeColor="text1"/>
          <w:sz w:val="40"/>
          <w:szCs w:val="32"/>
          <w14:textFill>
            <w14:solidFill>
              <w14:schemeClr w14:val="tx1"/>
            </w14:solidFill>
          </w14:textFill>
        </w:rPr>
        <w:t>寿县经信局项目绩效评价报告</w:t>
      </w:r>
    </w:p>
    <w:p>
      <w:pPr>
        <w:spacing w:before="4"/>
        <w:rPr>
          <w:rFonts w:ascii="仿宋" w:hAnsi="仿宋" w:eastAsia="仿宋" w:cs="仿宋"/>
          <w:color w:val="000000" w:themeColor="text1"/>
          <w:sz w:val="32"/>
          <w:szCs w:val="32"/>
          <w14:textFill>
            <w14:solidFill>
              <w14:schemeClr w14:val="tx1"/>
            </w14:solidFill>
          </w14:textFill>
        </w:rPr>
      </w:pPr>
    </w:p>
    <w:p>
      <w:pPr>
        <w:pStyle w:val="2"/>
        <w:spacing w:line="580" w:lineRule="exact"/>
        <w:ind w:firstLine="640" w:firstLineChars="200"/>
        <w:jc w:val="both"/>
        <w:rPr>
          <w:rFonts w:ascii="黑体" w:hAnsi="黑体" w:cs="黑体"/>
          <w:color w:val="000000" w:themeColor="text1"/>
          <w:sz w:val="32"/>
          <w:szCs w:val="32"/>
          <w14:textFill>
            <w14:solidFill>
              <w14:schemeClr w14:val="tx1"/>
            </w14:solidFill>
          </w14:textFill>
        </w:rPr>
      </w:pPr>
      <w:r>
        <w:rPr>
          <w:rFonts w:ascii="黑体" w:hAnsi="黑体" w:cs="黑体"/>
          <w:color w:val="000000" w:themeColor="text1"/>
          <w:sz w:val="32"/>
          <w:szCs w:val="32"/>
          <w14:textFill>
            <w14:solidFill>
              <w14:schemeClr w14:val="tx1"/>
            </w14:solidFill>
          </w14:textFill>
        </w:rPr>
        <w:t>一、</w:t>
      </w:r>
      <w:r>
        <w:rPr>
          <w:rFonts w:hint="eastAsia" w:ascii="黑体" w:hAnsi="黑体" w:cs="黑体"/>
          <w:color w:val="000000" w:themeColor="text1"/>
          <w:sz w:val="32"/>
          <w:szCs w:val="32"/>
          <w14:textFill>
            <w14:solidFill>
              <w14:schemeClr w14:val="tx1"/>
            </w14:solidFill>
          </w14:textFill>
        </w:rPr>
        <w:t>项目</w:t>
      </w:r>
      <w:r>
        <w:rPr>
          <w:rFonts w:ascii="黑体" w:hAnsi="黑体" w:cs="黑体"/>
          <w:color w:val="000000" w:themeColor="text1"/>
          <w:sz w:val="32"/>
          <w:szCs w:val="32"/>
          <w14:textFill>
            <w14:solidFill>
              <w14:schemeClr w14:val="tx1"/>
            </w14:solidFill>
          </w14:textFill>
        </w:rPr>
        <w:t>基本概况</w:t>
      </w:r>
    </w:p>
    <w:p>
      <w:pPr>
        <w:pStyle w:val="2"/>
        <w:numPr>
          <w:ilvl w:val="0"/>
          <w:numId w:val="1"/>
        </w:numPr>
        <w:spacing w:line="580" w:lineRule="exact"/>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“互联网+”产业发展扶持资金(原电子商务发展资金)：</w:t>
      </w:r>
    </w:p>
    <w:p>
      <w:pPr>
        <w:pStyle w:val="2"/>
        <w:spacing w:line="580" w:lineRule="exact"/>
        <w:ind w:left="1144"/>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项目规模: 电商企业发展扶持奖补资金，电子商务进农村示范县办公经费、奖励资金，“互联网+”产业园运营费用，县加快电子商务发展工作业务开展经费等；</w:t>
      </w:r>
    </w:p>
    <w:p>
      <w:pPr>
        <w:pStyle w:val="2"/>
        <w:spacing w:line="580" w:lineRule="exact"/>
        <w:ind w:left="1144"/>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建成后的预取效益：贯彻落实《寿县人民政府办公室关于印发寿县促进电子商务产业发展扶持办法（试行）的通知》（寿政办秘〔2019〕26号）文件精神，确定兑现2020年度符合奖励政策的37家经营主体，逐步实现县域电商可持续健康发展。</w:t>
      </w:r>
    </w:p>
    <w:p>
      <w:pPr>
        <w:pStyle w:val="2"/>
        <w:numPr>
          <w:ilvl w:val="0"/>
          <w:numId w:val="1"/>
        </w:numPr>
        <w:spacing w:line="580" w:lineRule="exact"/>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工商管办脱钩人员运转项目：</w:t>
      </w:r>
    </w:p>
    <w:p>
      <w:pPr>
        <w:pStyle w:val="2"/>
        <w:spacing w:line="580" w:lineRule="exact"/>
        <w:ind w:left="1144"/>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项目规模:</w:t>
      </w:r>
      <w:r>
        <w:rPr>
          <w:rFonts w:hint="eastAsia"/>
        </w:rPr>
        <w:t xml:space="preserve"> </w:t>
      </w:r>
      <w:r>
        <w:rPr>
          <w:rFonts w:hint="eastAsia" w:ascii="仿宋" w:hAnsi="仿宋" w:eastAsia="仿宋" w:cs="仿宋"/>
          <w:b/>
          <w:bCs/>
          <w:color w:val="000000" w:themeColor="text1"/>
          <w:sz w:val="32"/>
          <w:szCs w:val="32"/>
          <w14:textFill>
            <w14:solidFill>
              <w14:schemeClr w14:val="tx1"/>
            </w14:solidFill>
          </w14:textFill>
        </w:rPr>
        <w:t>市场建设服务中心人员经费该项目属于年中预算项目，预算金额为</w:t>
      </w:r>
      <w:r>
        <w:rPr>
          <w:rFonts w:ascii="仿宋" w:hAnsi="仿宋" w:eastAsia="仿宋" w:cs="仿宋"/>
          <w:b/>
          <w:bCs/>
          <w:color w:val="000000" w:themeColor="text1"/>
          <w:sz w:val="32"/>
          <w:szCs w:val="32"/>
          <w14:textFill>
            <w14:solidFill>
              <w14:schemeClr w14:val="tx1"/>
            </w14:solidFill>
          </w14:textFill>
        </w:rPr>
        <w:t>874.11</w:t>
      </w:r>
      <w:r>
        <w:rPr>
          <w:rFonts w:hint="eastAsia" w:ascii="仿宋" w:hAnsi="仿宋" w:eastAsia="仿宋" w:cs="仿宋"/>
          <w:b/>
          <w:bCs/>
          <w:color w:val="000000" w:themeColor="text1"/>
          <w:sz w:val="32"/>
          <w:szCs w:val="32"/>
          <w14:textFill>
            <w14:solidFill>
              <w14:schemeClr w14:val="tx1"/>
            </w14:solidFill>
          </w14:textFill>
        </w:rPr>
        <w:t>万元，资金序时完成拨付；</w:t>
      </w:r>
    </w:p>
    <w:p>
      <w:pPr>
        <w:pStyle w:val="2"/>
        <w:spacing w:line="580" w:lineRule="exact"/>
        <w:ind w:left="1144"/>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建成后的预取效益：确保经信局市场建设服务中心财政全额9人及财政差额96人的人员工资福利、社会保障支出及办公经费支出，其中全额人员经费768035元，差额人员经费7937705元，遗补26880元。保证市场中心队伍稳定，维护市场工作开展有效。确保经信局市场建设服务中心财政全额9人及财政差额96人的人员工资福利、社会保障支出及办公经费支出，其中全额人员经费768035元，差额人员经费7937705元，遗补26880元。保证市场中心队伍稳定，维护市场工作开展有效。。</w:t>
      </w:r>
    </w:p>
    <w:p>
      <w:pPr>
        <w:pStyle w:val="2"/>
        <w:numPr>
          <w:ilvl w:val="0"/>
          <w:numId w:val="1"/>
        </w:numPr>
        <w:spacing w:line="580" w:lineRule="exact"/>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中小企业(民营经济)发展专项：</w:t>
      </w:r>
    </w:p>
    <w:p>
      <w:pPr>
        <w:pStyle w:val="2"/>
        <w:spacing w:line="580" w:lineRule="exact"/>
        <w:ind w:left="1144"/>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项目规模: 该项目属于年中非预算项目，预算金额为1049万元，资金序时完成拨付；</w:t>
      </w:r>
    </w:p>
    <w:p>
      <w:pPr>
        <w:pStyle w:val="2"/>
        <w:spacing w:line="580" w:lineRule="exact"/>
        <w:ind w:left="1144"/>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建成后的预取效益：促进企业转型发展，提升企业技术装备水平，提升产品质量，提高全县就业人数；提升企业在当地同行企业中的示范、引领作用；促进企业安全生产、改善生态环境；提高企业产值、税收。</w:t>
      </w:r>
    </w:p>
    <w:p>
      <w:pPr>
        <w:pStyle w:val="2"/>
        <w:numPr>
          <w:ilvl w:val="0"/>
          <w:numId w:val="1"/>
        </w:numPr>
        <w:spacing w:line="580" w:lineRule="exact"/>
        <w:ind w:left="787" w:leftChars="0" w:hanging="504" w:firstLineChars="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sz w:val="32"/>
          <w:szCs w:val="32"/>
        </w:rPr>
        <w:t>拨付全县文明菜市行动相关项目资金</w:t>
      </w:r>
    </w:p>
    <w:p>
      <w:pPr>
        <w:pStyle w:val="2"/>
        <w:numPr>
          <w:numId w:val="0"/>
        </w:numPr>
        <w:tabs>
          <w:tab w:val="left" w:pos="1108"/>
        </w:tabs>
        <w:spacing w:line="580" w:lineRule="exact"/>
        <w:ind w:left="283" w:leftChars="0"/>
        <w:jc w:val="both"/>
        <w:rPr>
          <w:rFonts w:hint="eastAsia" w:ascii="仿宋" w:hAnsi="仿宋" w:eastAsia="仿宋" w:cs="仿宋"/>
          <w:b/>
          <w:bCs/>
          <w:sz w:val="32"/>
          <w:szCs w:val="32"/>
        </w:rPr>
      </w:pPr>
      <w:r>
        <w:rPr>
          <w:rFonts w:hint="eastAsia" w:ascii="仿宋" w:hAnsi="仿宋" w:eastAsia="仿宋" w:cs="仿宋"/>
          <w:b/>
          <w:bCs/>
          <w:color w:val="000000" w:themeColor="text1"/>
          <w:sz w:val="32"/>
          <w:szCs w:val="32"/>
          <w:lang w:val="en-US" w:eastAsia="zh-CN"/>
          <w14:textFill>
            <w14:solidFill>
              <w14:schemeClr w14:val="tx1"/>
            </w14:solidFill>
          </w14:textFill>
        </w:rPr>
        <w:tab/>
        <w:t>项目规模：</w:t>
      </w:r>
      <w:r>
        <w:rPr>
          <w:rFonts w:hint="eastAsia" w:ascii="仿宋" w:hAnsi="仿宋" w:eastAsia="仿宋" w:cs="仿宋"/>
          <w:b/>
          <w:bCs/>
          <w:sz w:val="32"/>
          <w:szCs w:val="32"/>
        </w:rPr>
        <w:t>设立县级文明菜市建设专项资金,加强对全县改造提升和新建菜市建设支持.其中:对经改造提升或新建达标菜市,按照改造投资额的30%、最高可达30万元（新建的最高可达50万元）的标准给予奖补。</w:t>
      </w:r>
    </w:p>
    <w:p>
      <w:pPr>
        <w:pStyle w:val="2"/>
        <w:numPr>
          <w:numId w:val="0"/>
        </w:numPr>
        <w:tabs>
          <w:tab w:val="left" w:pos="1108"/>
        </w:tabs>
        <w:spacing w:line="580" w:lineRule="exact"/>
        <w:ind w:left="283" w:leftChars="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color w:val="000000" w:themeColor="text1"/>
          <w:sz w:val="32"/>
          <w:szCs w:val="32"/>
          <w14:textFill>
            <w14:solidFill>
              <w14:schemeClr w14:val="tx1"/>
            </w14:solidFill>
          </w14:textFill>
        </w:rPr>
        <w:t>项目建成后的预取效益：</w:t>
      </w:r>
      <w:r>
        <w:rPr>
          <w:rFonts w:hint="eastAsia" w:ascii="仿宋" w:hAnsi="仿宋" w:eastAsia="仿宋" w:cs="仿宋"/>
          <w:b/>
          <w:bCs/>
          <w:sz w:val="32"/>
          <w:szCs w:val="32"/>
        </w:rPr>
        <w:t>我县现有菜市32个，均不达标。2022年，结合县“十四五”商业网点布局规划，优化提升全县菜市网点布局；以省文明菜市行动工作指引为标准，完成对现有存量不达标菜市的40%整治和改造提升，新建菜市按照文明菜市要求建设；2023年，现有存量不达标菜市全部完成整治和改造提升，持续推进新建一批文明菜市场。2024-2025年，巩固整治和改造提升效果，建立文明菜市建设管理的长效机制。</w:t>
      </w:r>
    </w:p>
    <w:p>
      <w:pPr>
        <w:pStyle w:val="2"/>
        <w:numPr>
          <w:ilvl w:val="0"/>
          <w:numId w:val="1"/>
        </w:numPr>
        <w:tabs>
          <w:tab w:val="left" w:pos="1108"/>
        </w:tabs>
        <w:spacing w:line="580" w:lineRule="exact"/>
        <w:ind w:left="787" w:leftChars="0" w:hanging="504" w:firstLineChars="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制造强省建设(数字化转型等)系列政策资金</w:t>
      </w:r>
    </w:p>
    <w:p>
      <w:pPr>
        <w:pStyle w:val="2"/>
        <w:numPr>
          <w:numId w:val="0"/>
        </w:numPr>
        <w:tabs>
          <w:tab w:val="left" w:pos="1108"/>
        </w:tabs>
        <w:spacing w:line="580" w:lineRule="exact"/>
        <w:ind w:left="283" w:leftChars="0"/>
        <w:jc w:val="both"/>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项目概述：</w:t>
      </w:r>
      <w:r>
        <w:rPr>
          <w:rFonts w:hint="eastAsia" w:ascii="仿宋" w:hAnsi="仿宋" w:eastAsia="仿宋" w:cs="仿宋"/>
          <w:b/>
          <w:bCs/>
          <w:sz w:val="32"/>
          <w:szCs w:val="32"/>
        </w:rPr>
        <w:t>按照安徽省财政厅关于下达2023年省级制造强省建设（第二批）数字化转型项目资金的通知，根据《支持以数字化转型推动制造业高端化智能化绿色化发展若干政策》及省经信化厅关于商请下达2023年数字化转型政策（第二批）拟支持项目资金计划的函，我县符合申报并批准了两家企业项目，项目总资金597万元</w:t>
      </w:r>
      <w:r>
        <w:rPr>
          <w:rFonts w:hint="eastAsia" w:ascii="仿宋" w:hAnsi="仿宋" w:eastAsia="仿宋" w:cs="仿宋"/>
          <w:b/>
          <w:bCs/>
          <w:sz w:val="32"/>
          <w:szCs w:val="32"/>
          <w:lang w:eastAsia="zh-CN"/>
        </w:rPr>
        <w:t>。</w:t>
      </w:r>
    </w:p>
    <w:p>
      <w:pPr>
        <w:pStyle w:val="2"/>
        <w:numPr>
          <w:numId w:val="0"/>
        </w:numPr>
        <w:tabs>
          <w:tab w:val="left" w:pos="1108"/>
        </w:tabs>
        <w:spacing w:line="580" w:lineRule="exact"/>
        <w:ind w:left="283" w:leftChars="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color w:val="000000" w:themeColor="text1"/>
          <w:sz w:val="32"/>
          <w:szCs w:val="32"/>
          <w14:textFill>
            <w14:solidFill>
              <w14:schemeClr w14:val="tx1"/>
            </w14:solidFill>
          </w14:textFill>
        </w:rPr>
        <w:t>项目建成后的预取效益</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sz w:val="32"/>
          <w:szCs w:val="32"/>
        </w:rPr>
        <w:t>按照安徽省财政厅关于下达2023年省级制造强省建设（第二批）数字化转型项目资金的通知，根据《支持以数字化转型推动制造业高端化智能化绿色化发展若干政策》及省经信化厅关于商请下达2023年数字化转型政策（第二批）拟支持项目资金计划的函，我县符合申报并批准了两家企业项目，项目总资金597万元。</w:t>
      </w:r>
    </w:p>
    <w:p>
      <w:pPr>
        <w:pStyle w:val="2"/>
        <w:numPr>
          <w:ilvl w:val="0"/>
          <w:numId w:val="1"/>
        </w:numPr>
        <w:tabs>
          <w:tab w:val="left" w:pos="1108"/>
        </w:tabs>
        <w:spacing w:line="580" w:lineRule="exact"/>
        <w:ind w:left="787" w:leftChars="0" w:hanging="504" w:firstLineChars="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惠民消费券发放政府补贴</w:t>
      </w:r>
    </w:p>
    <w:p>
      <w:pPr>
        <w:pStyle w:val="2"/>
        <w:numPr>
          <w:numId w:val="0"/>
        </w:numPr>
        <w:tabs>
          <w:tab w:val="left" w:pos="1108"/>
        </w:tabs>
        <w:spacing w:line="580" w:lineRule="exact"/>
        <w:ind w:left="283" w:left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项目概述：2023年我县继续推行惠民消费券发放，更大力度恢复和扩大消费：1、扩大汽车消费。2、推动家电消费。3、提升文旅消费。4、促进大众消费。</w:t>
      </w:r>
    </w:p>
    <w:p>
      <w:pPr>
        <w:pStyle w:val="2"/>
        <w:numPr>
          <w:numId w:val="0"/>
        </w:numPr>
        <w:tabs>
          <w:tab w:val="left" w:pos="1108"/>
        </w:tabs>
        <w:spacing w:line="580" w:lineRule="exact"/>
        <w:ind w:left="283" w:leftChars="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color w:val="000000" w:themeColor="text1"/>
          <w:sz w:val="32"/>
          <w:szCs w:val="32"/>
          <w14:textFill>
            <w14:solidFill>
              <w14:schemeClr w14:val="tx1"/>
            </w14:solidFill>
          </w14:textFill>
        </w:rPr>
        <w:t>项目建成后的预取效益</w:t>
      </w:r>
      <w:r>
        <w:rPr>
          <w:rFonts w:hint="eastAsia" w:ascii="仿宋" w:hAnsi="仿宋" w:eastAsia="仿宋" w:cs="仿宋"/>
          <w:b/>
          <w:bCs/>
          <w:color w:val="000000" w:themeColor="text1"/>
          <w:sz w:val="32"/>
          <w:szCs w:val="32"/>
          <w:lang w:eastAsia="zh-CN"/>
          <w14:textFill>
            <w14:solidFill>
              <w14:schemeClr w14:val="tx1"/>
            </w14:solidFill>
          </w14:textFill>
        </w:rPr>
        <w:t>：202</w:t>
      </w: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lang w:eastAsia="zh-CN"/>
          <w14:textFill>
            <w14:solidFill>
              <w14:schemeClr w14:val="tx1"/>
            </w14:solidFill>
          </w14:textFill>
        </w:rPr>
        <w:t>年消费券的发放，坚持把恢复和扩大消费摆在优先位置，着力在增强消费能力、改善消费条件、创新消费场景上下功夫，突出顶格推进，强化政企联动，完善配套措施，创新“免申即享”等消费券发放模式，让惠民政策直达快享，让消费市场活跃起来，充分发挥消费对经济发展的基础性作用，为全省经济高质量发展做出更大贡献。</w:t>
      </w:r>
    </w:p>
    <w:p>
      <w:pPr>
        <w:pStyle w:val="2"/>
        <w:spacing w:line="580" w:lineRule="exact"/>
        <w:ind w:firstLine="640" w:firstLineChars="200"/>
        <w:jc w:val="both"/>
        <w:rPr>
          <w:rFonts w:ascii="黑体" w:hAnsi="黑体" w:cs="黑体"/>
          <w:color w:val="000000" w:themeColor="text1"/>
          <w:sz w:val="32"/>
          <w:szCs w:val="32"/>
          <w14:textFill>
            <w14:solidFill>
              <w14:schemeClr w14:val="tx1"/>
            </w14:solidFill>
          </w14:textFill>
        </w:rPr>
      </w:pPr>
      <w:r>
        <w:rPr>
          <w:rFonts w:ascii="黑体" w:hAnsi="黑体" w:cs="黑体"/>
          <w:color w:val="000000" w:themeColor="text1"/>
          <w:sz w:val="32"/>
          <w:szCs w:val="32"/>
          <w14:textFill>
            <w14:solidFill>
              <w14:schemeClr w14:val="tx1"/>
            </w14:solidFill>
          </w14:textFill>
        </w:rPr>
        <w:t>二、</w:t>
      </w:r>
      <w:r>
        <w:rPr>
          <w:rFonts w:hint="eastAsia" w:ascii="黑体" w:hAnsi="黑体" w:cs="黑体"/>
          <w:color w:val="000000" w:themeColor="text1"/>
          <w:sz w:val="32"/>
          <w:szCs w:val="32"/>
          <w14:textFill>
            <w14:solidFill>
              <w14:schemeClr w14:val="tx1"/>
            </w14:solidFill>
          </w14:textFill>
        </w:rPr>
        <w:t>项目</w:t>
      </w:r>
      <w:r>
        <w:rPr>
          <w:rFonts w:ascii="黑体" w:hAnsi="黑体" w:cs="黑体"/>
          <w:color w:val="000000" w:themeColor="text1"/>
          <w:sz w:val="32"/>
          <w:szCs w:val="32"/>
          <w14:textFill>
            <w14:solidFill>
              <w14:schemeClr w14:val="tx1"/>
            </w14:solidFill>
          </w14:textFill>
        </w:rPr>
        <w:t>预算执行和管理情况</w:t>
      </w:r>
    </w:p>
    <w:p>
      <w:pPr>
        <w:pStyle w:val="2"/>
        <w:spacing w:line="580" w:lineRule="exact"/>
        <w:ind w:firstLine="640" w:firstLineChars="200"/>
        <w:jc w:val="both"/>
        <w:rPr>
          <w:rFonts w:ascii="微软雅黑" w:hAnsi="微软雅黑" w:eastAsia="微软雅黑" w:cs="微软雅黑"/>
          <w:sz w:val="28"/>
          <w:szCs w:val="24"/>
        </w:rPr>
      </w:pPr>
      <w:r>
        <w:rPr>
          <w:rFonts w:ascii="黑体" w:hAnsi="黑体" w:cs="黑体"/>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寿县经信局按要求报送相关材料，项目申报符合要求，审核、审批规范，不存在重复申报，且项目与单位职责密切相关，符合单位内控管理要求，项目绩效目标明确，并将绩效目标分解为具体的绩效指标，绩效指标较为清晰、明确可供衡量。经核查，寿县经信局项目管理规范，具有严格的内控制度，并按照相关制度进行，项目按原定计划目标实施，未擅自改变主要计划目标，验收工作及时、规范，材料齐全、合规。</w:t>
      </w:r>
    </w:p>
    <w:p>
      <w:pPr>
        <w:pStyle w:val="2"/>
        <w:spacing w:line="580" w:lineRule="exact"/>
        <w:ind w:firstLine="643" w:firstLineChars="200"/>
        <w:jc w:val="both"/>
        <w:rPr>
          <w:rFonts w:hint="eastAsia" w:ascii="黑体" w:hAnsi="黑体" w:eastAsia="仿宋" w:cs="黑体"/>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其中局“互联网+”产业发展扶持资金(原电子商务发展资金)项目为年初项目369.31</w:t>
      </w:r>
      <w:r>
        <w:rPr>
          <w:rFonts w:hint="eastAsia" w:ascii="仿宋" w:hAnsi="仿宋" w:eastAsia="仿宋" w:cs="仿宋"/>
          <w:b/>
          <w:bCs/>
          <w:color w:val="000000" w:themeColor="text1"/>
          <w:sz w:val="32"/>
          <w:szCs w:val="32"/>
          <w14:textFill>
            <w14:solidFill>
              <w14:schemeClr w14:val="tx1"/>
            </w14:solidFill>
          </w14:textFill>
        </w:rPr>
        <w:t>万，截止到评价日实际支出369.31</w:t>
      </w:r>
      <w:r>
        <w:rPr>
          <w:rFonts w:hint="eastAsia" w:ascii="仿宋" w:hAnsi="仿宋" w:eastAsia="仿宋" w:cs="仿宋"/>
          <w:b/>
          <w:bCs/>
          <w:color w:val="000000" w:themeColor="text1"/>
          <w:sz w:val="32"/>
          <w:szCs w:val="32"/>
          <w14:textFill>
            <w14:solidFill>
              <w14:schemeClr w14:val="tx1"/>
            </w14:solidFill>
          </w14:textFill>
        </w:rPr>
        <w:t>万元，支出进度为</w:t>
      </w:r>
      <w:r>
        <w:rPr>
          <w:rFonts w:hint="eastAsia" w:ascii="仿宋" w:hAnsi="仿宋" w:eastAsia="仿宋" w:cs="仿宋"/>
          <w:b/>
          <w:bCs/>
          <w:color w:val="000000" w:themeColor="text1"/>
          <w:sz w:val="32"/>
          <w:szCs w:val="32"/>
          <w:lang w:val="en-US" w:eastAsia="zh-CN"/>
          <w14:textFill>
            <w14:solidFill>
              <w14:schemeClr w14:val="tx1"/>
            </w14:solidFill>
          </w14:textFill>
        </w:rPr>
        <w:t>100</w:t>
      </w:r>
      <w:r>
        <w:rPr>
          <w:rFonts w:hint="eastAsia" w:ascii="仿宋" w:hAnsi="仿宋" w:eastAsia="仿宋" w:cs="仿宋"/>
          <w:b/>
          <w:bCs/>
          <w:color w:val="000000" w:themeColor="text1"/>
          <w:sz w:val="32"/>
          <w:szCs w:val="32"/>
          <w14:textFill>
            <w14:solidFill>
              <w14:schemeClr w14:val="tx1"/>
            </w14:solidFill>
          </w14:textFill>
        </w:rPr>
        <w:t>%；工商管办脱钩人员经费项目1047.44</w:t>
      </w:r>
      <w:r>
        <w:rPr>
          <w:rFonts w:hint="eastAsia" w:ascii="仿宋" w:hAnsi="仿宋" w:eastAsia="仿宋" w:cs="仿宋"/>
          <w:b/>
          <w:bCs/>
          <w:color w:val="000000" w:themeColor="text1"/>
          <w:sz w:val="32"/>
          <w:szCs w:val="32"/>
          <w14:textFill>
            <w14:solidFill>
              <w14:schemeClr w14:val="tx1"/>
            </w14:solidFill>
          </w14:textFill>
        </w:rPr>
        <w:t>万元，截止到评价日实际支出1047.44</w:t>
      </w:r>
      <w:r>
        <w:rPr>
          <w:rFonts w:hint="eastAsia" w:ascii="仿宋" w:hAnsi="仿宋" w:eastAsia="仿宋" w:cs="仿宋"/>
          <w:b/>
          <w:bCs/>
          <w:color w:val="000000" w:themeColor="text1"/>
          <w:sz w:val="32"/>
          <w:szCs w:val="32"/>
          <w14:textFill>
            <w14:solidFill>
              <w14:schemeClr w14:val="tx1"/>
            </w14:solidFill>
          </w14:textFill>
        </w:rPr>
        <w:t>万元，支出进度为100%；中小企业(民营经济)发展专项项目</w:t>
      </w:r>
      <w:r>
        <w:rPr>
          <w:rFonts w:hint="eastAsia" w:ascii="仿宋" w:hAnsi="仿宋" w:eastAsia="仿宋" w:cs="仿宋"/>
          <w:b/>
          <w:bCs/>
          <w:color w:val="000000" w:themeColor="text1"/>
          <w:sz w:val="32"/>
          <w:szCs w:val="32"/>
          <w:lang w:val="en-US" w:eastAsia="zh-CN"/>
          <w14:textFill>
            <w14:solidFill>
              <w14:schemeClr w14:val="tx1"/>
            </w14:solidFill>
          </w14:textFill>
        </w:rPr>
        <w:t>1049</w:t>
      </w:r>
      <w:r>
        <w:rPr>
          <w:rFonts w:hint="eastAsia" w:ascii="仿宋" w:hAnsi="仿宋" w:eastAsia="仿宋" w:cs="仿宋"/>
          <w:b/>
          <w:bCs/>
          <w:color w:val="000000" w:themeColor="text1"/>
          <w:sz w:val="32"/>
          <w:szCs w:val="32"/>
          <w14:textFill>
            <w14:solidFill>
              <w14:schemeClr w14:val="tx1"/>
            </w14:solidFill>
          </w14:textFill>
        </w:rPr>
        <w:t>万元，截止到评价日实际支出</w:t>
      </w:r>
      <w:r>
        <w:rPr>
          <w:rFonts w:hint="eastAsia" w:ascii="仿宋" w:hAnsi="仿宋" w:eastAsia="仿宋" w:cs="仿宋"/>
          <w:b/>
          <w:bCs/>
          <w:color w:val="000000" w:themeColor="text1"/>
          <w:sz w:val="32"/>
          <w:szCs w:val="32"/>
          <w:lang w:val="en-US" w:eastAsia="zh-CN"/>
          <w14:textFill>
            <w14:solidFill>
              <w14:schemeClr w14:val="tx1"/>
            </w14:solidFill>
          </w14:textFill>
        </w:rPr>
        <w:t>1049</w:t>
      </w:r>
      <w:r>
        <w:rPr>
          <w:rFonts w:hint="eastAsia" w:ascii="仿宋" w:hAnsi="仿宋" w:eastAsia="仿宋" w:cs="仿宋"/>
          <w:b/>
          <w:bCs/>
          <w:color w:val="000000" w:themeColor="text1"/>
          <w:sz w:val="32"/>
          <w:szCs w:val="32"/>
          <w14:textFill>
            <w14:solidFill>
              <w14:schemeClr w14:val="tx1"/>
            </w14:solidFill>
          </w14:textFill>
        </w:rPr>
        <w:t>万元，支出进度为</w:t>
      </w:r>
      <w:r>
        <w:rPr>
          <w:rFonts w:hint="eastAsia" w:ascii="仿宋" w:hAnsi="仿宋" w:eastAsia="仿宋" w:cs="仿宋"/>
          <w:b/>
          <w:bCs/>
          <w:color w:val="000000" w:themeColor="text1"/>
          <w:sz w:val="32"/>
          <w:szCs w:val="32"/>
          <w:lang w:val="en-US" w:eastAsia="zh-CN"/>
          <w14:textFill>
            <w14:solidFill>
              <w14:schemeClr w14:val="tx1"/>
            </w14:solidFill>
          </w14:textFill>
        </w:rPr>
        <w:t>100</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拨付全县文明菜市行动相关项目资金</w:t>
      </w:r>
      <w:r>
        <w:rPr>
          <w:rFonts w:hint="eastAsia" w:ascii="仿宋" w:hAnsi="仿宋" w:eastAsia="仿宋" w:cs="仿宋"/>
          <w:b/>
          <w:bCs/>
          <w:color w:val="000000" w:themeColor="text1"/>
          <w:sz w:val="32"/>
          <w:szCs w:val="32"/>
          <w:lang w:val="en-US" w:eastAsia="zh-CN"/>
          <w14:textFill>
            <w14:solidFill>
              <w14:schemeClr w14:val="tx1"/>
            </w14:solidFill>
          </w14:textFill>
        </w:rPr>
        <w:t>281.59</w:t>
      </w:r>
      <w:r>
        <w:rPr>
          <w:rFonts w:hint="eastAsia" w:ascii="仿宋" w:hAnsi="仿宋" w:eastAsia="仿宋" w:cs="仿宋"/>
          <w:b/>
          <w:bCs/>
          <w:color w:val="000000" w:themeColor="text1"/>
          <w:sz w:val="32"/>
          <w:szCs w:val="32"/>
          <w14:textFill>
            <w14:solidFill>
              <w14:schemeClr w14:val="tx1"/>
            </w14:solidFill>
          </w14:textFill>
        </w:rPr>
        <w:t>万元，截止到评价日实际支出</w:t>
      </w:r>
      <w:r>
        <w:rPr>
          <w:rFonts w:hint="eastAsia" w:ascii="仿宋" w:hAnsi="仿宋" w:eastAsia="仿宋" w:cs="仿宋"/>
          <w:b/>
          <w:bCs/>
          <w:color w:val="000000" w:themeColor="text1"/>
          <w:sz w:val="32"/>
          <w:szCs w:val="32"/>
          <w:lang w:val="en-US" w:eastAsia="zh-CN"/>
          <w14:textFill>
            <w14:solidFill>
              <w14:schemeClr w14:val="tx1"/>
            </w14:solidFill>
          </w14:textFill>
        </w:rPr>
        <w:t>281.59</w:t>
      </w:r>
      <w:r>
        <w:rPr>
          <w:rFonts w:hint="eastAsia" w:ascii="仿宋" w:hAnsi="仿宋" w:eastAsia="仿宋" w:cs="仿宋"/>
          <w:b/>
          <w:bCs/>
          <w:color w:val="000000" w:themeColor="text1"/>
          <w:sz w:val="32"/>
          <w:szCs w:val="32"/>
          <w14:textFill>
            <w14:solidFill>
              <w14:schemeClr w14:val="tx1"/>
            </w14:solidFill>
          </w14:textFill>
        </w:rPr>
        <w:t>万元，支出进度为</w:t>
      </w:r>
      <w:r>
        <w:rPr>
          <w:rFonts w:hint="eastAsia" w:ascii="仿宋" w:hAnsi="仿宋" w:eastAsia="仿宋" w:cs="仿宋"/>
          <w:b/>
          <w:bCs/>
          <w:color w:val="000000" w:themeColor="text1"/>
          <w:sz w:val="32"/>
          <w:szCs w:val="32"/>
          <w:lang w:val="en-US" w:eastAsia="zh-CN"/>
          <w14:textFill>
            <w14:solidFill>
              <w14:schemeClr w14:val="tx1"/>
            </w14:solidFill>
          </w14:textFill>
        </w:rPr>
        <w:t>100</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制造强省建设(数字化转型等)系列政策资金</w:t>
      </w:r>
      <w:r>
        <w:rPr>
          <w:rFonts w:hint="eastAsia" w:ascii="仿宋" w:hAnsi="仿宋" w:eastAsia="仿宋" w:cs="仿宋"/>
          <w:b/>
          <w:bCs/>
          <w:color w:val="000000" w:themeColor="text1"/>
          <w:sz w:val="32"/>
          <w:szCs w:val="32"/>
          <w:lang w:val="en-US" w:eastAsia="zh-CN"/>
          <w14:textFill>
            <w14:solidFill>
              <w14:schemeClr w14:val="tx1"/>
            </w14:solidFill>
          </w14:textFill>
        </w:rPr>
        <w:t>597</w:t>
      </w:r>
      <w:r>
        <w:rPr>
          <w:rFonts w:hint="eastAsia" w:ascii="仿宋" w:hAnsi="仿宋" w:eastAsia="仿宋" w:cs="仿宋"/>
          <w:b/>
          <w:bCs/>
          <w:color w:val="000000" w:themeColor="text1"/>
          <w:sz w:val="32"/>
          <w:szCs w:val="32"/>
          <w14:textFill>
            <w14:solidFill>
              <w14:schemeClr w14:val="tx1"/>
            </w14:solidFill>
          </w14:textFill>
        </w:rPr>
        <w:t>万元，截止到评价日实际支出</w:t>
      </w:r>
      <w:r>
        <w:rPr>
          <w:rFonts w:hint="eastAsia" w:ascii="仿宋" w:hAnsi="仿宋" w:eastAsia="仿宋" w:cs="仿宋"/>
          <w:b/>
          <w:bCs/>
          <w:color w:val="000000" w:themeColor="text1"/>
          <w:sz w:val="32"/>
          <w:szCs w:val="32"/>
          <w:lang w:val="en-US" w:eastAsia="zh-CN"/>
          <w14:textFill>
            <w14:solidFill>
              <w14:schemeClr w14:val="tx1"/>
            </w14:solidFill>
          </w14:textFill>
        </w:rPr>
        <w:t>597</w:t>
      </w:r>
      <w:r>
        <w:rPr>
          <w:rFonts w:hint="eastAsia" w:ascii="仿宋" w:hAnsi="仿宋" w:eastAsia="仿宋" w:cs="仿宋"/>
          <w:b/>
          <w:bCs/>
          <w:color w:val="000000" w:themeColor="text1"/>
          <w:sz w:val="32"/>
          <w:szCs w:val="32"/>
          <w14:textFill>
            <w14:solidFill>
              <w14:schemeClr w14:val="tx1"/>
            </w14:solidFill>
          </w14:textFill>
        </w:rPr>
        <w:t>万元，支出进度为</w:t>
      </w:r>
      <w:r>
        <w:rPr>
          <w:rFonts w:hint="eastAsia" w:ascii="仿宋" w:hAnsi="仿宋" w:eastAsia="仿宋" w:cs="仿宋"/>
          <w:b/>
          <w:bCs/>
          <w:color w:val="000000" w:themeColor="text1"/>
          <w:sz w:val="32"/>
          <w:szCs w:val="32"/>
          <w:lang w:val="en-US" w:eastAsia="zh-CN"/>
          <w14:textFill>
            <w14:solidFill>
              <w14:schemeClr w14:val="tx1"/>
            </w14:solidFill>
          </w14:textFill>
        </w:rPr>
        <w:t>100</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sz w:val="32"/>
          <w:szCs w:val="32"/>
          <w:lang w:val="en-US" w:eastAsia="zh-CN"/>
        </w:rPr>
        <w:t>惠民消费券发放政府补贴</w:t>
      </w:r>
      <w:r>
        <w:rPr>
          <w:rFonts w:hint="eastAsia" w:ascii="仿宋" w:hAnsi="仿宋" w:eastAsia="仿宋" w:cs="仿宋"/>
          <w:b/>
          <w:bCs/>
          <w:color w:val="000000" w:themeColor="text1"/>
          <w:sz w:val="32"/>
          <w:szCs w:val="32"/>
          <w:lang w:val="en-US" w:eastAsia="zh-CN"/>
          <w14:textFill>
            <w14:solidFill>
              <w14:schemeClr w14:val="tx1"/>
            </w14:solidFill>
          </w14:textFill>
        </w:rPr>
        <w:t>58.77</w:t>
      </w:r>
      <w:r>
        <w:rPr>
          <w:rFonts w:hint="eastAsia" w:ascii="仿宋" w:hAnsi="仿宋" w:eastAsia="仿宋" w:cs="仿宋"/>
          <w:b/>
          <w:bCs/>
          <w:color w:val="000000" w:themeColor="text1"/>
          <w:sz w:val="32"/>
          <w:szCs w:val="32"/>
          <w:lang w:val="en-US" w:eastAsia="zh-CN"/>
          <w14:textFill>
            <w14:solidFill>
              <w14:schemeClr w14:val="tx1"/>
            </w14:solidFill>
          </w14:textFill>
        </w:rPr>
        <w:tab/>
      </w:r>
      <w:r>
        <w:rPr>
          <w:rFonts w:hint="eastAsia" w:ascii="仿宋" w:hAnsi="仿宋" w:eastAsia="仿宋" w:cs="仿宋"/>
          <w:b/>
          <w:bCs/>
          <w:color w:val="000000" w:themeColor="text1"/>
          <w:sz w:val="32"/>
          <w:szCs w:val="32"/>
          <w14:textFill>
            <w14:solidFill>
              <w14:schemeClr w14:val="tx1"/>
            </w14:solidFill>
          </w14:textFill>
        </w:rPr>
        <w:t>万元，截止到评价日实际支出</w:t>
      </w:r>
      <w:r>
        <w:rPr>
          <w:rFonts w:hint="eastAsia" w:ascii="仿宋" w:hAnsi="仿宋" w:eastAsia="仿宋" w:cs="仿宋"/>
          <w:b/>
          <w:bCs/>
          <w:color w:val="000000" w:themeColor="text1"/>
          <w:sz w:val="32"/>
          <w:szCs w:val="32"/>
          <w:lang w:val="en-US" w:eastAsia="zh-CN"/>
          <w14:textFill>
            <w14:solidFill>
              <w14:schemeClr w14:val="tx1"/>
            </w14:solidFill>
          </w14:textFill>
        </w:rPr>
        <w:t>58.77</w:t>
      </w:r>
      <w:r>
        <w:rPr>
          <w:rFonts w:hint="eastAsia" w:ascii="仿宋" w:hAnsi="仿宋" w:eastAsia="仿宋" w:cs="仿宋"/>
          <w:b/>
          <w:bCs/>
          <w:color w:val="000000" w:themeColor="text1"/>
          <w:sz w:val="32"/>
          <w:szCs w:val="32"/>
          <w14:textFill>
            <w14:solidFill>
              <w14:schemeClr w14:val="tx1"/>
            </w14:solidFill>
          </w14:textFill>
        </w:rPr>
        <w:t>万元，支出进度为</w:t>
      </w:r>
      <w:r>
        <w:rPr>
          <w:rFonts w:hint="eastAsia" w:ascii="仿宋" w:hAnsi="仿宋" w:eastAsia="仿宋" w:cs="仿宋"/>
          <w:b/>
          <w:bCs/>
          <w:color w:val="000000" w:themeColor="text1"/>
          <w:sz w:val="32"/>
          <w:szCs w:val="32"/>
          <w:lang w:val="en-US" w:eastAsia="zh-CN"/>
          <w14:textFill>
            <w14:solidFill>
              <w14:schemeClr w14:val="tx1"/>
            </w14:solidFill>
          </w14:textFill>
        </w:rPr>
        <w:t>100</w:t>
      </w:r>
      <w:r>
        <w:rPr>
          <w:rFonts w:hint="eastAsia" w:ascii="仿宋" w:hAnsi="仿宋" w:eastAsia="仿宋" w:cs="仿宋"/>
          <w:b/>
          <w:bCs/>
          <w:color w:val="000000" w:themeColor="text1"/>
          <w:sz w:val="32"/>
          <w:szCs w:val="32"/>
          <w14:textFill>
            <w14:solidFill>
              <w14:schemeClr w14:val="tx1"/>
            </w14:solidFill>
          </w14:textFill>
        </w:rPr>
        <w:t>%。</w:t>
      </w:r>
    </w:p>
    <w:p>
      <w:pPr>
        <w:pStyle w:val="2"/>
        <w:spacing w:line="580" w:lineRule="exact"/>
        <w:ind w:firstLine="640" w:firstLineChars="200"/>
        <w:jc w:val="both"/>
        <w:rPr>
          <w:rFonts w:ascii="黑体" w:hAnsi="黑体" w:cs="黑体"/>
          <w:color w:val="000000" w:themeColor="text1"/>
          <w:sz w:val="32"/>
          <w:szCs w:val="32"/>
          <w14:textFill>
            <w14:solidFill>
              <w14:schemeClr w14:val="tx1"/>
            </w14:solidFill>
          </w14:textFill>
        </w:rPr>
      </w:pPr>
      <w:r>
        <w:rPr>
          <w:rFonts w:ascii="黑体" w:hAnsi="黑体" w:cs="黑体"/>
          <w:color w:val="000000" w:themeColor="text1"/>
          <w:sz w:val="32"/>
          <w:szCs w:val="32"/>
          <w14:textFill>
            <w14:solidFill>
              <w14:schemeClr w14:val="tx1"/>
            </w14:solidFill>
          </w14:textFill>
        </w:rPr>
        <w:t>三、项目支出绩效目标实现情况分析</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先对本单位各项目支出指标绩效评价自评表总平均得分</w:t>
      </w:r>
      <w:r>
        <w:rPr>
          <w:rFonts w:ascii="仿宋" w:hAnsi="仿宋" w:eastAsia="仿宋" w:cs="仿宋"/>
          <w:b/>
          <w:bCs/>
          <w:color w:val="000000" w:themeColor="text1"/>
          <w:sz w:val="32"/>
          <w:szCs w:val="32"/>
          <w14:textFill>
            <w14:solidFill>
              <w14:schemeClr w14:val="tx1"/>
            </w14:solidFill>
          </w14:textFill>
        </w:rPr>
        <w:t>88</w:t>
      </w:r>
      <w:r>
        <w:rPr>
          <w:rFonts w:hint="eastAsia" w:ascii="仿宋" w:hAnsi="仿宋" w:eastAsia="仿宋" w:cs="仿宋"/>
          <w:b/>
          <w:bCs/>
          <w:color w:val="000000" w:themeColor="text1"/>
          <w:sz w:val="32"/>
          <w:szCs w:val="32"/>
          <w14:textFill>
            <w14:solidFill>
              <w14:schemeClr w14:val="tx1"/>
            </w14:solidFill>
          </w14:textFill>
        </w:rPr>
        <w:t>分依据对项目的申报管理，资金落实情况，项目管理，财务管理，项目产出，项目效益等二级指标做的细分指标打分，项目指标编制不够完善，指标名称过于简单，具体指标不能量化，有无细化的二级指标，要点不明确，项目资料不完善，项目指标有待进一步的提高的。</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202</w:t>
      </w: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年我局绩效目标自评项目</w:t>
      </w: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个：其中““互联网+”产业发展扶持资金(原电子商务发展资金)”</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369.31万元，项目支出指标绩效评价分是</w:t>
      </w:r>
      <w:r>
        <w:rPr>
          <w:rFonts w:ascii="仿宋" w:hAnsi="仿宋" w:eastAsia="仿宋" w:cs="仿宋"/>
          <w:b/>
          <w:bCs/>
          <w:color w:val="000000" w:themeColor="text1"/>
          <w:sz w:val="32"/>
          <w:szCs w:val="32"/>
          <w14:textFill>
            <w14:solidFill>
              <w14:schemeClr w14:val="tx1"/>
            </w14:solidFill>
          </w14:textFill>
        </w:rPr>
        <w:t>9</w:t>
      </w:r>
      <w:r>
        <w:rPr>
          <w:rFonts w:hint="eastAsia" w:ascii="仿宋" w:hAnsi="仿宋" w:eastAsia="仿宋" w:cs="仿宋"/>
          <w:b/>
          <w:bCs/>
          <w:color w:val="000000" w:themeColor="text1"/>
          <w:sz w:val="32"/>
          <w:szCs w:val="32"/>
          <w:lang w:val="en-US" w:eastAsia="zh-CN"/>
          <w14:textFill>
            <w14:solidFill>
              <w14:schemeClr w14:val="tx1"/>
            </w14:solidFill>
          </w14:textFill>
        </w:rPr>
        <w:t>7</w:t>
      </w:r>
      <w:r>
        <w:rPr>
          <w:rFonts w:hint="eastAsia" w:ascii="仿宋" w:hAnsi="仿宋" w:eastAsia="仿宋" w:cs="仿宋"/>
          <w:b/>
          <w:bCs/>
          <w:color w:val="000000" w:themeColor="text1"/>
          <w:sz w:val="32"/>
          <w:szCs w:val="32"/>
          <w14:textFill>
            <w14:solidFill>
              <w14:schemeClr w14:val="tx1"/>
            </w14:solidFill>
          </w14:textFill>
        </w:rPr>
        <w:t>分、其中“工商管办脱钩人员经费”1047.44万元</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“中小企业(民营经济)发展专项”</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1049</w:t>
      </w:r>
      <w:r>
        <w:rPr>
          <w:rFonts w:hint="eastAsia" w:ascii="仿宋" w:hAnsi="仿宋" w:eastAsia="仿宋" w:cs="仿宋"/>
          <w:b/>
          <w:bCs/>
          <w:color w:val="000000" w:themeColor="text1"/>
          <w:sz w:val="32"/>
          <w:szCs w:val="32"/>
          <w14:textFill>
            <w14:solidFill>
              <w14:schemeClr w14:val="tx1"/>
            </w14:solidFill>
          </w14:textFill>
        </w:rPr>
        <w:t>万元支出指标</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拨付全县文明菜市行动相关项目</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制造强省</w:t>
      </w:r>
      <w:bookmarkStart w:id="0" w:name="_GoBack"/>
      <w:bookmarkEnd w:id="0"/>
      <w:r>
        <w:rPr>
          <w:rFonts w:hint="eastAsia" w:ascii="仿宋" w:hAnsi="仿宋" w:eastAsia="仿宋" w:cs="仿宋"/>
          <w:b/>
          <w:bCs/>
          <w:color w:val="000000" w:themeColor="text1"/>
          <w:sz w:val="32"/>
          <w:szCs w:val="32"/>
          <w14:textFill>
            <w14:solidFill>
              <w14:schemeClr w14:val="tx1"/>
            </w14:solidFill>
          </w14:textFill>
        </w:rPr>
        <w:t>建设(数字化转型等)系列政策资金</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sz w:val="32"/>
          <w:szCs w:val="32"/>
          <w:lang w:val="en-US" w:eastAsia="zh-CN"/>
        </w:rPr>
        <w:t>惠民消费券发放政府补贴</w:t>
      </w:r>
      <w:r>
        <w:rPr>
          <w:rFonts w:hint="eastAsia" w:ascii="仿宋" w:hAnsi="仿宋" w:eastAsia="仿宋" w:cs="仿宋"/>
          <w:b/>
          <w:bCs/>
          <w:color w:val="000000" w:themeColor="text1"/>
          <w:sz w:val="32"/>
          <w:szCs w:val="32"/>
          <w14:textFill>
            <w14:solidFill>
              <w14:schemeClr w14:val="tx1"/>
            </w14:solidFill>
          </w14:textFill>
        </w:rPr>
        <w:t>绩效评价自评分别是</w:t>
      </w:r>
      <w:r>
        <w:rPr>
          <w:rFonts w:ascii="仿宋" w:hAnsi="仿宋" w:eastAsia="仿宋" w:cs="仿宋"/>
          <w:b/>
          <w:bCs/>
          <w:color w:val="000000" w:themeColor="text1"/>
          <w:sz w:val="32"/>
          <w:szCs w:val="32"/>
          <w14:textFill>
            <w14:solidFill>
              <w14:schemeClr w14:val="tx1"/>
            </w14:solidFill>
          </w14:textFill>
        </w:rPr>
        <w:t>9</w:t>
      </w:r>
      <w:r>
        <w:rPr>
          <w:rFonts w:hint="eastAsia" w:ascii="仿宋" w:hAnsi="仿宋" w:eastAsia="仿宋" w:cs="仿宋"/>
          <w:b/>
          <w:bCs/>
          <w:color w:val="000000" w:themeColor="text1"/>
          <w:sz w:val="32"/>
          <w:szCs w:val="32"/>
          <w:lang w:val="en-US" w:eastAsia="zh-CN"/>
          <w14:textFill>
            <w14:solidFill>
              <w14:schemeClr w14:val="tx1"/>
            </w14:solidFill>
          </w14:textFill>
        </w:rPr>
        <w:t>7</w:t>
      </w:r>
      <w:r>
        <w:rPr>
          <w:rFonts w:hint="eastAsia" w:ascii="仿宋" w:hAnsi="仿宋" w:eastAsia="仿宋" w:cs="仿宋"/>
          <w:b/>
          <w:bCs/>
          <w:color w:val="000000" w:themeColor="text1"/>
          <w:sz w:val="32"/>
          <w:szCs w:val="32"/>
          <w14:textFill>
            <w14:solidFill>
              <w14:schemeClr w14:val="tx1"/>
            </w14:solidFill>
          </w14:textFill>
        </w:rPr>
        <w:t>分</w:t>
      </w:r>
      <w:r>
        <w:rPr>
          <w:rFonts w:hint="eastAsia" w:ascii="仿宋" w:hAnsi="仿宋" w:eastAsia="仿宋" w:cs="仿宋"/>
          <w:b/>
          <w:bCs/>
          <w:color w:val="000000" w:themeColor="text1"/>
          <w:sz w:val="32"/>
          <w:szCs w:val="32"/>
          <w:lang w:eastAsia="zh-CN"/>
          <w14:textFill>
            <w14:solidFill>
              <w14:schemeClr w14:val="tx1"/>
            </w14:solidFill>
          </w14:textFill>
        </w:rPr>
        <w:t>、</w:t>
      </w:r>
      <w:r>
        <w:rPr>
          <w:rFonts w:ascii="仿宋" w:hAnsi="仿宋" w:eastAsia="仿宋" w:cs="仿宋"/>
          <w:b/>
          <w:bCs/>
          <w:color w:val="000000" w:themeColor="text1"/>
          <w:sz w:val="32"/>
          <w:szCs w:val="32"/>
          <w14:textFill>
            <w14:solidFill>
              <w14:schemeClr w14:val="tx1"/>
            </w14:solidFill>
          </w14:textFill>
        </w:rPr>
        <w:t>9</w:t>
      </w: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分</w:t>
      </w:r>
      <w:r>
        <w:rPr>
          <w:rFonts w:hint="eastAsia" w:ascii="仿宋" w:hAnsi="仿宋" w:eastAsia="仿宋" w:cs="仿宋"/>
          <w:b/>
          <w:bCs/>
          <w:color w:val="000000" w:themeColor="text1"/>
          <w:sz w:val="32"/>
          <w:szCs w:val="32"/>
          <w:lang w:eastAsia="zh-CN"/>
          <w14:textFill>
            <w14:solidFill>
              <w14:schemeClr w14:val="tx1"/>
            </w14:solidFill>
          </w14:textFill>
        </w:rPr>
        <w:t>、</w:t>
      </w:r>
      <w:r>
        <w:rPr>
          <w:rFonts w:ascii="仿宋" w:hAnsi="仿宋" w:eastAsia="仿宋" w:cs="仿宋"/>
          <w:b/>
          <w:bCs/>
          <w:color w:val="000000" w:themeColor="text1"/>
          <w:sz w:val="32"/>
          <w:szCs w:val="32"/>
          <w14:textFill>
            <w14:solidFill>
              <w14:schemeClr w14:val="tx1"/>
            </w14:solidFill>
          </w14:textFill>
        </w:rPr>
        <w:t>9</w:t>
      </w: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分</w:t>
      </w:r>
      <w:r>
        <w:rPr>
          <w:rFonts w:hint="eastAsia" w:ascii="仿宋" w:hAnsi="仿宋" w:eastAsia="仿宋" w:cs="仿宋"/>
          <w:b/>
          <w:bCs/>
          <w:color w:val="000000" w:themeColor="text1"/>
          <w:sz w:val="32"/>
          <w:szCs w:val="32"/>
          <w:lang w:eastAsia="zh-CN"/>
          <w14:textFill>
            <w14:solidFill>
              <w14:schemeClr w14:val="tx1"/>
            </w14:solidFill>
          </w14:textFill>
        </w:rPr>
        <w:t>、</w:t>
      </w:r>
      <w:r>
        <w:rPr>
          <w:rFonts w:ascii="仿宋" w:hAnsi="仿宋" w:eastAsia="仿宋" w:cs="仿宋"/>
          <w:b/>
          <w:bCs/>
          <w:color w:val="000000" w:themeColor="text1"/>
          <w:sz w:val="32"/>
          <w:szCs w:val="32"/>
          <w14:textFill>
            <w14:solidFill>
              <w14:schemeClr w14:val="tx1"/>
            </w14:solidFill>
          </w14:textFill>
        </w:rPr>
        <w:t>9</w:t>
      </w: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分</w:t>
      </w:r>
      <w:r>
        <w:rPr>
          <w:rFonts w:hint="eastAsia" w:ascii="仿宋" w:hAnsi="仿宋" w:eastAsia="仿宋" w:cs="仿宋"/>
          <w:b/>
          <w:bCs/>
          <w:color w:val="000000" w:themeColor="text1"/>
          <w:sz w:val="32"/>
          <w:szCs w:val="32"/>
          <w:lang w:eastAsia="zh-CN"/>
          <w14:textFill>
            <w14:solidFill>
              <w14:schemeClr w14:val="tx1"/>
            </w14:solidFill>
          </w14:textFill>
        </w:rPr>
        <w:t>、</w:t>
      </w:r>
      <w:r>
        <w:rPr>
          <w:rFonts w:ascii="仿宋" w:hAnsi="仿宋" w:eastAsia="仿宋" w:cs="仿宋"/>
          <w:b/>
          <w:bCs/>
          <w:color w:val="000000" w:themeColor="text1"/>
          <w:sz w:val="32"/>
          <w:szCs w:val="32"/>
          <w14:textFill>
            <w14:solidFill>
              <w14:schemeClr w14:val="tx1"/>
            </w14:solidFill>
          </w14:textFill>
        </w:rPr>
        <w:t>9</w:t>
      </w: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分等项目评分。</w:t>
      </w:r>
    </w:p>
    <w:p>
      <w:pPr>
        <w:pStyle w:val="2"/>
        <w:spacing w:line="580" w:lineRule="exact"/>
        <w:ind w:firstLine="640" w:firstLineChars="200"/>
        <w:jc w:val="both"/>
        <w:rPr>
          <w:rFonts w:ascii="仿宋" w:hAnsi="仿宋" w:eastAsia="仿宋" w:cs="仿宋"/>
          <w:color w:val="000000" w:themeColor="text1"/>
          <w:spacing w:val="-4"/>
          <w:w w:val="95"/>
          <w:sz w:val="32"/>
          <w:szCs w:val="32"/>
          <w14:textFill>
            <w14:solidFill>
              <w14:schemeClr w14:val="tx1"/>
            </w14:solidFill>
          </w14:textFill>
        </w:rPr>
      </w:pPr>
      <w:r>
        <w:rPr>
          <w:rFonts w:ascii="黑体" w:hAnsi="黑体" w:cs="黑体"/>
          <w:color w:val="000000" w:themeColor="text1"/>
          <w:sz w:val="32"/>
          <w:szCs w:val="32"/>
          <w14:textFill>
            <w14:solidFill>
              <w14:schemeClr w14:val="tx1"/>
            </w14:solidFill>
          </w14:textFill>
        </w:rPr>
        <w:t>四、</w:t>
      </w:r>
      <w:r>
        <w:rPr>
          <w:rFonts w:hint="eastAsia" w:ascii="黑体" w:hAnsi="黑体" w:cs="黑体"/>
          <w:color w:val="000000" w:themeColor="text1"/>
          <w:sz w:val="32"/>
          <w:szCs w:val="32"/>
          <w14:textFill>
            <w14:solidFill>
              <w14:schemeClr w14:val="tx1"/>
            </w14:solidFill>
          </w14:textFill>
        </w:rPr>
        <w:t>项目</w:t>
      </w:r>
      <w:r>
        <w:rPr>
          <w:rFonts w:ascii="黑体" w:hAnsi="黑体" w:cs="黑体"/>
          <w:color w:val="000000" w:themeColor="text1"/>
          <w:sz w:val="32"/>
          <w:szCs w:val="32"/>
          <w14:textFill>
            <w14:solidFill>
              <w14:schemeClr w14:val="tx1"/>
            </w14:solidFill>
          </w14:textFill>
        </w:rPr>
        <w:t>绩效情况分析</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基础信息完整性：部门及所属二级单位预算基础信息符合相关规定，信息资料是真实、完整。</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绩效目标符合性：部门及其所属二级预算单位制定了年度预算总体绩效目标和具体绩效目标，绩效目标制定依据充分符合客观实际。用以反 映和考核部门（单位）整体绩效目 标与部门履职、年度工作任务的相符性。</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绩效指标明确性：部门及所属的二级单位依据整体绩效目标所设定的绩效指标项目指标编制不够完善，指标名称过于简单，具体指标不能量化，有无细化的二级指标。</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绩效指标科学合理性：部门及所属的二级单位依据整体绩效目标所设定的部门项目绩效指标科学、合理，用以反映和考核部门（单位）预算项目绩效指标设 置的科学合理性。</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p>
    <w:p>
      <w:pPr>
        <w:pStyle w:val="2"/>
        <w:spacing w:line="580" w:lineRule="exact"/>
        <w:ind w:firstLine="640" w:firstLineChars="200"/>
        <w:jc w:val="both"/>
        <w:rPr>
          <w:rFonts w:ascii="黑体" w:hAnsi="黑体" w:cs="黑体"/>
          <w:color w:val="000000" w:themeColor="text1"/>
          <w:sz w:val="32"/>
          <w:szCs w:val="32"/>
          <w14:textFill>
            <w14:solidFill>
              <w14:schemeClr w14:val="tx1"/>
            </w14:solidFill>
          </w14:textFill>
        </w:rPr>
      </w:pPr>
      <w:r>
        <w:rPr>
          <w:rFonts w:ascii="黑体" w:hAnsi="黑体" w:cs="黑体"/>
          <w:color w:val="000000" w:themeColor="text1"/>
          <w:sz w:val="32"/>
          <w:szCs w:val="32"/>
          <w14:textFill>
            <w14:solidFill>
              <w14:schemeClr w14:val="tx1"/>
            </w14:solidFill>
          </w14:textFill>
        </w:rPr>
        <w:t>五、绩效</w:t>
      </w:r>
      <w:r>
        <w:rPr>
          <w:rFonts w:hint="eastAsia" w:ascii="黑体" w:hAnsi="黑体" w:cs="黑体"/>
          <w:color w:val="000000" w:themeColor="text1"/>
          <w:sz w:val="32"/>
          <w:szCs w:val="32"/>
          <w14:textFill>
            <w14:solidFill>
              <w14:schemeClr w14:val="tx1"/>
            </w14:solidFill>
          </w14:textFill>
        </w:rPr>
        <w:t>评价</w:t>
      </w:r>
      <w:r>
        <w:rPr>
          <w:rFonts w:ascii="黑体" w:hAnsi="黑体" w:cs="黑体"/>
          <w:color w:val="000000" w:themeColor="text1"/>
          <w:sz w:val="32"/>
          <w:szCs w:val="32"/>
          <w14:textFill>
            <w14:solidFill>
              <w14:schemeClr w14:val="tx1"/>
            </w14:solidFill>
          </w14:textFill>
        </w:rPr>
        <w:t>结果拟应用和公开情况</w:t>
      </w:r>
    </w:p>
    <w:p>
      <w:pPr>
        <w:pStyle w:val="2"/>
        <w:spacing w:line="580" w:lineRule="exact"/>
        <w:ind w:firstLine="643" w:firstLineChars="200"/>
        <w:jc w:val="both"/>
        <w:rPr>
          <w:rFonts w:ascii="黑体" w:hAnsi="黑体" w:cs="黑体"/>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结果拟在政务公开中公开，接受各方面的监督，并进一步建立、完善、运用好各项内控制度，管好用好财政资金。</w:t>
      </w:r>
    </w:p>
    <w:p>
      <w:pPr>
        <w:pStyle w:val="2"/>
        <w:spacing w:line="580" w:lineRule="exact"/>
        <w:ind w:firstLine="640" w:firstLineChars="200"/>
        <w:jc w:val="both"/>
        <w:rPr>
          <w:rFonts w:ascii="黑体" w:hAnsi="黑体" w:cs="黑体"/>
          <w:color w:val="000000" w:themeColor="text1"/>
          <w:sz w:val="32"/>
          <w:szCs w:val="32"/>
          <w14:textFill>
            <w14:solidFill>
              <w14:schemeClr w14:val="tx1"/>
            </w14:solidFill>
          </w14:textFill>
        </w:rPr>
      </w:pPr>
      <w:r>
        <w:rPr>
          <w:rFonts w:ascii="黑体" w:hAnsi="黑体" w:cs="黑体"/>
          <w:color w:val="000000" w:themeColor="text1"/>
          <w:sz w:val="32"/>
          <w:szCs w:val="32"/>
          <w14:textFill>
            <w14:solidFill>
              <w14:schemeClr w14:val="tx1"/>
            </w14:solidFill>
          </w14:textFill>
        </w:rPr>
        <w:t>六、绩效</w:t>
      </w:r>
      <w:r>
        <w:rPr>
          <w:rFonts w:hint="eastAsia" w:ascii="黑体" w:hAnsi="黑体" w:cs="黑体"/>
          <w:color w:val="000000" w:themeColor="text1"/>
          <w:sz w:val="32"/>
          <w:szCs w:val="32"/>
          <w14:textFill>
            <w14:solidFill>
              <w14:schemeClr w14:val="tx1"/>
            </w14:solidFill>
          </w14:textFill>
        </w:rPr>
        <w:t>评价</w:t>
      </w:r>
      <w:r>
        <w:rPr>
          <w:rFonts w:ascii="黑体" w:hAnsi="黑体" w:cs="黑体"/>
          <w:color w:val="000000" w:themeColor="text1"/>
          <w:sz w:val="32"/>
          <w:szCs w:val="32"/>
          <w14:textFill>
            <w14:solidFill>
              <w14:schemeClr w14:val="tx1"/>
            </w14:solidFill>
          </w14:textFill>
        </w:rPr>
        <w:t>工作开展情况、存在问题和下一步措施</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w:t>
      </w:r>
      <w:r>
        <w:rPr>
          <w:rFonts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预算编制不够精细，部分指标需要调剂后才能使用；因外部因素导致支付进度较为缓慢；</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 xml:space="preserve"> 完善绩效目标的细化，通过清晰、可衡量的绩效指标来反映项目绩效情况；加快预算支出执行进度，做好本会计年度的支出应支尽支，不跨年度结账列支。</w:t>
      </w:r>
    </w:p>
    <w:p>
      <w:pPr>
        <w:pStyle w:val="2"/>
        <w:spacing w:line="580" w:lineRule="exact"/>
        <w:ind w:firstLine="643" w:firstLineChars="200"/>
        <w:jc w:val="both"/>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在寿县经信局的统筹组织下，全年工作全部完成，财政资金按照要求规范使用，充分发挥了项目资金的使用效率，资金全部通过国库集中支付完成支付，无虚报、挤占、挪用。民营经济调研经费项目总体实现了项目绩效目标，实现了预期绩效。</w:t>
      </w:r>
    </w:p>
    <w:p>
      <w:pPr>
        <w:pStyle w:val="2"/>
        <w:spacing w:line="580" w:lineRule="exact"/>
        <w:ind w:firstLine="640" w:firstLineChars="200"/>
        <w:jc w:val="both"/>
        <w:rPr>
          <w:rFonts w:ascii="黑体" w:hAnsi="黑体" w:cs="黑体"/>
          <w:color w:val="000000" w:themeColor="text1"/>
          <w:w w:val="99"/>
          <w:sz w:val="32"/>
          <w:szCs w:val="32"/>
          <w14:textFill>
            <w14:solidFill>
              <w14:schemeClr w14:val="tx1"/>
            </w14:solidFill>
          </w14:textFill>
        </w:rPr>
      </w:pPr>
      <w:r>
        <w:rPr>
          <w:rFonts w:ascii="黑体" w:hAnsi="黑体" w:cs="黑体"/>
          <w:color w:val="000000" w:themeColor="text1"/>
          <w:sz w:val="32"/>
          <w:szCs w:val="32"/>
          <w14:textFill>
            <w14:solidFill>
              <w14:schemeClr w14:val="tx1"/>
            </w14:solidFill>
          </w14:textFill>
        </w:rPr>
        <w:t>七、附件</w:t>
      </w:r>
    </w:p>
    <w:p>
      <w:pPr>
        <w:pStyle w:val="2"/>
        <w:spacing w:line="580" w:lineRule="exact"/>
        <w:ind w:firstLine="643" w:firstLineChars="200"/>
        <w:jc w:val="both"/>
        <w:rPr>
          <w:rFonts w:ascii="仿宋" w:hAnsi="仿宋" w:eastAsia="仿宋" w:cs="仿宋"/>
          <w:color w:val="000000" w:themeColor="text1"/>
          <w:spacing w:val="137"/>
          <w:w w:val="95"/>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项目支出绩效</w:t>
      </w:r>
      <w:r>
        <w:rPr>
          <w:rFonts w:hint="eastAsia" w:ascii="仿宋" w:hAnsi="仿宋" w:eastAsia="仿宋" w:cs="仿宋"/>
          <w:b/>
          <w:bCs/>
          <w:color w:val="000000" w:themeColor="text1"/>
          <w:sz w:val="32"/>
          <w:szCs w:val="32"/>
          <w14:textFill>
            <w14:solidFill>
              <w14:schemeClr w14:val="tx1"/>
            </w14:solidFill>
          </w14:textFill>
        </w:rPr>
        <w:t>评价</w:t>
      </w:r>
      <w:r>
        <w:rPr>
          <w:rFonts w:ascii="仿宋" w:hAnsi="仿宋" w:eastAsia="仿宋" w:cs="仿宋"/>
          <w:b/>
          <w:bCs/>
          <w:color w:val="000000" w:themeColor="text1"/>
          <w:sz w:val="32"/>
          <w:szCs w:val="32"/>
          <w14:textFill>
            <w14:solidFill>
              <w14:schemeClr w14:val="tx1"/>
            </w14:solidFill>
          </w14:textFill>
        </w:rPr>
        <w:t>表</w:t>
      </w:r>
      <w:r>
        <w:rPr>
          <w:rFonts w:hint="eastAsia" w:ascii="仿宋" w:hAnsi="仿宋" w:eastAsia="仿宋" w:cs="仿宋"/>
          <w:b/>
          <w:bCs/>
          <w:color w:val="000000" w:themeColor="text1"/>
          <w:sz w:val="32"/>
          <w:szCs w:val="32"/>
          <w14:textFill>
            <w14:solidFill>
              <w14:schemeClr w14:val="tx1"/>
            </w14:solidFill>
          </w14:textFill>
        </w:rPr>
        <w:t>和评价报告。</w:t>
      </w:r>
      <w:r>
        <w:rPr>
          <w:rFonts w:ascii="仿宋" w:hAnsi="仿宋" w:eastAsia="仿宋" w:cs="仿宋"/>
          <w:color w:val="000000" w:themeColor="text1"/>
          <w:spacing w:val="137"/>
          <w:w w:val="95"/>
          <w:sz w:val="32"/>
          <w:szCs w:val="32"/>
          <w14:textFill>
            <w14:solidFill>
              <w14:schemeClr w14:val="tx1"/>
            </w14:solidFill>
          </w14:textFill>
        </w:rPr>
        <w:t xml:space="preserve"> </w:t>
      </w:r>
    </w:p>
    <w:p>
      <w:pPr>
        <w:spacing w:line="580" w:lineRule="exact"/>
        <w:ind w:firstLine="640" w:firstLineChars="200"/>
        <w:rPr>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p>
    <w:p/>
    <w:sectPr>
      <w:pgSz w:w="11910" w:h="16850"/>
      <w:pgMar w:top="1600" w:right="1360" w:bottom="280" w:left="14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1C99"/>
    <w:multiLevelType w:val="multilevel"/>
    <w:tmpl w:val="07A31C99"/>
    <w:lvl w:ilvl="0" w:tentative="0">
      <w:start w:val="1"/>
      <w:numFmt w:val="decimal"/>
      <w:lvlText w:val="%1."/>
      <w:lvlJc w:val="left"/>
      <w:pPr>
        <w:ind w:left="787" w:hanging="504"/>
      </w:pPr>
      <w:rPr>
        <w:rFonts w:hint="default"/>
        <w:b w:val="0"/>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34"/>
    <w:rsid w:val="00095DA3"/>
    <w:rsid w:val="000A0D26"/>
    <w:rsid w:val="000C68E2"/>
    <w:rsid w:val="00115174"/>
    <w:rsid w:val="00124913"/>
    <w:rsid w:val="00142A05"/>
    <w:rsid w:val="00143026"/>
    <w:rsid w:val="001C0358"/>
    <w:rsid w:val="001E32A9"/>
    <w:rsid w:val="00285379"/>
    <w:rsid w:val="002A0F46"/>
    <w:rsid w:val="002E5380"/>
    <w:rsid w:val="00401E34"/>
    <w:rsid w:val="00504DFF"/>
    <w:rsid w:val="005C34E8"/>
    <w:rsid w:val="008B7CD3"/>
    <w:rsid w:val="00AC210B"/>
    <w:rsid w:val="00AD26EC"/>
    <w:rsid w:val="00BD65D4"/>
    <w:rsid w:val="00C52462"/>
    <w:rsid w:val="00CA6DD6"/>
    <w:rsid w:val="00DB5514"/>
    <w:rsid w:val="00EC4ED8"/>
    <w:rsid w:val="00F456BC"/>
    <w:rsid w:val="6041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jc w:val="center"/>
    </w:pPr>
    <w:rPr>
      <w:rFonts w:eastAsia="黑体"/>
      <w:sz w:val="36"/>
      <w:szCs w:val="20"/>
    </w:rPr>
  </w:style>
  <w:style w:type="paragraph" w:styleId="3">
    <w:name w:val="Body Text Indent"/>
    <w:basedOn w:val="1"/>
    <w:link w:val="11"/>
    <w:semiHidden/>
    <w:unhideWhenUsed/>
    <w:uiPriority w:val="99"/>
    <w:pPr>
      <w:spacing w:after="120"/>
      <w:ind w:left="420" w:leftChars="200"/>
    </w:p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2"/>
    <w:qFormat/>
    <w:uiPriority w:val="0"/>
    <w:rPr>
      <w:rFonts w:ascii="Times New Roman" w:hAnsi="Times New Roman" w:eastAsia="黑体" w:cs="Times New Roman"/>
      <w:sz w:val="36"/>
      <w:szCs w:val="20"/>
    </w:rPr>
  </w:style>
  <w:style w:type="character" w:customStyle="1" w:styleId="11">
    <w:name w:val="正文文本缩进 字符"/>
    <w:basedOn w:val="7"/>
    <w:link w:val="3"/>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345</Words>
  <Characters>1973</Characters>
  <Lines>16</Lines>
  <Paragraphs>4</Paragraphs>
  <TotalTime>0</TotalTime>
  <ScaleCrop>false</ScaleCrop>
  <LinksUpToDate>false</LinksUpToDate>
  <CharactersWithSpaces>2314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2023-12-11T02:29:00Z</dcterms:created>
  <dc:creator>z</dc:creator>
  <cp:lastModifiedBy>Administrator</cp:lastModifiedBy>
  <dcterms:modified xsi:type="dcterms:W3CDTF">2024-08-02T09:36:38Z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