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540" w:firstLineChars="350"/>
        <w:rPr>
          <w:rFonts w:ascii="方正小标宋_GBK" w:hAnsi="TimesNewRoman" w:eastAsia="方正小标宋_GBK" w:cs="TimesNewRoman"/>
          <w:sz w:val="44"/>
          <w:szCs w:val="44"/>
        </w:rPr>
      </w:pPr>
    </w:p>
    <w:p>
      <w:pPr>
        <w:spacing w:line="560" w:lineRule="exact"/>
        <w:ind w:firstLine="1540" w:firstLineChars="350"/>
        <w:rPr>
          <w:rFonts w:ascii="方正小标宋_GBK" w:hAnsi="TimesNewRoman" w:eastAsia="方正小标宋_GBK" w:cs="TimesNewRoman"/>
          <w:sz w:val="44"/>
          <w:szCs w:val="44"/>
        </w:rPr>
      </w:pPr>
    </w:p>
    <w:p>
      <w:pPr>
        <w:spacing w:line="560" w:lineRule="exact"/>
        <w:ind w:firstLine="1540" w:firstLineChars="350"/>
        <w:rPr>
          <w:rFonts w:ascii="方正小标宋_GBK" w:hAnsi="TimesNewRoman" w:eastAsia="方正小标宋_GBK" w:cs="TimesNewRoman"/>
          <w:sz w:val="44"/>
          <w:szCs w:val="44"/>
        </w:rPr>
      </w:pPr>
    </w:p>
    <w:p>
      <w:pPr>
        <w:spacing w:line="560" w:lineRule="exact"/>
        <w:ind w:firstLine="1540" w:firstLineChars="350"/>
        <w:rPr>
          <w:rFonts w:ascii="方正小标宋_GBK" w:hAnsi="TimesNewRoman" w:eastAsia="方正小标宋_GBK" w:cs="TimesNewRoman"/>
          <w:sz w:val="44"/>
          <w:szCs w:val="44"/>
        </w:rPr>
      </w:pPr>
      <w:r>
        <w:rPr>
          <w:rFonts w:hint="eastAsia" w:ascii="方正小标宋_GBK" w:hAnsi="TimesNewRoman" w:eastAsia="方正小标宋_GBK" w:cs="TimesNewRoman"/>
          <w:sz w:val="44"/>
          <w:szCs w:val="44"/>
        </w:rPr>
        <w:t>寿县妇女联合会2024年部门预算</w:t>
      </w:r>
    </w:p>
    <w:p>
      <w:pPr>
        <w:pStyle w:val="5"/>
        <w:adjustRightInd w:val="0"/>
        <w:snapToGrid w:val="0"/>
        <w:spacing w:line="560" w:lineRule="exact"/>
        <w:jc w:val="center"/>
        <w:outlineLvl w:val="0"/>
        <w:rPr>
          <w:rFonts w:ascii="方正小标宋_GBK" w:hAnsi="TimesNewRoman" w:eastAsia="方正小标宋_GBK" w:cs="TimesNewRoman"/>
          <w:sz w:val="32"/>
          <w:szCs w:val="32"/>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2"/>
          <w:szCs w:val="32"/>
        </w:rPr>
      </w:pPr>
    </w:p>
    <w:p>
      <w:pPr>
        <w:pStyle w:val="5"/>
        <w:adjustRightInd w:val="0"/>
        <w:snapToGrid w:val="0"/>
        <w:spacing w:line="560" w:lineRule="exact"/>
        <w:jc w:val="center"/>
        <w:rPr>
          <w:rFonts w:ascii="仿宋_GB2312" w:hAnsi="TimesNewRoman" w:eastAsia="仿宋_GB2312" w:cs="TimesNewRoman"/>
          <w:bCs/>
          <w:sz w:val="32"/>
          <w:szCs w:val="32"/>
        </w:rPr>
      </w:pPr>
    </w:p>
    <w:p>
      <w:pPr>
        <w:pStyle w:val="5"/>
        <w:adjustRightInd w:val="0"/>
        <w:snapToGrid w:val="0"/>
        <w:spacing w:line="560" w:lineRule="exact"/>
        <w:jc w:val="center"/>
        <w:rPr>
          <w:rFonts w:ascii="仿宋_GB2312" w:hAnsi="TimesNewRoman" w:eastAsia="仿宋_GB2312" w:cs="TimesNewRoman"/>
          <w:bCs/>
          <w:sz w:val="32"/>
          <w:szCs w:val="32"/>
        </w:rPr>
      </w:pPr>
    </w:p>
    <w:p>
      <w:pPr>
        <w:pStyle w:val="5"/>
        <w:adjustRightInd w:val="0"/>
        <w:snapToGrid w:val="0"/>
        <w:spacing w:line="560" w:lineRule="exact"/>
        <w:jc w:val="center"/>
        <w:rPr>
          <w:rFonts w:ascii="仿宋_GB2312" w:hAnsi="TimesNewRoman" w:eastAsia="仿宋_GB2312" w:cs="TimesNewRoman"/>
          <w:bCs/>
          <w:sz w:val="32"/>
          <w:szCs w:val="32"/>
        </w:rPr>
      </w:pPr>
    </w:p>
    <w:p>
      <w:pPr>
        <w:pStyle w:val="5"/>
        <w:adjustRightInd w:val="0"/>
        <w:snapToGrid w:val="0"/>
        <w:spacing w:line="560" w:lineRule="exact"/>
        <w:jc w:val="center"/>
        <w:rPr>
          <w:rFonts w:ascii="仿宋_GB2312" w:hAnsi="TimesNewRoman" w:eastAsia="仿宋_GB2312" w:cs="TimesNewRoman"/>
          <w:bCs/>
          <w:sz w:val="36"/>
          <w:szCs w:val="32"/>
        </w:rPr>
      </w:pPr>
      <w:r>
        <w:rPr>
          <w:rFonts w:hint="eastAsia" w:ascii="仿宋_GB2312" w:hAnsi="TimesNewRoman" w:eastAsia="仿宋_GB2312" w:cs="TimesNewRoman"/>
          <w:bCs/>
          <w:sz w:val="36"/>
          <w:szCs w:val="32"/>
        </w:rPr>
        <w:t>2024年1月</w:t>
      </w:r>
    </w:p>
    <w:p>
      <w:pPr>
        <w:pStyle w:val="5"/>
        <w:adjustRightInd w:val="0"/>
        <w:snapToGrid w:val="0"/>
        <w:spacing w:line="560" w:lineRule="exact"/>
        <w:jc w:val="center"/>
        <w:rPr>
          <w:rFonts w:hint="eastAsia" w:ascii="方正小标宋_GBK" w:hAnsi="TimesNewRoman" w:eastAsia="方正小标宋_GBK" w:cs="TimesNewRoman"/>
          <w:bCs/>
          <w:sz w:val="44"/>
          <w:szCs w:val="44"/>
        </w:rPr>
      </w:pPr>
    </w:p>
    <w:p>
      <w:pPr>
        <w:pStyle w:val="5"/>
        <w:adjustRightInd w:val="0"/>
        <w:snapToGrid w:val="0"/>
        <w:spacing w:line="560" w:lineRule="exact"/>
        <w:jc w:val="center"/>
        <w:rPr>
          <w:rFonts w:hint="eastAsia" w:ascii="方正小标宋_GBK" w:hAnsi="TimesNewRoman" w:eastAsia="方正小标宋_GBK" w:cs="TimesNewRoman"/>
          <w:bCs/>
          <w:sz w:val="44"/>
          <w:szCs w:val="44"/>
        </w:rPr>
      </w:pPr>
    </w:p>
    <w:p>
      <w:pPr>
        <w:pStyle w:val="5"/>
        <w:adjustRightInd w:val="0"/>
        <w:snapToGrid w:val="0"/>
        <w:spacing w:line="560" w:lineRule="exact"/>
        <w:jc w:val="center"/>
        <w:rPr>
          <w:rFonts w:ascii="方正小标宋_GBK" w:hAnsi="TimesNewRoman" w:eastAsia="方正小标宋_GBK" w:cs="TimesNewRoman"/>
          <w:bCs/>
          <w:sz w:val="44"/>
          <w:szCs w:val="44"/>
        </w:rPr>
      </w:pPr>
    </w:p>
    <w:p>
      <w:pPr>
        <w:pStyle w:val="5"/>
        <w:adjustRightInd w:val="0"/>
        <w:snapToGrid w:val="0"/>
        <w:spacing w:line="560" w:lineRule="exact"/>
        <w:jc w:val="center"/>
        <w:rPr>
          <w:rFonts w:ascii="方正小标宋_GBK" w:hAnsi="TimesNewRoman" w:eastAsia="方正小标宋_GBK" w:cs="TimesNewRoman"/>
          <w:bCs/>
          <w:sz w:val="44"/>
          <w:szCs w:val="44"/>
        </w:rPr>
      </w:pPr>
      <w:r>
        <w:rPr>
          <w:rFonts w:hint="eastAsia" w:ascii="方正小标宋_GBK" w:hAnsi="TimesNewRoman" w:eastAsia="方正小标宋_GBK" w:cs="TimesNewRoman"/>
          <w:bCs/>
          <w:sz w:val="44"/>
          <w:szCs w:val="44"/>
        </w:rPr>
        <w:t>目  录</w:t>
      </w:r>
    </w:p>
    <w:p>
      <w:pPr>
        <w:pStyle w:val="5"/>
        <w:topLinePunct/>
        <w:adjustRightInd w:val="0"/>
        <w:snapToGrid w:val="0"/>
        <w:spacing w:beforeAutospacing="0" w:afterAutospacing="0" w:line="560" w:lineRule="exact"/>
        <w:ind w:firstLine="640" w:firstLineChars="200"/>
        <w:jc w:val="both"/>
        <w:rPr>
          <w:rFonts w:ascii="黑体" w:hAnsi="黑体" w:eastAsia="黑体" w:cs="TimesNewRoman"/>
          <w:sz w:val="32"/>
          <w:szCs w:val="32"/>
        </w:rPr>
      </w:pPr>
    </w:p>
    <w:p>
      <w:pPr>
        <w:pStyle w:val="5"/>
        <w:topLinePunct/>
        <w:adjustRightInd w:val="0"/>
        <w:snapToGrid w:val="0"/>
        <w:spacing w:beforeAutospacing="0" w:afterAutospacing="0" w:line="560" w:lineRule="exact"/>
        <w:ind w:firstLine="640" w:firstLineChars="200"/>
        <w:jc w:val="both"/>
        <w:rPr>
          <w:rFonts w:ascii="黑体" w:hAnsi="黑体" w:eastAsia="黑体" w:cs="TimesNewRoman"/>
          <w:sz w:val="32"/>
          <w:szCs w:val="32"/>
        </w:rPr>
      </w:pPr>
      <w:r>
        <w:rPr>
          <w:rFonts w:ascii="黑体" w:hAnsi="黑体" w:eastAsia="黑体" w:cs="TimesNewRoman"/>
          <w:sz w:val="32"/>
          <w:szCs w:val="32"/>
        </w:rPr>
        <w:t>第一部分 部门概况</w:t>
      </w:r>
    </w:p>
    <w:p>
      <w:pPr>
        <w:pStyle w:val="5"/>
        <w:numPr>
          <w:ilvl w:val="0"/>
          <w:numId w:val="1"/>
        </w:numPr>
        <w:topLinePunct/>
        <w:adjustRightInd w:val="0"/>
        <w:snapToGrid w:val="0"/>
        <w:spacing w:beforeAutospacing="0" w:afterAutospacing="0" w:line="560" w:lineRule="exact"/>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主要职责</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2.部门预算构成</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3.2024年度主要工作任务</w:t>
      </w:r>
    </w:p>
    <w:p>
      <w:pPr>
        <w:pStyle w:val="5"/>
        <w:topLinePunct/>
        <w:adjustRightInd w:val="0"/>
        <w:snapToGrid w:val="0"/>
        <w:spacing w:beforeAutospacing="0" w:afterAutospacing="0" w:line="560" w:lineRule="exact"/>
        <w:ind w:firstLine="640" w:firstLineChars="200"/>
        <w:jc w:val="both"/>
        <w:rPr>
          <w:rFonts w:ascii="黑体" w:hAnsi="黑体" w:eastAsia="黑体" w:cs="TimesNewRoman"/>
          <w:sz w:val="32"/>
          <w:szCs w:val="32"/>
        </w:rPr>
      </w:pPr>
      <w:r>
        <w:rPr>
          <w:rFonts w:ascii="黑体" w:hAnsi="黑体" w:eastAsia="黑体" w:cs="TimesNewRoman"/>
          <w:sz w:val="32"/>
          <w:szCs w:val="32"/>
        </w:rPr>
        <w:t xml:space="preserve">第二部分 </w:t>
      </w:r>
      <w:r>
        <w:rPr>
          <w:rFonts w:hint="eastAsia" w:ascii="黑体" w:hAnsi="黑体" w:eastAsia="黑体" w:cs="TimesNewRoman"/>
          <w:sz w:val="32"/>
          <w:szCs w:val="32"/>
        </w:rPr>
        <w:t>2024</w:t>
      </w:r>
      <w:r>
        <w:rPr>
          <w:rFonts w:ascii="黑体" w:hAnsi="黑体" w:eastAsia="黑体" w:cs="TimesNewRoman"/>
          <w:sz w:val="32"/>
          <w:szCs w:val="32"/>
        </w:rPr>
        <w:t>年部门预算表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1.</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年收支总表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2.</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年收入总表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3.</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年支出总表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4.</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年财政拨款收支总表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5.</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年一般公共预算支出表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6.</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年一般公共预算基本支出表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7.</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年政府性基金预算支出表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8.</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年国有资本经营预算支出表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9.</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年项目支出表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10.</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年政府采购支出表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11.</w:t>
      </w:r>
      <w:r>
        <w:rPr>
          <w:rFonts w:hint="eastAsia" w:ascii="仿宋_GB2312" w:hAnsi="TimesNewRoman" w:eastAsia="仿宋_GB2312" w:cs="TimesNewRoman"/>
          <w:bCs/>
          <w:sz w:val="32"/>
          <w:szCs w:val="32"/>
        </w:rPr>
        <w:t>寿县妇女联合会2024</w:t>
      </w:r>
      <w:r>
        <w:rPr>
          <w:rFonts w:ascii="仿宋_GB2312" w:hAnsi="TimesNewRoman" w:eastAsia="仿宋_GB2312" w:cs="TimesNewRoman"/>
          <w:bCs/>
          <w:sz w:val="32"/>
          <w:szCs w:val="32"/>
        </w:rPr>
        <w:t>年政府购买服务支出表</w:t>
      </w:r>
    </w:p>
    <w:p>
      <w:pPr>
        <w:pStyle w:val="5"/>
        <w:topLinePunct/>
        <w:adjustRightInd w:val="0"/>
        <w:snapToGrid w:val="0"/>
        <w:spacing w:beforeAutospacing="0" w:afterAutospacing="0" w:line="560" w:lineRule="exact"/>
        <w:ind w:firstLine="640" w:firstLineChars="200"/>
        <w:jc w:val="both"/>
        <w:rPr>
          <w:rFonts w:ascii="黑体" w:hAnsi="黑体" w:eastAsia="黑体" w:cs="TimesNewRoman"/>
          <w:sz w:val="32"/>
          <w:szCs w:val="32"/>
        </w:rPr>
      </w:pPr>
      <w:r>
        <w:rPr>
          <w:rFonts w:ascii="黑体" w:hAnsi="黑体" w:eastAsia="黑体" w:cs="TimesNewRoman"/>
          <w:sz w:val="32"/>
          <w:szCs w:val="32"/>
        </w:rPr>
        <w:t xml:space="preserve">第三部分 </w:t>
      </w:r>
      <w:r>
        <w:rPr>
          <w:rFonts w:hint="eastAsia" w:ascii="黑体" w:hAnsi="黑体" w:eastAsia="黑体" w:cs="TimesNewRoman"/>
          <w:sz w:val="32"/>
          <w:szCs w:val="32"/>
        </w:rPr>
        <w:t>2024</w:t>
      </w:r>
      <w:r>
        <w:rPr>
          <w:rFonts w:ascii="黑体" w:hAnsi="黑体" w:eastAsia="黑体" w:cs="TimesNewRoman"/>
          <w:sz w:val="32"/>
          <w:szCs w:val="32"/>
        </w:rPr>
        <w:t>年部门预算情况说明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1.关于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年收支总表的说明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2.关于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年收入总表的说明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3.关于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年支出总表的说明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4.关于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年财政拨款收支总表的说明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5.关于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年一般公共预算支出表的说明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6.关于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年一般公共预算基本支出表的说明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7.关于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年政府性基金预算支出表的说明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8.关于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年国有资本经营预算支出表的说明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9.关于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年项目支出表的说明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10.关于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年政府采购支出表的说明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11.关于</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年政府购买服务支出表的说明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ascii="仿宋_GB2312" w:hAnsi="TimesNewRoman" w:eastAsia="仿宋_GB2312" w:cs="TimesNewRoman"/>
          <w:bCs/>
          <w:sz w:val="32"/>
          <w:szCs w:val="32"/>
        </w:rPr>
        <w:t>12.其他重要事项情况说明</w:t>
      </w:r>
    </w:p>
    <w:p>
      <w:pPr>
        <w:pStyle w:val="5"/>
        <w:topLinePunct/>
        <w:adjustRightInd w:val="0"/>
        <w:snapToGrid w:val="0"/>
        <w:spacing w:beforeAutospacing="0" w:afterAutospacing="0" w:line="560" w:lineRule="exact"/>
        <w:ind w:firstLine="640" w:firstLineChars="200"/>
        <w:jc w:val="both"/>
        <w:rPr>
          <w:rFonts w:ascii="黑体" w:hAnsi="黑体" w:eastAsia="黑体" w:cs="TimesNewRoman"/>
          <w:sz w:val="32"/>
          <w:szCs w:val="32"/>
        </w:rPr>
      </w:pPr>
      <w:r>
        <w:rPr>
          <w:rFonts w:ascii="黑体" w:hAnsi="黑体" w:eastAsia="黑体" w:cs="TimesNewRoman"/>
          <w:sz w:val="32"/>
          <w:szCs w:val="32"/>
        </w:rPr>
        <w:t>第四部分 名词解释</w:t>
      </w:r>
    </w:p>
    <w:p>
      <w:pPr>
        <w:pStyle w:val="5"/>
        <w:topLinePunct/>
        <w:adjustRightInd w:val="0"/>
        <w:snapToGrid w:val="0"/>
        <w:spacing w:beforeAutospacing="0" w:afterAutospacing="0" w:line="560" w:lineRule="exact"/>
        <w:jc w:val="both"/>
        <w:rPr>
          <w:rFonts w:ascii="TimesNewRoman" w:hAnsi="TimesNewRoman" w:eastAsia="黑体" w:cs="TimesNewRoman"/>
          <w:bCs/>
          <w:sz w:val="36"/>
          <w:szCs w:val="36"/>
        </w:rPr>
      </w:pPr>
    </w:p>
    <w:p>
      <w:pPr>
        <w:pStyle w:val="5"/>
        <w:topLinePunct/>
        <w:adjustRightInd w:val="0"/>
        <w:snapToGrid w:val="0"/>
        <w:spacing w:beforeAutospacing="0" w:afterAutospacing="0" w:line="560" w:lineRule="exact"/>
        <w:ind w:firstLine="640" w:firstLineChars="200"/>
        <w:jc w:val="center"/>
        <w:rPr>
          <w:rFonts w:ascii="仿宋_GB2312" w:hAnsi="TimesNewRoman" w:eastAsia="仿宋_GB2312" w:cs="TimesNewRoman"/>
          <w:bCs/>
          <w:sz w:val="32"/>
          <w:szCs w:val="32"/>
        </w:rPr>
      </w:pPr>
      <w:r>
        <w:rPr>
          <w:rFonts w:ascii="仿宋_GB2312" w:hAnsi="TimesNewRoman" w:eastAsia="仿宋_GB2312" w:cs="TimesNewRoman"/>
          <w:bCs/>
          <w:sz w:val="32"/>
          <w:szCs w:val="32"/>
        </w:rPr>
        <w:t>第一部分 部门概况</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一、主要职责</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教育、引导全县广大妇女发扬自尊、自信、自立、自强的精神，提高综合素质，投身和参与社会活动，促进经济发展和社会全面发展。代表妇女参与国家和社会事务的民主管理、民主监督，积极实施中国妇女和儿童发展纲要，维护妇女儿童合法权益，促进男女平等。</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二、部门预算单位构成</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从预算单位构成看，寿县妇女联合会2024年度部门预算包括局本级预算，纳入寿县妇女联合会2024年度部门预算编制范围的单位共1个，无其他下属单位,具体情况见下表。</w:t>
      </w:r>
    </w:p>
    <w:tbl>
      <w:tblPr>
        <w:tblStyle w:val="7"/>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77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序号</w:t>
            </w:r>
          </w:p>
        </w:tc>
        <w:tc>
          <w:tcPr>
            <w:tcW w:w="4775" w:type="dxa"/>
            <w:vAlign w:val="center"/>
          </w:tcPr>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单位名称</w:t>
            </w:r>
          </w:p>
        </w:tc>
        <w:tc>
          <w:tcPr>
            <w:tcW w:w="3032" w:type="dxa"/>
            <w:vAlign w:val="center"/>
          </w:tcPr>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1</w:t>
            </w:r>
          </w:p>
        </w:tc>
        <w:tc>
          <w:tcPr>
            <w:tcW w:w="4775" w:type="dxa"/>
            <w:vAlign w:val="center"/>
          </w:tcPr>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寿县妇女联合会</w:t>
            </w:r>
          </w:p>
        </w:tc>
        <w:tc>
          <w:tcPr>
            <w:tcW w:w="3032" w:type="dxa"/>
            <w:vAlign w:val="center"/>
          </w:tcPr>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行政单位</w:t>
            </w:r>
          </w:p>
        </w:tc>
      </w:tr>
    </w:tbl>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三、2024年度主要工作任务一、聚焦思想政治引领，更好地把广大妇女紧紧凝聚在党的周围。持续开展“百千万巾帼大宣讲”活动，宣讲习近平总书记关于妇女和妇女工作的重要论述精神。强化意识形</w:t>
      </w:r>
      <w:bookmarkStart w:id="0" w:name="_GoBack"/>
      <w:bookmarkEnd w:id="0"/>
      <w:r>
        <w:rPr>
          <w:rFonts w:hint="eastAsia" w:ascii="仿宋_GB2312" w:hAnsi="TimesNewRoman" w:eastAsia="仿宋_GB2312" w:cs="TimesNewRoman"/>
          <w:bCs/>
          <w:sz w:val="32"/>
          <w:szCs w:val="32"/>
        </w:rPr>
        <w:t>态工作，加强寿县女性微信公众号及寿州妇女网管理，确保开展接地气聚人心的网络宣传和舆论引导。做优“巾帼心向党”品牌，深化“我们的节日”活动，以妇女为主体，让群众当主角，切实提高宣传教育活动的针对性实效性，引领广大妇女增强制度自信，坚定听党话、跟党走信念。</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二、聚焦建功新征程，充分发挥妇女在经济社会高质量发展中的半边天作用。围绕“十四五”规划纲要提出的目标任务，深化巾帼建功系列活动，动员妇女在推进高质量发展中展现风采。深化“创业创新巾帼行动”“乡村振兴巾帼行动”，做好巩固拓展脱贫攻坚成果同乡村振兴有效衔接，实施好城镇低保适龄妇女“两癌”免费筛查和救助，建好巾帼创业就业示范基地，充分发挥广大妇女在经济社会高质量发展中的半边天作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三、深入实施“家家幸福安康工程”，推动社会主义核心价值观在家庭落地生根。深入学习宣传宣讲党的二十大精神、《习近平关于注重家庭家教家风建设论述摘编》，推动习近平总书记关于妇联工作的重要论述在妇联系统、广大妇女和家庭中走深走实。持续推进“家家幸福安康工程”，开展百场家风家教巡讲活动。把握新时代家庭生活新需求，开展第五届“家和楚韵”亲子夏令营、第三届“家家幸福安康</w:t>
      </w:r>
      <w:r>
        <w:rPr>
          <w:rFonts w:ascii="仿宋_GB2312" w:hAnsi="TimesNewRoman" w:eastAsia="仿宋_GB2312" w:cs="TimesNewRoman"/>
          <w:bCs/>
          <w:sz w:val="32"/>
          <w:szCs w:val="32"/>
        </w:rPr>
        <w:t xml:space="preserve"> </w:t>
      </w:r>
      <w:r>
        <w:rPr>
          <w:rFonts w:hint="eastAsia" w:ascii="仿宋_GB2312" w:hAnsi="TimesNewRoman" w:eastAsia="仿宋_GB2312" w:cs="TimesNewRoman"/>
          <w:bCs/>
          <w:sz w:val="32"/>
          <w:szCs w:val="32"/>
        </w:rPr>
        <w:t>爱在魅力寿州”交友联谊等活动，推动形成爱国爱家、相亲相爱、向上向善、共建共享的社会主义家庭文明新风尚。</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四是聚焦维权关爱服务，切实维护广大妇女儿童合法权益。坚持齐抓共管，大力宣传实施民法典、家庭教育促进法、安徽省实施《中华人民共和国反家暴法》办法和新修订的《妇女权益保障法》，提高广大妇女维权水平。做好妇女信访接待和婚姻家庭矛盾纠纷排查化解工作，切实为妇女群众解难事、办实事。引导社会力量参与贫困母亲、儿童关爱，开展“携手春蕾</w:t>
      </w:r>
      <w:r>
        <w:rPr>
          <w:rFonts w:ascii="仿宋_GB2312" w:hAnsi="TimesNewRoman" w:eastAsia="仿宋_GB2312" w:cs="TimesNewRoman"/>
          <w:bCs/>
          <w:sz w:val="32"/>
          <w:szCs w:val="32"/>
        </w:rPr>
        <w:t xml:space="preserve"> </w:t>
      </w:r>
      <w:r>
        <w:rPr>
          <w:rFonts w:hint="eastAsia" w:ascii="仿宋_GB2312" w:hAnsi="TimesNewRoman" w:eastAsia="仿宋_GB2312" w:cs="TimesNewRoman"/>
          <w:bCs/>
          <w:sz w:val="32"/>
          <w:szCs w:val="32"/>
        </w:rPr>
        <w:t>圆梦大学”大学新生资助活动，让广大妇女儿童共享美好生活。</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五是聚焦深化妇联改革，保持和增强妇联组织政治性先进性群众性。深入实施“基层妇联领头雁培训计划”，加强妇联执委培训，提高执委履职能力。持续推进新经济组织、新社会组织等新领域妇联组织建设，推动团体会员加入妇联组织。加强妇女之家、妇女微家建设。大力推进基层妇联亮牌活动，以务实作风深入开展“我为妇女群众办实事”活动，积极回应妇女和家庭的需求和关切，有针对性地解决妇女儿童“急难愁盼”问题，为不同群体提供暖心服务，使妇联组织和妇联工作在群众身边有形化、常态化</w:t>
      </w:r>
      <w:r>
        <w:rPr>
          <w:rFonts w:ascii="仿宋_GB2312" w:hAnsi="TimesNewRoman" w:eastAsia="仿宋_GB2312" w:cs="TimesNewRoman"/>
          <w:bCs/>
          <w:sz w:val="32"/>
          <w:szCs w:val="32"/>
        </w:rPr>
        <w:t>,</w:t>
      </w:r>
      <w:r>
        <w:rPr>
          <w:rFonts w:hint="eastAsia" w:ascii="仿宋_GB2312" w:hAnsi="TimesNewRoman" w:eastAsia="仿宋_GB2312" w:cs="TimesNewRoman"/>
          <w:bCs/>
          <w:sz w:val="32"/>
          <w:szCs w:val="32"/>
        </w:rPr>
        <w:t>充分发挥妇联“联”的优势，把妇联组织建设成妇女群众真正的“温暖之家”。</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p>
    <w:p>
      <w:pPr>
        <w:pStyle w:val="5"/>
        <w:topLinePunct/>
        <w:adjustRightInd w:val="0"/>
        <w:snapToGrid w:val="0"/>
        <w:spacing w:beforeAutospacing="0" w:afterAutospacing="0" w:line="560" w:lineRule="exact"/>
        <w:ind w:firstLine="640" w:firstLineChars="200"/>
        <w:jc w:val="center"/>
        <w:rPr>
          <w:rFonts w:ascii="仿宋_GB2312" w:hAnsi="TimesNewRoman" w:eastAsia="仿宋_GB2312" w:cs="TimesNewRoman"/>
          <w:bCs/>
          <w:sz w:val="32"/>
          <w:szCs w:val="32"/>
        </w:rPr>
      </w:pPr>
      <w:r>
        <w:rPr>
          <w:rFonts w:ascii="仿宋_GB2312" w:hAnsi="TimesNewRoman" w:eastAsia="仿宋_GB2312" w:cs="TimesNewRoman"/>
          <w:bCs/>
          <w:sz w:val="32"/>
          <w:szCs w:val="32"/>
        </w:rPr>
        <w:t xml:space="preserve">第二部分 </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年部门（单位）预算表</w:t>
      </w:r>
    </w:p>
    <w:p>
      <w:pPr>
        <w:pStyle w:val="5"/>
        <w:topLinePunct/>
        <w:adjustRightInd w:val="0"/>
        <w:snapToGrid w:val="0"/>
        <w:spacing w:beforeAutospacing="0" w:afterAutospacing="0" w:line="560" w:lineRule="exact"/>
        <w:ind w:firstLine="640" w:firstLineChars="200"/>
        <w:jc w:val="center"/>
        <w:rPr>
          <w:rFonts w:ascii="仿宋_GB2312" w:hAnsi="TimesNewRoman" w:eastAsia="仿宋_GB2312" w:cs="TimesNewRoman"/>
          <w:bCs/>
          <w:sz w:val="32"/>
          <w:szCs w:val="32"/>
        </w:rPr>
      </w:pP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sectPr>
          <w:footerReference r:id="rId3" w:type="default"/>
          <w:footerReference r:id="rId4" w:type="even"/>
          <w:pgSz w:w="11907" w:h="16839"/>
          <w:pgMar w:top="1418" w:right="1418" w:bottom="1418" w:left="1418" w:header="851" w:footer="567" w:gutter="0"/>
          <w:cols w:space="425" w:num="1"/>
          <w:titlePg/>
          <w:docGrid w:type="lines" w:linePitch="312" w:charSpace="0"/>
        </w:sectPr>
      </w:pPr>
      <w:r>
        <w:rPr>
          <w:rFonts w:hint="eastAsia" w:ascii="仿宋_GB2312" w:hAnsi="TimesNewRoman" w:eastAsia="仿宋_GB2312" w:cs="TimesNewRoman"/>
          <w:bCs/>
          <w:sz w:val="32"/>
          <w:szCs w:val="32"/>
        </w:rPr>
        <w:t xml:space="preserve">   2024年部门预算表由11张表格构成，具体表格内容见附表。</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p>
    <w:p>
      <w:pPr>
        <w:pStyle w:val="5"/>
        <w:topLinePunct/>
        <w:adjustRightInd w:val="0"/>
        <w:snapToGrid w:val="0"/>
        <w:spacing w:beforeAutospacing="0" w:afterAutospacing="0" w:line="560" w:lineRule="exact"/>
        <w:ind w:firstLine="640" w:firstLineChars="200"/>
        <w:jc w:val="center"/>
        <w:rPr>
          <w:rFonts w:ascii="仿宋_GB2312" w:hAnsi="TimesNewRoman" w:eastAsia="仿宋_GB2312" w:cs="TimesNewRoman"/>
          <w:bCs/>
          <w:sz w:val="32"/>
          <w:szCs w:val="32"/>
        </w:rPr>
      </w:pPr>
      <w:r>
        <w:rPr>
          <w:rFonts w:ascii="仿宋_GB2312" w:hAnsi="TimesNewRoman" w:eastAsia="仿宋_GB2312" w:cs="TimesNewRoman"/>
          <w:bCs/>
          <w:sz w:val="32"/>
          <w:szCs w:val="32"/>
        </w:rPr>
        <w:t xml:space="preserve">第三部分 </w:t>
      </w:r>
      <w:r>
        <w:rPr>
          <w:rFonts w:hint="eastAsia" w:ascii="仿宋_GB2312" w:hAnsi="TimesNewRoman" w:eastAsia="仿宋_GB2312" w:cs="TimesNewRoman"/>
          <w:bCs/>
          <w:sz w:val="32"/>
          <w:szCs w:val="32"/>
        </w:rPr>
        <w:t>2024</w:t>
      </w:r>
      <w:r>
        <w:rPr>
          <w:rFonts w:ascii="仿宋_GB2312" w:hAnsi="TimesNewRoman" w:eastAsia="仿宋_GB2312" w:cs="TimesNewRoman"/>
          <w:bCs/>
          <w:sz w:val="32"/>
          <w:szCs w:val="32"/>
        </w:rPr>
        <w:t>年部门预算情况说明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bCs/>
          <w:sz w:val="32"/>
          <w:szCs w:val="32"/>
        </w:rPr>
      </w:pPr>
      <w:r>
        <w:rPr>
          <w:rFonts w:hint="eastAsia" w:ascii="仿宋_GB2312" w:hAnsi="TimesNewRoman" w:eastAsia="仿宋_GB2312" w:cs="TimesNewRoman"/>
          <w:bCs/>
          <w:sz w:val="32"/>
          <w:szCs w:val="32"/>
        </w:rPr>
        <w:t>一、关于2024年收支总表的说明</w:t>
      </w:r>
    </w:p>
    <w:p>
      <w:pPr>
        <w:pStyle w:val="5"/>
        <w:topLinePunct/>
        <w:adjustRightInd w:val="0"/>
        <w:snapToGrid w:val="0"/>
        <w:spacing w:beforeAutospacing="0" w:afterAutospacing="0" w:line="560" w:lineRule="exact"/>
        <w:ind w:firstLine="640" w:firstLineChars="200"/>
        <w:jc w:val="both"/>
        <w:rPr>
          <w:rFonts w:ascii="仿宋_GB2312" w:hAnsi="TimesNewRoman" w:eastAsia="仿宋_GB2312" w:cs="TimesNewRoman"/>
          <w:sz w:val="32"/>
          <w:szCs w:val="32"/>
        </w:rPr>
      </w:pPr>
      <w:r>
        <w:rPr>
          <w:rFonts w:hint="eastAsia" w:ascii="仿宋_GB2312" w:hAnsi="TimesNewRoman" w:eastAsia="仿宋_GB2312" w:cs="TimesNewRoman"/>
          <w:bCs/>
          <w:sz w:val="32"/>
          <w:szCs w:val="32"/>
        </w:rPr>
        <w:t>按照综合预算的原则，寿县妇女联合会所有收入和支出均纳入部门预算管理。寿县妇女联合会2024年收支总预算164.29</w:t>
      </w:r>
      <w:r>
        <w:rPr>
          <w:rFonts w:hint="eastAsia" w:ascii="仿宋_GB2312" w:hAnsi="TimesNewRoman" w:eastAsia="仿宋_GB2312" w:cs="TimesNewRoman"/>
          <w:sz w:val="32"/>
          <w:szCs w:val="32"/>
        </w:rPr>
        <w:t>万元，收入全部为一般公共预算拨款收入，支出包括：一般公共服务支出，社会保障和就业支出 ,住房保障支出。</w:t>
      </w:r>
    </w:p>
    <w:p>
      <w:pPr>
        <w:pStyle w:val="5"/>
        <w:topLinePunct/>
        <w:adjustRightInd w:val="0"/>
        <w:snapToGrid w:val="0"/>
        <w:spacing w:beforeAutospacing="0" w:afterAutospacing="0" w:line="580" w:lineRule="exact"/>
        <w:ind w:firstLine="643" w:firstLineChars="200"/>
        <w:jc w:val="both"/>
        <w:rPr>
          <w:rFonts w:ascii="楷体_GB2312" w:hAnsi="TimesNewRoman" w:eastAsia="楷体_GB2312" w:cs="TimesNewRoman"/>
          <w:b/>
          <w:sz w:val="32"/>
          <w:szCs w:val="32"/>
        </w:rPr>
      </w:pPr>
      <w:r>
        <w:rPr>
          <w:rFonts w:hint="eastAsia" w:ascii="楷体_GB2312" w:hAnsi="TimesNewRoman" w:eastAsia="楷体_GB2312" w:cs="TimesNewRoman"/>
          <w:b/>
          <w:sz w:val="32"/>
          <w:szCs w:val="32"/>
        </w:rPr>
        <w:t>二、关于2024年收入总表的说明</w:t>
      </w:r>
    </w:p>
    <w:p>
      <w:pPr>
        <w:topLinePunct/>
        <w:adjustRightInd w:val="0"/>
        <w:snapToGrid w:val="0"/>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寿县妇女联合会2024年收入预算164.29万元，其中，本年收入164.29万元。</w:t>
      </w:r>
    </w:p>
    <w:p>
      <w:pPr>
        <w:topLinePunct/>
        <w:adjustRightInd w:val="0"/>
        <w:snapToGrid w:val="0"/>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（一）本年收入164.29万元，全部为一般公共预算拨款收入占100%，比2023年预算减少43.83万元，下降26.68%，下降原因主要是县乡妇联工作经费减少.</w:t>
      </w:r>
    </w:p>
    <w:p>
      <w:pPr>
        <w:pStyle w:val="5"/>
        <w:topLinePunct/>
        <w:adjustRightInd w:val="0"/>
        <w:snapToGrid w:val="0"/>
        <w:spacing w:beforeAutospacing="0" w:afterAutospacing="0" w:line="580" w:lineRule="exact"/>
        <w:ind w:firstLine="643" w:firstLineChars="200"/>
        <w:jc w:val="both"/>
        <w:rPr>
          <w:rFonts w:ascii="楷体_GB2312" w:hAnsi="TimesNewRoman" w:eastAsia="楷体_GB2312" w:cs="TimesNewRoman"/>
          <w:b/>
          <w:sz w:val="32"/>
          <w:szCs w:val="32"/>
        </w:rPr>
      </w:pPr>
      <w:r>
        <w:rPr>
          <w:rFonts w:hint="eastAsia" w:ascii="楷体_GB2312" w:hAnsi="TimesNewRoman" w:eastAsia="楷体_GB2312" w:cs="TimesNewRoman"/>
          <w:b/>
          <w:sz w:val="32"/>
          <w:szCs w:val="32"/>
        </w:rPr>
        <w:t>三、关于2024年支出总表的说明</w:t>
      </w:r>
    </w:p>
    <w:p>
      <w:pPr>
        <w:spacing w:line="600" w:lineRule="exact"/>
        <w:ind w:firstLine="642"/>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支出预算164.29万元，比2023年预算减少43.83万元，下降26.68%，下降原因主要是县乡妇联工作经费减少。其中，基本支出107.93万元，占65.69%，主要用于保障人员工资和社保及公积金,机构日常运转、完成日常工作任务；项目支出56.36万元，占34.31%，主要用于妇联举办妇女干部培训班、举办系列妇女儿童维权关爱活动、召开两纲专题会议、开展六一节和三八节活动等。</w:t>
      </w:r>
    </w:p>
    <w:p>
      <w:pPr>
        <w:pStyle w:val="5"/>
        <w:topLinePunct/>
        <w:adjustRightInd w:val="0"/>
        <w:snapToGrid w:val="0"/>
        <w:spacing w:beforeAutospacing="0" w:afterAutospacing="0" w:line="580" w:lineRule="exact"/>
        <w:ind w:firstLine="643" w:firstLineChars="200"/>
        <w:jc w:val="both"/>
        <w:rPr>
          <w:rFonts w:ascii="楷体_GB2312" w:hAnsi="TimesNewRoman" w:eastAsia="楷体_GB2312" w:cs="TimesNewRoman"/>
          <w:b/>
          <w:sz w:val="32"/>
          <w:szCs w:val="32"/>
        </w:rPr>
      </w:pPr>
      <w:r>
        <w:rPr>
          <w:rFonts w:hint="eastAsia" w:ascii="楷体_GB2312" w:hAnsi="TimesNewRoman" w:eastAsia="楷体_GB2312" w:cs="TimesNewRoman"/>
          <w:b/>
          <w:sz w:val="32"/>
          <w:szCs w:val="32"/>
        </w:rPr>
        <w:t>四、关于2024年财政拨款收支总表的说明</w:t>
      </w:r>
    </w:p>
    <w:p>
      <w:pPr>
        <w:pStyle w:val="5"/>
        <w:adjustRightInd w:val="0"/>
        <w:snapToGrid w:val="0"/>
        <w:spacing w:beforeAutospacing="0" w:afterAutospacing="0" w:line="60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寿县妇女联合会2024年收支总预算164.29万元，收入全部为一般公共预算拨款收入，支出包括：一般公共服务支出143.26万元，占87.20%,社会保障和就业支出14.02万元,占8.53%,住房保障支出7.01万元，占4.27%。</w:t>
      </w:r>
    </w:p>
    <w:p>
      <w:pPr>
        <w:pStyle w:val="5"/>
        <w:topLinePunct/>
        <w:adjustRightInd w:val="0"/>
        <w:snapToGrid w:val="0"/>
        <w:spacing w:beforeAutospacing="0" w:afterAutospacing="0" w:line="580" w:lineRule="exact"/>
        <w:ind w:firstLine="643" w:firstLineChars="200"/>
        <w:jc w:val="both"/>
        <w:rPr>
          <w:rFonts w:ascii="楷体_GB2312" w:hAnsi="TimesNewRoman" w:eastAsia="楷体_GB2312" w:cs="TimesNewRoman"/>
          <w:b/>
          <w:sz w:val="32"/>
          <w:szCs w:val="32"/>
        </w:rPr>
      </w:pPr>
      <w:r>
        <w:rPr>
          <w:rFonts w:hint="eastAsia" w:ascii="楷体_GB2312" w:hAnsi="TimesNewRoman" w:eastAsia="楷体_GB2312" w:cs="TimesNewRoman"/>
          <w:b/>
          <w:sz w:val="32"/>
          <w:szCs w:val="32"/>
        </w:rPr>
        <w:t>五、关于2024年一般公共预算支出表的说明</w:t>
      </w:r>
    </w:p>
    <w:p>
      <w:pPr>
        <w:pStyle w:val="5"/>
        <w:topLinePunct/>
        <w:adjustRightInd w:val="0"/>
        <w:snapToGrid w:val="0"/>
        <w:spacing w:beforeAutospacing="0" w:afterAutospacing="0" w:line="580" w:lineRule="exact"/>
        <w:ind w:firstLine="630" w:firstLineChars="196"/>
        <w:jc w:val="both"/>
        <w:rPr>
          <w:rFonts w:ascii="仿宋_GB2312" w:hAnsi="TimesNewRoman" w:eastAsia="仿宋_GB2312" w:cs="TimesNewRoman"/>
          <w:b/>
          <w:sz w:val="32"/>
          <w:szCs w:val="32"/>
        </w:rPr>
      </w:pPr>
      <w:r>
        <w:rPr>
          <w:rFonts w:hint="eastAsia" w:ascii="仿宋_GB2312" w:hAnsi="TimesNewRoman" w:eastAsia="仿宋_GB2312" w:cs="TimesNewRoman"/>
          <w:b/>
          <w:sz w:val="32"/>
          <w:szCs w:val="32"/>
        </w:rPr>
        <w:t>（一）一般公共预算支出规模变化情况。</w:t>
      </w:r>
    </w:p>
    <w:p>
      <w:pPr>
        <w:pStyle w:val="5"/>
        <w:topLinePunct/>
        <w:adjustRightInd w:val="0"/>
        <w:snapToGrid w:val="0"/>
        <w:spacing w:beforeAutospacing="0" w:afterAutospacing="0" w:line="580" w:lineRule="exact"/>
        <w:ind w:firstLine="627" w:firstLineChars="196"/>
        <w:jc w:val="both"/>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寿县妇女联合会2024年一般公共预算支出164.29万元，比2023年预算减少43.83万元，下降26.68%，下降原因主要是县乡妇联工作经费减少。</w:t>
      </w:r>
    </w:p>
    <w:p>
      <w:pPr>
        <w:pStyle w:val="5"/>
        <w:topLinePunct/>
        <w:adjustRightInd w:val="0"/>
        <w:snapToGrid w:val="0"/>
        <w:spacing w:beforeAutospacing="0" w:afterAutospacing="0" w:line="580" w:lineRule="exact"/>
        <w:ind w:firstLine="630" w:firstLineChars="196"/>
        <w:jc w:val="both"/>
        <w:rPr>
          <w:rFonts w:ascii="仿宋_GB2312" w:hAnsi="TimesNewRoman" w:eastAsia="仿宋_GB2312" w:cs="TimesNewRoman"/>
          <w:b/>
          <w:sz w:val="32"/>
          <w:szCs w:val="32"/>
        </w:rPr>
      </w:pPr>
      <w:r>
        <w:rPr>
          <w:rFonts w:hint="eastAsia" w:ascii="仿宋_GB2312" w:hAnsi="TimesNewRoman" w:eastAsia="仿宋_GB2312" w:cs="TimesNewRoman"/>
          <w:b/>
          <w:sz w:val="32"/>
          <w:szCs w:val="32"/>
        </w:rPr>
        <w:t>（二）一般公共预算支出结构情况。</w:t>
      </w:r>
    </w:p>
    <w:p>
      <w:pPr>
        <w:pStyle w:val="5"/>
        <w:topLinePunct/>
        <w:adjustRightInd w:val="0"/>
        <w:snapToGrid w:val="0"/>
        <w:spacing w:beforeAutospacing="0" w:afterAutospacing="0" w:line="580" w:lineRule="exact"/>
        <w:ind w:firstLine="627" w:firstLineChars="196"/>
        <w:jc w:val="both"/>
        <w:rPr>
          <w:rFonts w:ascii="仿宋_GB2312" w:hAnsi="TimesNewRoman" w:eastAsia="仿宋_GB2312" w:cs="TimesNewRoman"/>
          <w:sz w:val="32"/>
          <w:szCs w:val="32"/>
        </w:rPr>
      </w:pPr>
      <w:r>
        <w:rPr>
          <w:rFonts w:hint="eastAsia" w:ascii="仿宋_GB2312" w:hAnsi="TimesNewRoman" w:eastAsia="仿宋_GB2312" w:cs="TimesNewRoman"/>
          <w:sz w:val="32"/>
          <w:szCs w:val="32"/>
        </w:rPr>
        <w:t>一般公共服务支出143.26万元，占87.2%；社会保障和就业支出14.02万元，占8.53%；住房保障支出7.01万元，占4.27%。</w:t>
      </w:r>
    </w:p>
    <w:p>
      <w:pPr>
        <w:topLinePunct/>
        <w:adjustRightInd w:val="0"/>
        <w:snapToGrid w:val="0"/>
        <w:spacing w:line="580" w:lineRule="exact"/>
        <w:ind w:firstLine="643" w:firstLineChars="200"/>
        <w:rPr>
          <w:rFonts w:ascii="仿宋_GB2312" w:hAnsi="TimesNewRoman" w:eastAsia="仿宋_GB2312" w:cs="TimesNewRoman"/>
          <w:b/>
          <w:sz w:val="32"/>
          <w:szCs w:val="32"/>
        </w:rPr>
      </w:pPr>
      <w:r>
        <w:rPr>
          <w:rFonts w:hint="eastAsia" w:ascii="仿宋_GB2312" w:hAnsi="TimesNewRoman" w:eastAsia="仿宋_GB2312" w:cs="TimesNewRoman"/>
          <w:b/>
          <w:sz w:val="32"/>
          <w:szCs w:val="32"/>
        </w:rPr>
        <w:t>（三）一般公共预算支出具体使用情况。</w:t>
      </w:r>
    </w:p>
    <w:p>
      <w:pPr>
        <w:topLinePunct/>
        <w:adjustRightInd w:val="0"/>
        <w:snapToGrid w:val="0"/>
        <w:spacing w:line="580" w:lineRule="exact"/>
        <w:ind w:firstLine="643" w:firstLineChars="200"/>
        <w:rPr>
          <w:rFonts w:ascii="仿宋_GB2312" w:hAnsi="TimesNewRoman" w:eastAsia="仿宋_GB2312" w:cs="TimesNewRoman"/>
          <w:sz w:val="32"/>
          <w:szCs w:val="32"/>
        </w:rPr>
      </w:pPr>
      <w:r>
        <w:rPr>
          <w:rFonts w:hint="eastAsia" w:ascii="仿宋_GB2312" w:hAnsi="TimesNewRoman" w:eastAsia="仿宋_GB2312" w:cs="TimesNewRoman"/>
          <w:b/>
          <w:sz w:val="32"/>
          <w:szCs w:val="32"/>
        </w:rPr>
        <w:t>1.一般公共服务支出（类）民主党派及工商联事务（款）行政运行（项）</w:t>
      </w:r>
      <w:r>
        <w:rPr>
          <w:rFonts w:hint="eastAsia" w:ascii="仿宋_GB2312" w:hAnsi="TimesNewRoman" w:eastAsia="仿宋_GB2312" w:cs="TimesNewRoman"/>
          <w:sz w:val="32"/>
          <w:szCs w:val="32"/>
        </w:rPr>
        <w:t>2024年预算1万元，比2023年预算增加1万元，增长100%，增长原因主要是工商联事务增加。</w:t>
      </w:r>
    </w:p>
    <w:p>
      <w:pPr>
        <w:topLinePunct/>
        <w:adjustRightInd w:val="0"/>
        <w:snapToGrid w:val="0"/>
        <w:spacing w:line="580" w:lineRule="exact"/>
        <w:ind w:firstLine="643" w:firstLineChars="200"/>
        <w:rPr>
          <w:rFonts w:ascii="仿宋_GB2312" w:hAnsi="TimesNewRoman" w:eastAsia="仿宋_GB2312" w:cs="TimesNewRoman"/>
          <w:b/>
          <w:sz w:val="32"/>
          <w:szCs w:val="32"/>
        </w:rPr>
      </w:pPr>
      <w:r>
        <w:rPr>
          <w:rFonts w:hint="eastAsia" w:ascii="仿宋_GB2312" w:hAnsi="TimesNewRoman" w:eastAsia="仿宋_GB2312" w:cs="TimesNewRoman"/>
          <w:b/>
          <w:sz w:val="32"/>
          <w:szCs w:val="32"/>
        </w:rPr>
        <w:t>2.一般公共服务支出（类）群众团体事务（款）行政运行(项)2024年预算109.9万元,</w:t>
      </w:r>
      <w:r>
        <w:rPr>
          <w:rFonts w:hint="eastAsia" w:ascii="仿宋_GB2312" w:hAnsi="TimesNewRoman" w:eastAsia="仿宋_GB2312" w:cs="TimesNewRoman"/>
          <w:sz w:val="32"/>
          <w:szCs w:val="32"/>
        </w:rPr>
        <w:t>比2023年预算增加（减少）32.9万元，下降29.94%，下降原因主要是工作经费减少,1人在职转退休.</w:t>
      </w:r>
    </w:p>
    <w:p>
      <w:pPr>
        <w:topLinePunct/>
        <w:adjustRightInd w:val="0"/>
        <w:snapToGrid w:val="0"/>
        <w:spacing w:line="580" w:lineRule="exact"/>
        <w:ind w:firstLine="643" w:firstLineChars="200"/>
        <w:rPr>
          <w:rFonts w:ascii="仿宋_GB2312" w:hAnsi="TimesNewRoman" w:eastAsia="仿宋_GB2312" w:cs="TimesNewRoman"/>
          <w:sz w:val="32"/>
          <w:szCs w:val="32"/>
        </w:rPr>
      </w:pPr>
      <w:r>
        <w:rPr>
          <w:rFonts w:hint="eastAsia" w:ascii="仿宋_GB2312" w:hAnsi="TimesNewRoman" w:eastAsia="仿宋_GB2312" w:cs="TimesNewRoman"/>
          <w:b/>
          <w:sz w:val="32"/>
          <w:szCs w:val="32"/>
        </w:rPr>
        <w:t>3.一般公共服务支出（类）群众团体事务（款）一般行政管理事务（项）</w:t>
      </w:r>
      <w:r>
        <w:rPr>
          <w:rFonts w:hint="eastAsia" w:ascii="仿宋_GB2312" w:hAnsi="TimesNewRoman" w:eastAsia="仿宋_GB2312" w:cs="TimesNewRoman"/>
          <w:sz w:val="32"/>
          <w:szCs w:val="32"/>
        </w:rPr>
        <w:t>2024年预算1.58万元，比2023年预算增加1.58万元，增长100%，增长原因主要是预算增加项。</w:t>
      </w:r>
    </w:p>
    <w:p>
      <w:pPr>
        <w:topLinePunct/>
        <w:adjustRightInd w:val="0"/>
        <w:snapToGrid w:val="0"/>
        <w:spacing w:line="580" w:lineRule="exact"/>
        <w:ind w:firstLine="643" w:firstLineChars="200"/>
        <w:rPr>
          <w:rFonts w:ascii="仿宋_GB2312" w:hAnsi="TimesNewRoman" w:eastAsia="仿宋_GB2312" w:cs="TimesNewRoman"/>
          <w:sz w:val="32"/>
          <w:szCs w:val="32"/>
        </w:rPr>
      </w:pPr>
      <w:r>
        <w:rPr>
          <w:rFonts w:hint="eastAsia" w:ascii="仿宋_GB2312" w:hAnsi="TimesNewRoman" w:eastAsia="仿宋_GB2312" w:cs="TimesNewRoman"/>
          <w:b/>
          <w:sz w:val="32"/>
          <w:szCs w:val="32"/>
        </w:rPr>
        <w:t>4.一般公共服务支出（类）群众团体事务（款）其他群众团体事务（项）</w:t>
      </w:r>
      <w:r>
        <w:rPr>
          <w:rFonts w:hint="eastAsia" w:ascii="仿宋_GB2312" w:hAnsi="TimesNewRoman" w:eastAsia="仿宋_GB2312" w:cs="TimesNewRoman"/>
          <w:sz w:val="32"/>
          <w:szCs w:val="32"/>
        </w:rPr>
        <w:t>2024年预算30.78万元，比2023年预算增加30.78万元，增长100%，增长原因主要是预算增加项。</w:t>
      </w:r>
    </w:p>
    <w:p>
      <w:pPr>
        <w:topLinePunct/>
        <w:adjustRightInd w:val="0"/>
        <w:snapToGrid w:val="0"/>
        <w:spacing w:line="580" w:lineRule="exact"/>
        <w:ind w:firstLine="643" w:firstLineChars="200"/>
        <w:rPr>
          <w:rFonts w:ascii="仿宋_GB2312" w:hAnsi="TimesNewRoman" w:eastAsia="仿宋_GB2312" w:cs="TimesNewRoman"/>
          <w:sz w:val="32"/>
          <w:szCs w:val="32"/>
        </w:rPr>
      </w:pPr>
      <w:r>
        <w:rPr>
          <w:rFonts w:hint="eastAsia" w:ascii="仿宋_GB2312" w:hAnsi="TimesNewRoman" w:eastAsia="仿宋_GB2312" w:cs="TimesNewRoman"/>
          <w:b/>
          <w:sz w:val="32"/>
          <w:szCs w:val="32"/>
        </w:rPr>
        <w:t>5.社会保障和就业支出（类）行政事业单位养老支出（款）行政事业单位基本养老保险费支出（项）</w:t>
      </w:r>
      <w:r>
        <w:rPr>
          <w:rFonts w:hint="eastAsia" w:ascii="仿宋_GB2312" w:hAnsi="TimesNewRoman" w:eastAsia="仿宋_GB2312" w:cs="TimesNewRoman"/>
          <w:sz w:val="32"/>
          <w:szCs w:val="32"/>
        </w:rPr>
        <w:t>2024年预算9.35万元，比2023年预算减少2.07万元，下降22.14%，下降原因主要是1人在职转退休。</w:t>
      </w:r>
    </w:p>
    <w:p>
      <w:pPr>
        <w:topLinePunct/>
        <w:adjustRightInd w:val="0"/>
        <w:snapToGrid w:val="0"/>
        <w:spacing w:line="580" w:lineRule="exact"/>
        <w:ind w:firstLine="643" w:firstLineChars="200"/>
        <w:rPr>
          <w:rFonts w:ascii="仿宋_GB2312" w:hAnsi="TimesNewRoman" w:eastAsia="仿宋_GB2312" w:cs="TimesNewRoman"/>
          <w:sz w:val="32"/>
          <w:szCs w:val="32"/>
        </w:rPr>
      </w:pPr>
      <w:r>
        <w:rPr>
          <w:rFonts w:hint="eastAsia" w:ascii="仿宋_GB2312" w:hAnsi="TimesNewRoman" w:eastAsia="仿宋_GB2312" w:cs="TimesNewRoman"/>
          <w:b/>
          <w:sz w:val="32"/>
          <w:szCs w:val="32"/>
        </w:rPr>
        <w:t>6.社会保障和就业支出（类）行政事业单位养老支出（款）行政事业单位职业年金缴费支出（项）</w:t>
      </w:r>
      <w:r>
        <w:rPr>
          <w:rFonts w:hint="eastAsia" w:ascii="仿宋_GB2312" w:hAnsi="TimesNewRoman" w:eastAsia="仿宋_GB2312" w:cs="TimesNewRoman"/>
          <w:sz w:val="32"/>
          <w:szCs w:val="32"/>
        </w:rPr>
        <w:t>2024年预算4.67万元，比2023年预算减少1.04万元，下降22.27%，下降原因主要是1人在职转退休。</w:t>
      </w:r>
    </w:p>
    <w:p>
      <w:pPr>
        <w:topLinePunct/>
        <w:adjustRightInd w:val="0"/>
        <w:snapToGrid w:val="0"/>
        <w:spacing w:line="580" w:lineRule="exact"/>
        <w:ind w:firstLine="643" w:firstLineChars="200"/>
        <w:rPr>
          <w:rFonts w:ascii="仿宋_GB2312" w:hAnsi="TimesNewRoman" w:eastAsia="仿宋_GB2312" w:cs="TimesNewRoman"/>
          <w:sz w:val="32"/>
          <w:szCs w:val="32"/>
        </w:rPr>
      </w:pPr>
      <w:r>
        <w:rPr>
          <w:rFonts w:hint="eastAsia" w:ascii="仿宋_GB2312" w:hAnsi="TimesNewRoman" w:eastAsia="仿宋_GB2312" w:cs="TimesNewRoman"/>
          <w:b/>
          <w:sz w:val="32"/>
          <w:szCs w:val="32"/>
        </w:rPr>
        <w:t>7.住房保障支出（类）住房改革支出（款）住房公积金（项）</w:t>
      </w:r>
      <w:r>
        <w:rPr>
          <w:rFonts w:hint="eastAsia" w:ascii="仿宋_GB2312" w:hAnsi="TimesNewRoman" w:eastAsia="仿宋_GB2312" w:cs="TimesNewRoman"/>
          <w:sz w:val="32"/>
          <w:szCs w:val="32"/>
        </w:rPr>
        <w:t>2024年预算7.01万元，比2023年预算减少1.56万元，下降22.25%，下降原因主要是1人在职转退休。</w:t>
      </w:r>
    </w:p>
    <w:p>
      <w:pPr>
        <w:pStyle w:val="5"/>
        <w:topLinePunct/>
        <w:adjustRightInd w:val="0"/>
        <w:snapToGrid w:val="0"/>
        <w:spacing w:beforeAutospacing="0" w:afterAutospacing="0" w:line="580" w:lineRule="exact"/>
        <w:ind w:firstLine="643" w:firstLineChars="200"/>
        <w:jc w:val="both"/>
        <w:rPr>
          <w:rFonts w:ascii="楷体_GB2312" w:hAnsi="TimesNewRoman" w:eastAsia="楷体_GB2312" w:cs="TimesNewRoman"/>
          <w:b/>
          <w:sz w:val="32"/>
          <w:szCs w:val="32"/>
        </w:rPr>
      </w:pPr>
      <w:r>
        <w:rPr>
          <w:rFonts w:hint="eastAsia" w:ascii="楷体_GB2312" w:hAnsi="TimesNewRoman" w:eastAsia="楷体_GB2312" w:cs="TimesNewRoman"/>
          <w:b/>
          <w:sz w:val="32"/>
          <w:szCs w:val="32"/>
        </w:rPr>
        <w:t>六、关于2024年一般公共预算基本支出表的说明</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寿县妇女联合会2024年一般公共预算基本支出107.93万元，其中，人员经费97.01万元，公用经费10.92万元。</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一）人员经费97.01万元，主要包括:基本工资、津贴补贴、奖金、伙食补助费、绩效工资、机关事业单位基本养老保险费、职业年金缴费、职工基本医疗保险缴费、公务员医疗补助缴费、其他社会保障缴费、住房公积金、医疗费、其他工资福利支出、退休费、抚恤金、生活补助、救济费、医疗费补助、助学金、奖励金、个人农业生产补贴、对其他个人和家庭的补助支出。</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二）公用经费10.92万元，主要包括：办公费、印刷费、咨询费、邮电费、差旅费、维修（护）费、租赁费、会议费、培训费、公务接待费、专用材料费、被装购置费、专用燃料费、劳务费、委托业务费、工会经费、其他交通费用、税金及附加费用、其他商品服务支出、办公设备购置、其他支出等。</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七、关于2024年政府性基金预算支出表的说明</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寿县妇女联合会2024年没有政府性基金预算拨款收入，也没有使用政府性基金预算拨款安排的支出。</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八、关于2024年国有资本经营预算支出表的说明</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寿县妇女联合会2024年没有国有资本经营预算拨款收入，也没有使用国有资本经营预算拨款安排的支出。</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九、关于2024年项目支出表的说明</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寿县妇女联合会2024年预算共安排项目支出56.36万元，比2023年预算减少40.44万元，下降71.75%，下降原因主要是减少县乡妇联工作经费。主要包括：本年财政拨款安排56.36万元,全部为一般公共预算拨款安排资金。</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十、关于2024年政府采购支出表的说明</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寿县妇女联合会2024年没有使用一般公共预算拨款、政府性基金预算拨款、国有资本经营预算拨款、财政专户管理资金和单位资金安排的政府采购支出。</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十一、关于2024年政府购买服务支出表的说明</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寿县妇女联合会2024年没有安排政府购买服务支出。</w:t>
      </w:r>
    </w:p>
    <w:p>
      <w:pPr>
        <w:pStyle w:val="5"/>
        <w:topLinePunct/>
        <w:adjustRightInd w:val="0"/>
        <w:snapToGrid w:val="0"/>
        <w:spacing w:beforeAutospacing="0" w:afterAutospacing="0" w:line="580" w:lineRule="exact"/>
        <w:ind w:firstLine="640" w:firstLineChars="200"/>
        <w:jc w:val="both"/>
        <w:rPr>
          <w:rFonts w:ascii="仿宋_GB2312" w:hAnsi="TimesNewRoman" w:eastAsia="仿宋_GB2312" w:cs="TimesNewRoman"/>
          <w:kern w:val="2"/>
          <w:sz w:val="32"/>
          <w:szCs w:val="32"/>
        </w:rPr>
      </w:pPr>
      <w:r>
        <w:rPr>
          <w:rFonts w:hint="eastAsia" w:ascii="仿宋_GB2312" w:hAnsi="TimesNewRoman" w:eastAsia="仿宋_GB2312" w:cs="TimesNewRoman"/>
          <w:kern w:val="2"/>
          <w:sz w:val="32"/>
          <w:szCs w:val="32"/>
        </w:rPr>
        <w:t>十二、其他重要事项情况说明</w:t>
      </w:r>
    </w:p>
    <w:p>
      <w:pPr>
        <w:adjustRightInd w:val="0"/>
        <w:snapToGrid w:val="0"/>
        <w:spacing w:line="60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（一）项目及绩效目标情况</w:t>
      </w:r>
    </w:p>
    <w:p>
      <w:pPr>
        <w:adjustRightInd w:val="0"/>
        <w:snapToGrid w:val="0"/>
        <w:spacing w:line="60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寿县妇女联合会2024年没有重点项目，项目为常年项目。</w:t>
      </w:r>
    </w:p>
    <w:p>
      <w:pPr>
        <w:adjustRightInd w:val="0"/>
        <w:snapToGrid w:val="0"/>
        <w:spacing w:line="600" w:lineRule="exact"/>
        <w:ind w:firstLine="800" w:firstLineChars="250"/>
        <w:rPr>
          <w:rFonts w:ascii="仿宋_GB2312" w:hAnsi="TimesNewRoman" w:eastAsia="仿宋_GB2312" w:cs="TimesNewRoman"/>
          <w:sz w:val="32"/>
          <w:szCs w:val="32"/>
        </w:rPr>
      </w:pPr>
      <w:r>
        <w:rPr>
          <w:rFonts w:hint="eastAsia" w:ascii="仿宋_GB2312" w:hAnsi="TimesNewRoman" w:eastAsia="仿宋_GB2312" w:cs="TimesNewRoman"/>
          <w:sz w:val="32"/>
          <w:szCs w:val="32"/>
        </w:rPr>
        <w:t>1.“妇女专项业务经费”项目。</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（1）项目概述。对妇女及儿童的关爱，在特定的节日进行慰问。</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（2）立项依据。部门主要职责。</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（3）实施主体。寿县妇女联合会。</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（4）起止时间。2024年1月1日-2024年12月31日</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（5）项目内容。举办妇女干部培训班、举办系列妇女儿童维权关爱活动、召开两纲专题会议、开展六一节和三八节活动等。</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（6）年度预算安排。48万元。</w:t>
      </w:r>
    </w:p>
    <w:p>
      <w:pPr>
        <w:topLinePunct/>
        <w:spacing w:line="58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（7）绩效目标。推动妇女儿童事业发展，促进妇女儿童的全面发展，开展六一节和三八节活动等。</w:t>
      </w:r>
    </w:p>
    <w:p>
      <w:pPr>
        <w:topLinePunct/>
        <w:spacing w:line="580" w:lineRule="exact"/>
        <w:ind w:firstLine="640" w:firstLineChars="200"/>
        <w:rPr>
          <w:rFonts w:ascii="仿宋_GB2312" w:hAnsi="TimesNewRoman" w:eastAsia="仿宋_GB2312" w:cs="TimesNewRoman"/>
          <w:sz w:val="32"/>
          <w:szCs w:val="32"/>
        </w:rPr>
      </w:pPr>
    </w:p>
    <w:tbl>
      <w:tblPr>
        <w:tblStyle w:val="6"/>
        <w:tblW w:w="9020" w:type="dxa"/>
        <w:tblInd w:w="93" w:type="dxa"/>
        <w:tblLayout w:type="fixed"/>
        <w:tblCellMar>
          <w:top w:w="0" w:type="dxa"/>
          <w:left w:w="108" w:type="dxa"/>
          <w:bottom w:w="0" w:type="dxa"/>
          <w:right w:w="108" w:type="dxa"/>
        </w:tblCellMar>
      </w:tblPr>
      <w:tblGrid>
        <w:gridCol w:w="416"/>
        <w:gridCol w:w="616"/>
        <w:gridCol w:w="723"/>
        <w:gridCol w:w="2059"/>
        <w:gridCol w:w="845"/>
        <w:gridCol w:w="805"/>
        <w:gridCol w:w="798"/>
        <w:gridCol w:w="1494"/>
        <w:gridCol w:w="623"/>
        <w:gridCol w:w="641"/>
      </w:tblGrid>
      <w:tr>
        <w:tblPrEx>
          <w:tblLayout w:type="fixed"/>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vAlign w:val="center"/>
          </w:tcPr>
          <w:p>
            <w:pPr>
              <w:topLinePunct/>
              <w:spacing w:line="580" w:lineRule="exact"/>
              <w:ind w:firstLine="640" w:firstLineChars="200"/>
              <w:jc w:val="center"/>
              <w:rPr>
                <w:rFonts w:ascii="宋体" w:hAnsi="宋体" w:cs="宋体"/>
                <w:b/>
                <w:bCs/>
                <w:sz w:val="32"/>
                <w:szCs w:val="32"/>
              </w:rPr>
            </w:pPr>
            <w:r>
              <w:rPr>
                <w:rFonts w:hint="eastAsia" w:ascii="仿宋_GB2312" w:hAnsi="TimesNewRoman" w:eastAsia="仿宋_GB2312" w:cs="TimesNewRoman"/>
                <w:sz w:val="32"/>
                <w:szCs w:val="32"/>
              </w:rPr>
              <w:t>项目支出绩效目标表</w:t>
            </w:r>
          </w:p>
        </w:tc>
      </w:tr>
      <w:tr>
        <w:tblPrEx>
          <w:tblLayout w:type="fixed"/>
        </w:tblPrEx>
        <w:trPr>
          <w:trHeight w:val="270" w:hRule="atLeast"/>
        </w:trPr>
        <w:tc>
          <w:tcPr>
            <w:tcW w:w="9020" w:type="dxa"/>
            <w:gridSpan w:val="10"/>
            <w:tcBorders>
              <w:top w:val="nil"/>
              <w:left w:val="nil"/>
              <w:bottom w:val="nil"/>
              <w:right w:val="nil"/>
            </w:tcBorders>
            <w:vAlign w:val="center"/>
          </w:tcPr>
          <w:p>
            <w:pPr>
              <w:jc w:val="center"/>
              <w:rPr>
                <w:rFonts w:ascii="宋体" w:hAnsi="宋体" w:cs="宋体"/>
                <w:sz w:val="20"/>
                <w:szCs w:val="20"/>
              </w:rPr>
            </w:pPr>
            <w:r>
              <w:rPr>
                <w:rFonts w:hint="eastAsia"/>
                <w:sz w:val="20"/>
                <w:szCs w:val="20"/>
              </w:rPr>
              <w:t>（2024 年度）</w:t>
            </w:r>
          </w:p>
        </w:tc>
      </w:tr>
      <w:tr>
        <w:tblPrEx>
          <w:tblLayout w:type="fixed"/>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项目名称</w:t>
            </w:r>
          </w:p>
        </w:tc>
        <w:tc>
          <w:tcPr>
            <w:tcW w:w="7988" w:type="dxa"/>
            <w:gridSpan w:val="8"/>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 w:val="20"/>
                <w:szCs w:val="20"/>
              </w:rPr>
            </w:pPr>
            <w:r>
              <w:rPr>
                <w:rFonts w:hint="eastAsia"/>
                <w:sz w:val="20"/>
                <w:szCs w:val="20"/>
              </w:rPr>
              <w:t>妇女专项业务经费</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实施单位</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寿县妇女联合会　</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项目属性</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常年项目　</w:t>
            </w:r>
          </w:p>
        </w:tc>
      </w:tr>
      <w:tr>
        <w:tblPrEx>
          <w:tblLayout w:type="fixed"/>
          <w:tblCellMar>
            <w:top w:w="0" w:type="dxa"/>
            <w:left w:w="108" w:type="dxa"/>
            <w:bottom w:w="0" w:type="dxa"/>
            <w:right w:w="108" w:type="dxa"/>
          </w:tblCellMar>
        </w:tblPrEx>
        <w:trPr>
          <w:trHeight w:val="330" w:hRule="atLeast"/>
        </w:trPr>
        <w:tc>
          <w:tcPr>
            <w:tcW w:w="1755" w:type="dxa"/>
            <w:gridSpan w:val="3"/>
            <w:vMerge w:val="restart"/>
            <w:tcBorders>
              <w:top w:val="single" w:color="auto" w:sz="4" w:space="0"/>
              <w:left w:val="single" w:color="auto" w:sz="4" w:space="0"/>
              <w:bottom w:val="single" w:color="000000" w:sz="4" w:space="0"/>
              <w:right w:val="single" w:color="000000" w:sz="4" w:space="0"/>
            </w:tcBorders>
            <w:vAlign w:val="center"/>
          </w:tcPr>
          <w:p>
            <w:pPr>
              <w:jc w:val="center"/>
              <w:rPr>
                <w:sz w:val="20"/>
                <w:szCs w:val="20"/>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中期资金总额：</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48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48</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48</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48　</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650"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总</w:t>
            </w:r>
          </w:p>
          <w:p>
            <w:pPr>
              <w:jc w:val="center"/>
              <w:rPr>
                <w:sz w:val="20"/>
                <w:szCs w:val="20"/>
              </w:rPr>
            </w:pPr>
            <w:r>
              <w:rPr>
                <w:rFonts w:hint="eastAsia"/>
                <w:sz w:val="20"/>
                <w:szCs w:val="20"/>
              </w:rPr>
              <w:t>体</w:t>
            </w:r>
          </w:p>
          <w:p>
            <w:pPr>
              <w:jc w:val="center"/>
              <w:rPr>
                <w:sz w:val="20"/>
                <w:szCs w:val="20"/>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048" w:type="dxa"/>
            <w:gridSpan w:val="5"/>
            <w:tcBorders>
              <w:top w:val="single" w:color="auto" w:sz="4" w:space="0"/>
              <w:left w:val="nil"/>
              <w:bottom w:val="single" w:color="auto" w:sz="4" w:space="0"/>
              <w:right w:val="nil"/>
            </w:tcBorders>
            <w:vAlign w:val="center"/>
          </w:tcPr>
          <w:p>
            <w:pPr>
              <w:jc w:val="center"/>
              <w:rPr>
                <w:rFonts w:ascii="宋体" w:hAnsi="宋体" w:cs="宋体"/>
                <w:sz w:val="20"/>
                <w:szCs w:val="20"/>
              </w:rPr>
            </w:pPr>
            <w:r>
              <w:rPr>
                <w:rFonts w:hint="eastAsia"/>
                <w:sz w:val="20"/>
                <w:szCs w:val="20"/>
              </w:rPr>
              <w:t>中期目标（2024年—2024年）</w:t>
            </w:r>
          </w:p>
        </w:tc>
        <w:tc>
          <w:tcPr>
            <w:tcW w:w="3556" w:type="dxa"/>
            <w:gridSpan w:val="4"/>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年度目标</w:t>
            </w:r>
          </w:p>
        </w:tc>
      </w:tr>
      <w:tr>
        <w:tblPrEx>
          <w:tblLayout w:type="fixed"/>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5048" w:type="dxa"/>
            <w:gridSpan w:val="5"/>
            <w:tcBorders>
              <w:top w:val="single" w:color="auto" w:sz="4" w:space="0"/>
              <w:left w:val="nil"/>
              <w:bottom w:val="single" w:color="auto" w:sz="4" w:space="0"/>
              <w:right w:val="nil"/>
            </w:tcBorders>
          </w:tcPr>
          <w:p>
            <w:pPr>
              <w:rPr>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c>
          <w:tcPr>
            <w:tcW w:w="3556" w:type="dxa"/>
            <w:gridSpan w:val="4"/>
            <w:tcBorders>
              <w:top w:val="single" w:color="auto" w:sz="4" w:space="0"/>
              <w:left w:val="single" w:color="auto" w:sz="4" w:space="0"/>
              <w:bottom w:val="single" w:color="auto" w:sz="4" w:space="0"/>
              <w:right w:val="single" w:color="000000" w:sz="4" w:space="0"/>
            </w:tcBorders>
          </w:tcPr>
          <w:p>
            <w:pPr>
              <w:rPr>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r>
      <w:tr>
        <w:tblPrEx>
          <w:tblLayout w:type="fixed"/>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绩</w:t>
            </w:r>
          </w:p>
          <w:p>
            <w:pPr>
              <w:jc w:val="center"/>
              <w:rPr>
                <w:sz w:val="20"/>
                <w:szCs w:val="20"/>
              </w:rPr>
            </w:pPr>
            <w:r>
              <w:rPr>
                <w:rFonts w:hint="eastAsia"/>
                <w:sz w:val="20"/>
                <w:szCs w:val="20"/>
              </w:rPr>
              <w:t>效</w:t>
            </w:r>
          </w:p>
          <w:p>
            <w:pPr>
              <w:jc w:val="center"/>
              <w:rPr>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616" w:type="dxa"/>
            <w:tcBorders>
              <w:top w:val="nil"/>
              <w:left w:val="nil"/>
              <w:bottom w:val="nil"/>
              <w:right w:val="single" w:color="auto" w:sz="4" w:space="0"/>
            </w:tcBorders>
            <w:vAlign w:val="center"/>
          </w:tcPr>
          <w:p>
            <w:pPr>
              <w:jc w:val="center"/>
              <w:rPr>
                <w:sz w:val="20"/>
                <w:szCs w:val="20"/>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723"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三级指标</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c>
          <w:tcPr>
            <w:tcW w:w="798"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nil"/>
            </w:tcBorders>
            <w:vAlign w:val="center"/>
          </w:tcPr>
          <w:p>
            <w:pPr>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产</w:t>
            </w:r>
          </w:p>
          <w:p>
            <w:pPr>
              <w:jc w:val="center"/>
              <w:rPr>
                <w:sz w:val="20"/>
                <w:szCs w:val="20"/>
              </w:rPr>
            </w:pPr>
            <w:r>
              <w:rPr>
                <w:rFonts w:hint="eastAsia"/>
                <w:sz w:val="20"/>
                <w:szCs w:val="20"/>
              </w:rPr>
              <w:t>出</w:t>
            </w:r>
          </w:p>
          <w:p>
            <w:pPr>
              <w:jc w:val="center"/>
              <w:rPr>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举办妇女干部培训班期数</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指标1：举办妇女干部培训班期数</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sz w:val="20"/>
                <w:szCs w:val="20"/>
              </w:rPr>
            </w:pPr>
            <w:r>
              <w:rPr>
                <w:rFonts w:hint="eastAsia"/>
                <w:sz w:val="20"/>
                <w:szCs w:val="20"/>
              </w:rPr>
              <w:t>举办系列妇女儿童维权关爱活动次数</w:t>
            </w:r>
          </w:p>
        </w:tc>
        <w:tc>
          <w:tcPr>
            <w:tcW w:w="845" w:type="dxa"/>
            <w:tcBorders>
              <w:top w:val="nil"/>
              <w:left w:val="nil"/>
              <w:bottom w:val="single" w:color="auto" w:sz="4" w:space="0"/>
              <w:right w:val="single" w:color="auto" w:sz="4" w:space="0"/>
            </w:tcBorders>
            <w:vAlign w:val="center"/>
          </w:tcPr>
          <w:p>
            <w:pPr>
              <w:rPr>
                <w:sz w:val="20"/>
                <w:szCs w:val="20"/>
              </w:rPr>
            </w:pPr>
            <w:r>
              <w:rPr>
                <w:rFonts w:hint="eastAsia"/>
              </w:rPr>
              <w:t>≥3次</w:t>
            </w:r>
          </w:p>
        </w:tc>
        <w:tc>
          <w:tcPr>
            <w:tcW w:w="805" w:type="dxa"/>
            <w:tcBorders>
              <w:top w:val="nil"/>
              <w:left w:val="nil"/>
              <w:bottom w:val="single" w:color="auto" w:sz="4" w:space="0"/>
              <w:right w:val="single" w:color="auto" w:sz="4" w:space="0"/>
            </w:tcBorders>
            <w:vAlign w:val="center"/>
          </w:tcPr>
          <w:p>
            <w:pPr>
              <w:rPr>
                <w:sz w:val="20"/>
                <w:szCs w:val="20"/>
              </w:rPr>
            </w:pPr>
            <w:r>
              <w:rPr>
                <w:rFonts w:hint="eastAsia"/>
              </w:rPr>
              <w:t>≥3次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sz w:val="20"/>
                <w:szCs w:val="20"/>
              </w:rPr>
            </w:pPr>
            <w:r>
              <w:rPr>
                <w:rFonts w:hint="eastAsia"/>
                <w:sz w:val="20"/>
                <w:szCs w:val="20"/>
              </w:rPr>
              <w:t>举办系列妇女儿童维权关爱活动次数</w:t>
            </w:r>
          </w:p>
        </w:tc>
        <w:tc>
          <w:tcPr>
            <w:tcW w:w="623" w:type="dxa"/>
            <w:tcBorders>
              <w:top w:val="nil"/>
              <w:left w:val="nil"/>
              <w:bottom w:val="single" w:color="auto" w:sz="4" w:space="0"/>
              <w:right w:val="single" w:color="auto" w:sz="4" w:space="0"/>
            </w:tcBorders>
            <w:vAlign w:val="center"/>
          </w:tcPr>
          <w:p>
            <w:pPr>
              <w:rPr>
                <w:sz w:val="20"/>
                <w:szCs w:val="20"/>
              </w:rPr>
            </w:pPr>
            <w:r>
              <w:rPr>
                <w:rFonts w:hint="eastAsia"/>
              </w:rPr>
              <w:t>≥3次</w:t>
            </w:r>
          </w:p>
        </w:tc>
        <w:tc>
          <w:tcPr>
            <w:tcW w:w="641" w:type="dxa"/>
            <w:tcBorders>
              <w:top w:val="nil"/>
              <w:left w:val="nil"/>
              <w:bottom w:val="single" w:color="auto" w:sz="4" w:space="0"/>
              <w:right w:val="single" w:color="auto" w:sz="4" w:space="0"/>
            </w:tcBorders>
            <w:vAlign w:val="center"/>
          </w:tcPr>
          <w:p>
            <w:pPr>
              <w:rPr>
                <w:sz w:val="20"/>
                <w:szCs w:val="20"/>
              </w:rPr>
            </w:pPr>
            <w:r>
              <w:rPr>
                <w:rFonts w:hint="eastAsia"/>
              </w:rPr>
              <w:t>≥3次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sz w:val="20"/>
                <w:szCs w:val="20"/>
              </w:rPr>
            </w:pPr>
            <w:r>
              <w:rPr>
                <w:rFonts w:hint="eastAsia"/>
                <w:sz w:val="20"/>
                <w:szCs w:val="20"/>
              </w:rPr>
              <w:t>召开两纲专题会议次数</w:t>
            </w:r>
          </w:p>
        </w:tc>
        <w:tc>
          <w:tcPr>
            <w:tcW w:w="845" w:type="dxa"/>
            <w:tcBorders>
              <w:top w:val="nil"/>
              <w:left w:val="nil"/>
              <w:bottom w:val="single" w:color="auto" w:sz="4" w:space="0"/>
              <w:right w:val="single" w:color="auto" w:sz="4" w:space="0"/>
            </w:tcBorders>
            <w:vAlign w:val="center"/>
          </w:tcPr>
          <w:p>
            <w:pPr>
              <w:rPr>
                <w:sz w:val="20"/>
                <w:szCs w:val="20"/>
              </w:rPr>
            </w:pPr>
            <w:r>
              <w:rPr>
                <w:rFonts w:hint="eastAsia"/>
              </w:rPr>
              <w:t>≥1次</w:t>
            </w:r>
          </w:p>
        </w:tc>
        <w:tc>
          <w:tcPr>
            <w:tcW w:w="805" w:type="dxa"/>
            <w:tcBorders>
              <w:top w:val="nil"/>
              <w:left w:val="nil"/>
              <w:bottom w:val="single" w:color="auto" w:sz="4" w:space="0"/>
              <w:right w:val="single" w:color="auto" w:sz="4" w:space="0"/>
            </w:tcBorders>
            <w:vAlign w:val="center"/>
          </w:tcPr>
          <w:p>
            <w:pPr>
              <w:rPr>
                <w:sz w:val="20"/>
                <w:szCs w:val="20"/>
              </w:rPr>
            </w:pPr>
            <w:r>
              <w:rPr>
                <w:rFonts w:hint="eastAsia"/>
              </w:rPr>
              <w:t>≥1次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sz w:val="20"/>
                <w:szCs w:val="20"/>
              </w:rPr>
            </w:pPr>
            <w:r>
              <w:rPr>
                <w:rFonts w:hint="eastAsia"/>
                <w:sz w:val="20"/>
                <w:szCs w:val="20"/>
              </w:rPr>
              <w:t>召开两纲专题会议次数</w:t>
            </w:r>
          </w:p>
        </w:tc>
        <w:tc>
          <w:tcPr>
            <w:tcW w:w="623" w:type="dxa"/>
            <w:tcBorders>
              <w:top w:val="nil"/>
              <w:left w:val="nil"/>
              <w:bottom w:val="single" w:color="auto" w:sz="4" w:space="0"/>
              <w:right w:val="single" w:color="auto" w:sz="4" w:space="0"/>
            </w:tcBorders>
            <w:vAlign w:val="center"/>
          </w:tcPr>
          <w:p>
            <w:pPr>
              <w:rPr>
                <w:sz w:val="20"/>
                <w:szCs w:val="20"/>
              </w:rPr>
            </w:pPr>
            <w:r>
              <w:rPr>
                <w:rFonts w:hint="eastAsia"/>
              </w:rPr>
              <w:t>≥1次</w:t>
            </w:r>
          </w:p>
        </w:tc>
        <w:tc>
          <w:tcPr>
            <w:tcW w:w="641" w:type="dxa"/>
            <w:tcBorders>
              <w:top w:val="nil"/>
              <w:left w:val="nil"/>
              <w:bottom w:val="single" w:color="auto" w:sz="4" w:space="0"/>
              <w:right w:val="single" w:color="auto" w:sz="4" w:space="0"/>
            </w:tcBorders>
            <w:vAlign w:val="center"/>
          </w:tcPr>
          <w:p>
            <w:pPr>
              <w:rPr>
                <w:sz w:val="20"/>
                <w:szCs w:val="20"/>
              </w:rPr>
            </w:pPr>
            <w:r>
              <w:rPr>
                <w:rFonts w:hint="eastAsia"/>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效</w:t>
            </w:r>
          </w:p>
          <w:p>
            <w:pPr>
              <w:jc w:val="center"/>
              <w:rPr>
                <w:sz w:val="20"/>
                <w:szCs w:val="20"/>
              </w:rPr>
            </w:pPr>
            <w:r>
              <w:rPr>
                <w:rFonts w:hint="eastAsia"/>
                <w:sz w:val="20"/>
                <w:szCs w:val="20"/>
              </w:rPr>
              <w:t>益</w:t>
            </w:r>
          </w:p>
          <w:p>
            <w:pPr>
              <w:jc w:val="center"/>
              <w:rPr>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经济效益指标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经济效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社会效益指标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满意度指标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服务对象满意度指标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bl>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2.“县妇联工作经费”项目。</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（1）项目概述和内容。县妇联工作经费主要用于县妇联开展正常工作，发展妇女儿童工作事业。</w:t>
      </w:r>
    </w:p>
    <w:p>
      <w:pPr>
        <w:spacing w:line="600" w:lineRule="exact"/>
        <w:ind w:firstLine="585" w:firstLineChars="183"/>
        <w:rPr>
          <w:rFonts w:ascii="仿宋_GB2312" w:hAnsi="仿宋" w:eastAsia="仿宋_GB2312"/>
          <w:sz w:val="32"/>
          <w:szCs w:val="32"/>
        </w:rPr>
      </w:pPr>
      <w:r>
        <w:rPr>
          <w:rFonts w:hint="eastAsia" w:ascii="仿宋_GB2312" w:hAnsi="仿宋" w:eastAsia="仿宋_GB2312"/>
          <w:sz w:val="32"/>
          <w:szCs w:val="32"/>
        </w:rPr>
        <w:t>（2）立项依据。部门主要职责</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（3）起止时间。2024年1月1日-2024年12月31日</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（4）年度预算安排。8.36万元</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（5）绩效目标和指标。县妇联工作经费主要用于县妇联开展正常工作，发展妇女儿童工作事业。推动县妇联工作健康发展。</w:t>
      </w:r>
    </w:p>
    <w:p>
      <w:pPr>
        <w:adjustRightInd w:val="0"/>
        <w:snapToGrid w:val="0"/>
        <w:spacing w:line="600" w:lineRule="exact"/>
        <w:ind w:firstLine="640" w:firstLineChars="200"/>
        <w:rPr>
          <w:rFonts w:ascii="仿宋_GB2312" w:hAnsi="仿宋" w:eastAsia="仿宋_GB2312"/>
          <w:sz w:val="32"/>
          <w:szCs w:val="32"/>
        </w:rPr>
      </w:pPr>
    </w:p>
    <w:tbl>
      <w:tblPr>
        <w:tblStyle w:val="6"/>
        <w:tblW w:w="9020" w:type="dxa"/>
        <w:tblInd w:w="93" w:type="dxa"/>
        <w:tblLayout w:type="fixed"/>
        <w:tblCellMar>
          <w:top w:w="0" w:type="dxa"/>
          <w:left w:w="108" w:type="dxa"/>
          <w:bottom w:w="0" w:type="dxa"/>
          <w:right w:w="108" w:type="dxa"/>
        </w:tblCellMar>
      </w:tblPr>
      <w:tblGrid>
        <w:gridCol w:w="416"/>
        <w:gridCol w:w="616"/>
        <w:gridCol w:w="723"/>
        <w:gridCol w:w="2059"/>
        <w:gridCol w:w="845"/>
        <w:gridCol w:w="805"/>
        <w:gridCol w:w="798"/>
        <w:gridCol w:w="1494"/>
        <w:gridCol w:w="623"/>
        <w:gridCol w:w="641"/>
      </w:tblGrid>
      <w:tr>
        <w:tblPrEx>
          <w:tblLayout w:type="fixed"/>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vAlign w:val="center"/>
          </w:tcPr>
          <w:p>
            <w:pPr>
              <w:jc w:val="center"/>
              <w:rPr>
                <w:rFonts w:ascii="宋体" w:hAnsi="宋体" w:cs="宋体"/>
                <w:b/>
                <w:bCs/>
                <w:sz w:val="32"/>
                <w:szCs w:val="32"/>
              </w:rPr>
            </w:pPr>
            <w:r>
              <w:rPr>
                <w:rFonts w:hint="eastAsia"/>
                <w:b/>
                <w:bCs/>
                <w:sz w:val="32"/>
                <w:szCs w:val="32"/>
              </w:rPr>
              <w:t>项目支出绩效目标表</w:t>
            </w:r>
          </w:p>
        </w:tc>
      </w:tr>
      <w:tr>
        <w:tblPrEx>
          <w:tblLayout w:type="fixed"/>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vAlign w:val="center"/>
          </w:tcPr>
          <w:p>
            <w:pPr>
              <w:jc w:val="center"/>
              <w:rPr>
                <w:rFonts w:ascii="宋体" w:hAnsi="宋体" w:cs="宋体"/>
                <w:sz w:val="20"/>
                <w:szCs w:val="20"/>
              </w:rPr>
            </w:pPr>
            <w:r>
              <w:rPr>
                <w:rFonts w:hint="eastAsia"/>
                <w:sz w:val="20"/>
                <w:szCs w:val="20"/>
              </w:rPr>
              <w:t>（2024 年度）</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项目名称</w:t>
            </w:r>
          </w:p>
        </w:tc>
        <w:tc>
          <w:tcPr>
            <w:tcW w:w="7988" w:type="dxa"/>
            <w:gridSpan w:val="8"/>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 w:val="20"/>
                <w:szCs w:val="20"/>
              </w:rPr>
            </w:pPr>
            <w:r>
              <w:rPr>
                <w:rFonts w:hint="eastAsia"/>
                <w:sz w:val="20"/>
                <w:szCs w:val="20"/>
              </w:rPr>
              <w:t>县妇联工作经费</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实施单位</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寿县妇女联合会　</w:t>
            </w:r>
          </w:p>
        </w:tc>
      </w:tr>
      <w:tr>
        <w:tblPrEx>
          <w:tblLayout w:type="fixed"/>
          <w:tblCellMar>
            <w:top w:w="0" w:type="dxa"/>
            <w:left w:w="108" w:type="dxa"/>
            <w:bottom w:w="0" w:type="dxa"/>
            <w:right w:w="108" w:type="dxa"/>
          </w:tblCellMar>
        </w:tblPrEx>
        <w:trPr>
          <w:trHeight w:val="330" w:hRule="atLeast"/>
        </w:trPr>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项目属性</w:t>
            </w:r>
          </w:p>
        </w:tc>
        <w:tc>
          <w:tcPr>
            <w:tcW w:w="798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常年项目　</w:t>
            </w:r>
          </w:p>
        </w:tc>
      </w:tr>
      <w:tr>
        <w:tblPrEx>
          <w:tblLayout w:type="fixed"/>
          <w:tblCellMar>
            <w:top w:w="0" w:type="dxa"/>
            <w:left w:w="108" w:type="dxa"/>
            <w:bottom w:w="0" w:type="dxa"/>
            <w:right w:w="108" w:type="dxa"/>
          </w:tblCellMar>
        </w:tblPrEx>
        <w:trPr>
          <w:trHeight w:val="330" w:hRule="atLeast"/>
        </w:trPr>
        <w:tc>
          <w:tcPr>
            <w:tcW w:w="1755" w:type="dxa"/>
            <w:gridSpan w:val="3"/>
            <w:vMerge w:val="restart"/>
            <w:tcBorders>
              <w:top w:val="single" w:color="auto" w:sz="4" w:space="0"/>
              <w:left w:val="single" w:color="auto" w:sz="4" w:space="0"/>
              <w:bottom w:val="single" w:color="000000" w:sz="4" w:space="0"/>
              <w:right w:val="single" w:color="000000" w:sz="4" w:space="0"/>
            </w:tcBorders>
            <w:vAlign w:val="center"/>
          </w:tcPr>
          <w:p>
            <w:pPr>
              <w:jc w:val="center"/>
              <w:rPr>
                <w:sz w:val="20"/>
                <w:szCs w:val="20"/>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中期资金总额：</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8.36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8.36</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6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8.36</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8.36　</w:t>
            </w:r>
          </w:p>
        </w:tc>
      </w:tr>
      <w:tr>
        <w:tblPrEx>
          <w:tblLayout w:type="fixed"/>
          <w:tblCellMar>
            <w:top w:w="0" w:type="dxa"/>
            <w:left w:w="108" w:type="dxa"/>
            <w:bottom w:w="0" w:type="dxa"/>
            <w:right w:w="108" w:type="dxa"/>
          </w:tblCellMar>
        </w:tblPrEx>
        <w:trPr>
          <w:trHeight w:val="330" w:hRule="atLeast"/>
        </w:trPr>
        <w:tc>
          <w:tcPr>
            <w:tcW w:w="1755"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650"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c>
          <w:tcPr>
            <w:tcW w:w="2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总</w:t>
            </w:r>
          </w:p>
          <w:p>
            <w:pPr>
              <w:jc w:val="center"/>
              <w:rPr>
                <w:sz w:val="20"/>
                <w:szCs w:val="20"/>
              </w:rPr>
            </w:pPr>
            <w:r>
              <w:rPr>
                <w:rFonts w:hint="eastAsia"/>
                <w:sz w:val="20"/>
                <w:szCs w:val="20"/>
              </w:rPr>
              <w:t>体</w:t>
            </w:r>
          </w:p>
          <w:p>
            <w:pPr>
              <w:jc w:val="center"/>
              <w:rPr>
                <w:sz w:val="20"/>
                <w:szCs w:val="20"/>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048" w:type="dxa"/>
            <w:gridSpan w:val="5"/>
            <w:tcBorders>
              <w:top w:val="single" w:color="auto" w:sz="4" w:space="0"/>
              <w:left w:val="nil"/>
              <w:bottom w:val="single" w:color="auto" w:sz="4" w:space="0"/>
              <w:right w:val="nil"/>
            </w:tcBorders>
            <w:vAlign w:val="center"/>
          </w:tcPr>
          <w:p>
            <w:pPr>
              <w:jc w:val="center"/>
              <w:rPr>
                <w:rFonts w:ascii="宋体" w:hAnsi="宋体" w:cs="宋体"/>
                <w:sz w:val="20"/>
                <w:szCs w:val="20"/>
              </w:rPr>
            </w:pPr>
            <w:r>
              <w:rPr>
                <w:rFonts w:hint="eastAsia"/>
                <w:sz w:val="20"/>
                <w:szCs w:val="20"/>
              </w:rPr>
              <w:t>中期目标（2024年—2024年）</w:t>
            </w:r>
          </w:p>
        </w:tc>
        <w:tc>
          <w:tcPr>
            <w:tcW w:w="3556" w:type="dxa"/>
            <w:gridSpan w:val="4"/>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sz w:val="20"/>
                <w:szCs w:val="20"/>
              </w:rPr>
            </w:pPr>
            <w:r>
              <w:rPr>
                <w:rFonts w:hint="eastAsia"/>
                <w:sz w:val="20"/>
                <w:szCs w:val="20"/>
              </w:rPr>
              <w:t>年度目标</w:t>
            </w:r>
          </w:p>
        </w:tc>
      </w:tr>
      <w:tr>
        <w:tblPrEx>
          <w:tblLayout w:type="fixed"/>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5048" w:type="dxa"/>
            <w:gridSpan w:val="5"/>
            <w:tcBorders>
              <w:top w:val="single" w:color="auto" w:sz="4" w:space="0"/>
              <w:left w:val="nil"/>
              <w:bottom w:val="single" w:color="auto" w:sz="4" w:space="0"/>
              <w:right w:val="nil"/>
            </w:tcBorders>
          </w:tcPr>
          <w:p>
            <w:pPr>
              <w:rPr>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c>
          <w:tcPr>
            <w:tcW w:w="3556" w:type="dxa"/>
            <w:gridSpan w:val="4"/>
            <w:tcBorders>
              <w:top w:val="single" w:color="auto" w:sz="4" w:space="0"/>
              <w:left w:val="single" w:color="auto" w:sz="4" w:space="0"/>
              <w:bottom w:val="single" w:color="auto" w:sz="4" w:space="0"/>
              <w:right w:val="single" w:color="000000" w:sz="4" w:space="0"/>
            </w:tcBorders>
          </w:tcPr>
          <w:p>
            <w:pPr>
              <w:rPr>
                <w:sz w:val="20"/>
                <w:szCs w:val="20"/>
              </w:rPr>
            </w:pPr>
            <w:r>
              <w:rPr>
                <w:rFonts w:hint="eastAsia"/>
                <w:sz w:val="20"/>
                <w:szCs w:val="20"/>
              </w:rPr>
              <w:t xml:space="preserve"> 目标1：推动妇女儿童事业发展，促进妇女儿童的全面发展，</w:t>
            </w:r>
          </w:p>
          <w:p>
            <w:pPr>
              <w:rPr>
                <w:rFonts w:ascii="宋体" w:hAnsi="宋体" w:cs="宋体"/>
                <w:sz w:val="20"/>
                <w:szCs w:val="20"/>
              </w:rPr>
            </w:pPr>
            <w:r>
              <w:rPr>
                <w:rFonts w:hint="eastAsia"/>
                <w:sz w:val="20"/>
                <w:szCs w:val="20"/>
              </w:rPr>
              <w:t xml:space="preserve"> 目标2：开展六一节和三八节活动等</w:t>
            </w:r>
          </w:p>
        </w:tc>
      </w:tr>
      <w:tr>
        <w:tblPrEx>
          <w:tblLayout w:type="fixed"/>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绩</w:t>
            </w:r>
          </w:p>
          <w:p>
            <w:pPr>
              <w:jc w:val="center"/>
              <w:rPr>
                <w:sz w:val="20"/>
                <w:szCs w:val="20"/>
              </w:rPr>
            </w:pPr>
            <w:r>
              <w:rPr>
                <w:rFonts w:hint="eastAsia"/>
                <w:sz w:val="20"/>
                <w:szCs w:val="20"/>
              </w:rPr>
              <w:t>效</w:t>
            </w:r>
          </w:p>
          <w:p>
            <w:pPr>
              <w:jc w:val="center"/>
              <w:rPr>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616" w:type="dxa"/>
            <w:tcBorders>
              <w:top w:val="nil"/>
              <w:left w:val="nil"/>
              <w:bottom w:val="nil"/>
              <w:right w:val="single" w:color="auto" w:sz="4" w:space="0"/>
            </w:tcBorders>
            <w:vAlign w:val="center"/>
          </w:tcPr>
          <w:p>
            <w:pPr>
              <w:jc w:val="center"/>
              <w:rPr>
                <w:sz w:val="20"/>
                <w:szCs w:val="20"/>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723"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三级指标</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c>
          <w:tcPr>
            <w:tcW w:w="798"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nil"/>
            </w:tcBorders>
            <w:vAlign w:val="center"/>
          </w:tcPr>
          <w:p>
            <w:pPr>
              <w:jc w:val="center"/>
              <w:rPr>
                <w:rFonts w:ascii="宋体" w:hAns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绩效标准</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产</w:t>
            </w:r>
          </w:p>
          <w:p>
            <w:pPr>
              <w:jc w:val="center"/>
              <w:rPr>
                <w:sz w:val="20"/>
                <w:szCs w:val="20"/>
              </w:rPr>
            </w:pPr>
            <w:r>
              <w:rPr>
                <w:rFonts w:hint="eastAsia"/>
                <w:sz w:val="20"/>
                <w:szCs w:val="20"/>
              </w:rPr>
              <w:t>出</w:t>
            </w:r>
          </w:p>
          <w:p>
            <w:pPr>
              <w:jc w:val="center"/>
              <w:rPr>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举办妇女干部培训班期数</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指标1：举办妇女干部培训班期数</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sz w:val="20"/>
                <w:szCs w:val="20"/>
              </w:rPr>
            </w:pPr>
            <w:r>
              <w:rPr>
                <w:rFonts w:hint="eastAsia"/>
                <w:sz w:val="20"/>
                <w:szCs w:val="20"/>
              </w:rPr>
              <w:t>举办系列妇女儿童维权关爱活动次数</w:t>
            </w:r>
          </w:p>
        </w:tc>
        <w:tc>
          <w:tcPr>
            <w:tcW w:w="845" w:type="dxa"/>
            <w:tcBorders>
              <w:top w:val="nil"/>
              <w:left w:val="nil"/>
              <w:bottom w:val="single" w:color="auto" w:sz="4" w:space="0"/>
              <w:right w:val="single" w:color="auto" w:sz="4" w:space="0"/>
            </w:tcBorders>
            <w:vAlign w:val="center"/>
          </w:tcPr>
          <w:p>
            <w:pPr>
              <w:rPr>
                <w:sz w:val="20"/>
                <w:szCs w:val="20"/>
              </w:rPr>
            </w:pPr>
            <w:r>
              <w:rPr>
                <w:rFonts w:hint="eastAsia"/>
              </w:rPr>
              <w:t>≥3次</w:t>
            </w:r>
          </w:p>
        </w:tc>
        <w:tc>
          <w:tcPr>
            <w:tcW w:w="805" w:type="dxa"/>
            <w:tcBorders>
              <w:top w:val="nil"/>
              <w:left w:val="nil"/>
              <w:bottom w:val="single" w:color="auto" w:sz="4" w:space="0"/>
              <w:right w:val="single" w:color="auto" w:sz="4" w:space="0"/>
            </w:tcBorders>
            <w:vAlign w:val="center"/>
          </w:tcPr>
          <w:p>
            <w:pPr>
              <w:rPr>
                <w:sz w:val="20"/>
                <w:szCs w:val="20"/>
              </w:rPr>
            </w:pPr>
            <w:r>
              <w:rPr>
                <w:rFonts w:hint="eastAsia"/>
              </w:rPr>
              <w:t>≥3次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sz w:val="20"/>
                <w:szCs w:val="20"/>
              </w:rPr>
            </w:pPr>
            <w:r>
              <w:rPr>
                <w:rFonts w:hint="eastAsia"/>
                <w:sz w:val="20"/>
                <w:szCs w:val="20"/>
              </w:rPr>
              <w:t>举办系列妇女儿童维权关爱活动次数</w:t>
            </w:r>
          </w:p>
        </w:tc>
        <w:tc>
          <w:tcPr>
            <w:tcW w:w="623" w:type="dxa"/>
            <w:tcBorders>
              <w:top w:val="nil"/>
              <w:left w:val="nil"/>
              <w:bottom w:val="single" w:color="auto" w:sz="4" w:space="0"/>
              <w:right w:val="single" w:color="auto" w:sz="4" w:space="0"/>
            </w:tcBorders>
            <w:vAlign w:val="center"/>
          </w:tcPr>
          <w:p>
            <w:pPr>
              <w:rPr>
                <w:sz w:val="20"/>
                <w:szCs w:val="20"/>
              </w:rPr>
            </w:pPr>
            <w:r>
              <w:rPr>
                <w:rFonts w:hint="eastAsia"/>
              </w:rPr>
              <w:t>≥3次</w:t>
            </w:r>
          </w:p>
        </w:tc>
        <w:tc>
          <w:tcPr>
            <w:tcW w:w="641" w:type="dxa"/>
            <w:tcBorders>
              <w:top w:val="nil"/>
              <w:left w:val="nil"/>
              <w:bottom w:val="single" w:color="auto" w:sz="4" w:space="0"/>
              <w:right w:val="single" w:color="auto" w:sz="4" w:space="0"/>
            </w:tcBorders>
            <w:vAlign w:val="center"/>
          </w:tcPr>
          <w:p>
            <w:pPr>
              <w:rPr>
                <w:sz w:val="20"/>
                <w:szCs w:val="20"/>
              </w:rPr>
            </w:pPr>
            <w:r>
              <w:rPr>
                <w:rFonts w:hint="eastAsia"/>
              </w:rPr>
              <w:t>≥3次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sz w:val="20"/>
                <w:szCs w:val="20"/>
              </w:rPr>
            </w:pPr>
            <w:r>
              <w:rPr>
                <w:rFonts w:hint="eastAsia"/>
                <w:sz w:val="20"/>
                <w:szCs w:val="20"/>
              </w:rPr>
              <w:t>召开两纲专题会议次数</w:t>
            </w:r>
          </w:p>
        </w:tc>
        <w:tc>
          <w:tcPr>
            <w:tcW w:w="845" w:type="dxa"/>
            <w:tcBorders>
              <w:top w:val="nil"/>
              <w:left w:val="nil"/>
              <w:bottom w:val="single" w:color="auto" w:sz="4" w:space="0"/>
              <w:right w:val="single" w:color="auto" w:sz="4" w:space="0"/>
            </w:tcBorders>
            <w:vAlign w:val="center"/>
          </w:tcPr>
          <w:p>
            <w:pPr>
              <w:rPr>
                <w:sz w:val="20"/>
                <w:szCs w:val="20"/>
              </w:rPr>
            </w:pPr>
            <w:r>
              <w:rPr>
                <w:rFonts w:hint="eastAsia"/>
              </w:rPr>
              <w:t>≥1次</w:t>
            </w:r>
          </w:p>
        </w:tc>
        <w:tc>
          <w:tcPr>
            <w:tcW w:w="805" w:type="dxa"/>
            <w:tcBorders>
              <w:top w:val="nil"/>
              <w:left w:val="nil"/>
              <w:bottom w:val="single" w:color="auto" w:sz="4" w:space="0"/>
              <w:right w:val="single" w:color="auto" w:sz="4" w:space="0"/>
            </w:tcBorders>
            <w:vAlign w:val="center"/>
          </w:tcPr>
          <w:p>
            <w:pPr>
              <w:rPr>
                <w:sz w:val="20"/>
                <w:szCs w:val="20"/>
              </w:rPr>
            </w:pPr>
            <w:r>
              <w:rPr>
                <w:rFonts w:hint="eastAsia"/>
              </w:rPr>
              <w:t>≥1次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sz w:val="20"/>
                <w:szCs w:val="20"/>
              </w:rPr>
            </w:pPr>
            <w:r>
              <w:rPr>
                <w:rFonts w:hint="eastAsia"/>
                <w:sz w:val="20"/>
                <w:szCs w:val="20"/>
              </w:rPr>
              <w:t>召开两纲专题会议次数</w:t>
            </w:r>
          </w:p>
        </w:tc>
        <w:tc>
          <w:tcPr>
            <w:tcW w:w="623" w:type="dxa"/>
            <w:tcBorders>
              <w:top w:val="nil"/>
              <w:left w:val="nil"/>
              <w:bottom w:val="single" w:color="auto" w:sz="4" w:space="0"/>
              <w:right w:val="single" w:color="auto" w:sz="4" w:space="0"/>
            </w:tcBorders>
            <w:vAlign w:val="center"/>
          </w:tcPr>
          <w:p>
            <w:pPr>
              <w:rPr>
                <w:sz w:val="20"/>
                <w:szCs w:val="20"/>
              </w:rPr>
            </w:pPr>
            <w:r>
              <w:rPr>
                <w:rFonts w:hint="eastAsia"/>
              </w:rPr>
              <w:t>≥1次</w:t>
            </w:r>
          </w:p>
        </w:tc>
        <w:tc>
          <w:tcPr>
            <w:tcW w:w="641" w:type="dxa"/>
            <w:tcBorders>
              <w:top w:val="nil"/>
              <w:left w:val="nil"/>
              <w:bottom w:val="single" w:color="auto" w:sz="4" w:space="0"/>
              <w:right w:val="single" w:color="auto" w:sz="4" w:space="0"/>
            </w:tcBorders>
            <w:vAlign w:val="center"/>
          </w:tcPr>
          <w:p>
            <w:pPr>
              <w:rPr>
                <w:sz w:val="20"/>
                <w:szCs w:val="20"/>
              </w:rPr>
            </w:pPr>
            <w:r>
              <w:rPr>
                <w:rFonts w:hint="eastAsia"/>
              </w:rPr>
              <w:t>≥1次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开展六一节和三八节活动</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rPr>
              <w:t>≥2次</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效</w:t>
            </w:r>
          </w:p>
          <w:p>
            <w:pPr>
              <w:jc w:val="center"/>
              <w:rPr>
                <w:sz w:val="20"/>
                <w:szCs w:val="20"/>
              </w:rPr>
            </w:pPr>
            <w:r>
              <w:rPr>
                <w:rFonts w:hint="eastAsia"/>
                <w:sz w:val="20"/>
                <w:szCs w:val="20"/>
              </w:rPr>
              <w:t>益</w:t>
            </w:r>
          </w:p>
          <w:p>
            <w:pPr>
              <w:jc w:val="center"/>
              <w:rPr>
                <w:sz w:val="20"/>
                <w:szCs w:val="20"/>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经济效益指标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经济效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社会效益指标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社会效</w:t>
            </w:r>
          </w:p>
          <w:p>
            <w:pPr>
              <w:jc w:val="center"/>
              <w:rPr>
                <w:rFonts w:ascii="宋体" w:hAnsi="宋体" w:cs="宋体"/>
                <w:sz w:val="20"/>
                <w:szCs w:val="20"/>
              </w:rPr>
            </w:pPr>
            <w:r>
              <w:rPr>
                <w:rFonts w:hint="eastAsia"/>
                <w:sz w:val="20"/>
                <w:szCs w:val="20"/>
              </w:rPr>
              <w:t>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生态效益指标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可持续影响</w:t>
            </w:r>
          </w:p>
          <w:p>
            <w:pPr>
              <w:jc w:val="center"/>
              <w:rPr>
                <w:rFonts w:ascii="宋体" w:hAnsi="宋体" w:cs="宋体"/>
                <w:sz w:val="20"/>
                <w:szCs w:val="20"/>
              </w:rPr>
            </w:pPr>
            <w:r>
              <w:rPr>
                <w:rFonts w:hint="eastAsia"/>
                <w:sz w:val="20"/>
                <w:szCs w:val="20"/>
              </w:rPr>
              <w:t>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cs="宋体"/>
                <w:sz w:val="20"/>
                <w:szCs w:val="20"/>
              </w:rPr>
            </w:pPr>
            <w:r>
              <w:rPr>
                <w:rFonts w:hint="eastAsia"/>
                <w:sz w:val="20"/>
                <w:szCs w:val="20"/>
              </w:rPr>
              <w:t>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满意度指标</w:t>
            </w:r>
          </w:p>
        </w:tc>
        <w:tc>
          <w:tcPr>
            <w:tcW w:w="72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szCs w:val="20"/>
              </w:rPr>
            </w:pPr>
            <w:r>
              <w:rPr>
                <w:rFonts w:hint="eastAsia"/>
                <w:sz w:val="20"/>
                <w:szCs w:val="20"/>
              </w:rPr>
              <w:t>服务对象满意度指标</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restart"/>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cs="宋体"/>
                <w:sz w:val="20"/>
                <w:szCs w:val="20"/>
              </w:rPr>
            </w:pPr>
            <w:r>
              <w:rPr>
                <w:rFonts w:hint="eastAsia"/>
                <w:sz w:val="20"/>
                <w:szCs w:val="20"/>
              </w:rPr>
              <w:t>度指标</w:t>
            </w: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149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rPr>
                <w:rFonts w:ascii="宋体" w:hAnsi="宋体" w:cs="宋体"/>
                <w:sz w:val="20"/>
                <w:szCs w:val="20"/>
              </w:rPr>
            </w:pPr>
          </w:p>
        </w:tc>
        <w:tc>
          <w:tcPr>
            <w:tcW w:w="723"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2059"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4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80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798"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w:t>
            </w:r>
          </w:p>
        </w:tc>
        <w:tc>
          <w:tcPr>
            <w:tcW w:w="1494" w:type="dxa"/>
            <w:tcBorders>
              <w:top w:val="nil"/>
              <w:left w:val="nil"/>
              <w:bottom w:val="single" w:color="auto" w:sz="4" w:space="0"/>
              <w:right w:val="nil"/>
            </w:tcBorders>
            <w:vAlign w:val="center"/>
          </w:tcPr>
          <w:p>
            <w:pPr>
              <w:rPr>
                <w:rFonts w:ascii="宋体" w:hAnsi="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bl>
    <w:p>
      <w:pPr>
        <w:adjustRightInd w:val="0"/>
        <w:snapToGrid w:val="0"/>
        <w:spacing w:line="600" w:lineRule="exact"/>
        <w:ind w:firstLine="640" w:firstLineChars="200"/>
        <w:rPr>
          <w:rFonts w:ascii="仿宋_GB2312" w:hAnsi="仿宋" w:eastAsia="仿宋_GB2312"/>
          <w:sz w:val="32"/>
          <w:szCs w:val="32"/>
        </w:rPr>
      </w:pPr>
    </w:p>
    <w:p>
      <w:pPr>
        <w:topLinePunct/>
        <w:adjustRightInd w:val="0"/>
        <w:snapToGrid w:val="0"/>
        <w:spacing w:line="560" w:lineRule="exact"/>
        <w:ind w:firstLine="643" w:firstLineChars="200"/>
        <w:rPr>
          <w:rFonts w:ascii="仿宋_GB2312" w:hAnsi="TimesNewRoman" w:eastAsia="仿宋_GB2312" w:cs="TimesNewRoman"/>
          <w:b/>
          <w:sz w:val="32"/>
          <w:szCs w:val="32"/>
        </w:rPr>
      </w:pPr>
      <w:r>
        <w:rPr>
          <w:rFonts w:hint="eastAsia" w:ascii="仿宋_GB2312" w:hAnsi="TimesNewRoman" w:eastAsia="仿宋_GB2312" w:cs="TimesNewRoman"/>
          <w:b/>
          <w:sz w:val="32"/>
          <w:szCs w:val="32"/>
        </w:rPr>
        <w:t>（二）机关运行经费。</w:t>
      </w:r>
    </w:p>
    <w:p>
      <w:pPr>
        <w:topLinePunct/>
        <w:adjustRightInd w:val="0"/>
        <w:snapToGrid w:val="0"/>
        <w:spacing w:line="560" w:lineRule="exact"/>
        <w:ind w:firstLine="640" w:firstLineChars="200"/>
        <w:rPr>
          <w:rFonts w:ascii="仿宋_GB2312" w:hAnsi="TimesNewRoman" w:eastAsia="仿宋_GB2312" w:cs="TimesNewRoman"/>
          <w:b/>
          <w:sz w:val="32"/>
          <w:szCs w:val="32"/>
        </w:rPr>
      </w:pPr>
      <w:r>
        <w:rPr>
          <w:rFonts w:hint="eastAsia" w:ascii="仿宋_GB2312" w:hAnsi="TimesNewRoman" w:eastAsia="仿宋_GB2312" w:cs="TimesNewRoman"/>
          <w:sz w:val="32"/>
          <w:szCs w:val="32"/>
        </w:rPr>
        <w:t>【如本部门（单位）为行政单位或参照公务员法管理的事业单位说明如下】</w:t>
      </w:r>
    </w:p>
    <w:p>
      <w:pPr>
        <w:topLinePunct/>
        <w:adjustRightInd w:val="0"/>
        <w:snapToGrid w:val="0"/>
        <w:spacing w:line="56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寿县妇女联合会2024年机关运行经费财政拨款预算10.92万元，比2023年预算减少2.22万元，下降20.33%，下降主要原因是压缩开支。</w:t>
      </w:r>
    </w:p>
    <w:p>
      <w:pPr>
        <w:topLinePunct/>
        <w:adjustRightInd w:val="0"/>
        <w:snapToGrid w:val="0"/>
        <w:spacing w:line="560" w:lineRule="exact"/>
        <w:ind w:firstLine="643" w:firstLineChars="200"/>
        <w:rPr>
          <w:rFonts w:ascii="仿宋_GB2312" w:hAnsi="TimesNewRoman" w:eastAsia="仿宋_GB2312" w:cs="TimesNewRoman"/>
          <w:b/>
          <w:sz w:val="32"/>
          <w:szCs w:val="32"/>
        </w:rPr>
      </w:pPr>
      <w:r>
        <w:rPr>
          <w:rFonts w:hint="eastAsia" w:ascii="仿宋_GB2312" w:hAnsi="TimesNewRoman" w:eastAsia="仿宋_GB2312" w:cs="TimesNewRoman"/>
          <w:b/>
          <w:sz w:val="32"/>
          <w:szCs w:val="32"/>
        </w:rPr>
        <w:t>（三）政府采购情况。</w:t>
      </w:r>
    </w:p>
    <w:p>
      <w:pPr>
        <w:topLinePunct/>
        <w:adjustRightInd w:val="0"/>
        <w:snapToGrid w:val="0"/>
        <w:spacing w:line="56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寿县妇女联合会2024年政府采购预算0万元。其中：政府采购货物预算0万元，政府采购工程预算0万元，政府采购服务预算0万元。</w:t>
      </w:r>
    </w:p>
    <w:p>
      <w:pPr>
        <w:topLinePunct/>
        <w:adjustRightInd w:val="0"/>
        <w:snapToGrid w:val="0"/>
        <w:spacing w:line="560" w:lineRule="exact"/>
        <w:ind w:firstLine="643" w:firstLineChars="200"/>
        <w:rPr>
          <w:rFonts w:ascii="仿宋_GB2312" w:hAnsi="TimesNewRoman" w:eastAsia="仿宋_GB2312" w:cs="TimesNewRoman"/>
          <w:b/>
          <w:sz w:val="32"/>
          <w:szCs w:val="32"/>
        </w:rPr>
      </w:pPr>
      <w:r>
        <w:rPr>
          <w:rFonts w:hint="eastAsia" w:ascii="仿宋_GB2312" w:hAnsi="TimesNewRoman" w:eastAsia="仿宋_GB2312" w:cs="TimesNewRoman"/>
          <w:b/>
          <w:sz w:val="32"/>
          <w:szCs w:val="32"/>
        </w:rPr>
        <w:t>（四）国有资产占有使用情况。</w:t>
      </w:r>
    </w:p>
    <w:p>
      <w:pPr>
        <w:topLinePunct/>
        <w:adjustRightInd w:val="0"/>
        <w:snapToGrid w:val="0"/>
        <w:spacing w:line="56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截至2023年12月31日，寿县妇女联合会共有车辆0辆，单价50万元以上的通用设备0台（套），单价100万元以上的专用设备0台（套）。</w:t>
      </w:r>
    </w:p>
    <w:p>
      <w:pPr>
        <w:topLinePunct/>
        <w:adjustRightInd w:val="0"/>
        <w:snapToGrid w:val="0"/>
        <w:spacing w:line="560" w:lineRule="exact"/>
        <w:ind w:firstLine="640" w:firstLineChars="200"/>
        <w:rPr>
          <w:rFonts w:ascii="仿宋_GB2312" w:hAnsi="TimesNewRoman" w:eastAsia="仿宋_GB2312" w:cs="TimesNewRoman"/>
          <w:sz w:val="32"/>
          <w:szCs w:val="32"/>
        </w:rPr>
      </w:pPr>
      <w:r>
        <w:rPr>
          <w:rFonts w:hint="eastAsia" w:ascii="仿宋_GB2312" w:hAnsi="TimesNewRoman" w:eastAsia="仿宋_GB2312" w:cs="TimesNewRoman"/>
          <w:sz w:val="32"/>
          <w:szCs w:val="32"/>
        </w:rPr>
        <w:t>2024年部门预算安排购置公务用车0辆，购置费0万元，安排购置单价50万元以上的通用设备0台（套），购置费0万元；安排购置单价100万元以上专用设备0台（套），购置费0万元。</w:t>
      </w:r>
    </w:p>
    <w:p>
      <w:pPr>
        <w:topLinePunct/>
        <w:adjustRightInd w:val="0"/>
        <w:snapToGrid w:val="0"/>
        <w:spacing w:line="560" w:lineRule="exact"/>
        <w:ind w:firstLine="643" w:firstLineChars="200"/>
        <w:rPr>
          <w:rFonts w:ascii="仿宋_GB2312" w:hAnsi="TimesNewRoman" w:eastAsia="仿宋_GB2312" w:cs="TimesNewRoman"/>
          <w:b/>
          <w:sz w:val="32"/>
          <w:szCs w:val="32"/>
        </w:rPr>
      </w:pPr>
      <w:r>
        <w:rPr>
          <w:rFonts w:hint="eastAsia" w:ascii="仿宋_GB2312" w:hAnsi="TimesNewRoman" w:eastAsia="仿宋_GB2312" w:cs="TimesNewRoman"/>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TimesNewRoman" w:eastAsia="仿宋_GB2312" w:cs="TimesNewRoman"/>
          <w:sz w:val="32"/>
          <w:szCs w:val="32"/>
        </w:rPr>
        <w:t>2024年，</w:t>
      </w:r>
      <w:r>
        <w:rPr>
          <w:rFonts w:hint="eastAsia" w:ascii="仿宋_GB2312" w:hAnsi="仿宋" w:eastAsia="仿宋_GB2312"/>
          <w:sz w:val="32"/>
          <w:szCs w:val="32"/>
        </w:rPr>
        <w:t>寿县妇女联合会无项目实行了绩效目标管理。</w:t>
      </w:r>
    </w:p>
    <w:p>
      <w:pPr>
        <w:topLinePunct/>
        <w:adjustRightInd w:val="0"/>
        <w:snapToGrid w:val="0"/>
        <w:spacing w:line="560" w:lineRule="exact"/>
        <w:rPr>
          <w:rFonts w:ascii="TimesNewRoman" w:hAnsi="TimesNewRoman" w:eastAsia="黑体" w:cs="TimesNewRoman"/>
          <w:sz w:val="36"/>
          <w:szCs w:val="36"/>
        </w:rPr>
      </w:pPr>
    </w:p>
    <w:p>
      <w:pPr>
        <w:topLinePunct/>
        <w:adjustRightInd w:val="0"/>
        <w:snapToGrid w:val="0"/>
        <w:spacing w:line="560" w:lineRule="exact"/>
        <w:jc w:val="center"/>
        <w:rPr>
          <w:rFonts w:ascii="TimesNewRoman" w:hAnsi="TimesNewRoman" w:eastAsia="黑体" w:cs="TimesNewRoman"/>
          <w:sz w:val="36"/>
          <w:szCs w:val="36"/>
        </w:rPr>
      </w:pPr>
      <w:r>
        <w:rPr>
          <w:rFonts w:ascii="TimesNewRoman" w:hAnsi="TimesNewRoman" w:eastAsia="黑体" w:cs="TimesNewRoman"/>
          <w:sz w:val="36"/>
          <w:szCs w:val="36"/>
        </w:rPr>
        <w:t>第四部分 名词解释</w:t>
      </w:r>
    </w:p>
    <w:p>
      <w:pPr>
        <w:topLinePunct/>
        <w:adjustRightInd w:val="0"/>
        <w:snapToGrid w:val="0"/>
        <w:spacing w:line="560" w:lineRule="exact"/>
        <w:rPr>
          <w:rFonts w:ascii="TimesNewRoman" w:hAnsi="TimesNewRoman" w:eastAsia="黑体" w:cs="TimesNewRoman"/>
          <w:szCs w:val="32"/>
        </w:rPr>
      </w:pPr>
    </w:p>
    <w:p>
      <w:pPr>
        <w:topLinePunct/>
        <w:adjustRightInd w:val="0"/>
        <w:snapToGrid w:val="0"/>
        <w:spacing w:line="560" w:lineRule="exact"/>
        <w:ind w:firstLine="640" w:firstLineChars="200"/>
        <w:rPr>
          <w:rFonts w:ascii="仿宋_GB2312" w:hAnsi="仿宋" w:eastAsia="仿宋_GB2312"/>
          <w:sz w:val="32"/>
          <w:szCs w:val="32"/>
        </w:rPr>
      </w:pPr>
      <w:r>
        <w:rPr>
          <w:rFonts w:hint="eastAsia" w:ascii="楷体_GB2312" w:hAnsi="TimesNewRoman" w:eastAsia="楷体_GB2312" w:cs="TimesNewRoman"/>
          <w:sz w:val="32"/>
          <w:szCs w:val="32"/>
        </w:rPr>
        <w:t>一、财政拨款收入</w:t>
      </w:r>
      <w:r>
        <w:rPr>
          <w:rFonts w:hint="eastAsia" w:ascii="楷体_GB2312" w:hAnsi="TimesNewRoman" w:eastAsia="楷体_GB2312" w:cs="TimesNewRoman"/>
          <w:b/>
          <w:sz w:val="32"/>
          <w:szCs w:val="32"/>
        </w:rPr>
        <w:t>：</w:t>
      </w:r>
      <w:r>
        <w:rPr>
          <w:rFonts w:ascii="仿宋_GB2312" w:hAnsi="仿宋" w:eastAsia="仿宋_GB2312"/>
          <w:sz w:val="32"/>
          <w:szCs w:val="32"/>
        </w:rPr>
        <w:t>指部门或单位从同级财政部门取得的财政预算资金。</w:t>
      </w:r>
    </w:p>
    <w:p>
      <w:pPr>
        <w:pStyle w:val="5"/>
        <w:topLinePunct/>
        <w:adjustRightInd w:val="0"/>
        <w:snapToGrid w:val="0"/>
        <w:spacing w:beforeAutospacing="0" w:afterAutospacing="0" w:line="560" w:lineRule="exact"/>
        <w:ind w:firstLine="627" w:firstLineChars="196"/>
        <w:jc w:val="both"/>
        <w:rPr>
          <w:rFonts w:ascii="TimesNewRoman" w:hAnsi="TimesNewRoman" w:eastAsia="黑体" w:cs="TimesNewRoman"/>
          <w:sz w:val="32"/>
          <w:szCs w:val="32"/>
        </w:rPr>
      </w:pPr>
      <w:r>
        <w:rPr>
          <w:rFonts w:ascii="楷体_GB2312" w:hAnsi="TimesNewRoman" w:eastAsia="楷体_GB2312" w:cs="TimesNewRoman"/>
          <w:kern w:val="2"/>
          <w:sz w:val="32"/>
          <w:szCs w:val="32"/>
        </w:rPr>
        <w:t>二、事业收入：</w:t>
      </w:r>
      <w:r>
        <w:rPr>
          <w:rFonts w:ascii="TimesNewRoman" w:hAnsi="TimesNewRoman" w:eastAsia="仿宋_GB2312" w:cs="TimesNewRoman"/>
          <w:sz w:val="32"/>
          <w:szCs w:val="32"/>
        </w:rPr>
        <w:t>指事业单位开展专业业务活动及辅助活动所取得的收入。</w:t>
      </w:r>
    </w:p>
    <w:p>
      <w:pPr>
        <w:pStyle w:val="5"/>
        <w:topLinePunct/>
        <w:adjustRightInd w:val="0"/>
        <w:snapToGrid w:val="0"/>
        <w:spacing w:beforeAutospacing="0" w:afterAutospacing="0" w:line="560" w:lineRule="exact"/>
        <w:ind w:firstLine="627" w:firstLineChars="196"/>
        <w:jc w:val="both"/>
        <w:rPr>
          <w:rFonts w:ascii="TimesNewRoman" w:hAnsi="TimesNewRoman" w:eastAsia="仿宋_GB2312" w:cs="TimesNewRoman"/>
          <w:sz w:val="32"/>
          <w:szCs w:val="32"/>
        </w:rPr>
      </w:pPr>
      <w:r>
        <w:rPr>
          <w:rFonts w:ascii="楷体_GB2312" w:hAnsi="TimesNewRoman" w:eastAsia="楷体_GB2312" w:cs="TimesNewRoman"/>
          <w:kern w:val="2"/>
          <w:sz w:val="32"/>
          <w:szCs w:val="32"/>
        </w:rPr>
        <w:t>三、财政专户管理资金：</w:t>
      </w:r>
      <w:r>
        <w:rPr>
          <w:rFonts w:ascii="TimesNewRoman" w:hAnsi="TimesNewRoman" w:eastAsia="仿宋_GB2312" w:cs="TimesNewRoman"/>
          <w:sz w:val="32"/>
          <w:szCs w:val="32"/>
        </w:rPr>
        <w:t>指按照非税收入管理相关规定，纳入财政专户管理的教育收费等。</w:t>
      </w:r>
    </w:p>
    <w:p>
      <w:pPr>
        <w:pStyle w:val="5"/>
        <w:topLinePunct/>
        <w:adjustRightInd w:val="0"/>
        <w:snapToGrid w:val="0"/>
        <w:spacing w:beforeAutospacing="0" w:afterAutospacing="0" w:line="560" w:lineRule="exact"/>
        <w:ind w:firstLine="627" w:firstLineChars="196"/>
        <w:jc w:val="both"/>
        <w:rPr>
          <w:rFonts w:ascii="TimesNewRoman" w:hAnsi="TimesNewRoman" w:eastAsia="仿宋_GB2312" w:cs="TimesNewRoman"/>
          <w:sz w:val="32"/>
          <w:szCs w:val="32"/>
        </w:rPr>
      </w:pPr>
      <w:r>
        <w:rPr>
          <w:rFonts w:ascii="楷体_GB2312" w:hAnsi="TimesNewRoman" w:eastAsia="楷体_GB2312" w:cs="TimesNewRoman"/>
          <w:kern w:val="2"/>
          <w:sz w:val="32"/>
          <w:szCs w:val="32"/>
        </w:rPr>
        <w:t>四、事业单位经营收入：</w:t>
      </w:r>
      <w:r>
        <w:rPr>
          <w:rFonts w:ascii="TimesNewRoman" w:hAnsi="TimesNewRoman" w:eastAsia="仿宋_GB2312" w:cs="TimesNewRoman"/>
          <w:sz w:val="32"/>
          <w:szCs w:val="32"/>
        </w:rPr>
        <w:t>指事业单位在专业业务活动及其辅助活动之外开展非独立核算经营活动取得的收入。</w:t>
      </w:r>
    </w:p>
    <w:p>
      <w:pPr>
        <w:pStyle w:val="5"/>
        <w:topLinePunct/>
        <w:adjustRightInd w:val="0"/>
        <w:snapToGrid w:val="0"/>
        <w:spacing w:beforeAutospacing="0" w:afterAutospacing="0" w:line="560" w:lineRule="exact"/>
        <w:ind w:firstLine="627" w:firstLineChars="196"/>
        <w:jc w:val="both"/>
        <w:rPr>
          <w:rFonts w:ascii="TimesNewRoman" w:hAnsi="TimesNewRoman" w:eastAsia="仿宋_GB2312" w:cs="TimesNewRoman"/>
          <w:sz w:val="32"/>
          <w:szCs w:val="32"/>
        </w:rPr>
      </w:pPr>
      <w:r>
        <w:rPr>
          <w:rFonts w:ascii="楷体_GB2312" w:hAnsi="TimesNewRoman" w:eastAsia="楷体_GB2312" w:cs="TimesNewRoman"/>
          <w:kern w:val="2"/>
          <w:sz w:val="32"/>
          <w:szCs w:val="32"/>
        </w:rPr>
        <w:t>五、附属单位上缴收入：</w:t>
      </w:r>
      <w:r>
        <w:rPr>
          <w:rFonts w:ascii="TimesNewRoman" w:hAnsi="TimesNewRoman" w:eastAsia="仿宋_GB2312" w:cs="TimesNewRoman"/>
          <w:sz w:val="32"/>
          <w:szCs w:val="32"/>
        </w:rPr>
        <w:t>本单位所属下级单位上缴给本单位的全部收入。</w:t>
      </w:r>
    </w:p>
    <w:p>
      <w:pPr>
        <w:pStyle w:val="5"/>
        <w:topLinePunct/>
        <w:adjustRightInd w:val="0"/>
        <w:snapToGrid w:val="0"/>
        <w:spacing w:beforeAutospacing="0" w:afterAutospacing="0" w:line="560" w:lineRule="exact"/>
        <w:ind w:firstLine="627" w:firstLineChars="196"/>
        <w:jc w:val="both"/>
        <w:rPr>
          <w:rFonts w:ascii="TimesNewRoman" w:hAnsi="TimesNewRoman" w:eastAsia="仿宋_GB2312" w:cs="TimesNewRoman"/>
          <w:sz w:val="32"/>
          <w:szCs w:val="32"/>
        </w:rPr>
      </w:pPr>
      <w:r>
        <w:rPr>
          <w:rFonts w:ascii="楷体_GB2312" w:hAnsi="TimesNewRoman" w:eastAsia="楷体_GB2312" w:cs="TimesNewRoman"/>
          <w:kern w:val="2"/>
          <w:sz w:val="32"/>
          <w:szCs w:val="32"/>
        </w:rPr>
        <w:t>六、上年结转：</w:t>
      </w:r>
      <w:r>
        <w:rPr>
          <w:rFonts w:ascii="TimesNewRoman" w:hAnsi="TimesNewRoman" w:eastAsia="仿宋_GB2312" w:cs="TimesNewRoman"/>
          <w:sz w:val="32"/>
          <w:szCs w:val="32"/>
        </w:rPr>
        <w:t>指以前年度安排、结转到本年仍按原用途继续使用的资金。</w:t>
      </w:r>
    </w:p>
    <w:p>
      <w:pPr>
        <w:pStyle w:val="5"/>
        <w:topLinePunct/>
        <w:adjustRightInd w:val="0"/>
        <w:snapToGrid w:val="0"/>
        <w:spacing w:beforeAutospacing="0" w:afterAutospacing="0" w:line="560" w:lineRule="exact"/>
        <w:ind w:firstLine="627" w:firstLineChars="196"/>
        <w:jc w:val="both"/>
        <w:rPr>
          <w:rFonts w:ascii="TimesNewRoman" w:hAnsi="TimesNewRoman" w:eastAsia="仿宋_GB2312" w:cs="TimesNewRoman"/>
          <w:sz w:val="32"/>
          <w:szCs w:val="32"/>
        </w:rPr>
      </w:pPr>
      <w:r>
        <w:rPr>
          <w:rFonts w:ascii="楷体_GB2312" w:hAnsi="TimesNewRoman" w:eastAsia="楷体_GB2312" w:cs="TimesNewRoman"/>
          <w:kern w:val="2"/>
          <w:sz w:val="32"/>
          <w:szCs w:val="32"/>
        </w:rPr>
        <w:t>七、结转下年：</w:t>
      </w:r>
      <w:r>
        <w:rPr>
          <w:rFonts w:ascii="TimesNewRoman" w:hAnsi="TimesNewRoman" w:eastAsia="仿宋_GB2312" w:cs="TimesNewRoman"/>
          <w:sz w:val="32"/>
          <w:szCs w:val="32"/>
        </w:rPr>
        <w:t>指以前年度预算安排、因客观条件发生变化无法按原计划实施，需以后年度按原用途继续使用的资金。</w:t>
      </w:r>
    </w:p>
    <w:p>
      <w:pPr>
        <w:pStyle w:val="5"/>
        <w:topLinePunct/>
        <w:adjustRightInd w:val="0"/>
        <w:snapToGrid w:val="0"/>
        <w:spacing w:beforeAutospacing="0" w:afterAutospacing="0" w:line="560" w:lineRule="exact"/>
        <w:ind w:firstLine="627" w:firstLineChars="196"/>
        <w:jc w:val="both"/>
        <w:rPr>
          <w:rFonts w:ascii="TimesNewRoman" w:hAnsi="TimesNewRoman" w:eastAsia="仿宋_GB2312" w:cs="TimesNewRoman"/>
          <w:sz w:val="32"/>
          <w:szCs w:val="32"/>
        </w:rPr>
      </w:pPr>
      <w:r>
        <w:rPr>
          <w:rFonts w:ascii="楷体_GB2312" w:hAnsi="TimesNewRoman" w:eastAsia="楷体_GB2312" w:cs="TimesNewRoman"/>
          <w:kern w:val="2"/>
          <w:sz w:val="32"/>
          <w:szCs w:val="32"/>
        </w:rPr>
        <w:t>八、基本支出：</w:t>
      </w:r>
      <w:r>
        <w:rPr>
          <w:rFonts w:ascii="TimesNewRoman" w:hAnsi="TimesNewRoman" w:eastAsia="仿宋_GB2312" w:cs="TimesNewRoman"/>
          <w:sz w:val="32"/>
          <w:szCs w:val="32"/>
        </w:rPr>
        <w:t>指为保障机构正常运转、完成日常工作任务而发生的人员支出和公用支出。</w:t>
      </w:r>
    </w:p>
    <w:p>
      <w:pPr>
        <w:pStyle w:val="5"/>
        <w:topLinePunct/>
        <w:spacing w:beforeAutospacing="0" w:afterAutospacing="0" w:line="560" w:lineRule="exact"/>
        <w:ind w:firstLine="627" w:firstLineChars="196"/>
        <w:jc w:val="both"/>
        <w:rPr>
          <w:rFonts w:ascii="TimesNewRoman" w:hAnsi="TimesNewRoman" w:eastAsia="仿宋_GB2312" w:cs="TimesNewRoman"/>
          <w:sz w:val="32"/>
          <w:szCs w:val="32"/>
        </w:rPr>
      </w:pPr>
      <w:r>
        <w:rPr>
          <w:rFonts w:ascii="楷体_GB2312" w:hAnsi="TimesNewRoman" w:eastAsia="楷体_GB2312" w:cs="TimesNewRoman"/>
          <w:kern w:val="2"/>
          <w:sz w:val="32"/>
          <w:szCs w:val="32"/>
        </w:rPr>
        <w:t>九、项目支出：</w:t>
      </w:r>
      <w:r>
        <w:rPr>
          <w:rFonts w:ascii="TimesNewRoman" w:hAnsi="TimesNewRoman" w:eastAsia="仿宋_GB2312" w:cs="TimesNewRoman"/>
          <w:sz w:val="32"/>
          <w:szCs w:val="32"/>
        </w:rPr>
        <w:t>指在除基本支出之外的支出，主要用于完成特定的工作任务和事业发展目标。</w:t>
      </w:r>
      <w:r>
        <w:rPr>
          <w:rFonts w:ascii="TimesNewRoman" w:hAnsi="TimesNewRoman" w:eastAsia="仿宋_GB2312" w:cs="TimesNewRoman"/>
          <w:sz w:val="32"/>
          <w:szCs w:val="32"/>
        </w:rPr>
        <w:br w:type="textWrapping"/>
      </w:r>
      <w:r>
        <w:rPr>
          <w:rFonts w:ascii="楷体_GB2312" w:hAnsi="TimesNewRoman" w:eastAsia="楷体_GB2312" w:cs="TimesNewRoman"/>
          <w:kern w:val="2"/>
          <w:sz w:val="32"/>
          <w:szCs w:val="32"/>
        </w:rPr>
        <w:t xml:space="preserve">    十、机关运行经费:</w:t>
      </w:r>
      <w:r>
        <w:rPr>
          <w:rFonts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5"/>
        <w:spacing w:beforeAutospacing="0" w:afterAutospacing="0" w:line="600" w:lineRule="exact"/>
        <w:ind w:firstLine="480" w:firstLineChars="150"/>
        <w:jc w:val="both"/>
        <w:rPr>
          <w:rFonts w:ascii="仿宋_GB2312" w:hAnsi="仿宋" w:eastAsia="仿宋_GB2312"/>
          <w:kern w:val="2"/>
          <w:sz w:val="32"/>
          <w:szCs w:val="32"/>
        </w:rPr>
      </w:pPr>
      <w:r>
        <w:rPr>
          <w:rFonts w:hint="eastAsia" w:ascii="仿宋_GB2312" w:hAnsi="Times New Roman" w:eastAsia="仿宋_GB2312"/>
          <w:kern w:val="2"/>
          <w:sz w:val="32"/>
          <w:szCs w:val="32"/>
        </w:rPr>
        <w:t>附表：</w:t>
      </w:r>
      <w:r>
        <w:rPr>
          <w:rFonts w:hint="eastAsia" w:ascii="仿宋_GB2312" w:hAnsi="仿宋" w:eastAsia="仿宋_GB2312"/>
          <w:bCs/>
          <w:color w:val="000000"/>
          <w:sz w:val="32"/>
          <w:szCs w:val="32"/>
        </w:rPr>
        <w:t>寿县妇女联合会</w:t>
      </w:r>
      <w:r>
        <w:rPr>
          <w:rFonts w:hint="eastAsia" w:ascii="仿宋_GB2312" w:hAnsi="仿宋" w:eastAsia="仿宋_GB2312"/>
          <w:bCs/>
          <w:sz w:val="32"/>
          <w:szCs w:val="32"/>
        </w:rPr>
        <w:t>2024年部门预算表</w:t>
      </w:r>
    </w:p>
    <w:p>
      <w:pPr>
        <w:pStyle w:val="5"/>
        <w:adjustRightInd w:val="0"/>
        <w:snapToGrid w:val="0"/>
        <w:spacing w:beforeAutospacing="0" w:afterAutospacing="0" w:line="600" w:lineRule="exact"/>
        <w:ind w:firstLine="640" w:firstLineChars="200"/>
        <w:rPr>
          <w:rFonts w:ascii="黑体" w:hAnsi="仿宋" w:eastAsia="黑体"/>
          <w:kern w:val="2"/>
          <w:sz w:val="32"/>
          <w:szCs w:val="32"/>
        </w:rPr>
      </w:pPr>
    </w:p>
    <w:p>
      <w:pPr>
        <w:pStyle w:val="5"/>
        <w:topLinePunct/>
        <w:spacing w:beforeAutospacing="0" w:afterAutospacing="0" w:line="560" w:lineRule="exact"/>
        <w:ind w:firstLine="480" w:firstLineChars="150"/>
        <w:jc w:val="both"/>
        <w:rPr>
          <w:rStyle w:val="9"/>
          <w:rFonts w:ascii="TimesNewRoman" w:hAnsi="TimesNewRoman" w:eastAsia="楷体_GB2312" w:cs="TimesNewRoman"/>
          <w:b w:val="0"/>
          <w:sz w:val="32"/>
          <w:szCs w:val="32"/>
        </w:rPr>
      </w:pPr>
    </w:p>
    <w:p/>
    <w:sectPr>
      <w:footerReference r:id="rId5" w:type="default"/>
      <w:type w:val="oddPage"/>
      <w:pgSz w:w="11907" w:h="16840"/>
      <w:pgMar w:top="2098" w:right="1474" w:bottom="1985" w:left="1588" w:header="851" w:footer="102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TimesNewRoman">
    <w:altName w:val="Segoe Print"/>
    <w:panose1 w:val="00000000000000000000"/>
    <w:charset w:val="00"/>
    <w:family w:val="auto"/>
    <w:pitch w:val="default"/>
    <w:sig w:usb0="00000000" w:usb1="00000000" w:usb2="00000029" w:usb3="00000000" w:csb0="6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r>
      <w:rPr>
        <w:rFonts w:hint="eastAsia"/>
        <w:sz w:val="24"/>
        <w:szCs w:val="24"/>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firstLineChars="200"/>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r>
      <w:rPr>
        <w:rFonts w:hint="eastAsia"/>
        <w:sz w:val="24"/>
        <w:szCs w:val="24"/>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03E5"/>
    <w:multiLevelType w:val="multilevel"/>
    <w:tmpl w:val="364403E5"/>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xMzU0MGNiODRkZjMxOTk4NmUxY2Y0OWNmZjRjMmQifQ=="/>
  </w:docVars>
  <w:rsids>
    <w:rsidRoot w:val="34C97AC9"/>
    <w:rsid w:val="00010CB7"/>
    <w:rsid w:val="00031CC9"/>
    <w:rsid w:val="00032092"/>
    <w:rsid w:val="00032BE4"/>
    <w:rsid w:val="0003483A"/>
    <w:rsid w:val="00035E04"/>
    <w:rsid w:val="00081934"/>
    <w:rsid w:val="0015753A"/>
    <w:rsid w:val="001608EA"/>
    <w:rsid w:val="00163C9C"/>
    <w:rsid w:val="001738E8"/>
    <w:rsid w:val="00236669"/>
    <w:rsid w:val="0026794A"/>
    <w:rsid w:val="002C12FF"/>
    <w:rsid w:val="003E3A26"/>
    <w:rsid w:val="00686B07"/>
    <w:rsid w:val="007F694B"/>
    <w:rsid w:val="008A5B61"/>
    <w:rsid w:val="008C5ACF"/>
    <w:rsid w:val="0093471D"/>
    <w:rsid w:val="00A97FE4"/>
    <w:rsid w:val="00AC545B"/>
    <w:rsid w:val="00B57F63"/>
    <w:rsid w:val="00B75DE4"/>
    <w:rsid w:val="00B917C9"/>
    <w:rsid w:val="00C16E2E"/>
    <w:rsid w:val="00C72BC0"/>
    <w:rsid w:val="00DB6C1C"/>
    <w:rsid w:val="00DC28A1"/>
    <w:rsid w:val="00E235E4"/>
    <w:rsid w:val="03AA4B3E"/>
    <w:rsid w:val="34C97A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Theme="minorEastAsia" w:cstheme="minorBidi"/>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bCs/>
    </w:rPr>
  </w:style>
  <w:style w:type="character" w:customStyle="1" w:styleId="10">
    <w:name w:val="页眉 Char"/>
    <w:basedOn w:val="8"/>
    <w:link w:val="4"/>
    <w:uiPriority w:val="0"/>
    <w:rPr>
      <w:rFonts w:ascii="Times New Roman" w:hAnsi="Times New Roman" w:eastAsia="宋体" w:cs="Times New Roman"/>
      <w:kern w:val="2"/>
      <w:sz w:val="18"/>
      <w:szCs w:val="18"/>
    </w:rPr>
  </w:style>
  <w:style w:type="character" w:customStyle="1" w:styleId="11">
    <w:name w:val="纯文本 Char"/>
    <w:basedOn w:val="8"/>
    <w:link w:val="2"/>
    <w:uiPriority w:val="0"/>
    <w:rPr>
      <w:rFonts w:ascii="宋体" w:hAnsi="Courier New"/>
      <w:kern w:val="2"/>
      <w:sz w:val="21"/>
      <w:szCs w:val="24"/>
    </w:rPr>
  </w:style>
  <w:style w:type="character" w:customStyle="1" w:styleId="12">
    <w:name w:val="页脚 Char"/>
    <w:basedOn w:val="8"/>
    <w:link w:val="3"/>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1185</Words>
  <Characters>6761</Characters>
  <Lines>56</Lines>
  <Paragraphs>15</Paragraphs>
  <TotalTime>127</TotalTime>
  <ScaleCrop>false</ScaleCrop>
  <LinksUpToDate>false</LinksUpToDate>
  <CharactersWithSpaces>7931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2024-01-16T02:39:00Z</dcterms:created>
  <dc:creator>二蛋</dc:creator>
  <cp:lastModifiedBy>李海静</cp:lastModifiedBy>
  <dcterms:modified xsi:type="dcterms:W3CDTF">2024-03-25T09:27:34Z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AB12261BCF484B528A5866483B2ED966_11</vt:lpwstr>
  </property>
</Properties>
</file>