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pPr>
        <w:spacing w:line="560" w:lineRule="exact"/>
        <w:rPr>
          <w:rFonts w:ascii="TimesNewRoman" w:eastAsia="黑体" w:hAnsi="TimesNewRoman" w:cs="TimesNewRoman" w:hint="eastAsia"/>
          <w:szCs w:val="32"/>
        </w:rPr>
      </w:pPr>
    </w:p>
    <w:p>
      <w:pPr>
        <w:spacing w:line="560" w:lineRule="exact"/>
        <w:jc w:val="center"/>
        <w:rPr>
          <w:rFonts w:ascii="方正小标宋_GBK" w:eastAsia="方正小标宋_GBK" w:hAnsi="TimesNewRoman" w:cs="TimesNewRoman" w:hint="eastAsia"/>
          <w:szCs w:val="32"/>
        </w:rPr>
      </w:pPr>
    </w:p>
    <w:p>
      <w:pPr>
        <w:spacing w:line="560" w:lineRule="exact"/>
        <w:jc w:val="center"/>
        <w:rPr>
          <w:rFonts w:ascii="方正小标宋_GBK" w:eastAsia="方正小标宋_GBK" w:hAnsi="TimesNewRoman" w:cs="TimesNewRoman" w:hint="eastAsia"/>
          <w:szCs w:val="32"/>
        </w:rPr>
      </w:pPr>
    </w:p>
    <w:p>
      <w:pPr>
        <w:spacing w:line="560" w:lineRule="exact"/>
        <w:jc w:val="center"/>
        <w:rPr>
          <w:rFonts w:ascii="方正小标宋_GBK" w:eastAsia="方正小标宋_GBK" w:hAnsi="TimesNewRoman" w:cs="TimesNewRoman" w:hint="eastAsia"/>
          <w:sz w:val="44"/>
          <w:szCs w:val="44"/>
        </w:rPr>
      </w:pPr>
      <w:r>
        <w:rPr>
          <w:rFonts w:ascii="方正小标宋_GBK" w:eastAsia="方正小标宋_GBK" w:hAnsi="TimesNewRoman" w:cs="TimesNewRoman" w:hint="eastAsia"/>
          <w:sz w:val="44"/>
          <w:szCs w:val="44"/>
        </w:rPr>
        <w:t>寿县</w:t>
      </w:r>
      <w:r>
        <w:rPr>
          <w:rFonts w:ascii="方正小标宋_GBK" w:eastAsia="方正小标宋_GBK" w:hAnsi="TimesNewRoman" w:cs="TimesNewRoman" w:hint="eastAsia"/>
          <w:sz w:val="44"/>
          <w:szCs w:val="44"/>
          <w:lang w:eastAsia="zh-CN"/>
        </w:rPr>
        <w:t>应急管理局</w:t>
      </w:r>
      <w:r>
        <w:rPr>
          <w:rFonts w:ascii="方正小标宋_GBK" w:eastAsia="方正小标宋_GBK" w:hAnsi="TimesNewRoman" w:cs="TimesNewRoman" w:hint="eastAsia"/>
          <w:sz w:val="44"/>
          <w:szCs w:val="44"/>
        </w:rPr>
        <w:t>2024年</w:t>
      </w:r>
    </w:p>
    <w:p>
      <w:pPr>
        <w:spacing w:line="560" w:lineRule="exact"/>
        <w:jc w:val="center"/>
        <w:rPr>
          <w:rFonts w:ascii="方正小标宋_GBK" w:eastAsia="方正小标宋_GBK" w:hAnsi="TimesNewRoman" w:cs="TimesNewRoman" w:hint="eastAsia"/>
          <w:sz w:val="44"/>
          <w:szCs w:val="44"/>
        </w:rPr>
      </w:pPr>
      <w:r>
        <w:rPr>
          <w:rFonts w:ascii="方正小标宋_GBK" w:eastAsia="方正小标宋_GBK" w:hAnsi="TimesNewRoman" w:cs="TimesNewRoman" w:hint="eastAsia"/>
          <w:sz w:val="44"/>
          <w:szCs w:val="44"/>
        </w:rPr>
        <w:t>预算</w:t>
      </w:r>
    </w:p>
    <w:p>
      <w:pPr>
        <w:pStyle w:val="NormalWeb"/>
        <w:adjustRightInd w:val="0"/>
        <w:snapToGrid w:val="0"/>
        <w:spacing w:line="560" w:lineRule="exact"/>
        <w:jc w:val="center"/>
        <w:outlineLvl w:val="0"/>
        <w:rPr>
          <w:rFonts w:ascii="方正小标宋_GBK" w:eastAsia="方正小标宋_GBK" w:hAnsi="TimesNewRoman" w:cs="TimesNewRoman" w:hint="eastAsia"/>
          <w:sz w:val="32"/>
          <w:szCs w:val="32"/>
        </w:rPr>
      </w:pPr>
    </w:p>
    <w:p>
      <w:pPr>
        <w:pStyle w:val="NormalWeb"/>
        <w:adjustRightInd w:val="0"/>
        <w:snapToGrid w:val="0"/>
        <w:spacing w:line="560" w:lineRule="exact"/>
        <w:jc w:val="center"/>
        <w:outlineLvl w:val="0"/>
        <w:rPr>
          <w:rFonts w:ascii="TimesNewRoman" w:eastAsia="楷体_GB2312" w:hAnsi="TimesNewRoman" w:cs="TimesNewRoman"/>
          <w:sz w:val="32"/>
          <w:szCs w:val="32"/>
          <w:u w:val="single"/>
        </w:rPr>
      </w:pPr>
      <w:r>
        <w:rPr>
          <w:rFonts w:ascii="TimesNewRoman" w:eastAsia="楷体_GB2312" w:hAnsi="TimesNewRoman" w:cs="TimesNewRoman"/>
          <w:sz w:val="32"/>
          <w:szCs w:val="32"/>
        </w:rPr>
        <w:t>（</w:t>
      </w:r>
      <w:r>
        <w:rPr>
          <w:rFonts w:ascii="TimesNewRoman" w:eastAsia="楷体_GB2312" w:hAnsi="TimesNewRoman" w:cs="TimesNewRoman"/>
          <w:sz w:val="32"/>
          <w:szCs w:val="32"/>
          <w:u w:val="single"/>
        </w:rPr>
        <w:t>具体内容与本部门（单位）</w:t>
      </w:r>
      <w:r>
        <w:rPr>
          <w:rFonts w:ascii="TimesNewRoman" w:eastAsia="楷体_GB2312" w:hAnsi="TimesNewRoman" w:cs="TimesNewRoman" w:hint="eastAsia"/>
          <w:sz w:val="32"/>
          <w:szCs w:val="32"/>
          <w:u w:val="single"/>
        </w:rPr>
        <w:t>2024</w:t>
      </w:r>
      <w:r>
        <w:rPr>
          <w:rFonts w:ascii="TimesNewRoman" w:eastAsia="楷体_GB2312" w:hAnsi="TimesNewRoman" w:cs="TimesNewRoman"/>
          <w:sz w:val="32"/>
          <w:szCs w:val="32"/>
          <w:u w:val="single"/>
        </w:rPr>
        <w:t>年部门（单位）</w:t>
      </w:r>
    </w:p>
    <w:p>
      <w:pPr>
        <w:pStyle w:val="NormalWeb"/>
        <w:adjustRightInd w:val="0"/>
        <w:snapToGrid w:val="0"/>
        <w:spacing w:line="560" w:lineRule="exact"/>
        <w:jc w:val="center"/>
        <w:outlineLvl w:val="0"/>
        <w:rPr>
          <w:rFonts w:ascii="TimesNewRoman" w:eastAsia="黑体" w:hAnsi="TimesNewRoman" w:cs="TimesNewRoman"/>
          <w:bCs/>
          <w:sz w:val="36"/>
          <w:szCs w:val="36"/>
        </w:rPr>
      </w:pPr>
      <w:r>
        <w:rPr>
          <w:rFonts w:ascii="TimesNewRoman" w:eastAsia="楷体_GB2312" w:hAnsi="TimesNewRoman" w:cs="TimesNewRoman"/>
          <w:sz w:val="32"/>
          <w:szCs w:val="32"/>
          <w:u w:val="single"/>
        </w:rPr>
        <w:t>预算实际情况相衔接</w:t>
      </w:r>
      <w:r>
        <w:rPr>
          <w:rFonts w:ascii="TimesNewRoman" w:eastAsia="楷体_GB2312" w:hAnsi="TimesNewRoman" w:cs="TimesNewRoman"/>
          <w:sz w:val="32"/>
          <w:szCs w:val="32"/>
        </w:rPr>
        <w:t>）</w:t>
      </w:r>
    </w:p>
    <w:p>
      <w:pPr>
        <w:pStyle w:val="NormalWeb"/>
        <w:adjustRightInd w:val="0"/>
        <w:snapToGrid w:val="0"/>
        <w:spacing w:line="560" w:lineRule="exact"/>
        <w:jc w:val="center"/>
        <w:rPr>
          <w:rFonts w:ascii="TimesNewRoman" w:eastAsia="黑体" w:hAnsi="TimesNewRoman" w:cs="TimesNewRoman"/>
          <w:bCs/>
          <w:sz w:val="36"/>
          <w:szCs w:val="36"/>
        </w:rPr>
      </w:pPr>
    </w:p>
    <w:p>
      <w:pPr>
        <w:pStyle w:val="NormalWeb"/>
        <w:adjustRightInd w:val="0"/>
        <w:snapToGrid w:val="0"/>
        <w:spacing w:line="560" w:lineRule="exact"/>
        <w:jc w:val="center"/>
        <w:rPr>
          <w:rFonts w:ascii="TimesNewRoman" w:eastAsia="黑体" w:hAnsi="TimesNewRoman" w:cs="TimesNewRoman"/>
          <w:bCs/>
          <w:sz w:val="36"/>
          <w:szCs w:val="36"/>
        </w:rPr>
      </w:pPr>
    </w:p>
    <w:p>
      <w:pPr>
        <w:pStyle w:val="NormalWeb"/>
        <w:adjustRightInd w:val="0"/>
        <w:snapToGrid w:val="0"/>
        <w:spacing w:line="560" w:lineRule="exact"/>
        <w:jc w:val="center"/>
        <w:rPr>
          <w:rFonts w:ascii="TimesNewRoman" w:eastAsia="黑体" w:hAnsi="TimesNewRoman" w:cs="TimesNewRoman"/>
          <w:bCs/>
          <w:sz w:val="36"/>
          <w:szCs w:val="36"/>
        </w:rPr>
      </w:pPr>
    </w:p>
    <w:p>
      <w:pPr>
        <w:pStyle w:val="NormalWeb"/>
        <w:adjustRightInd w:val="0"/>
        <w:snapToGrid w:val="0"/>
        <w:spacing w:line="560" w:lineRule="exact"/>
        <w:jc w:val="center"/>
        <w:rPr>
          <w:rFonts w:ascii="TimesNewRoman" w:eastAsia="黑体" w:hAnsi="TimesNewRoman" w:cs="TimesNewRoman"/>
          <w:bCs/>
          <w:sz w:val="36"/>
          <w:szCs w:val="36"/>
        </w:rPr>
      </w:pPr>
    </w:p>
    <w:p>
      <w:pPr>
        <w:pStyle w:val="NormalWeb"/>
        <w:adjustRightInd w:val="0"/>
        <w:snapToGrid w:val="0"/>
        <w:spacing w:line="560" w:lineRule="exact"/>
        <w:jc w:val="center"/>
        <w:rPr>
          <w:rFonts w:ascii="TimesNewRoman" w:eastAsia="黑体" w:hAnsi="TimesNewRoman" w:cs="TimesNewRoman" w:hint="eastAsia"/>
          <w:bCs/>
          <w:sz w:val="36"/>
          <w:szCs w:val="36"/>
        </w:rPr>
      </w:pPr>
    </w:p>
    <w:p>
      <w:pPr>
        <w:pStyle w:val="NormalWeb"/>
        <w:adjustRightInd w:val="0"/>
        <w:snapToGrid w:val="0"/>
        <w:spacing w:line="560" w:lineRule="exact"/>
        <w:jc w:val="center"/>
        <w:rPr>
          <w:rFonts w:ascii="TimesNewRoman" w:eastAsia="黑体" w:hAnsi="TimesNewRoman" w:cs="TimesNewRoman"/>
          <w:bCs/>
          <w:sz w:val="32"/>
          <w:szCs w:val="32"/>
        </w:rPr>
      </w:pPr>
    </w:p>
    <w:p>
      <w:pPr>
        <w:pStyle w:val="NormalWeb"/>
        <w:adjustRightInd w:val="0"/>
        <w:snapToGrid w:val="0"/>
        <w:spacing w:line="560" w:lineRule="exact"/>
        <w:jc w:val="center"/>
        <w:rPr>
          <w:rFonts w:ascii="仿宋_GB2312" w:eastAsia="仿宋_GB2312" w:hAnsi="TimesNewRoman" w:cs="TimesNewRoman" w:hint="eastAsia"/>
          <w:bCs/>
          <w:sz w:val="32"/>
          <w:szCs w:val="32"/>
        </w:rPr>
      </w:pPr>
    </w:p>
    <w:p>
      <w:pPr>
        <w:pStyle w:val="NormalWeb"/>
        <w:adjustRightInd w:val="0"/>
        <w:snapToGrid w:val="0"/>
        <w:spacing w:line="560" w:lineRule="exact"/>
        <w:jc w:val="center"/>
        <w:rPr>
          <w:rFonts w:ascii="仿宋_GB2312" w:eastAsia="仿宋_GB2312" w:hAnsi="TimesNewRoman" w:cs="TimesNewRoman" w:hint="eastAsia"/>
          <w:bCs/>
          <w:sz w:val="36"/>
          <w:szCs w:val="32"/>
        </w:rPr>
      </w:pPr>
      <w:r>
        <w:rPr>
          <w:rFonts w:ascii="仿宋_GB2312" w:eastAsia="仿宋_GB2312" w:hAnsi="TimesNewRoman" w:cs="TimesNewRoman" w:hint="eastAsia"/>
          <w:bCs/>
          <w:sz w:val="36"/>
          <w:szCs w:val="32"/>
        </w:rPr>
        <w:t>2024年</w:t>
      </w:r>
      <w:r>
        <w:rPr>
          <w:rFonts w:ascii="仿宋_GB2312" w:eastAsia="仿宋_GB2312" w:hAnsi="TimesNewRoman" w:cs="TimesNewRoman" w:hint="eastAsia"/>
          <w:bCs/>
          <w:sz w:val="36"/>
          <w:szCs w:val="32"/>
          <w:lang w:val="en-US" w:eastAsia="zh-CN"/>
        </w:rPr>
        <w:t>1</w:t>
      </w:r>
      <w:r>
        <w:rPr>
          <w:rFonts w:ascii="仿宋_GB2312" w:eastAsia="仿宋_GB2312" w:hAnsi="TimesNewRoman" w:cs="TimesNewRoman" w:hint="eastAsia"/>
          <w:bCs/>
          <w:sz w:val="36"/>
          <w:szCs w:val="32"/>
        </w:rPr>
        <w:t>月</w:t>
      </w:r>
    </w:p>
    <w:p>
      <w:pPr>
        <w:pStyle w:val="NormalWeb"/>
        <w:adjustRightInd w:val="0"/>
        <w:snapToGrid w:val="0"/>
        <w:spacing w:line="560" w:lineRule="exact"/>
        <w:jc w:val="center"/>
        <w:rPr>
          <w:rFonts w:ascii="方正小标宋_GBK" w:eastAsia="方正小标宋_GBK" w:hAnsi="TimesNewRoman" w:cs="TimesNewRoman" w:hint="eastAsia"/>
          <w:bCs/>
          <w:sz w:val="44"/>
          <w:szCs w:val="44"/>
        </w:rPr>
      </w:pPr>
      <w:r>
        <w:rPr>
          <w:rFonts w:ascii="方正小标宋_GBK" w:eastAsia="方正小标宋_GBK" w:hAnsi="TimesNewRoman" w:cs="TimesNewRoman" w:hint="eastAsia"/>
          <w:bCs/>
          <w:sz w:val="44"/>
          <w:szCs w:val="44"/>
        </w:rPr>
        <w:t>目  录</w:t>
      </w: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第一部分 </w:t>
      </w:r>
      <w:r>
        <w:rPr>
          <w:rFonts w:ascii="黑体" w:eastAsia="黑体" w:hAnsi="黑体" w:cs="TimesNewRoman" w:hint="eastAsia"/>
          <w:sz w:val="32"/>
          <w:szCs w:val="32"/>
          <w:lang w:eastAsia="zh-CN"/>
        </w:rPr>
        <w:t>寿县应急管理局</w:t>
      </w:r>
      <w:r>
        <w:rPr>
          <w:rFonts w:ascii="黑体" w:eastAsia="黑体" w:hAnsi="黑体" w:cs="TimesNewRoman"/>
          <w:sz w:val="32"/>
          <w:szCs w:val="32"/>
        </w:rPr>
        <w:t>概况</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hint="eastAsia"/>
          <w:bCs/>
          <w:sz w:val="32"/>
          <w:szCs w:val="32"/>
        </w:rPr>
      </w:pPr>
      <w:r>
        <w:rPr>
          <w:rFonts w:ascii="仿宋_GB2312" w:eastAsia="仿宋_GB2312" w:hAnsi="TimesNewRoman" w:cs="TimesNewRoman" w:hint="eastAsia"/>
          <w:bCs/>
          <w:sz w:val="32"/>
          <w:szCs w:val="32"/>
        </w:rPr>
        <w:t>1.主要职责</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hint="eastAsia"/>
          <w:bCs/>
          <w:sz w:val="32"/>
          <w:szCs w:val="32"/>
        </w:rPr>
      </w:pPr>
      <w:r>
        <w:rPr>
          <w:rFonts w:ascii="仿宋_GB2312" w:eastAsia="仿宋_GB2312" w:hAnsi="TimesNewRoman" w:cs="TimesNewRoman" w:hint="eastAsia"/>
          <w:bCs/>
          <w:sz w:val="32"/>
          <w:szCs w:val="32"/>
        </w:rPr>
        <w:t>2.</w:t>
      </w:r>
      <w:r>
        <w:rPr>
          <w:rFonts w:ascii="仿宋_GB2312" w:eastAsia="仿宋_GB2312" w:hAnsi="TimesNewRoman" w:cs="TimesNewRoman" w:hint="eastAsia"/>
          <w:bCs/>
          <w:sz w:val="32"/>
          <w:szCs w:val="32"/>
          <w:lang w:eastAsia="zh-CN"/>
        </w:rPr>
        <w:t>寿县应急管理局</w:t>
      </w:r>
      <w:r>
        <w:rPr>
          <w:rFonts w:ascii="仿宋_GB2312" w:eastAsia="仿宋_GB2312" w:hAnsi="TimesNewRoman" w:cs="TimesNewRoman" w:hint="eastAsia"/>
          <w:bCs/>
          <w:sz w:val="32"/>
          <w:szCs w:val="32"/>
        </w:rPr>
        <w:t>预算构成</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hint="eastAsia"/>
          <w:bCs/>
          <w:sz w:val="32"/>
          <w:szCs w:val="32"/>
        </w:rPr>
      </w:pPr>
      <w:r>
        <w:rPr>
          <w:rFonts w:ascii="仿宋_GB2312" w:eastAsia="仿宋_GB2312" w:hAnsi="TimesNewRoman" w:cs="TimesNewRoman" w:hint="eastAsia"/>
          <w:bCs/>
          <w:sz w:val="32"/>
          <w:szCs w:val="32"/>
        </w:rPr>
        <w:t>3.2024年度主要工作任务</w:t>
      </w: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第二部分 </w:t>
      </w:r>
      <w:r>
        <w:rPr>
          <w:rFonts w:ascii="黑体" w:eastAsia="黑体" w:hAnsi="黑体" w:cs="TimesNewRoman" w:hint="eastAsia"/>
          <w:sz w:val="32"/>
          <w:szCs w:val="32"/>
        </w:rPr>
        <w:t>2024</w:t>
      </w:r>
      <w:r>
        <w:rPr>
          <w:rFonts w:ascii="黑体" w:eastAsia="黑体" w:hAnsi="黑体" w:cs="TimesNewRoman"/>
          <w:sz w:val="32"/>
          <w:szCs w:val="32"/>
        </w:rPr>
        <w:t>年</w:t>
      </w:r>
      <w:r>
        <w:rPr>
          <w:rFonts w:ascii="黑体" w:eastAsia="黑体" w:hAnsi="黑体" w:cs="TimesNewRoman" w:hint="eastAsia"/>
          <w:sz w:val="32"/>
          <w:szCs w:val="32"/>
          <w:lang w:eastAsia="zh-CN"/>
        </w:rPr>
        <w:t>寿县应急管理局</w:t>
      </w:r>
      <w:r>
        <w:rPr>
          <w:rFonts w:ascii="黑体" w:eastAsia="黑体" w:hAnsi="黑体" w:cs="TimesNewRoman"/>
          <w:sz w:val="32"/>
          <w:szCs w:val="32"/>
        </w:rPr>
        <w:t>预算表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应急管理局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年收支总表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应急管理局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年收入总表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应急管理局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年支出总表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应急管理局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年财政拨款收支总表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应急管理局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应急管理局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年一般公共预算基本支出表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应急管理局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年政府性基金预算支出表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应急管理局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年国有资本经营预算支出表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应急管理局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年项目支出表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应急管理局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年政府采购支出表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应急管理局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年政府购买服务支出表</w:t>
      </w: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第三部分 </w:t>
      </w:r>
      <w:r>
        <w:rPr>
          <w:rFonts w:ascii="黑体" w:eastAsia="黑体" w:hAnsi="黑体" w:cs="TimesNewRoman" w:hint="eastAsia"/>
          <w:sz w:val="32"/>
          <w:szCs w:val="32"/>
        </w:rPr>
        <w:t>2024</w:t>
      </w:r>
      <w:r>
        <w:rPr>
          <w:rFonts w:ascii="黑体" w:eastAsia="黑体" w:hAnsi="黑体" w:cs="TimesNewRoman"/>
          <w:sz w:val="32"/>
          <w:szCs w:val="32"/>
        </w:rPr>
        <w:t>年部门（单位）预算情况说明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年收支总表的说明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年收入总表的说明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年支出总表的说明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年财政拨款收支总表的说明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年一般公共预算基本支出表的说明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年政府性基金预算支出表的说明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年国有资本经营预算支出表的说明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年项目支出表的说明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年政府采购支出表的说明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年政府购买服务支出表的说明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12.其他重要事项情况说明</w:t>
      </w: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第四部分 名词解释</w:t>
      </w: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第一部分 部门</w:t>
      </w:r>
      <w:r>
        <w:rPr>
          <w:rFonts w:ascii="TimesNewRoman" w:eastAsia="黑体" w:hAnsi="TimesNewRoman" w:cs="TimesNewRoman"/>
          <w:bCs/>
          <w:sz w:val="36"/>
          <w:szCs w:val="36"/>
          <w:u w:val="single"/>
        </w:rPr>
        <w:t>（单位）</w:t>
      </w:r>
      <w:r>
        <w:rPr>
          <w:rFonts w:ascii="TimesNewRoman" w:eastAsia="黑体" w:hAnsi="TimesNewRoman" w:cs="TimesNewRoman"/>
          <w:bCs/>
          <w:sz w:val="36"/>
          <w:szCs w:val="36"/>
        </w:rPr>
        <w:t>概况</w:t>
      </w:r>
    </w:p>
    <w:p>
      <w:pPr>
        <w:pStyle w:val="NormalWeb"/>
        <w:topLinePunct/>
        <w:adjustRightInd w:val="0"/>
        <w:snapToGrid w:val="0"/>
        <w:spacing w:beforeAutospacing="0" w:afterAutospacing="0" w:line="560" w:lineRule="exact"/>
        <w:ind w:firstLine="627" w:firstLineChars="196"/>
        <w:jc w:val="both"/>
        <w:rPr>
          <w:rFonts w:ascii="TimesNewRoman" w:eastAsia="黑体" w:hAnsi="TimesNewRoman" w:cs="TimesNewRoman"/>
          <w:bCs/>
          <w:sz w:val="32"/>
          <w:szCs w:val="32"/>
        </w:rPr>
      </w:pP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bCs/>
          <w:sz w:val="32"/>
          <w:szCs w:val="32"/>
        </w:rPr>
      </w:pPr>
      <w:r>
        <w:rPr>
          <w:rFonts w:ascii="楷体_GB2312" w:eastAsia="楷体_GB2312" w:hAnsi="TimesNewRoman" w:cs="TimesNewRoman" w:hint="eastAsia"/>
          <w:b/>
          <w:bCs/>
          <w:sz w:val="32"/>
          <w:szCs w:val="32"/>
        </w:rPr>
        <w:t>一、主要职责</w:t>
      </w:r>
    </w:p>
    <w:p>
      <w:pPr>
        <w:pStyle w:val="NormalWeb"/>
        <w:adjustRightInd w:val="0"/>
        <w:snapToGrid w:val="0"/>
        <w:spacing w:before="0" w:beforeAutospacing="0" w:after="0" w:afterAutospacing="0" w:line="600" w:lineRule="exact"/>
        <w:jc w:val="both"/>
        <w:rPr>
          <w:rFonts w:ascii="仿宋_GB2312" w:eastAsia="仿宋_GB2312" w:hAnsi="仿宋" w:cs="仿宋" w:hint="eastAsia"/>
          <w:bCs/>
          <w:sz w:val="32"/>
          <w:szCs w:val="32"/>
          <w:lang w:eastAsia="zh-CN"/>
        </w:rPr>
      </w:pPr>
      <w:r>
        <w:rPr>
          <w:rFonts w:ascii="仿宋_GB2312" w:eastAsia="仿宋_GB2312" w:hAnsi="仿宋" w:cs="仿宋" w:hint="eastAsia"/>
          <w:bCs/>
          <w:sz w:val="32"/>
          <w:szCs w:val="32"/>
        </w:rPr>
        <w:t>（一）</w:t>
      </w:r>
      <w:r>
        <w:rPr>
          <w:rFonts w:ascii="仿宋_GB2312" w:eastAsia="仿宋_GB2312" w:hAnsi="仿宋" w:cs="仿宋"/>
          <w:bCs/>
          <w:sz w:val="32"/>
          <w:szCs w:val="32"/>
        </w:rPr>
        <w:t>贯彻执行国家、省和市应急管理、安全生产等法律法规规章和政策规划，拟订应急管理、安全生产等政策，组织编制县应急体系建设、安全生产和综合防灾减灾规划，监督执行国家、地方标准和规程。</w:t>
      </w:r>
    </w:p>
    <w:p>
      <w:pPr>
        <w:pStyle w:val="NormalWeb"/>
        <w:adjustRightInd w:val="0"/>
        <w:snapToGrid w:val="0"/>
        <w:spacing w:before="0" w:beforeAutospacing="0" w:after="0" w:afterAutospacing="0" w:line="600" w:lineRule="exact"/>
        <w:jc w:val="both"/>
        <w:rPr>
          <w:rFonts w:ascii="仿宋_GB2312" w:eastAsia="仿宋_GB2312" w:hAnsi="仿宋" w:cs="仿宋" w:hint="eastAsia"/>
          <w:bCs/>
          <w:sz w:val="32"/>
          <w:szCs w:val="32"/>
          <w:lang w:eastAsia="zh-CN"/>
        </w:rPr>
      </w:pPr>
      <w:r>
        <w:rPr>
          <w:rFonts w:ascii="仿宋_GB2312" w:eastAsia="仿宋_GB2312" w:hAnsi="仿宋" w:cs="仿宋"/>
          <w:bCs/>
          <w:sz w:val="32"/>
          <w:szCs w:val="32"/>
        </w:rPr>
        <w:t>（二）负责应急管理工作，指导全县各乡镇各部门应对安全生产类、自然灾害类等突发事件和综合防灾减灾救灾工作。负责全县安全生产综合监督管理工作和工矿商贸相关行业安全生产监督管理工作。承担县安全生产委员会的具体工作。</w:t>
      </w:r>
    </w:p>
    <w:p>
      <w:pPr>
        <w:pStyle w:val="NormalWeb"/>
        <w:adjustRightInd w:val="0"/>
        <w:snapToGrid w:val="0"/>
        <w:spacing w:before="0" w:beforeAutospacing="0" w:after="0" w:afterAutospacing="0" w:line="600" w:lineRule="exact"/>
        <w:jc w:val="both"/>
        <w:rPr>
          <w:rFonts w:ascii="仿宋_GB2312" w:eastAsia="仿宋_GB2312" w:hAnsi="仿宋" w:cs="仿宋" w:hint="eastAsia"/>
          <w:bCs/>
          <w:sz w:val="32"/>
          <w:szCs w:val="32"/>
          <w:lang w:eastAsia="zh-CN"/>
        </w:rPr>
      </w:pPr>
      <w:r>
        <w:rPr>
          <w:rFonts w:ascii="仿宋_GB2312" w:eastAsia="仿宋_GB2312" w:hAnsi="仿宋" w:cs="仿宋"/>
          <w:bCs/>
          <w:sz w:val="32"/>
          <w:szCs w:val="32"/>
        </w:rPr>
        <w:t>（三）组织指导应急预案体系建设，建立完善全县事故灾难和自然灾害分级应对制度，组织编制县总体应急预案和安全生产类、自然灾害类专项预案，综合协调应急预案衔接工作，组织开展预案演练，推动应急避难设施建设。</w:t>
      </w:r>
    </w:p>
    <w:p>
      <w:pPr>
        <w:pStyle w:val="NormalWeb"/>
        <w:adjustRightInd w:val="0"/>
        <w:snapToGrid w:val="0"/>
        <w:spacing w:before="0" w:beforeAutospacing="0" w:after="0" w:afterAutospacing="0" w:line="600" w:lineRule="exact"/>
        <w:jc w:val="both"/>
        <w:rPr>
          <w:rFonts w:ascii="仿宋_GB2312" w:eastAsia="仿宋_GB2312" w:hAnsi="仿宋" w:cs="仿宋" w:hint="eastAsia"/>
          <w:bCs/>
          <w:sz w:val="32"/>
          <w:szCs w:val="32"/>
          <w:lang w:eastAsia="zh-CN"/>
        </w:rPr>
      </w:pPr>
      <w:r>
        <w:rPr>
          <w:rFonts w:ascii="仿宋_GB2312" w:eastAsia="仿宋_GB2312" w:hAnsi="仿宋" w:cs="仿宋"/>
          <w:bCs/>
          <w:sz w:val="32"/>
          <w:szCs w:val="32"/>
        </w:rPr>
        <w:t>（四）牵头建立全县统一的应急管理信息系统，并融入省、市应急管理信息系统，负责信息传输渠道的规划和布局，建立监测预警和灾情报告制度，健全自然灾害信息资源获取和共享机制，依法统一发布灾情。</w:t>
      </w:r>
    </w:p>
    <w:p>
      <w:pPr>
        <w:pStyle w:val="NormalWeb"/>
        <w:adjustRightInd w:val="0"/>
        <w:snapToGrid w:val="0"/>
        <w:spacing w:before="0" w:beforeAutospacing="0" w:after="0" w:afterAutospacing="0" w:line="600" w:lineRule="exact"/>
        <w:jc w:val="both"/>
        <w:rPr>
          <w:rFonts w:ascii="仿宋_GB2312" w:eastAsia="仿宋_GB2312" w:hAnsi="仿宋" w:cs="仿宋" w:hint="eastAsia"/>
          <w:bCs/>
          <w:sz w:val="32"/>
          <w:szCs w:val="32"/>
          <w:lang w:eastAsia="zh-CN"/>
        </w:rPr>
      </w:pPr>
      <w:r>
        <w:rPr>
          <w:rFonts w:ascii="仿宋_GB2312" w:eastAsia="仿宋_GB2312" w:hAnsi="仿宋" w:cs="仿宋"/>
          <w:bCs/>
          <w:sz w:val="32"/>
          <w:szCs w:val="32"/>
        </w:rPr>
        <w:t>（五）组织指导协调安全生产类、自然灾害类等突发事件应急救援，承担县应对一般灾害指挥部工作，综合研判突发事件发展态势并提出应对建议，按照分级分类原则，协助县委、县政府指定的负责同志组织一般灾害应急处置工作。</w:t>
      </w:r>
    </w:p>
    <w:p>
      <w:pPr>
        <w:pStyle w:val="NormalWeb"/>
        <w:adjustRightInd w:val="0"/>
        <w:snapToGrid w:val="0"/>
        <w:spacing w:before="0" w:beforeAutospacing="0" w:after="0" w:afterAutospacing="0" w:line="600" w:lineRule="exact"/>
        <w:jc w:val="both"/>
        <w:rPr>
          <w:rFonts w:ascii="仿宋_GB2312" w:eastAsia="仿宋_GB2312" w:hAnsi="仿宋" w:cs="仿宋" w:hint="eastAsia"/>
          <w:bCs/>
          <w:sz w:val="32"/>
          <w:szCs w:val="32"/>
          <w:lang w:eastAsia="zh-CN"/>
        </w:rPr>
      </w:pPr>
      <w:r>
        <w:rPr>
          <w:rFonts w:ascii="仿宋_GB2312" w:eastAsia="仿宋_GB2312" w:hAnsi="仿宋" w:cs="仿宋"/>
          <w:bCs/>
          <w:sz w:val="32"/>
          <w:szCs w:val="32"/>
        </w:rPr>
        <w:t>（六）统一协调指挥各类应急专业队伍，建立应急协调联动机制，推进指挥平台对接，衔接武警部队参与应急救援工作。</w:t>
      </w:r>
    </w:p>
    <w:p>
      <w:pPr>
        <w:pStyle w:val="NormalWeb"/>
        <w:adjustRightInd w:val="0"/>
        <w:snapToGrid w:val="0"/>
        <w:spacing w:before="0" w:beforeAutospacing="0" w:after="0" w:afterAutospacing="0" w:line="600" w:lineRule="exact"/>
        <w:jc w:val="both"/>
        <w:rPr>
          <w:rFonts w:ascii="仿宋_GB2312" w:eastAsia="仿宋_GB2312" w:hAnsi="仿宋" w:cs="仿宋" w:hint="eastAsia"/>
          <w:bCs/>
          <w:sz w:val="32"/>
          <w:szCs w:val="32"/>
          <w:lang w:eastAsia="zh-CN"/>
        </w:rPr>
      </w:pPr>
      <w:r>
        <w:rPr>
          <w:rFonts w:ascii="仿宋_GB2312" w:eastAsia="仿宋_GB2312" w:hAnsi="仿宋" w:cs="仿宋"/>
          <w:bCs/>
          <w:sz w:val="32"/>
          <w:szCs w:val="32"/>
        </w:rPr>
        <w:t>（七）统筹应急救援力量建设，承担消防、森林和草原火灾扑救、抗洪抢险、地震和地质灾害救援、生产安全事故救援等专业应急救援力量建设相关工作，按规定承担综合性应急救援队伍管理相关工作。指导各级及社会应急救援力量建设。</w:t>
      </w:r>
    </w:p>
    <w:p>
      <w:pPr>
        <w:pStyle w:val="NormalWeb"/>
        <w:adjustRightInd w:val="0"/>
        <w:snapToGrid w:val="0"/>
        <w:spacing w:before="0" w:beforeAutospacing="0" w:after="0" w:afterAutospacing="0" w:line="600" w:lineRule="exact"/>
        <w:jc w:val="both"/>
        <w:rPr>
          <w:rFonts w:ascii="仿宋_GB2312" w:eastAsia="仿宋_GB2312" w:hAnsi="仿宋" w:cs="仿宋" w:hint="eastAsia"/>
          <w:bCs/>
          <w:sz w:val="32"/>
          <w:szCs w:val="32"/>
          <w:lang w:eastAsia="zh-CN"/>
        </w:rPr>
      </w:pPr>
      <w:r>
        <w:rPr>
          <w:rFonts w:ascii="仿宋_GB2312" w:eastAsia="仿宋_GB2312" w:hAnsi="仿宋" w:cs="仿宋"/>
          <w:bCs/>
          <w:sz w:val="32"/>
          <w:szCs w:val="32"/>
        </w:rPr>
        <w:t>（八）组织协调消防工作，指导协调开展消防监督、火灾预防、火灾扑救等工作。</w:t>
      </w:r>
    </w:p>
    <w:p>
      <w:pPr>
        <w:pStyle w:val="NormalWeb"/>
        <w:adjustRightInd w:val="0"/>
        <w:snapToGrid w:val="0"/>
        <w:spacing w:before="0" w:beforeAutospacing="0" w:after="0" w:afterAutospacing="0" w:line="600" w:lineRule="exact"/>
        <w:jc w:val="both"/>
        <w:rPr>
          <w:rFonts w:ascii="仿宋_GB2312" w:eastAsia="仿宋_GB2312" w:hAnsi="仿宋" w:cs="仿宋" w:hint="eastAsia"/>
          <w:bCs/>
          <w:sz w:val="32"/>
          <w:szCs w:val="32"/>
          <w:lang w:eastAsia="zh-CN"/>
        </w:rPr>
      </w:pPr>
      <w:r>
        <w:rPr>
          <w:rFonts w:ascii="仿宋_GB2312" w:eastAsia="仿宋_GB2312" w:hAnsi="仿宋" w:cs="仿宋"/>
          <w:bCs/>
          <w:sz w:val="32"/>
          <w:szCs w:val="32"/>
        </w:rPr>
        <w:t>（九）指导协调森林和草原火灾、水旱灾害、地震和地质灾害等防治工作，负责自然灾害综合监测预警工作，组织指导开展自然灾害综合风险评估工作。</w:t>
      </w:r>
    </w:p>
    <w:p>
      <w:pPr>
        <w:pStyle w:val="NormalWeb"/>
        <w:adjustRightInd w:val="0"/>
        <w:snapToGrid w:val="0"/>
        <w:spacing w:before="0" w:beforeAutospacing="0" w:after="0" w:afterAutospacing="0" w:line="600" w:lineRule="exact"/>
        <w:jc w:val="both"/>
        <w:rPr>
          <w:rFonts w:ascii="仿宋_GB2312" w:eastAsia="仿宋_GB2312" w:hAnsi="仿宋" w:cs="仿宋" w:hint="eastAsia"/>
          <w:bCs/>
          <w:sz w:val="32"/>
          <w:szCs w:val="32"/>
          <w:lang w:eastAsia="zh-CN"/>
        </w:rPr>
      </w:pPr>
      <w:r>
        <w:rPr>
          <w:rFonts w:ascii="仿宋_GB2312" w:eastAsia="仿宋_GB2312" w:hAnsi="仿宋" w:cs="仿宋"/>
          <w:bCs/>
          <w:sz w:val="32"/>
          <w:szCs w:val="32"/>
        </w:rPr>
        <w:t>（十）组织协调灾害救助工作，组织指导灾情核查、损失评估、救灾捐赠工作，管理、分配救灾款物并监督使用。</w:t>
      </w:r>
    </w:p>
    <w:p>
      <w:pPr>
        <w:pStyle w:val="NormalWeb"/>
        <w:adjustRightInd w:val="0"/>
        <w:snapToGrid w:val="0"/>
        <w:spacing w:before="0" w:beforeAutospacing="0" w:after="0" w:afterAutospacing="0" w:line="600" w:lineRule="exact"/>
        <w:jc w:val="both"/>
        <w:rPr>
          <w:rFonts w:ascii="仿宋_GB2312" w:eastAsia="仿宋_GB2312" w:hAnsi="仿宋" w:cs="仿宋" w:hint="eastAsia"/>
          <w:bCs/>
          <w:sz w:val="32"/>
          <w:szCs w:val="32"/>
          <w:lang w:eastAsia="zh-CN"/>
        </w:rPr>
      </w:pPr>
      <w:r>
        <w:rPr>
          <w:rFonts w:ascii="仿宋_GB2312" w:eastAsia="仿宋_GB2312" w:hAnsi="仿宋" w:cs="仿宋"/>
          <w:bCs/>
          <w:sz w:val="32"/>
          <w:szCs w:val="32"/>
        </w:rPr>
        <w:t>（十一）依法行使安全生产综合监督管理职权，指导协调、监督检查县政府有关部门、园区（开发区、风景区）和各乡镇安全生产工作，组织开展安全生产巡查、考核工作。</w:t>
      </w:r>
    </w:p>
    <w:p>
      <w:pPr>
        <w:pStyle w:val="NormalWeb"/>
        <w:adjustRightInd w:val="0"/>
        <w:snapToGrid w:val="0"/>
        <w:spacing w:before="0" w:beforeAutospacing="0" w:after="0" w:afterAutospacing="0" w:line="600" w:lineRule="exact"/>
        <w:jc w:val="both"/>
        <w:rPr>
          <w:rFonts w:ascii="仿宋_GB2312" w:eastAsia="仿宋_GB2312" w:hAnsi="仿宋" w:cs="仿宋" w:hint="eastAsia"/>
          <w:bCs/>
          <w:sz w:val="32"/>
          <w:szCs w:val="32"/>
          <w:lang w:eastAsia="zh-CN"/>
        </w:rPr>
      </w:pPr>
      <w:r>
        <w:rPr>
          <w:rFonts w:ascii="仿宋_GB2312" w:eastAsia="仿宋_GB2312" w:hAnsi="仿宋" w:cs="仿宋"/>
          <w:bCs/>
          <w:sz w:val="32"/>
          <w:szCs w:val="32"/>
        </w:rPr>
        <w:t>（十二）按照分级、属地原则，依法监督检查工矿商贸生产经营单位贯彻执行安全生产法律法规情况及其安全生产条件和有关设备（特种设备除外）、材料、劳动防护用品的安全生产管理工作。负责监督管理工矿商贸相关行业县属企业安全生产管理工作，指导监督工矿商贸行业中央和省市属驻寿企业安全生产工作，对全县建材、机械、轻工、纺织、冶金等行业企业安全生产工作进行综合监管。负责全县危险化学品安全监督管理综合工作和烟花爆竹、非煤矿山（含地质勘探）行业安全生产监督管理工作。依法组织并指导监督实施安全生产准入制度。按照管理全县负责全县危险化学品、烟花爆竹经营许可。</w:t>
      </w:r>
    </w:p>
    <w:p>
      <w:pPr>
        <w:pStyle w:val="NormalWeb"/>
        <w:adjustRightInd w:val="0"/>
        <w:snapToGrid w:val="0"/>
        <w:spacing w:before="0" w:beforeAutospacing="0" w:after="0" w:afterAutospacing="0" w:line="600" w:lineRule="exact"/>
        <w:jc w:val="both"/>
        <w:rPr>
          <w:rFonts w:ascii="仿宋_GB2312" w:eastAsia="仿宋_GB2312" w:hAnsi="仿宋" w:cs="仿宋" w:hint="eastAsia"/>
          <w:bCs/>
          <w:sz w:val="32"/>
          <w:szCs w:val="32"/>
          <w:lang w:eastAsia="zh-CN"/>
        </w:rPr>
      </w:pPr>
      <w:r>
        <w:rPr>
          <w:rFonts w:ascii="仿宋_GB2312" w:eastAsia="仿宋_GB2312" w:hAnsi="仿宋" w:cs="仿宋"/>
          <w:bCs/>
          <w:sz w:val="32"/>
          <w:szCs w:val="32"/>
        </w:rPr>
        <w:t>（十三）监督检查重大危险源监控和重大事故隐患排查治理工作，依法查处不具备安全生产条件的非煤矿山、危险化学品、烟花爆竹、工矿商贸等生产经营单位。依法组织和指导、参与生产安全事故调查处理，监督事故查处和责任追究落实情况。组织开展自然灾害类突发事件的调查评估工作。</w:t>
      </w:r>
    </w:p>
    <w:p>
      <w:pPr>
        <w:pStyle w:val="NormalWeb"/>
        <w:adjustRightInd w:val="0"/>
        <w:snapToGrid w:val="0"/>
        <w:spacing w:before="0" w:beforeAutospacing="0" w:after="0" w:afterAutospacing="0" w:line="600" w:lineRule="exact"/>
        <w:jc w:val="both"/>
        <w:rPr>
          <w:rFonts w:ascii="仿宋_GB2312" w:eastAsia="仿宋_GB2312" w:hAnsi="仿宋" w:cs="仿宋" w:hint="eastAsia"/>
          <w:bCs/>
          <w:sz w:val="32"/>
          <w:szCs w:val="32"/>
          <w:lang w:eastAsia="zh-CN"/>
        </w:rPr>
      </w:pPr>
      <w:r>
        <w:rPr>
          <w:rFonts w:ascii="仿宋_GB2312" w:eastAsia="仿宋_GB2312" w:hAnsi="仿宋" w:cs="仿宋"/>
          <w:bCs/>
          <w:sz w:val="32"/>
          <w:szCs w:val="32"/>
        </w:rPr>
        <w:t>（十四）制定应急物资储备和应急救援装备规划并组织实施，会同</w:t>
      </w:r>
      <w:r>
        <w:rPr>
          <w:rFonts w:ascii="仿宋_GB2312" w:eastAsia="仿宋_GB2312" w:hAnsi="仿宋" w:cs="仿宋"/>
          <w:bCs/>
          <w:sz w:val="32"/>
          <w:szCs w:val="32"/>
        </w:rPr>
        <w:t>县发展和改革委员会</w:t>
      </w:r>
      <w:r>
        <w:rPr>
          <w:rFonts w:ascii="仿宋_GB2312" w:eastAsia="仿宋_GB2312" w:hAnsi="仿宋" w:cs="仿宋"/>
          <w:bCs/>
          <w:sz w:val="32"/>
          <w:szCs w:val="32"/>
        </w:rPr>
        <w:t>（县粮食和物资储备局）等部门建立健全应急物资信息平台和调拨制度，在救灾时统一调度。</w:t>
      </w:r>
    </w:p>
    <w:p>
      <w:pPr>
        <w:pStyle w:val="NormalWeb"/>
        <w:adjustRightInd w:val="0"/>
        <w:snapToGrid w:val="0"/>
        <w:spacing w:before="0" w:beforeAutospacing="0" w:after="0" w:afterAutospacing="0" w:line="600" w:lineRule="exact"/>
        <w:jc w:val="both"/>
        <w:rPr>
          <w:rFonts w:ascii="仿宋_GB2312" w:eastAsia="仿宋_GB2312" w:hAnsi="仿宋" w:cs="仿宋" w:hint="eastAsia"/>
          <w:bCs/>
          <w:sz w:val="32"/>
          <w:szCs w:val="32"/>
          <w:lang w:eastAsia="zh-CN"/>
        </w:rPr>
      </w:pPr>
      <w:r>
        <w:rPr>
          <w:rFonts w:ascii="仿宋_GB2312" w:eastAsia="仿宋_GB2312" w:hAnsi="仿宋" w:cs="仿宋"/>
          <w:bCs/>
          <w:sz w:val="32"/>
          <w:szCs w:val="32"/>
        </w:rPr>
        <w:t>（十五）负责应急管理、安全生产宣传教育和培训工作，组织指导应急管理、安全生产的科学技术研究、推广应用和信息化建设工作。开展对外交流与合作。</w:t>
      </w:r>
    </w:p>
    <w:p>
      <w:pPr>
        <w:pStyle w:val="NormalWeb"/>
        <w:adjustRightInd w:val="0"/>
        <w:snapToGrid w:val="0"/>
        <w:spacing w:before="0" w:beforeAutospacing="0" w:after="0" w:afterAutospacing="0" w:line="600" w:lineRule="exact"/>
        <w:jc w:val="both"/>
        <w:rPr>
          <w:rFonts w:ascii="仿宋_GB2312" w:eastAsia="仿宋_GB2312" w:hAnsi="仿宋" w:cs="仿宋" w:hint="eastAsia"/>
          <w:bCs/>
          <w:sz w:val="32"/>
          <w:szCs w:val="32"/>
          <w:lang w:eastAsia="zh-CN"/>
        </w:rPr>
      </w:pPr>
      <w:r>
        <w:rPr>
          <w:rFonts w:ascii="仿宋_GB2312" w:eastAsia="仿宋_GB2312" w:hAnsi="仿宋" w:cs="仿宋"/>
          <w:bCs/>
          <w:sz w:val="32"/>
          <w:szCs w:val="32"/>
        </w:rPr>
        <w:t>（十六）负责县委、县政府和县委编委明确的安全生产职责。</w:t>
      </w:r>
    </w:p>
    <w:p>
      <w:pPr>
        <w:pStyle w:val="NormalWeb"/>
        <w:adjustRightInd w:val="0"/>
        <w:snapToGrid w:val="0"/>
        <w:spacing w:before="0" w:beforeAutospacing="0" w:after="0" w:afterAutospacing="0" w:line="600" w:lineRule="exact"/>
        <w:jc w:val="both"/>
        <w:rPr>
          <w:rFonts w:ascii="仿宋_GB2312" w:eastAsia="仿宋_GB2312" w:hAnsi="仿宋" w:cs="仿宋"/>
          <w:bCs/>
          <w:sz w:val="32"/>
          <w:szCs w:val="32"/>
        </w:rPr>
      </w:pPr>
      <w:r>
        <w:rPr>
          <w:rFonts w:ascii="仿宋_GB2312" w:eastAsia="仿宋_GB2312" w:hAnsi="仿宋" w:cs="仿宋"/>
          <w:bCs/>
          <w:sz w:val="32"/>
          <w:szCs w:val="32"/>
        </w:rPr>
        <w:t>（十七）完成县委、县政府交办的其他任务。</w:t>
      </w:r>
    </w:p>
    <w:p>
      <w:pPr>
        <w:rPr>
          <w:rFonts w:ascii="仿宋_GB2312" w:eastAsia="仿宋_GB2312" w:hAnsi="仿宋" w:cs="仿宋"/>
          <w:bCs/>
          <w:kern w:val="0"/>
          <w:sz w:val="32"/>
          <w:szCs w:val="32"/>
        </w:rPr>
      </w:pPr>
    </w:p>
    <w:p>
      <w:pPr>
        <w:rPr>
          <w:rFonts w:ascii="仿宋_GB2312" w:eastAsia="仿宋_GB2312" w:hAnsi="仿宋" w:cs="仿宋"/>
          <w:bCs/>
          <w:kern w:val="0"/>
          <w:sz w:val="32"/>
          <w:szCs w:val="32"/>
        </w:rPr>
      </w:pPr>
      <w:r>
        <w:rPr>
          <w:rFonts w:ascii="仿宋_GB2312" w:eastAsia="仿宋_GB2312" w:hAnsi="仿宋" w:cs="仿宋" w:hint="eastAsia"/>
          <w:bCs/>
          <w:kern w:val="0"/>
          <w:sz w:val="32"/>
          <w:szCs w:val="32"/>
        </w:rPr>
        <w:t>（二）寿县应急局内设6个职能股室，分别为1个办公室（行政审批股）、应急指挥中心、安全生产综合协调股、安全生产综合监管股、火灾防治和救援协调股、救灾和物资保障股。以上各股室负责单位的日常业务工作。另设有工会组织，负责工会活动的开展</w:t>
      </w:r>
    </w:p>
    <w:p>
      <w:pPr>
        <w:pStyle w:val="NormalWeb"/>
        <w:adjustRightInd w:val="0"/>
        <w:snapToGrid w:val="0"/>
        <w:spacing w:before="0" w:beforeAutospacing="0" w:after="0" w:afterAutospacing="0" w:line="360" w:lineRule="auto"/>
        <w:ind w:firstLine="627" w:firstLineChars="196"/>
        <w:jc w:val="both"/>
        <w:rPr>
          <w:rFonts w:ascii="仿宋_GB2312" w:eastAsia="仿宋_GB2312" w:hint="eastAsia"/>
          <w:sz w:val="32"/>
          <w:szCs w:val="32"/>
        </w:rPr>
      </w:pPr>
      <w:r>
        <w:rPr>
          <w:rFonts w:ascii="黑体" w:eastAsia="黑体" w:hAnsi="黑体" w:hint="eastAsia"/>
          <w:bCs/>
          <w:sz w:val="32"/>
          <w:szCs w:val="32"/>
        </w:rPr>
        <w:t>二、部门预算单位构成</w:t>
      </w:r>
    </w:p>
    <w:p>
      <w:pPr>
        <w:pStyle w:val="NormalWeb"/>
        <w:adjustRightInd w:val="0"/>
        <w:snapToGrid w:val="0"/>
        <w:spacing w:before="0" w:beforeAutospacing="0" w:after="0" w:afterAutospacing="0" w:line="600" w:lineRule="exact"/>
        <w:ind w:firstLine="480" w:firstLineChars="150"/>
        <w:outlineLvl w:val="0"/>
        <w:rPr>
          <w:rFonts w:ascii="楷体_GB2312" w:eastAsia="楷体_GB2312" w:hAnsi="仿宋" w:cs="Times New Roman"/>
          <w:color w:val="FF0000"/>
          <w:kern w:val="2"/>
          <w:sz w:val="32"/>
          <w:szCs w:val="32"/>
        </w:rPr>
      </w:pPr>
      <w:r>
        <w:rPr>
          <w:rFonts w:ascii="仿宋_GB2312" w:eastAsia="仿宋_GB2312" w:hAnsi="仿宋" w:hint="eastAsia"/>
          <w:sz w:val="32"/>
          <w:szCs w:val="32"/>
        </w:rPr>
        <w:t>从预算单位构成看，寿县</w:t>
      </w:r>
      <w:r>
        <w:rPr>
          <w:rFonts w:ascii="仿宋_GB2312" w:eastAsia="仿宋_GB2312" w:hAnsi="仿宋" w:cs="仿宋" w:hint="eastAsia"/>
          <w:bCs/>
          <w:sz w:val="32"/>
          <w:szCs w:val="32"/>
        </w:rPr>
        <w:t>应急管理局</w:t>
      </w:r>
      <w:r>
        <w:rPr>
          <w:rFonts w:ascii="仿宋_GB2312" w:eastAsia="仿宋_GB2312" w:hAnsi="仿宋" w:hint="eastAsia"/>
          <w:sz w:val="32"/>
          <w:szCs w:val="32"/>
        </w:rPr>
        <w:t>2023年度部门预算仅包括局本级预算，无其他下属单位预算。</w:t>
      </w:r>
    </w:p>
    <w:p>
      <w:pPr>
        <w:pStyle w:val="NormalWeb"/>
        <w:adjustRightInd w:val="0"/>
        <w:snapToGrid w:val="0"/>
        <w:spacing w:before="0" w:beforeAutospacing="0" w:after="0" w:afterAutospacing="0" w:line="360" w:lineRule="auto"/>
        <w:ind w:firstLine="627" w:firstLineChars="196"/>
        <w:rPr>
          <w:rFonts w:ascii="仿宋_GB2312" w:eastAsia="仿宋_GB2312" w:hAnsi="黑体" w:hint="eastAsia"/>
          <w:bCs/>
          <w:sz w:val="32"/>
          <w:szCs w:val="32"/>
        </w:rPr>
      </w:pPr>
    </w:p>
    <w:p>
      <w:pPr>
        <w:pStyle w:val="NormalWeb"/>
        <w:adjustRightInd w:val="0"/>
        <w:snapToGrid w:val="0"/>
        <w:spacing w:before="0" w:beforeAutospacing="0" w:after="0" w:afterAutospacing="0" w:line="360" w:lineRule="auto"/>
        <w:ind w:firstLine="627" w:firstLineChars="196"/>
        <w:rPr>
          <w:rFonts w:ascii="黑体" w:eastAsia="黑体" w:hAnsi="黑体" w:hint="eastAsia"/>
          <w:bCs/>
          <w:sz w:val="32"/>
          <w:szCs w:val="32"/>
        </w:rPr>
      </w:pPr>
      <w:r>
        <w:rPr>
          <w:rFonts w:ascii="黑体" w:eastAsia="黑体" w:hAnsi="黑体" w:hint="eastAsia"/>
          <w:bCs/>
          <w:sz w:val="32"/>
          <w:szCs w:val="32"/>
        </w:rPr>
        <w:t>三、2023年度主要工作任务</w:t>
      </w:r>
    </w:p>
    <w:p>
      <w:pPr>
        <w:adjustRightInd w:val="0"/>
        <w:snapToGrid w:val="0"/>
        <w:spacing w:line="540" w:lineRule="exact"/>
        <w:ind w:firstLine="640" w:firstLineChars="200"/>
        <w:rPr>
          <w:rFonts w:ascii="仿宋_GB2312" w:eastAsia="仿宋_GB2312"/>
          <w:kern w:val="0"/>
          <w:sz w:val="32"/>
          <w:szCs w:val="32"/>
        </w:rPr>
      </w:pPr>
      <w:r>
        <w:rPr>
          <w:rFonts w:ascii="仿宋_GB2312" w:eastAsia="仿宋_GB2312" w:hint="eastAsia"/>
          <w:kern w:val="0"/>
          <w:sz w:val="32"/>
          <w:szCs w:val="32"/>
        </w:rPr>
        <w:t>2023年全县安全生产工作的总体思路是：以习近平新时代中国特色社会主义思想为指导，全面贯彻党的十九大和十九届二中、三中、四中全会精神，深入贯彻习近平总书记关于安全生产重要论述，认真落实党中央、国务院和省委省政府、市委市政府关于安全生产的各项决策部署，以推进安全生产“铸安”行动常态化实效化和风险管控“六项机制”制度化规范化为抓手，坚持防范化解重大安全风险，深入开展重点行业领域安全生产专项整治，进一步完善和落实安全生产责任和管理制度，健全完善隐患排查和安全预防控制体系，持续强化安全生产基础能力建设，不断推进安全生产领域改革发展，继续坚持“坚决遏制重特大事故、有效防范较大事故、事故起数和死亡人数持续下降”的工作目标，为完成“十三五”规矩、全面建成现代化五大发展美好寿县打下坚实的安全基础。</w:t>
      </w:r>
    </w:p>
    <w:p>
      <w:pPr>
        <w:overflowPunct w:val="0"/>
        <w:topLinePunct/>
        <w:adjustRightInd w:val="0"/>
        <w:snapToGrid w:val="0"/>
        <w:spacing w:line="540" w:lineRule="exact"/>
        <w:ind w:firstLine="640" w:firstLineChars="200"/>
        <w:rPr>
          <w:rFonts w:ascii="楷体_GB2312" w:eastAsia="楷体_GB2312"/>
          <w:b/>
          <w:bCs/>
          <w:sz w:val="32"/>
          <w:szCs w:val="32"/>
        </w:rPr>
      </w:pPr>
      <w:r>
        <w:rPr>
          <w:rFonts w:ascii="楷体_GB2312" w:eastAsia="楷体_GB2312" w:hint="eastAsia"/>
          <w:b/>
          <w:bCs/>
          <w:sz w:val="32"/>
          <w:szCs w:val="32"/>
        </w:rPr>
        <w:t>（一）安全生产方面。</w:t>
      </w:r>
    </w:p>
    <w:p>
      <w:pPr>
        <w:adjustRightInd w:val="0"/>
        <w:snapToGrid w:val="0"/>
        <w:spacing w:line="540" w:lineRule="exact"/>
        <w:ind w:firstLine="640" w:firstLineChars="200"/>
        <w:rPr>
          <w:rFonts w:ascii="仿宋_GB2312" w:eastAsia="仿宋_GB2312"/>
          <w:kern w:val="0"/>
          <w:sz w:val="32"/>
          <w:szCs w:val="32"/>
        </w:rPr>
      </w:pPr>
      <w:r>
        <w:rPr>
          <w:rFonts w:ascii="华文新魏" w:eastAsia="华文新魏" w:hint="eastAsia"/>
          <w:kern w:val="0"/>
          <w:sz w:val="32"/>
          <w:szCs w:val="32"/>
        </w:rPr>
        <w:t>一是继续深入推进安全生产领域改革发展。</w:t>
      </w:r>
      <w:r>
        <w:rPr>
          <w:rFonts w:ascii="仿宋_GB2312" w:eastAsia="仿宋_GB2312" w:hint="eastAsia"/>
          <w:kern w:val="0"/>
          <w:sz w:val="32"/>
          <w:szCs w:val="32"/>
        </w:rPr>
        <w:t>进一步加强组织领导，持续推动安全生产领域改革发展，着力解决制约我县安全生产的突出矛盾和问题。大力推行安全生产责任保险，发挥保险业参与风险管控和事故预防的功能。完善安全生产“黑名单”制度，加强执法检查与信用管理联动，加大安全生产领域失信行为联合惩戒力度。整合安全生产、消防救援工作考核内容，修订完善《寿县安全生产工作考核办法》，充分发挥好考核“指挥棒”的作用。</w:t>
      </w:r>
    </w:p>
    <w:p>
      <w:pPr>
        <w:adjustRightInd w:val="0"/>
        <w:snapToGrid w:val="0"/>
        <w:spacing w:line="540" w:lineRule="exact"/>
        <w:ind w:firstLine="640" w:firstLineChars="200"/>
        <w:rPr>
          <w:rFonts w:ascii="仿宋_GB2312" w:eastAsia="仿宋_GB2312"/>
          <w:kern w:val="0"/>
          <w:sz w:val="32"/>
          <w:szCs w:val="32"/>
        </w:rPr>
      </w:pPr>
      <w:r>
        <w:rPr>
          <w:rFonts w:ascii="华文新魏" w:eastAsia="华文新魏" w:hint="eastAsia"/>
          <w:kern w:val="0"/>
          <w:sz w:val="32"/>
          <w:szCs w:val="32"/>
        </w:rPr>
        <w:t>二是突出防范化解安全生产重大风险。</w:t>
      </w:r>
      <w:r>
        <w:rPr>
          <w:rFonts w:ascii="仿宋_GB2312" w:eastAsia="仿宋_GB2312" w:hint="eastAsia"/>
          <w:kern w:val="0"/>
          <w:sz w:val="32"/>
          <w:szCs w:val="32"/>
        </w:rPr>
        <w:t>按照县委防范化解重大风险要求和“1+8+N”总体方案部署，结合国务院安委会部署开展的安全生产领域集中整治工作，突出交通运输、危险化学品、消防、建筑施工等重点行业领域，全面排查风险点，细化风险防范措施，明确责任人，坚决防范化解安全生产重大风险。</w:t>
      </w:r>
    </w:p>
    <w:p>
      <w:pPr>
        <w:shd w:val="clear" w:color="auto" w:fill="FFFFFF"/>
        <w:spacing w:line="540" w:lineRule="exact"/>
        <w:ind w:firstLine="640" w:firstLineChars="200"/>
        <w:rPr>
          <w:rFonts w:ascii="仿宋_GB2312" w:eastAsia="仿宋_GB2312" w:hAnsi="宋体" w:cs="宋体"/>
          <w:kern w:val="0"/>
          <w:sz w:val="32"/>
          <w:szCs w:val="32"/>
          <w:shd w:val="clear" w:color="auto" w:fill="FFFFFF"/>
        </w:rPr>
      </w:pPr>
      <w:r>
        <w:rPr>
          <w:rFonts w:ascii="华文新魏" w:eastAsia="华文新魏" w:hint="eastAsia"/>
          <w:kern w:val="0"/>
          <w:sz w:val="32"/>
          <w:szCs w:val="32"/>
        </w:rPr>
        <w:t>三是深入推进安全生产“铸安”行动常态化实效化和安全风险管控“六项机制”制度化规范化。</w:t>
      </w:r>
      <w:r>
        <w:rPr>
          <w:rFonts w:ascii="仿宋_GB2312" w:eastAsia="仿宋_GB2312" w:hAnsi="宋体" w:cs="宋体" w:hint="eastAsia"/>
          <w:kern w:val="0"/>
          <w:sz w:val="32"/>
          <w:szCs w:val="32"/>
          <w:shd w:val="clear" w:color="auto" w:fill="FFFFFF"/>
        </w:rPr>
        <w:t>以隐患排查治理、执法监管、法治建设、基础能力建设、重点行业专项治理为主要内容，持续加强“铸安”行动常态化建设。坚持风险预控、关口前移、重心下沉，以风险查找“三化”、风险研判“四制”、预警分级、防范科学、处置有效、责任明确为内容，扎实推进安全风险管控“六项机制”制度化规范化建设。</w:t>
      </w:r>
    </w:p>
    <w:p>
      <w:pPr>
        <w:adjustRightInd w:val="0"/>
        <w:snapToGrid w:val="0"/>
        <w:spacing w:line="540" w:lineRule="exact"/>
        <w:ind w:firstLine="640" w:firstLineChars="200"/>
        <w:rPr>
          <w:rFonts w:ascii="仿宋_GB2312" w:eastAsia="仿宋_GB2312"/>
          <w:kern w:val="0"/>
          <w:sz w:val="32"/>
          <w:szCs w:val="32"/>
        </w:rPr>
      </w:pPr>
      <w:r>
        <w:rPr>
          <w:rFonts w:ascii="华文新魏" w:eastAsia="华文新魏" w:hint="eastAsia"/>
          <w:kern w:val="0"/>
          <w:sz w:val="32"/>
          <w:szCs w:val="32"/>
        </w:rPr>
        <w:t>四是全面推进安全生产责任制落实。</w:t>
      </w:r>
      <w:r>
        <w:rPr>
          <w:rFonts w:ascii="仿宋_GB2312" w:eastAsia="仿宋_GB2312" w:hint="eastAsia"/>
          <w:kern w:val="0"/>
          <w:sz w:val="32"/>
          <w:szCs w:val="32"/>
        </w:rPr>
        <w:t>大力推动地方党政领导干部安全生产责任制规定落实，推动有关部门按照“三个必须”落实监管责任，重点从加强督查考核，落实安全生产黑名单制度，严格执行检查等方面，创新常抓严抓安全监管机制，倒逼企业落实主体责任和部门落实监管责任。</w:t>
      </w:r>
    </w:p>
    <w:p>
      <w:pPr>
        <w:adjustRightInd w:val="0"/>
        <w:snapToGrid w:val="0"/>
        <w:spacing w:line="540" w:lineRule="exact"/>
        <w:ind w:firstLine="640" w:firstLineChars="200"/>
        <w:rPr>
          <w:rFonts w:ascii="仿宋_GB2312" w:eastAsia="仿宋_GB2312"/>
          <w:kern w:val="0"/>
          <w:sz w:val="32"/>
          <w:szCs w:val="32"/>
        </w:rPr>
      </w:pPr>
      <w:r>
        <w:rPr>
          <w:rFonts w:ascii="华文新魏" w:eastAsia="华文新魏" w:hAnsi="宋体" w:cs="宋体" w:hint="eastAsia"/>
          <w:kern w:val="0"/>
          <w:sz w:val="32"/>
          <w:szCs w:val="32"/>
          <w:shd w:val="clear" w:color="auto" w:fill="FFFFFF"/>
        </w:rPr>
        <w:t>五是大力提升安全基础保障能力。</w:t>
      </w:r>
      <w:r>
        <w:rPr>
          <w:rFonts w:ascii="仿宋_GB2312" w:eastAsia="仿宋_GB2312" w:hAnsi="宋体" w:cs="宋体" w:hint="eastAsia"/>
          <w:kern w:val="0"/>
          <w:sz w:val="32"/>
          <w:szCs w:val="32"/>
          <w:shd w:val="clear" w:color="auto" w:fill="FFFFFF"/>
        </w:rPr>
        <w:t>进一步加强安全监管和应急管理队伍建设，提升安全生产和应急保障能力。</w:t>
      </w:r>
      <w:r>
        <w:rPr>
          <w:rFonts w:ascii="仿宋_GB2312" w:eastAsia="仿宋_GB2312" w:hint="eastAsia"/>
          <w:kern w:val="0"/>
          <w:sz w:val="32"/>
          <w:szCs w:val="32"/>
        </w:rPr>
        <w:t>进一步完善财政资金支持、加大安全生产投入的政策措施，加快弥补安全生产信息化短板，在高危行业领域大力推动应用人工智能、机器人，建立完善保险机构参与事故预防的社会化服务体系，加快构建安全生产长效机制。</w:t>
      </w:r>
      <w:r>
        <w:rPr>
          <w:rFonts w:ascii="仿宋_GB2312" w:eastAsia="仿宋_GB2312" w:hAnsi="宋体" w:cs="宋体" w:hint="eastAsia"/>
          <w:kern w:val="0"/>
          <w:sz w:val="32"/>
          <w:szCs w:val="32"/>
          <w:shd w:val="clear" w:color="auto" w:fill="FFFFFF"/>
        </w:rPr>
        <w:t>围绕</w:t>
      </w:r>
      <w:r>
        <w:rPr>
          <w:rFonts w:ascii="仿宋_GB2312" w:eastAsia="仿宋_GB2312" w:hint="eastAsia"/>
          <w:kern w:val="0"/>
          <w:sz w:val="32"/>
          <w:szCs w:val="32"/>
        </w:rPr>
        <w:t>学习习近平总书记关于安全生产的重要论述精神、安全生产方针政策、法律法规、标准规范等内容，加强培训，强化各级领导干部坚守底线、防控风险的意识，加强一线技术工人实操技能培训。要面向广大人民群众，认真组织开展安全生产宣传活动，强化安全法治宣传，普及安全知识，提升广大人民群众的安全意识、防灾减灾知识，营造良好的安全氛围。</w:t>
      </w:r>
    </w:p>
    <w:p>
      <w:pPr>
        <w:widowControl/>
        <w:adjustRightInd w:val="0"/>
        <w:snapToGrid w:val="0"/>
        <w:spacing w:line="560" w:lineRule="exact"/>
        <w:ind w:firstLine="707" w:firstLineChars="221"/>
        <w:jc w:val="left"/>
        <w:rPr>
          <w:rFonts w:ascii="仿宋_GB2312" w:eastAsia="仿宋_GB2312" w:hAnsi="Tahoma"/>
          <w:kern w:val="0"/>
          <w:sz w:val="32"/>
          <w:szCs w:val="32"/>
        </w:rPr>
      </w:pPr>
      <w:r>
        <w:rPr>
          <w:rFonts w:ascii="楷体_GB2312" w:eastAsia="楷体_GB2312" w:hAnsi="Tahoma" w:hint="eastAsia"/>
          <w:b/>
          <w:bCs/>
          <w:kern w:val="0"/>
          <w:sz w:val="32"/>
          <w:szCs w:val="32"/>
        </w:rPr>
        <w:t>（二）防汛抗旱方面。</w:t>
      </w:r>
      <w:r>
        <w:rPr>
          <w:rFonts w:ascii="仿宋_GB2312" w:eastAsia="仿宋_GB2312" w:hAnsi="Tahoma" w:hint="eastAsia"/>
          <w:kern w:val="0"/>
          <w:sz w:val="32"/>
          <w:szCs w:val="32"/>
        </w:rPr>
        <w:t>一是认真落实防汛抗旱责任制，及时调整充实县防汛抗旱指挥部组成人员，制定岗位责任制，压实防汛抗旱责任。二是组织开展汛前检查工作，及时消除汛期安全隐患，确保汛期安全。三是积极筹备防汛物资，更新防汛器材，确保防汛抗旱物资准备到位。四是修订完善各类防汛预案，确保安全度汛。五是加强应急值守工作，严格执行汛期24小时人员值班和领导带班制度，确保信息畅通。</w:t>
      </w:r>
    </w:p>
    <w:p>
      <w:pPr>
        <w:widowControl/>
        <w:adjustRightInd w:val="0"/>
        <w:snapToGrid w:val="0"/>
        <w:spacing w:line="560" w:lineRule="exact"/>
        <w:ind w:firstLine="707" w:firstLineChars="221"/>
        <w:jc w:val="left"/>
        <w:rPr>
          <w:rFonts w:ascii="仿宋_GB2312" w:eastAsia="仿宋_GB2312" w:hAnsi="Tahoma"/>
          <w:kern w:val="0"/>
          <w:sz w:val="32"/>
          <w:szCs w:val="32"/>
        </w:rPr>
      </w:pPr>
      <w:r>
        <w:rPr>
          <w:rFonts w:ascii="楷体_GB2312" w:eastAsia="楷体_GB2312" w:hAnsi="Tahoma" w:hint="eastAsia"/>
          <w:b/>
          <w:bCs/>
          <w:kern w:val="0"/>
          <w:sz w:val="32"/>
          <w:szCs w:val="32"/>
        </w:rPr>
        <w:t>（三）防灾减灾救灾方面。</w:t>
      </w:r>
      <w:r>
        <w:rPr>
          <w:rFonts w:ascii="仿宋_GB2312" w:eastAsia="仿宋_GB2312" w:hAnsi="Tahoma" w:hint="eastAsia"/>
          <w:kern w:val="0"/>
          <w:sz w:val="32"/>
          <w:szCs w:val="32"/>
        </w:rPr>
        <w:t>一是进一步加强建设自然灾害应急管理基础能力。加大镇（乡）、村两级灾害信息员培训力度，并建立长效工作机制。二是做好减灾宣传，强化公众减灾意识。充分利用“5.12”防灾减灾日和“国际减灾日”开展减灾防灾宣传，利用电视、网络等多种途径提高广大群众对减灾防灾知识、政策的知晓率。三是建立自然灾害防治工作联席会议等制度，提升我县灾害应急救援能力和防灾减灾水平。做好灾情的监测和预警工作，</w:t>
      </w:r>
      <w:r>
        <w:rPr>
          <w:rFonts w:ascii="仿宋_GB2312" w:eastAsia="仿宋_GB2312" w:hAnsi="Tahoma" w:hint="eastAsia"/>
          <w:kern w:val="0"/>
          <w:sz w:val="32"/>
          <w:szCs w:val="32"/>
        </w:rPr>
        <w:t>救灾物资</w:t>
      </w:r>
      <w:r>
        <w:rPr>
          <w:rFonts w:ascii="仿宋_GB2312" w:eastAsia="仿宋_GB2312" w:hAnsi="Tahoma" w:hint="eastAsia"/>
          <w:kern w:val="0"/>
          <w:sz w:val="32"/>
          <w:szCs w:val="32"/>
        </w:rPr>
        <w:t>的储备计划、救灾资金的规范使用等工作。四是继续推动“综合减灾示范社区”创建工作。“综合减灾示范社区”的创建，将进一步推进城市综合减灾能力提升，提高人民群众对减灾防灾工作的知晓、认同、重视程度。</w:t>
      </w:r>
    </w:p>
    <w:p>
      <w:pPr>
        <w:pStyle w:val="NormalWeb"/>
        <w:adjustRightInd w:val="0"/>
        <w:snapToGrid w:val="0"/>
        <w:spacing w:line="560" w:lineRule="exact"/>
        <w:rPr>
          <w:rFonts w:ascii="TimesNewRoman" w:eastAsia="黑体" w:hAnsi="TimesNewRoman" w:cs="TimesNewRoman"/>
          <w:bCs/>
          <w:sz w:val="36"/>
          <w:szCs w:val="36"/>
        </w:rPr>
      </w:pPr>
    </w:p>
    <w:p>
      <w:pPr>
        <w:pStyle w:val="NormalWeb"/>
        <w:adjustRightInd w:val="0"/>
        <w:snapToGrid w:val="0"/>
        <w:spacing w:line="560" w:lineRule="exact"/>
        <w:rPr>
          <w:rFonts w:ascii="TimesNewRoman" w:eastAsia="黑体" w:hAnsi="TimesNewRoman" w:cs="TimesNewRoman"/>
          <w:bCs/>
          <w:sz w:val="36"/>
          <w:szCs w:val="36"/>
        </w:rPr>
      </w:pPr>
    </w:p>
    <w:p>
      <w:pPr>
        <w:pStyle w:val="NormalWeb"/>
        <w:adjustRightInd w:val="0"/>
        <w:snapToGrid w:val="0"/>
        <w:spacing w:line="560" w:lineRule="exact"/>
        <w:rPr>
          <w:rFonts w:ascii="TimesNewRoman" w:eastAsia="黑体" w:hAnsi="TimesNewRoman" w:cs="TimesNewRoman"/>
          <w:bCs/>
          <w:sz w:val="36"/>
          <w:szCs w:val="36"/>
        </w:rPr>
      </w:pPr>
    </w:p>
    <w:p>
      <w:pPr>
        <w:pStyle w:val="NormalWeb"/>
        <w:adjustRightInd w:val="0"/>
        <w:snapToGrid w:val="0"/>
        <w:spacing w:line="560" w:lineRule="exact"/>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720" w:firstLineChars="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720" w:firstLineChars="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720" w:firstLineChars="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720" w:firstLineChars="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720" w:firstLineChars="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720" w:firstLineChars="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720" w:firstLineChars="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720" w:firstLineChars="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720" w:firstLineChars="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720" w:firstLineChars="200"/>
        <w:jc w:val="both"/>
        <w:rPr>
          <w:rFonts w:ascii="TimesNewRoman" w:eastAsia="黑体" w:hAnsi="TimesNewRoman" w:cs="TimesNewRoman"/>
          <w:bCs/>
          <w:sz w:val="36"/>
          <w:szCs w:val="36"/>
        </w:rPr>
      </w:pPr>
      <w:r>
        <w:rPr>
          <w:rFonts w:ascii="TimesNewRoman" w:eastAsia="黑体" w:hAnsi="TimesNewRoman" w:cs="TimesNewRoman"/>
          <w:bCs/>
          <w:sz w:val="36"/>
          <w:szCs w:val="36"/>
        </w:rPr>
        <w:t xml:space="preserve">第二部分 </w:t>
      </w:r>
      <w:r>
        <w:rPr>
          <w:rFonts w:ascii="TimesNewRoman" w:eastAsia="黑体" w:hAnsi="TimesNewRoman" w:cs="TimesNewRoman" w:hint="eastAsia"/>
          <w:bCs/>
          <w:sz w:val="36"/>
          <w:szCs w:val="36"/>
        </w:rPr>
        <w:t>2024</w:t>
      </w:r>
      <w:r>
        <w:rPr>
          <w:rFonts w:ascii="TimesNewRoman" w:eastAsia="黑体" w:hAnsi="TimesNewRoman" w:cs="TimesNewRoman"/>
          <w:bCs/>
          <w:sz w:val="36"/>
          <w:szCs w:val="36"/>
        </w:rPr>
        <w:t>年部门预算表</w:t>
      </w:r>
    </w:p>
    <w:p>
      <w:pPr>
        <w:spacing w:line="560" w:lineRule="exact"/>
        <w:ind w:firstLine="6600" w:firstLineChars="3300"/>
        <w:jc w:val="left"/>
        <w:rPr>
          <w:rFonts w:ascii="TimesNewRoman" w:hAnsi="TimesNewRoman" w:cs="TimesNewRoman" w:hint="eastAsia"/>
          <w:kern w:val="0"/>
          <w:sz w:val="20"/>
        </w:rPr>
      </w:pP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公开表1</w:t>
      </w:r>
    </w:p>
    <w:p>
      <w:pPr>
        <w:spacing w:line="560" w:lineRule="exact"/>
        <w:jc w:val="center"/>
        <w:rPr>
          <w:rFonts w:ascii="宋体" w:hAnsi="宋体" w:cs="TimesNewRoman"/>
          <w:kern w:val="0"/>
          <w:sz w:val="24"/>
        </w:rPr>
      </w:pPr>
      <w:r>
        <w:rPr>
          <w:rFonts w:ascii="宋体" w:hAnsi="宋体" w:cs="TimesNewRoman" w:hint="eastAsia"/>
          <w:b/>
          <w:bCs/>
          <w:kern w:val="0"/>
          <w:sz w:val="28"/>
          <w:szCs w:val="32"/>
        </w:rPr>
        <w:t>寿县</w:t>
      </w:r>
      <w:r>
        <w:rPr>
          <w:rFonts w:ascii="宋体" w:hAnsi="宋体" w:cs="TimesNewRoman" w:hint="eastAsia"/>
          <w:b/>
          <w:bCs/>
          <w:kern w:val="0"/>
          <w:sz w:val="28"/>
          <w:szCs w:val="32"/>
          <w:lang w:eastAsia="zh-CN"/>
        </w:rPr>
        <w:t>应急管理局</w:t>
      </w:r>
      <w:r>
        <w:rPr>
          <w:rFonts w:ascii="宋体" w:hAnsi="宋体" w:cs="TimesNewRoman" w:hint="eastAsia"/>
          <w:b/>
          <w:bCs/>
          <w:kern w:val="0"/>
          <w:sz w:val="28"/>
          <w:szCs w:val="32"/>
        </w:rPr>
        <w:t>2024</w:t>
      </w:r>
      <w:r>
        <w:rPr>
          <w:rFonts w:ascii="宋体" w:hAnsi="宋体" w:cs="TimesNewRoman"/>
          <w:b/>
          <w:bCs/>
          <w:kern w:val="0"/>
          <w:sz w:val="28"/>
          <w:szCs w:val="32"/>
        </w:rPr>
        <w:t>年收支总表</w:t>
      </w:r>
    </w:p>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9220" w:type="dxa"/>
        <w:tblInd w:w="0" w:type="dxa"/>
        <w:tblLayout w:type="fixed"/>
        <w:tblCellMar>
          <w:top w:w="0" w:type="dxa"/>
          <w:left w:w="108" w:type="dxa"/>
          <w:bottom w:w="0" w:type="dxa"/>
          <w:right w:w="108" w:type="dxa"/>
        </w:tblCellMar>
      </w:tblPr>
      <w:tblGrid>
        <w:gridCol w:w="3728"/>
        <w:gridCol w:w="1089"/>
        <w:gridCol w:w="3470"/>
        <w:gridCol w:w="933"/>
      </w:tblGrid>
      <w:tr>
        <w:tblPrEx>
          <w:tblW w:w="9220" w:type="dxa"/>
          <w:tblInd w:w="0" w:type="dxa"/>
          <w:tblLayout w:type="fixed"/>
          <w:tblCellMar>
            <w:top w:w="0" w:type="dxa"/>
            <w:left w:w="108" w:type="dxa"/>
            <w:bottom w:w="0" w:type="dxa"/>
            <w:right w:w="108" w:type="dxa"/>
          </w:tblCellMar>
        </w:tblPrEx>
        <w:trPr>
          <w:trHeight w:val="12"/>
        </w:trPr>
        <w:tc>
          <w:tcPr>
            <w:tcW w:w="4817"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 xml:space="preserve">          收            入             </w:t>
            </w:r>
          </w:p>
        </w:tc>
        <w:tc>
          <w:tcPr>
            <w:tcW w:w="4403" w:type="dxa"/>
            <w:gridSpan w:val="2"/>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支          出</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收 入 项 目</w:t>
            </w:r>
          </w:p>
        </w:tc>
        <w:tc>
          <w:tcPr>
            <w:tcW w:w="1089" w:type="dxa"/>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预算数</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支出功能分类科目</w:t>
            </w:r>
          </w:p>
        </w:tc>
        <w:tc>
          <w:tcPr>
            <w:tcW w:w="933" w:type="dxa"/>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预算数</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一、一般公共预算拨款收入</w:t>
            </w:r>
          </w:p>
        </w:tc>
        <w:tc>
          <w:tcPr>
            <w:tcW w:w="108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815.96</w:t>
            </w: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一、一般公共服务支出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二、外交支出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三、国防支出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二、政府性基金预算拨款收入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四、公共安全支出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五、教育支出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六、科学技术支出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rPr>
                <w:rFonts w:ascii="TimesNewRoman" w:hAnsi="TimesNewRoman" w:cs="TimesNewRoman"/>
                <w:kern w:val="0"/>
                <w:sz w:val="18"/>
                <w:szCs w:val="18"/>
              </w:rPr>
            </w:pPr>
            <w:r>
              <w:rPr>
                <w:rFonts w:ascii="TimesNewRoman" w:hAnsi="TimesNewRoman" w:cs="TimesNewRoman"/>
                <w:kern w:val="0"/>
                <w:sz w:val="18"/>
                <w:szCs w:val="18"/>
              </w:rPr>
              <w:t>三、国有资本经营预算拨款收入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七、文化旅游体育与传媒支出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八、社会保障和就业支出</w:t>
            </w:r>
          </w:p>
        </w:tc>
        <w:tc>
          <w:tcPr>
            <w:tcW w:w="933" w:type="dxa"/>
            <w:tcBorders>
              <w:top w:val="single" w:sz="4" w:space="0" w:color="auto"/>
              <w:left w:val="single" w:sz="4" w:space="0" w:color="auto"/>
              <w:bottom w:val="nil"/>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18"/>
                <w:szCs w:val="18"/>
                <w:u w:val="none"/>
                <w:lang w:val="en-US" w:eastAsia="zh-CN" w:bidi="ar"/>
              </w:rPr>
              <w:t>100.02</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九、卫生健康支出</w:t>
            </w:r>
          </w:p>
        </w:tc>
        <w:tc>
          <w:tcPr>
            <w:tcW w:w="933" w:type="dxa"/>
            <w:tcBorders>
              <w:top w:val="single" w:sz="4" w:space="0" w:color="auto"/>
              <w:left w:val="single" w:sz="4" w:space="0" w:color="auto"/>
              <w:bottom w:val="nil"/>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18"/>
                <w:szCs w:val="18"/>
                <w:u w:val="none"/>
                <w:lang w:val="en-US" w:eastAsia="zh-CN" w:bidi="ar"/>
              </w:rPr>
              <w:t>23.99</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四、财政专户管理资金收入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十、节能环保支出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十一、城乡社区支出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五、单位资金收入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十二、农林水支出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其中：事业收入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十三、交通运输支出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事业单位经营收入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十四、资源勘探工业信息等支出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上级补助收入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十五、商业服务业等支出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附属单位上缴收入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十六、金融支出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其他收入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十七、援助其他地区支出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十八、自然资源海洋气象等支出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十九、住房保障支出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49.10</w:t>
            </w: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二十、粮油物资储备支出</w:t>
            </w:r>
          </w:p>
        </w:tc>
        <w:tc>
          <w:tcPr>
            <w:tcW w:w="933"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二十一、灾害防治及应急管理支出</w:t>
            </w:r>
          </w:p>
        </w:tc>
        <w:tc>
          <w:tcPr>
            <w:tcW w:w="93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2"/>
                <w:sz w:val="18"/>
                <w:szCs w:val="18"/>
                <w:u w:val="none"/>
                <w:lang w:val="en-US" w:eastAsia="zh-CN" w:bidi="ar-SA"/>
              </w:rPr>
            </w:pPr>
            <w:r>
              <w:rPr>
                <w:rFonts w:ascii="宋体" w:eastAsia="宋体" w:hAnsi="宋体" w:cs="宋体" w:hint="eastAsia"/>
                <w:i w:val="0"/>
                <w:iCs w:val="0"/>
                <w:color w:val="000000"/>
                <w:kern w:val="0"/>
                <w:sz w:val="18"/>
                <w:szCs w:val="18"/>
                <w:u w:val="none"/>
                <w:lang w:val="en-US" w:eastAsia="zh-CN" w:bidi="ar"/>
              </w:rPr>
              <w:t>642.84</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二十二、预备费</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二十三、其他支出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二十四、转移性支出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二十五、债务还本支出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二十六、债务付息支出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二十七、债务发行费用支出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kern w:val="0"/>
                <w:sz w:val="18"/>
                <w:szCs w:val="18"/>
              </w:rPr>
            </w:pPr>
            <w:r>
              <w:rPr>
                <w:rFonts w:ascii="TimesNewRoman" w:hAnsi="TimesNewRoman" w:cs="TimesNewRoman"/>
                <w:kern w:val="0"/>
                <w:sz w:val="18"/>
                <w:szCs w:val="18"/>
              </w:rPr>
              <w:t>本  年  收  入  小  计</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815.96</w:t>
            </w: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kern w:val="0"/>
                <w:sz w:val="18"/>
                <w:szCs w:val="18"/>
              </w:rPr>
            </w:pPr>
            <w:r>
              <w:rPr>
                <w:rFonts w:ascii="TimesNewRoman" w:hAnsi="TimesNewRoman" w:cs="TimesNewRoman"/>
                <w:kern w:val="0"/>
                <w:sz w:val="18"/>
                <w:szCs w:val="18"/>
              </w:rPr>
              <w:t>本  年  支  出  小  计</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815.96</w:t>
            </w: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eastAsia="仿宋_GB2312" w:hAnsi="TimesNewRoman" w:cs="TimesNewRoman" w:hint="eastAsia"/>
                <w:kern w:val="0"/>
                <w:sz w:val="18"/>
                <w:szCs w:val="18"/>
              </w:rPr>
            </w:pPr>
            <w:r>
              <w:rPr>
                <w:rFonts w:ascii="TimesNewRoman" w:hAnsi="TimesNewRoman" w:cs="TimesNewRoman"/>
                <w:kern w:val="0"/>
                <w:sz w:val="18"/>
                <w:szCs w:val="18"/>
              </w:rPr>
              <w:t>上年</w:t>
            </w:r>
            <w:r>
              <w:rPr>
                <w:rFonts w:ascii="TimesNewRoman" w:hAnsi="TimesNewRoman" w:cs="TimesNewRoman" w:hint="eastAsia"/>
                <w:kern w:val="0"/>
                <w:sz w:val="18"/>
                <w:szCs w:val="18"/>
              </w:rPr>
              <w:t>结转数</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eastAsia="仿宋_GB2312" w:hAnsi="TimesNewRoman" w:cs="TimesNewRoman" w:hint="eastAsia"/>
                <w:kern w:val="0"/>
                <w:sz w:val="18"/>
                <w:szCs w:val="18"/>
              </w:rPr>
            </w:pPr>
            <w:r>
              <w:rPr>
                <w:rFonts w:ascii="TimesNewRoman" w:hAnsi="TimesNewRoman" w:cs="TimesNewRoman" w:hint="eastAsia"/>
                <w:kern w:val="0"/>
                <w:sz w:val="18"/>
                <w:szCs w:val="18"/>
              </w:rPr>
              <w:t>结转下年</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一般公共预算</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一般公共预算</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政府性基金预算</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政府性基金预算</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国有资本经营预算</w:t>
            </w:r>
          </w:p>
        </w:tc>
        <w:tc>
          <w:tcPr>
            <w:tcW w:w="1089" w:type="dxa"/>
            <w:tcBorders>
              <w:top w:val="nil"/>
              <w:left w:val="nil"/>
              <w:bottom w:val="single" w:sz="4" w:space="0" w:color="auto"/>
              <w:right w:val="single" w:sz="4" w:space="0" w:color="auto"/>
            </w:tcBorders>
            <w:noWrap w:val="0"/>
            <w:vAlign w:val="bottom"/>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国有资本经营预算</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财政专户管理资金</w:t>
            </w:r>
          </w:p>
        </w:tc>
        <w:tc>
          <w:tcPr>
            <w:tcW w:w="1089" w:type="dxa"/>
            <w:tcBorders>
              <w:top w:val="nil"/>
              <w:left w:val="nil"/>
              <w:bottom w:val="single" w:sz="4" w:space="0" w:color="auto"/>
              <w:right w:val="single" w:sz="4" w:space="0" w:color="auto"/>
            </w:tcBorders>
            <w:noWrap w:val="0"/>
            <w:vAlign w:val="bottom"/>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财政专户管理资金</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单位资金</w:t>
            </w:r>
          </w:p>
        </w:tc>
        <w:tc>
          <w:tcPr>
            <w:tcW w:w="1089" w:type="dxa"/>
            <w:tcBorders>
              <w:top w:val="nil"/>
              <w:left w:val="nil"/>
              <w:bottom w:val="single" w:sz="4" w:space="0" w:color="auto"/>
              <w:right w:val="single" w:sz="4" w:space="0" w:color="auto"/>
            </w:tcBorders>
            <w:noWrap w:val="0"/>
            <w:vAlign w:val="bottom"/>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单位资金</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   总   计</w:t>
            </w:r>
          </w:p>
        </w:tc>
        <w:tc>
          <w:tcPr>
            <w:tcW w:w="1089" w:type="dxa"/>
            <w:tcBorders>
              <w:top w:val="nil"/>
              <w:left w:val="nil"/>
              <w:bottom w:val="single" w:sz="4" w:space="0" w:color="auto"/>
              <w:right w:val="single" w:sz="4" w:space="0" w:color="auto"/>
            </w:tcBorders>
            <w:noWrap w:val="0"/>
            <w:vAlign w:val="bottom"/>
          </w:tcPr>
          <w:p>
            <w:pPr>
              <w:widowControl/>
              <w:spacing w:line="260" w:lineRule="exact"/>
              <w:jc w:val="right"/>
              <w:rPr>
                <w:rFonts w:ascii="TimesNewRoman" w:hAnsi="TimesNewRoman" w:cs="TimesNewRoman"/>
                <w:b/>
                <w:bCs/>
                <w:kern w:val="0"/>
                <w:sz w:val="18"/>
                <w:szCs w:val="18"/>
              </w:rPr>
            </w:pPr>
            <w:r>
              <w:rPr>
                <w:rFonts w:ascii="TimesNewRoman" w:hAnsi="TimesNewRoman" w:cs="TimesNewRoman" w:hint="eastAsia"/>
                <w:b/>
                <w:bCs/>
                <w:kern w:val="0"/>
                <w:sz w:val="18"/>
                <w:szCs w:val="18"/>
                <w:lang w:val="en-US" w:eastAsia="zh-CN"/>
              </w:rPr>
              <w:t>815.96</w:t>
            </w:r>
            <w:r>
              <w:rPr>
                <w:rFonts w:ascii="TimesNewRoman" w:hAnsi="TimesNewRoman" w:cs="TimesNewRoman"/>
                <w:b/>
                <w:bCs/>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　出  总　计</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815.96</w:t>
            </w:r>
            <w:r>
              <w:rPr>
                <w:rFonts w:ascii="TimesNewRoman" w:hAnsi="TimesNewRoman" w:cs="TimesNewRoman"/>
                <w:kern w:val="0"/>
                <w:sz w:val="18"/>
                <w:szCs w:val="18"/>
              </w:rPr>
              <w:t>　</w:t>
            </w:r>
          </w:p>
        </w:tc>
      </w:tr>
    </w:tbl>
    <w:p>
      <w:pPr>
        <w:spacing w:line="560" w:lineRule="exact"/>
        <w:jc w:val="center"/>
        <w:rPr>
          <w:rFonts w:ascii="TimesNewRoman" w:hAnsi="TimesNewRoman" w:cs="TimesNewRoman"/>
          <w:kern w:val="0"/>
          <w:sz w:val="20"/>
        </w:rPr>
        <w:sectPr>
          <w:footerReference w:type="even" r:id="rId4"/>
          <w:footerReference w:type="default" r:id="rId5"/>
          <w:pgSz w:w="11907" w:h="16840"/>
          <w:pgMar w:top="2098" w:right="1474" w:bottom="1985" w:left="1588" w:header="851" w:footer="1021" w:gutter="0"/>
          <w:cols w:num="1" w:space="425"/>
          <w:titlePg/>
          <w:docGrid w:type="linesAndChars" w:linePitch="312" w:charSpace="0"/>
        </w:sectPr>
      </w:pPr>
    </w:p>
    <w:p>
      <w:pPr>
        <w:spacing w:line="560" w:lineRule="exact"/>
        <w:jc w:val="center"/>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公开表2</w:t>
      </w:r>
    </w:p>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eastAsia="zh-CN"/>
        </w:rPr>
        <w:t>应急管理局</w:t>
      </w:r>
      <w:r>
        <w:rPr>
          <w:rFonts w:ascii="宋体" w:hAnsi="宋体" w:cs="TimesNewRoman" w:hint="eastAsia"/>
          <w:b/>
          <w:bCs/>
          <w:kern w:val="0"/>
          <w:sz w:val="28"/>
          <w:szCs w:val="32"/>
        </w:rPr>
        <w:t>2024</w:t>
      </w:r>
      <w:r>
        <w:rPr>
          <w:rFonts w:ascii="宋体" w:hAnsi="宋体" w:cs="TimesNewRoman"/>
          <w:b/>
          <w:bCs/>
          <w:kern w:val="0"/>
          <w:sz w:val="28"/>
          <w:szCs w:val="32"/>
        </w:rPr>
        <w:t>年收入总表</w:t>
      </w:r>
    </w:p>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14535" w:type="dxa"/>
        <w:tblInd w:w="-236" w:type="dxa"/>
        <w:tblLayout w:type="fixed"/>
        <w:tblCellMar>
          <w:top w:w="0" w:type="dxa"/>
          <w:left w:w="108" w:type="dxa"/>
          <w:bottom w:w="0" w:type="dxa"/>
          <w:right w:w="108" w:type="dxa"/>
        </w:tblCellMar>
      </w:tblPr>
      <w:tblGrid>
        <w:gridCol w:w="1215"/>
        <w:gridCol w:w="2640"/>
        <w:gridCol w:w="825"/>
        <w:gridCol w:w="840"/>
        <w:gridCol w:w="300"/>
        <w:gridCol w:w="405"/>
        <w:gridCol w:w="345"/>
        <w:gridCol w:w="529"/>
        <w:gridCol w:w="543"/>
        <w:gridCol w:w="543"/>
        <w:gridCol w:w="517"/>
        <w:gridCol w:w="350"/>
        <w:gridCol w:w="302"/>
        <w:gridCol w:w="656"/>
        <w:gridCol w:w="652"/>
        <w:gridCol w:w="652"/>
        <w:gridCol w:w="652"/>
        <w:gridCol w:w="652"/>
        <w:gridCol w:w="652"/>
        <w:gridCol w:w="93"/>
        <w:gridCol w:w="1172"/>
      </w:tblGrid>
      <w:tr>
        <w:tblPrEx>
          <w:tblW w:w="14535" w:type="dxa"/>
          <w:tblInd w:w="-236" w:type="dxa"/>
          <w:tblLayout w:type="fixed"/>
          <w:tblCellMar>
            <w:top w:w="0" w:type="dxa"/>
            <w:left w:w="108" w:type="dxa"/>
            <w:bottom w:w="0" w:type="dxa"/>
            <w:right w:w="108" w:type="dxa"/>
          </w:tblCellMar>
        </w:tblPrEx>
        <w:trPr>
          <w:gridAfter w:val="1"/>
          <w:wAfter w:w="1172" w:type="dxa"/>
          <w:trHeight w:val="340"/>
        </w:trPr>
        <w:tc>
          <w:tcPr>
            <w:tcW w:w="1215"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5"/>
                <w:szCs w:val="15"/>
              </w:rPr>
            </w:pPr>
            <w:r>
              <w:rPr>
                <w:rFonts w:ascii="TimesNewRoman" w:hAnsi="TimesNewRoman" w:cs="TimesNewRoman"/>
                <w:b/>
                <w:kern w:val="0"/>
                <w:sz w:val="15"/>
                <w:szCs w:val="15"/>
              </w:rPr>
              <w:t>部门（单位）名称</w:t>
            </w:r>
          </w:p>
        </w:tc>
        <w:tc>
          <w:tcPr>
            <w:tcW w:w="2640"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5"/>
                <w:szCs w:val="15"/>
              </w:rPr>
            </w:pPr>
            <w:r>
              <w:rPr>
                <w:rFonts w:ascii="TimesNewRoman" w:hAnsi="TimesNewRoman" w:cs="TimesNewRoman"/>
                <w:b/>
                <w:kern w:val="0"/>
                <w:sz w:val="15"/>
                <w:szCs w:val="15"/>
              </w:rPr>
              <w:t>合计</w:t>
            </w:r>
          </w:p>
        </w:tc>
        <w:tc>
          <w:tcPr>
            <w:tcW w:w="5197" w:type="dxa"/>
            <w:gridSpan w:val="10"/>
            <w:tcBorders>
              <w:top w:val="single" w:sz="4" w:space="0" w:color="auto"/>
              <w:left w:val="nil"/>
              <w:bottom w:val="single" w:sz="4" w:space="0" w:color="auto"/>
              <w:right w:val="single" w:sz="4" w:space="0" w:color="000000"/>
            </w:tcBorders>
            <w:noWrap w:val="0"/>
            <w:vAlign w:val="center"/>
          </w:tcPr>
          <w:p>
            <w:pPr>
              <w:widowControl/>
              <w:spacing w:line="260" w:lineRule="exact"/>
              <w:jc w:val="center"/>
              <w:rPr>
                <w:rFonts w:ascii="TimesNewRoman" w:hAnsi="TimesNewRoman" w:cs="TimesNewRoman"/>
                <w:b/>
                <w:kern w:val="0"/>
                <w:sz w:val="15"/>
                <w:szCs w:val="15"/>
              </w:rPr>
            </w:pPr>
            <w:r>
              <w:rPr>
                <w:rFonts w:ascii="TimesNewRoman" w:hAnsi="TimesNewRoman" w:cs="TimesNewRoman"/>
                <w:b/>
                <w:kern w:val="0"/>
                <w:sz w:val="15"/>
                <w:szCs w:val="15"/>
              </w:rPr>
              <w:t>本年收入</w:t>
            </w:r>
          </w:p>
        </w:tc>
        <w:tc>
          <w:tcPr>
            <w:tcW w:w="4311" w:type="dxa"/>
            <w:gridSpan w:val="8"/>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5"/>
                <w:szCs w:val="15"/>
              </w:rPr>
            </w:pPr>
            <w:r>
              <w:rPr>
                <w:rFonts w:ascii="TimesNewRoman" w:hAnsi="TimesNewRoman" w:cs="TimesNewRoman"/>
                <w:b/>
                <w:kern w:val="0"/>
                <w:sz w:val="15"/>
                <w:szCs w:val="15"/>
              </w:rPr>
              <w:t>上年结转结余</w:t>
            </w:r>
          </w:p>
        </w:tc>
      </w:tr>
      <w:tr>
        <w:tblPrEx>
          <w:tblW w:w="14535" w:type="dxa"/>
          <w:tblInd w:w="-236" w:type="dxa"/>
          <w:tblLayout w:type="fixed"/>
          <w:tblCellMar>
            <w:top w:w="0" w:type="dxa"/>
            <w:left w:w="108" w:type="dxa"/>
            <w:bottom w:w="0" w:type="dxa"/>
            <w:right w:w="108" w:type="dxa"/>
          </w:tblCellMar>
        </w:tblPrEx>
        <w:trPr>
          <w:trHeight w:val="357"/>
        </w:trPr>
        <w:tc>
          <w:tcPr>
            <w:tcW w:w="1215"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b/>
                <w:kern w:val="0"/>
                <w:sz w:val="15"/>
                <w:szCs w:val="15"/>
              </w:rPr>
            </w:pPr>
          </w:p>
        </w:tc>
        <w:tc>
          <w:tcPr>
            <w:tcW w:w="2640"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b/>
                <w:kern w:val="0"/>
                <w:sz w:val="15"/>
                <w:szCs w:val="15"/>
              </w:rPr>
            </w:pPr>
          </w:p>
        </w:tc>
        <w:tc>
          <w:tcPr>
            <w:tcW w:w="825"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5"/>
                <w:szCs w:val="15"/>
              </w:rPr>
            </w:pPr>
            <w:r>
              <w:rPr>
                <w:rFonts w:ascii="TimesNewRoman" w:hAnsi="TimesNewRoman" w:cs="TimesNewRoman"/>
                <w:b/>
                <w:kern w:val="0"/>
                <w:sz w:val="15"/>
                <w:szCs w:val="15"/>
              </w:rPr>
              <w:t>小计</w:t>
            </w:r>
          </w:p>
        </w:tc>
        <w:tc>
          <w:tcPr>
            <w:tcW w:w="840"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5"/>
                <w:szCs w:val="15"/>
              </w:rPr>
            </w:pPr>
            <w:r>
              <w:rPr>
                <w:rFonts w:ascii="TimesNewRoman" w:hAnsi="TimesNewRoman" w:cs="TimesNewRoman"/>
                <w:b/>
                <w:kern w:val="0"/>
                <w:sz w:val="15"/>
                <w:szCs w:val="15"/>
              </w:rPr>
              <w:t>一般公共预算</w:t>
            </w:r>
          </w:p>
        </w:tc>
        <w:tc>
          <w:tcPr>
            <w:tcW w:w="300"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5"/>
                <w:szCs w:val="15"/>
              </w:rPr>
            </w:pPr>
            <w:r>
              <w:rPr>
                <w:rFonts w:ascii="TimesNewRoman" w:hAnsi="TimesNewRoman" w:cs="TimesNewRoman"/>
                <w:b/>
                <w:kern w:val="0"/>
                <w:sz w:val="15"/>
                <w:szCs w:val="15"/>
              </w:rPr>
              <w:t>政府性基金预算</w:t>
            </w:r>
          </w:p>
        </w:tc>
        <w:tc>
          <w:tcPr>
            <w:tcW w:w="405" w:type="dxa"/>
            <w:vMerge w:val="restart"/>
            <w:tcBorders>
              <w:top w:val="nil"/>
              <w:left w:val="single" w:sz="4" w:space="0" w:color="auto"/>
              <w:bottom w:val="single" w:sz="4" w:space="0" w:color="000000"/>
              <w:right w:val="single" w:sz="4" w:space="0" w:color="auto"/>
            </w:tcBorders>
            <w:noWrap w:val="0"/>
            <w:vAlign w:val="center"/>
          </w:tcPr>
          <w:p>
            <w:pPr>
              <w:widowControl/>
              <w:spacing w:line="260" w:lineRule="exact"/>
              <w:jc w:val="center"/>
              <w:rPr>
                <w:rFonts w:ascii="TimesNewRoman" w:hAnsi="TimesNewRoman" w:cs="TimesNewRoman"/>
                <w:b/>
                <w:kern w:val="0"/>
                <w:sz w:val="15"/>
                <w:szCs w:val="15"/>
              </w:rPr>
            </w:pPr>
            <w:r>
              <w:rPr>
                <w:rFonts w:ascii="TimesNewRoman" w:hAnsi="TimesNewRoman" w:cs="TimesNewRoman"/>
                <w:b/>
                <w:kern w:val="0"/>
                <w:sz w:val="15"/>
                <w:szCs w:val="15"/>
              </w:rPr>
              <w:t>国有资本经营预算</w:t>
            </w:r>
          </w:p>
        </w:tc>
        <w:tc>
          <w:tcPr>
            <w:tcW w:w="345" w:type="dxa"/>
            <w:vMerge w:val="restart"/>
            <w:tcBorders>
              <w:top w:val="nil"/>
              <w:left w:val="single" w:sz="4" w:space="0" w:color="auto"/>
              <w:bottom w:val="single" w:sz="4" w:space="0" w:color="000000"/>
              <w:right w:val="single" w:sz="4" w:space="0" w:color="auto"/>
            </w:tcBorders>
            <w:noWrap w:val="0"/>
            <w:vAlign w:val="center"/>
          </w:tcPr>
          <w:p>
            <w:pPr>
              <w:widowControl/>
              <w:spacing w:line="260" w:lineRule="exact"/>
              <w:jc w:val="center"/>
              <w:rPr>
                <w:rFonts w:ascii="TimesNewRoman" w:hAnsi="TimesNewRoman" w:cs="TimesNewRoman"/>
                <w:b/>
                <w:kern w:val="0"/>
                <w:sz w:val="15"/>
                <w:szCs w:val="15"/>
              </w:rPr>
            </w:pPr>
            <w:r>
              <w:rPr>
                <w:rFonts w:ascii="TimesNewRoman" w:hAnsi="TimesNewRoman" w:cs="TimesNewRoman"/>
                <w:b/>
                <w:kern w:val="0"/>
                <w:sz w:val="15"/>
                <w:szCs w:val="15"/>
              </w:rPr>
              <w:t>财政专户管理资金</w:t>
            </w:r>
          </w:p>
        </w:tc>
        <w:tc>
          <w:tcPr>
            <w:tcW w:w="3440" w:type="dxa"/>
            <w:gridSpan w:val="7"/>
            <w:tcBorders>
              <w:top w:val="single" w:sz="4" w:space="0" w:color="auto"/>
              <w:left w:val="nil"/>
              <w:bottom w:val="single" w:sz="4" w:space="0" w:color="auto"/>
              <w:right w:val="single" w:sz="4" w:space="0" w:color="000000"/>
            </w:tcBorders>
            <w:noWrap w:val="0"/>
            <w:vAlign w:val="center"/>
          </w:tcPr>
          <w:p>
            <w:pPr>
              <w:widowControl/>
              <w:spacing w:line="260" w:lineRule="exact"/>
              <w:jc w:val="center"/>
              <w:rPr>
                <w:rFonts w:ascii="TimesNewRoman" w:hAnsi="TimesNewRoman" w:cs="TimesNewRoman"/>
                <w:b/>
                <w:kern w:val="0"/>
                <w:sz w:val="15"/>
                <w:szCs w:val="15"/>
              </w:rPr>
            </w:pPr>
            <w:r>
              <w:rPr>
                <w:rFonts w:ascii="TimesNewRoman" w:hAnsi="TimesNewRoman" w:cs="TimesNewRoman"/>
                <w:b/>
                <w:kern w:val="0"/>
                <w:sz w:val="15"/>
                <w:szCs w:val="15"/>
              </w:rPr>
              <w:t>单位资金</w:t>
            </w:r>
          </w:p>
        </w:tc>
        <w:tc>
          <w:tcPr>
            <w:tcW w:w="652"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5"/>
                <w:szCs w:val="15"/>
              </w:rPr>
            </w:pPr>
            <w:r>
              <w:rPr>
                <w:rFonts w:ascii="TimesNewRoman" w:hAnsi="TimesNewRoman" w:cs="TimesNewRoman"/>
                <w:b/>
                <w:kern w:val="0"/>
                <w:sz w:val="15"/>
                <w:szCs w:val="15"/>
              </w:rPr>
              <w:t>小计</w:t>
            </w:r>
          </w:p>
        </w:tc>
        <w:tc>
          <w:tcPr>
            <w:tcW w:w="652"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5"/>
                <w:szCs w:val="15"/>
              </w:rPr>
            </w:pPr>
            <w:r>
              <w:rPr>
                <w:rFonts w:ascii="TimesNewRoman" w:hAnsi="TimesNewRoman" w:cs="TimesNewRoman"/>
                <w:b/>
                <w:kern w:val="0"/>
                <w:sz w:val="15"/>
                <w:szCs w:val="15"/>
              </w:rPr>
              <w:t>一般公共预算</w:t>
            </w:r>
          </w:p>
        </w:tc>
        <w:tc>
          <w:tcPr>
            <w:tcW w:w="652"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5"/>
                <w:szCs w:val="15"/>
              </w:rPr>
            </w:pPr>
            <w:r>
              <w:rPr>
                <w:rFonts w:ascii="TimesNewRoman" w:hAnsi="TimesNewRoman" w:cs="TimesNewRoman"/>
                <w:b/>
                <w:kern w:val="0"/>
                <w:sz w:val="15"/>
                <w:szCs w:val="15"/>
              </w:rPr>
              <w:t>政府性基金预算</w:t>
            </w:r>
          </w:p>
        </w:tc>
        <w:tc>
          <w:tcPr>
            <w:tcW w:w="652"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5"/>
                <w:szCs w:val="15"/>
              </w:rPr>
            </w:pPr>
            <w:r>
              <w:rPr>
                <w:rFonts w:ascii="TimesNewRoman" w:hAnsi="TimesNewRoman" w:cs="TimesNewRoman"/>
                <w:b/>
                <w:kern w:val="0"/>
                <w:sz w:val="15"/>
                <w:szCs w:val="15"/>
              </w:rPr>
              <w:t>国有资本经营预算</w:t>
            </w:r>
          </w:p>
        </w:tc>
        <w:tc>
          <w:tcPr>
            <w:tcW w:w="652"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5"/>
                <w:szCs w:val="15"/>
              </w:rPr>
            </w:pPr>
            <w:r>
              <w:rPr>
                <w:rFonts w:ascii="TimesNewRoman" w:hAnsi="TimesNewRoman" w:cs="TimesNewRoman"/>
                <w:b/>
                <w:kern w:val="0"/>
                <w:sz w:val="15"/>
                <w:szCs w:val="15"/>
              </w:rPr>
              <w:t>财政专户管理资金</w:t>
            </w:r>
          </w:p>
        </w:tc>
        <w:tc>
          <w:tcPr>
            <w:tcW w:w="1265" w:type="dxa"/>
            <w:gridSpan w:val="2"/>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5"/>
                <w:szCs w:val="15"/>
              </w:rPr>
            </w:pPr>
            <w:r>
              <w:rPr>
                <w:rFonts w:ascii="TimesNewRoman" w:hAnsi="TimesNewRoman" w:cs="TimesNewRoman"/>
                <w:b/>
                <w:kern w:val="0"/>
                <w:sz w:val="15"/>
                <w:szCs w:val="15"/>
              </w:rPr>
              <w:t>单位资金</w:t>
            </w:r>
          </w:p>
        </w:tc>
      </w:tr>
      <w:tr>
        <w:tblPrEx>
          <w:tblW w:w="14535" w:type="dxa"/>
          <w:tblInd w:w="-236" w:type="dxa"/>
          <w:tblLayout w:type="fixed"/>
          <w:tblCellMar>
            <w:top w:w="0" w:type="dxa"/>
            <w:left w:w="108" w:type="dxa"/>
            <w:bottom w:w="0" w:type="dxa"/>
            <w:right w:w="108" w:type="dxa"/>
          </w:tblCellMar>
        </w:tblPrEx>
        <w:trPr>
          <w:trHeight w:val="2045"/>
        </w:trPr>
        <w:tc>
          <w:tcPr>
            <w:tcW w:w="1215"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2640"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825"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840"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300"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405" w:type="dxa"/>
            <w:vMerge/>
            <w:tcBorders>
              <w:top w:val="nil"/>
              <w:left w:val="single" w:sz="4" w:space="0" w:color="auto"/>
              <w:bottom w:val="single" w:sz="4" w:space="0" w:color="000000"/>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345" w:type="dxa"/>
            <w:vMerge/>
            <w:tcBorders>
              <w:top w:val="nil"/>
              <w:left w:val="single" w:sz="4" w:space="0" w:color="auto"/>
              <w:bottom w:val="single" w:sz="4" w:space="0" w:color="000000"/>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529" w:type="dxa"/>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小计</w:t>
            </w:r>
          </w:p>
        </w:tc>
        <w:tc>
          <w:tcPr>
            <w:tcW w:w="543" w:type="dxa"/>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事业     收入</w:t>
            </w:r>
          </w:p>
        </w:tc>
        <w:tc>
          <w:tcPr>
            <w:tcW w:w="543" w:type="dxa"/>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事业单位经营收入</w:t>
            </w:r>
          </w:p>
        </w:tc>
        <w:tc>
          <w:tcPr>
            <w:tcW w:w="517" w:type="dxa"/>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上级补助收入</w:t>
            </w:r>
          </w:p>
        </w:tc>
        <w:tc>
          <w:tcPr>
            <w:tcW w:w="652" w:type="dxa"/>
            <w:gridSpan w:val="2"/>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附属单位上缴收入</w:t>
            </w:r>
          </w:p>
        </w:tc>
        <w:tc>
          <w:tcPr>
            <w:tcW w:w="656" w:type="dxa"/>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其他   收入</w:t>
            </w:r>
          </w:p>
        </w:tc>
        <w:tc>
          <w:tcPr>
            <w:tcW w:w="652"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652"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652"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652"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652"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1265" w:type="dxa"/>
            <w:gridSpan w:val="2"/>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r>
      <w:tr>
        <w:tblPrEx>
          <w:tblW w:w="14535" w:type="dxa"/>
          <w:tblInd w:w="-236" w:type="dxa"/>
          <w:tblLayout w:type="fixed"/>
          <w:tblCellMar>
            <w:top w:w="0" w:type="dxa"/>
            <w:left w:w="108" w:type="dxa"/>
            <w:bottom w:w="0" w:type="dxa"/>
            <w:right w:w="108" w:type="dxa"/>
          </w:tblCellMar>
        </w:tblPrEx>
        <w:trPr>
          <w:trHeight w:val="384"/>
        </w:trPr>
        <w:tc>
          <w:tcPr>
            <w:tcW w:w="1215" w:type="dxa"/>
            <w:tcBorders>
              <w:top w:val="nil"/>
              <w:left w:val="single" w:sz="4" w:space="0" w:color="auto"/>
              <w:bottom w:val="single" w:sz="4" w:space="0" w:color="auto"/>
              <w:right w:val="single" w:sz="4" w:space="0" w:color="auto"/>
            </w:tcBorders>
            <w:noWrap w:val="0"/>
            <w:vAlign w:val="center"/>
          </w:tcPr>
          <w:p>
            <w:pPr>
              <w:jc w:val="left"/>
              <w:rPr>
                <w:rFonts w:ascii="宋体" w:eastAsia="宋体" w:hAnsi="宋体" w:cs="宋体" w:hint="eastAsia"/>
                <w:i w:val="0"/>
                <w:iCs w:val="0"/>
                <w:color w:val="000000"/>
                <w:kern w:val="0"/>
                <w:sz w:val="20"/>
                <w:szCs w:val="20"/>
                <w:u w:val="none"/>
                <w:lang w:val="en-US" w:eastAsia="zh-CN" w:bidi="ar"/>
              </w:rPr>
            </w:pPr>
          </w:p>
        </w:tc>
        <w:tc>
          <w:tcPr>
            <w:tcW w:w="264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合计</w:t>
            </w:r>
          </w:p>
        </w:tc>
        <w:tc>
          <w:tcPr>
            <w:tcW w:w="825"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815.96</w:t>
            </w:r>
          </w:p>
        </w:tc>
        <w:tc>
          <w:tcPr>
            <w:tcW w:w="840"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815.96</w:t>
            </w:r>
          </w:p>
        </w:tc>
        <w:tc>
          <w:tcPr>
            <w:tcW w:w="300"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40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34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2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17"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gridSpan w:val="2"/>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6"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265" w:type="dxa"/>
            <w:gridSpan w:val="2"/>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535" w:type="dxa"/>
          <w:tblInd w:w="-236" w:type="dxa"/>
          <w:tblLayout w:type="fixed"/>
          <w:tblCellMar>
            <w:top w:w="0" w:type="dxa"/>
            <w:left w:w="108" w:type="dxa"/>
            <w:bottom w:w="0" w:type="dxa"/>
            <w:right w:w="108" w:type="dxa"/>
          </w:tblCellMar>
        </w:tblPrEx>
        <w:trPr>
          <w:trHeight w:val="384"/>
        </w:trPr>
        <w:tc>
          <w:tcPr>
            <w:tcW w:w="1215"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208</w:t>
            </w:r>
          </w:p>
        </w:tc>
        <w:tc>
          <w:tcPr>
            <w:tcW w:w="264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社会保障和就业支出</w:t>
            </w:r>
          </w:p>
        </w:tc>
        <w:tc>
          <w:tcPr>
            <w:tcW w:w="825"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100.02</w:t>
            </w:r>
          </w:p>
        </w:tc>
        <w:tc>
          <w:tcPr>
            <w:tcW w:w="840"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100.02</w:t>
            </w:r>
          </w:p>
        </w:tc>
        <w:tc>
          <w:tcPr>
            <w:tcW w:w="300"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0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2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4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4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17"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gridSpan w:val="2"/>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6"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65" w:type="dxa"/>
            <w:gridSpan w:val="2"/>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535" w:type="dxa"/>
          <w:tblInd w:w="-236" w:type="dxa"/>
          <w:tblLayout w:type="fixed"/>
          <w:tblCellMar>
            <w:top w:w="0" w:type="dxa"/>
            <w:left w:w="108" w:type="dxa"/>
            <w:bottom w:w="0" w:type="dxa"/>
            <w:right w:w="108" w:type="dxa"/>
          </w:tblCellMar>
        </w:tblPrEx>
        <w:trPr>
          <w:trHeight w:val="399"/>
        </w:trPr>
        <w:tc>
          <w:tcPr>
            <w:tcW w:w="1215"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w:t>
            </w:r>
          </w:p>
        </w:tc>
        <w:tc>
          <w:tcPr>
            <w:tcW w:w="264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行政事业单位养老支出</w:t>
            </w:r>
          </w:p>
        </w:tc>
        <w:tc>
          <w:tcPr>
            <w:tcW w:w="825"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98.21</w:t>
            </w:r>
          </w:p>
        </w:tc>
        <w:tc>
          <w:tcPr>
            <w:tcW w:w="84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98.21</w:t>
            </w:r>
          </w:p>
        </w:tc>
        <w:tc>
          <w:tcPr>
            <w:tcW w:w="30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0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2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4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4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17"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gridSpan w:val="2"/>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6"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65" w:type="dxa"/>
            <w:gridSpan w:val="2"/>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535" w:type="dxa"/>
          <w:tblInd w:w="-236" w:type="dxa"/>
          <w:tblLayout w:type="fixed"/>
          <w:tblCellMar>
            <w:top w:w="0" w:type="dxa"/>
            <w:left w:w="108" w:type="dxa"/>
            <w:bottom w:w="0" w:type="dxa"/>
            <w:right w:w="108" w:type="dxa"/>
          </w:tblCellMar>
        </w:tblPrEx>
        <w:trPr>
          <w:trHeight w:val="613"/>
        </w:trPr>
        <w:tc>
          <w:tcPr>
            <w:tcW w:w="1215"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2080505</w:t>
            </w:r>
          </w:p>
        </w:tc>
        <w:tc>
          <w:tcPr>
            <w:tcW w:w="264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机关事业单位基本养老保险缴费支出</w:t>
            </w:r>
          </w:p>
        </w:tc>
        <w:tc>
          <w:tcPr>
            <w:tcW w:w="825"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65.47</w:t>
            </w:r>
          </w:p>
        </w:tc>
        <w:tc>
          <w:tcPr>
            <w:tcW w:w="84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65.47</w:t>
            </w:r>
          </w:p>
        </w:tc>
        <w:tc>
          <w:tcPr>
            <w:tcW w:w="30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0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2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4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4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17"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gridSpan w:val="2"/>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6"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65" w:type="dxa"/>
            <w:gridSpan w:val="2"/>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535" w:type="dxa"/>
          <w:tblInd w:w="-236" w:type="dxa"/>
          <w:tblLayout w:type="fixed"/>
          <w:tblCellMar>
            <w:top w:w="0" w:type="dxa"/>
            <w:left w:w="108" w:type="dxa"/>
            <w:bottom w:w="0" w:type="dxa"/>
            <w:right w:w="108" w:type="dxa"/>
          </w:tblCellMar>
        </w:tblPrEx>
        <w:trPr>
          <w:trHeight w:val="613"/>
        </w:trPr>
        <w:tc>
          <w:tcPr>
            <w:tcW w:w="1215"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2080506</w:t>
            </w:r>
          </w:p>
        </w:tc>
        <w:tc>
          <w:tcPr>
            <w:tcW w:w="264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机关事业单位职业年金缴费支出</w:t>
            </w:r>
          </w:p>
        </w:tc>
        <w:tc>
          <w:tcPr>
            <w:tcW w:w="825"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32.74</w:t>
            </w:r>
          </w:p>
        </w:tc>
        <w:tc>
          <w:tcPr>
            <w:tcW w:w="84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32.74</w:t>
            </w:r>
          </w:p>
        </w:tc>
        <w:tc>
          <w:tcPr>
            <w:tcW w:w="30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0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2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4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4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17"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gridSpan w:val="2"/>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6"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65" w:type="dxa"/>
            <w:gridSpan w:val="2"/>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535" w:type="dxa"/>
          <w:tblInd w:w="-236" w:type="dxa"/>
          <w:tblLayout w:type="fixed"/>
          <w:tblCellMar>
            <w:top w:w="0" w:type="dxa"/>
            <w:left w:w="108" w:type="dxa"/>
            <w:bottom w:w="0" w:type="dxa"/>
            <w:right w:w="108" w:type="dxa"/>
          </w:tblCellMar>
        </w:tblPrEx>
        <w:trPr>
          <w:trHeight w:val="623"/>
        </w:trPr>
        <w:tc>
          <w:tcPr>
            <w:tcW w:w="1215"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20899</w:t>
            </w:r>
          </w:p>
        </w:tc>
        <w:tc>
          <w:tcPr>
            <w:tcW w:w="264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其他社会保障和就业支出</w:t>
            </w:r>
          </w:p>
        </w:tc>
        <w:tc>
          <w:tcPr>
            <w:tcW w:w="825"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1.81</w:t>
            </w:r>
          </w:p>
        </w:tc>
        <w:tc>
          <w:tcPr>
            <w:tcW w:w="84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1.81</w:t>
            </w:r>
          </w:p>
        </w:tc>
        <w:tc>
          <w:tcPr>
            <w:tcW w:w="30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0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2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4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4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17"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gridSpan w:val="2"/>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6"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5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65" w:type="dxa"/>
            <w:gridSpan w:val="2"/>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535" w:type="dxa"/>
          <w:tblInd w:w="-236" w:type="dxa"/>
          <w:tblLayout w:type="fixed"/>
          <w:tblCellMar>
            <w:top w:w="0" w:type="dxa"/>
            <w:left w:w="108" w:type="dxa"/>
            <w:bottom w:w="0" w:type="dxa"/>
            <w:right w:w="108" w:type="dxa"/>
          </w:tblCellMar>
        </w:tblPrEx>
        <w:trPr>
          <w:trHeight w:val="433"/>
        </w:trPr>
        <w:tc>
          <w:tcPr>
            <w:tcW w:w="121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2089999</w:t>
            </w:r>
          </w:p>
        </w:tc>
        <w:tc>
          <w:tcPr>
            <w:tcW w:w="26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其他社会保障和就业支出</w:t>
            </w:r>
          </w:p>
        </w:tc>
        <w:tc>
          <w:tcPr>
            <w:tcW w:w="82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1.81</w:t>
            </w:r>
          </w:p>
        </w:tc>
        <w:tc>
          <w:tcPr>
            <w:tcW w:w="8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1.81</w:t>
            </w:r>
          </w:p>
        </w:tc>
        <w:tc>
          <w:tcPr>
            <w:tcW w:w="30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40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34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2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17"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6"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26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535" w:type="dxa"/>
          <w:tblInd w:w="-236" w:type="dxa"/>
          <w:tblLayout w:type="fixed"/>
          <w:tblCellMar>
            <w:top w:w="0" w:type="dxa"/>
            <w:left w:w="108" w:type="dxa"/>
            <w:bottom w:w="0" w:type="dxa"/>
            <w:right w:w="108" w:type="dxa"/>
          </w:tblCellMar>
        </w:tblPrEx>
        <w:trPr>
          <w:trHeight w:val="623"/>
        </w:trPr>
        <w:tc>
          <w:tcPr>
            <w:tcW w:w="121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210</w:t>
            </w:r>
          </w:p>
        </w:tc>
        <w:tc>
          <w:tcPr>
            <w:tcW w:w="26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卫生健康支出</w:t>
            </w:r>
          </w:p>
        </w:tc>
        <w:tc>
          <w:tcPr>
            <w:tcW w:w="82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23.99</w:t>
            </w:r>
          </w:p>
        </w:tc>
        <w:tc>
          <w:tcPr>
            <w:tcW w:w="8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23.99</w:t>
            </w:r>
          </w:p>
        </w:tc>
        <w:tc>
          <w:tcPr>
            <w:tcW w:w="30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40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34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2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17"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6"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26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535" w:type="dxa"/>
          <w:tblInd w:w="-236" w:type="dxa"/>
          <w:tblLayout w:type="fixed"/>
          <w:tblCellMar>
            <w:top w:w="0" w:type="dxa"/>
            <w:left w:w="108" w:type="dxa"/>
            <w:bottom w:w="0" w:type="dxa"/>
            <w:right w:w="108" w:type="dxa"/>
          </w:tblCellMar>
        </w:tblPrEx>
        <w:trPr>
          <w:trHeight w:val="358"/>
        </w:trPr>
        <w:tc>
          <w:tcPr>
            <w:tcW w:w="121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21011</w:t>
            </w:r>
          </w:p>
        </w:tc>
        <w:tc>
          <w:tcPr>
            <w:tcW w:w="26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行政事业单位医疗</w:t>
            </w:r>
          </w:p>
        </w:tc>
        <w:tc>
          <w:tcPr>
            <w:tcW w:w="82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23.99</w:t>
            </w:r>
          </w:p>
        </w:tc>
        <w:tc>
          <w:tcPr>
            <w:tcW w:w="8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23.99</w:t>
            </w:r>
          </w:p>
        </w:tc>
        <w:tc>
          <w:tcPr>
            <w:tcW w:w="30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40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34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2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17"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6"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26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535" w:type="dxa"/>
          <w:tblInd w:w="-236" w:type="dxa"/>
          <w:tblLayout w:type="fixed"/>
          <w:tblCellMar>
            <w:top w:w="0" w:type="dxa"/>
            <w:left w:w="108" w:type="dxa"/>
            <w:bottom w:w="0" w:type="dxa"/>
            <w:right w:w="108" w:type="dxa"/>
          </w:tblCellMar>
        </w:tblPrEx>
        <w:trPr>
          <w:trHeight w:val="623"/>
        </w:trPr>
        <w:tc>
          <w:tcPr>
            <w:tcW w:w="121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2101101</w:t>
            </w:r>
          </w:p>
        </w:tc>
        <w:tc>
          <w:tcPr>
            <w:tcW w:w="26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行政单位医疗</w:t>
            </w:r>
          </w:p>
        </w:tc>
        <w:tc>
          <w:tcPr>
            <w:tcW w:w="82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5.29</w:t>
            </w:r>
          </w:p>
        </w:tc>
        <w:tc>
          <w:tcPr>
            <w:tcW w:w="8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5.29</w:t>
            </w:r>
          </w:p>
        </w:tc>
        <w:tc>
          <w:tcPr>
            <w:tcW w:w="30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40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34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2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17"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6"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26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535" w:type="dxa"/>
          <w:tblInd w:w="-236" w:type="dxa"/>
          <w:tblLayout w:type="fixed"/>
          <w:tblCellMar>
            <w:top w:w="0" w:type="dxa"/>
            <w:left w:w="108" w:type="dxa"/>
            <w:bottom w:w="0" w:type="dxa"/>
            <w:right w:w="108" w:type="dxa"/>
          </w:tblCellMar>
        </w:tblPrEx>
        <w:trPr>
          <w:trHeight w:val="623"/>
        </w:trPr>
        <w:tc>
          <w:tcPr>
            <w:tcW w:w="121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2101102</w:t>
            </w:r>
          </w:p>
        </w:tc>
        <w:tc>
          <w:tcPr>
            <w:tcW w:w="26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事业单位医疗</w:t>
            </w:r>
          </w:p>
        </w:tc>
        <w:tc>
          <w:tcPr>
            <w:tcW w:w="82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16.33</w:t>
            </w:r>
          </w:p>
        </w:tc>
        <w:tc>
          <w:tcPr>
            <w:tcW w:w="8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16.33</w:t>
            </w:r>
          </w:p>
        </w:tc>
        <w:tc>
          <w:tcPr>
            <w:tcW w:w="30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40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34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2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17"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6"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26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535" w:type="dxa"/>
          <w:tblInd w:w="-236" w:type="dxa"/>
          <w:tblLayout w:type="fixed"/>
          <w:tblCellMar>
            <w:top w:w="0" w:type="dxa"/>
            <w:left w:w="108" w:type="dxa"/>
            <w:bottom w:w="0" w:type="dxa"/>
            <w:right w:w="108" w:type="dxa"/>
          </w:tblCellMar>
        </w:tblPrEx>
        <w:trPr>
          <w:trHeight w:val="623"/>
        </w:trPr>
        <w:tc>
          <w:tcPr>
            <w:tcW w:w="121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2101103</w:t>
            </w:r>
          </w:p>
        </w:tc>
        <w:tc>
          <w:tcPr>
            <w:tcW w:w="26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公务员医疗补助</w:t>
            </w:r>
          </w:p>
        </w:tc>
        <w:tc>
          <w:tcPr>
            <w:tcW w:w="82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2.38</w:t>
            </w:r>
          </w:p>
        </w:tc>
        <w:tc>
          <w:tcPr>
            <w:tcW w:w="8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2.38</w:t>
            </w:r>
          </w:p>
        </w:tc>
        <w:tc>
          <w:tcPr>
            <w:tcW w:w="30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40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34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2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17"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6"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26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535" w:type="dxa"/>
          <w:tblInd w:w="-236" w:type="dxa"/>
          <w:tblLayout w:type="fixed"/>
          <w:tblCellMar>
            <w:top w:w="0" w:type="dxa"/>
            <w:left w:w="108" w:type="dxa"/>
            <w:bottom w:w="0" w:type="dxa"/>
            <w:right w:w="108" w:type="dxa"/>
          </w:tblCellMar>
        </w:tblPrEx>
        <w:trPr>
          <w:trHeight w:val="623"/>
        </w:trPr>
        <w:tc>
          <w:tcPr>
            <w:tcW w:w="121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221</w:t>
            </w:r>
          </w:p>
        </w:tc>
        <w:tc>
          <w:tcPr>
            <w:tcW w:w="26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住房保障支出</w:t>
            </w:r>
          </w:p>
        </w:tc>
        <w:tc>
          <w:tcPr>
            <w:tcW w:w="82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49.10</w:t>
            </w:r>
          </w:p>
        </w:tc>
        <w:tc>
          <w:tcPr>
            <w:tcW w:w="8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49.10</w:t>
            </w:r>
          </w:p>
        </w:tc>
        <w:tc>
          <w:tcPr>
            <w:tcW w:w="30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40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34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2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17"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6"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26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535" w:type="dxa"/>
          <w:tblInd w:w="-236" w:type="dxa"/>
          <w:tblLayout w:type="fixed"/>
          <w:tblCellMar>
            <w:top w:w="0" w:type="dxa"/>
            <w:left w:w="108" w:type="dxa"/>
            <w:bottom w:w="0" w:type="dxa"/>
            <w:right w:w="108" w:type="dxa"/>
          </w:tblCellMar>
        </w:tblPrEx>
        <w:trPr>
          <w:trHeight w:val="623"/>
        </w:trPr>
        <w:tc>
          <w:tcPr>
            <w:tcW w:w="121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22102</w:t>
            </w:r>
          </w:p>
        </w:tc>
        <w:tc>
          <w:tcPr>
            <w:tcW w:w="26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住房改革支出</w:t>
            </w:r>
          </w:p>
        </w:tc>
        <w:tc>
          <w:tcPr>
            <w:tcW w:w="82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49.10</w:t>
            </w:r>
          </w:p>
        </w:tc>
        <w:tc>
          <w:tcPr>
            <w:tcW w:w="8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49.10</w:t>
            </w:r>
          </w:p>
        </w:tc>
        <w:tc>
          <w:tcPr>
            <w:tcW w:w="30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40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34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2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17"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6"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26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535" w:type="dxa"/>
          <w:tblInd w:w="-236" w:type="dxa"/>
          <w:tblLayout w:type="fixed"/>
          <w:tblCellMar>
            <w:top w:w="0" w:type="dxa"/>
            <w:left w:w="108" w:type="dxa"/>
            <w:bottom w:w="0" w:type="dxa"/>
            <w:right w:w="108" w:type="dxa"/>
          </w:tblCellMar>
        </w:tblPrEx>
        <w:trPr>
          <w:trHeight w:val="623"/>
        </w:trPr>
        <w:tc>
          <w:tcPr>
            <w:tcW w:w="121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2210201</w:t>
            </w:r>
          </w:p>
        </w:tc>
        <w:tc>
          <w:tcPr>
            <w:tcW w:w="26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住房公积金</w:t>
            </w:r>
          </w:p>
        </w:tc>
        <w:tc>
          <w:tcPr>
            <w:tcW w:w="82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49.10</w:t>
            </w:r>
          </w:p>
        </w:tc>
        <w:tc>
          <w:tcPr>
            <w:tcW w:w="8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49.10</w:t>
            </w:r>
          </w:p>
        </w:tc>
        <w:tc>
          <w:tcPr>
            <w:tcW w:w="30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40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34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2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17"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6"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26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535" w:type="dxa"/>
          <w:tblInd w:w="-236" w:type="dxa"/>
          <w:tblLayout w:type="fixed"/>
          <w:tblCellMar>
            <w:top w:w="0" w:type="dxa"/>
            <w:left w:w="108" w:type="dxa"/>
            <w:bottom w:w="0" w:type="dxa"/>
            <w:right w:w="108" w:type="dxa"/>
          </w:tblCellMar>
        </w:tblPrEx>
        <w:trPr>
          <w:trHeight w:val="623"/>
        </w:trPr>
        <w:tc>
          <w:tcPr>
            <w:tcW w:w="121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224</w:t>
            </w:r>
          </w:p>
        </w:tc>
        <w:tc>
          <w:tcPr>
            <w:tcW w:w="26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灾害防治及应急管理支出</w:t>
            </w:r>
          </w:p>
        </w:tc>
        <w:tc>
          <w:tcPr>
            <w:tcW w:w="82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642.84</w:t>
            </w:r>
          </w:p>
        </w:tc>
        <w:tc>
          <w:tcPr>
            <w:tcW w:w="8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642.84</w:t>
            </w:r>
          </w:p>
        </w:tc>
        <w:tc>
          <w:tcPr>
            <w:tcW w:w="30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40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34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2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17"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6"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26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535" w:type="dxa"/>
          <w:tblInd w:w="-236" w:type="dxa"/>
          <w:tblLayout w:type="fixed"/>
          <w:tblCellMar>
            <w:top w:w="0" w:type="dxa"/>
            <w:left w:w="108" w:type="dxa"/>
            <w:bottom w:w="0" w:type="dxa"/>
            <w:right w:w="108" w:type="dxa"/>
          </w:tblCellMar>
        </w:tblPrEx>
        <w:trPr>
          <w:trHeight w:val="623"/>
        </w:trPr>
        <w:tc>
          <w:tcPr>
            <w:tcW w:w="121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22401</w:t>
            </w:r>
          </w:p>
        </w:tc>
        <w:tc>
          <w:tcPr>
            <w:tcW w:w="26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应急管理事务</w:t>
            </w:r>
          </w:p>
        </w:tc>
        <w:tc>
          <w:tcPr>
            <w:tcW w:w="82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642.84</w:t>
            </w:r>
          </w:p>
        </w:tc>
        <w:tc>
          <w:tcPr>
            <w:tcW w:w="8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642.84</w:t>
            </w:r>
          </w:p>
        </w:tc>
        <w:tc>
          <w:tcPr>
            <w:tcW w:w="30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40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34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2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17"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6"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26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535" w:type="dxa"/>
          <w:tblInd w:w="-236" w:type="dxa"/>
          <w:tblLayout w:type="fixed"/>
          <w:tblCellMar>
            <w:top w:w="0" w:type="dxa"/>
            <w:left w:w="108" w:type="dxa"/>
            <w:bottom w:w="0" w:type="dxa"/>
            <w:right w:w="108" w:type="dxa"/>
          </w:tblCellMar>
        </w:tblPrEx>
        <w:trPr>
          <w:trHeight w:val="623"/>
        </w:trPr>
        <w:tc>
          <w:tcPr>
            <w:tcW w:w="121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2240101</w:t>
            </w:r>
          </w:p>
        </w:tc>
        <w:tc>
          <w:tcPr>
            <w:tcW w:w="26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行政运行</w:t>
            </w:r>
          </w:p>
        </w:tc>
        <w:tc>
          <w:tcPr>
            <w:tcW w:w="82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642.84</w:t>
            </w:r>
          </w:p>
        </w:tc>
        <w:tc>
          <w:tcPr>
            <w:tcW w:w="84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642.84</w:t>
            </w:r>
          </w:p>
        </w:tc>
        <w:tc>
          <w:tcPr>
            <w:tcW w:w="30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40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345"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2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4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517"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6"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652"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26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bl>
    <w:p>
      <w:pPr>
        <w:spacing w:line="560" w:lineRule="exact"/>
        <w:jc w:val="right"/>
        <w:rPr>
          <w:rFonts w:ascii="TimesNewRoman" w:hAnsi="TimesNewRoman" w:cs="TimesNewRoman" w:hint="eastAsia"/>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p>
    <w:p>
      <w:pPr>
        <w:spacing w:line="560" w:lineRule="exact"/>
        <w:jc w:val="right"/>
        <w:rPr>
          <w:rFonts w:ascii="TimesNewRoman" w:hAnsi="TimesNewRoman" w:cs="TimesNewRoman"/>
          <w:kern w:val="0"/>
          <w:sz w:val="20"/>
        </w:rPr>
        <w:sectPr>
          <w:pgSz w:w="16840" w:h="11907" w:orient="landscape"/>
          <w:pgMar w:top="567" w:right="567" w:bottom="567" w:left="567" w:header="851" w:footer="1020" w:gutter="0"/>
          <w:cols w:num="1" w:space="0"/>
          <w:rtlGutter w:val="0"/>
          <w:docGrid w:type="lines" w:linePitch="312" w:charSpace="0"/>
        </w:sectPr>
      </w:pPr>
    </w:p>
    <w:p>
      <w:pPr>
        <w:spacing w:line="560" w:lineRule="exact"/>
        <w:jc w:val="center"/>
        <w:rPr>
          <w:rFonts w:ascii="TimesNewRoman" w:hAnsi="TimesNewRoman" w:cs="TimesNewRoman" w:hint="eastAsia"/>
          <w:kern w:val="0"/>
          <w:sz w:val="20"/>
        </w:rPr>
      </w:pPr>
      <w:r>
        <w:rPr>
          <w:rFonts w:ascii="宋体" w:hAnsi="宋体" w:cs="TimesNewRoman" w:hint="eastAsia"/>
          <w:b/>
          <w:bCs/>
          <w:kern w:val="0"/>
          <w:sz w:val="28"/>
          <w:szCs w:val="32"/>
        </w:rPr>
        <w:t>寿县</w:t>
      </w:r>
      <w:r>
        <w:rPr>
          <w:rFonts w:ascii="宋体" w:hAnsi="宋体" w:cs="TimesNewRoman" w:hint="eastAsia"/>
          <w:b/>
          <w:bCs/>
          <w:kern w:val="0"/>
          <w:sz w:val="28"/>
          <w:szCs w:val="32"/>
          <w:lang w:eastAsia="zh-CN"/>
        </w:rPr>
        <w:t>应急管理局</w:t>
      </w:r>
      <w:r>
        <w:rPr>
          <w:rFonts w:ascii="宋体" w:hAnsi="宋体" w:cs="TimesNewRoman" w:hint="eastAsia"/>
          <w:b/>
          <w:bCs/>
          <w:kern w:val="0"/>
          <w:sz w:val="28"/>
          <w:szCs w:val="32"/>
        </w:rPr>
        <w:t>2024</w:t>
      </w:r>
      <w:r>
        <w:rPr>
          <w:rFonts w:ascii="宋体" w:hAnsi="宋体" w:cs="TimesNewRoman"/>
          <w:b/>
          <w:bCs/>
          <w:kern w:val="0"/>
          <w:sz w:val="28"/>
          <w:szCs w:val="32"/>
        </w:rPr>
        <w:t>年支出总表</w:t>
      </w:r>
    </w:p>
    <w:p>
      <w:pPr>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单位：万元</w:t>
      </w:r>
    </w:p>
    <w:tbl>
      <w:tblPr>
        <w:tblStyle w:val="TableNormal"/>
        <w:tblW w:w="14192" w:type="dxa"/>
        <w:tblInd w:w="0" w:type="dxa"/>
        <w:tblLayout w:type="fixed"/>
        <w:tblCellMar>
          <w:top w:w="0" w:type="dxa"/>
          <w:left w:w="108" w:type="dxa"/>
          <w:bottom w:w="0" w:type="dxa"/>
          <w:right w:w="108" w:type="dxa"/>
        </w:tblCellMar>
      </w:tblPr>
      <w:tblGrid>
        <w:gridCol w:w="1639"/>
        <w:gridCol w:w="4495"/>
        <w:gridCol w:w="1213"/>
        <w:gridCol w:w="1181"/>
        <w:gridCol w:w="1150"/>
        <w:gridCol w:w="1430"/>
        <w:gridCol w:w="1353"/>
        <w:gridCol w:w="1731"/>
      </w:tblGrid>
      <w:tr>
        <w:tblPrEx>
          <w:tblW w:w="14192" w:type="dxa"/>
          <w:tblInd w:w="0" w:type="dxa"/>
          <w:tblLayout w:type="fixed"/>
          <w:tblCellMar>
            <w:top w:w="0" w:type="dxa"/>
            <w:left w:w="108" w:type="dxa"/>
            <w:bottom w:w="0" w:type="dxa"/>
            <w:right w:w="108" w:type="dxa"/>
          </w:tblCellMar>
        </w:tblPrEx>
        <w:trPr>
          <w:trHeight w:val="744"/>
        </w:trPr>
        <w:tc>
          <w:tcPr>
            <w:tcW w:w="163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w:t>
            </w:r>
          </w:p>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编码</w:t>
            </w:r>
          </w:p>
        </w:tc>
        <w:tc>
          <w:tcPr>
            <w:tcW w:w="4495"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213"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1181"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1150"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c>
          <w:tcPr>
            <w:tcW w:w="1430"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事业单位经营支出</w:t>
            </w:r>
          </w:p>
        </w:tc>
        <w:tc>
          <w:tcPr>
            <w:tcW w:w="1353"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上缴上级支出</w:t>
            </w:r>
          </w:p>
        </w:tc>
        <w:tc>
          <w:tcPr>
            <w:tcW w:w="1731"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对附属单位补助支出</w:t>
            </w:r>
          </w:p>
        </w:tc>
      </w:tr>
      <w:tr>
        <w:tblPrEx>
          <w:tblW w:w="14192" w:type="dxa"/>
          <w:tblInd w:w="0" w:type="dxa"/>
          <w:tblLayout w:type="fixed"/>
          <w:tblCellMar>
            <w:top w:w="0" w:type="dxa"/>
            <w:left w:w="108" w:type="dxa"/>
            <w:bottom w:w="0" w:type="dxa"/>
            <w:right w:w="108" w:type="dxa"/>
          </w:tblCellMar>
        </w:tblPrEx>
        <w:trPr>
          <w:trHeight w:val="298"/>
        </w:trPr>
        <w:tc>
          <w:tcPr>
            <w:tcW w:w="1639" w:type="dxa"/>
            <w:tcBorders>
              <w:top w:val="nil"/>
              <w:left w:val="single" w:sz="4" w:space="0" w:color="auto"/>
              <w:bottom w:val="single" w:sz="4" w:space="0" w:color="auto"/>
              <w:right w:val="single" w:sz="4" w:space="0" w:color="auto"/>
            </w:tcBorders>
            <w:noWrap w:val="0"/>
            <w:vAlign w:val="center"/>
          </w:tcPr>
          <w:p>
            <w:pPr>
              <w:jc w:val="left"/>
              <w:rPr>
                <w:rFonts w:ascii="TimesNewRoman" w:hAnsi="TimesNewRoman" w:cs="TimesNewRoman"/>
                <w:kern w:val="0"/>
                <w:sz w:val="18"/>
                <w:szCs w:val="18"/>
              </w:rPr>
            </w:pP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合计</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815.96</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644.45</w:t>
            </w:r>
          </w:p>
        </w:tc>
        <w:tc>
          <w:tcPr>
            <w:tcW w:w="115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171.51</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CellMar>
            <w:top w:w="0" w:type="dxa"/>
            <w:left w:w="108" w:type="dxa"/>
            <w:bottom w:w="0" w:type="dxa"/>
            <w:right w:w="108" w:type="dxa"/>
          </w:tblCellMar>
        </w:tblPrEx>
        <w:trPr>
          <w:trHeight w:val="313"/>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208</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社会保障和就业支出</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100.02</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100.02</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CellMar>
            <w:top w:w="0" w:type="dxa"/>
            <w:left w:w="108" w:type="dxa"/>
            <w:bottom w:w="0" w:type="dxa"/>
            <w:right w:w="108" w:type="dxa"/>
          </w:tblCellMar>
        </w:tblPrEx>
        <w:trPr>
          <w:trHeight w:val="373"/>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行政事业单位养老支出</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98.21</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98.21</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CellMar>
            <w:top w:w="0" w:type="dxa"/>
            <w:left w:w="108" w:type="dxa"/>
            <w:bottom w:w="0" w:type="dxa"/>
            <w:right w:w="108" w:type="dxa"/>
          </w:tblCellMar>
        </w:tblPrEx>
        <w:trPr>
          <w:trHeight w:val="343"/>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2080505</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eastAsia="仿宋_GB2312" w:hAnsi="TimesNewRoman" w:cs="TimesNewRoman" w:hint="eastAsia"/>
                <w:kern w:val="0"/>
                <w:sz w:val="18"/>
                <w:szCs w:val="18"/>
              </w:rPr>
            </w:pPr>
            <w:r>
              <w:rPr>
                <w:rFonts w:ascii="宋体" w:eastAsia="宋体" w:hAnsi="宋体" w:cs="宋体" w:hint="eastAsia"/>
                <w:i w:val="0"/>
                <w:iCs w:val="0"/>
                <w:color w:val="000000"/>
                <w:kern w:val="0"/>
                <w:sz w:val="20"/>
                <w:szCs w:val="20"/>
                <w:u w:val="none"/>
                <w:lang w:val="en-US" w:eastAsia="zh-CN" w:bidi="ar"/>
              </w:rPr>
              <w:t>　　机关事业单位基本养老保险缴费支出</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65.47</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65.47</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2080506</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机关事业单位职业年金缴费支出</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32.74</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32.74</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20899</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其他社会保障和就业支出</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1.81</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1.81</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2089999</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其他社会保障和就业支出</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1.81</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1.81</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CellMar>
            <w:top w:w="0" w:type="dxa"/>
            <w:left w:w="108" w:type="dxa"/>
            <w:bottom w:w="0" w:type="dxa"/>
            <w:right w:w="108" w:type="dxa"/>
          </w:tblCellMar>
        </w:tblPrEx>
        <w:trPr>
          <w:trHeight w:val="29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210</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卫生健康支出</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23.99</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23.99</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CellMar>
            <w:top w:w="0" w:type="dxa"/>
            <w:left w:w="108" w:type="dxa"/>
            <w:bottom w:w="0" w:type="dxa"/>
            <w:right w:w="108" w:type="dxa"/>
          </w:tblCellMar>
        </w:tblPrEx>
        <w:trPr>
          <w:trHeight w:val="35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21011</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行政事业单位医疗</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23.99</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23.99</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CellMar>
            <w:top w:w="0" w:type="dxa"/>
            <w:left w:w="108" w:type="dxa"/>
            <w:bottom w:w="0" w:type="dxa"/>
            <w:right w:w="108" w:type="dxa"/>
          </w:tblCellMar>
        </w:tblPrEx>
        <w:trPr>
          <w:trHeight w:val="32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2101101</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行政单位医疗</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5.29</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5.29</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2101102</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事业单位医疗</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16.33</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16.33</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　　2101103</w:t>
            </w:r>
          </w:p>
        </w:tc>
        <w:tc>
          <w:tcPr>
            <w:tcW w:w="449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　　公务员医疗补助</w:t>
            </w:r>
          </w:p>
        </w:tc>
        <w:tc>
          <w:tcPr>
            <w:tcW w:w="1213"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2.38</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2.38</w:t>
            </w:r>
          </w:p>
        </w:tc>
        <w:tc>
          <w:tcPr>
            <w:tcW w:w="1150" w:type="dxa"/>
            <w:tcBorders>
              <w:top w:val="single" w:sz="4" w:space="0" w:color="auto"/>
              <w:left w:val="single" w:sz="4" w:space="0" w:color="auto"/>
              <w:bottom w:val="single" w:sz="4" w:space="0" w:color="auto"/>
              <w:right w:val="single" w:sz="4" w:space="0" w:color="auto"/>
            </w:tcBorders>
            <w:noWrap w:val="0"/>
            <w:vAlign w:val="center"/>
          </w:tcPr>
          <w:p>
            <w:pPr>
              <w:jc w:val="right"/>
              <w:rPr>
                <w:rFonts w:ascii="TimesNewRoman" w:hAnsi="TimesNewRoman" w:cs="TimesNewRoman"/>
                <w:b/>
                <w:bCs/>
                <w:kern w:val="0"/>
                <w:sz w:val="18"/>
                <w:szCs w:val="18"/>
              </w:rPr>
            </w:pPr>
          </w:p>
        </w:tc>
        <w:tc>
          <w:tcPr>
            <w:tcW w:w="143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35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731"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hint="eastAsia"/>
                <w:b/>
                <w:bCs/>
                <w:kern w:val="0"/>
                <w:sz w:val="18"/>
                <w:szCs w:val="18"/>
              </w:rPr>
            </w:pPr>
            <w:r>
              <w:rPr>
                <w:rFonts w:ascii="宋体" w:eastAsia="宋体" w:hAnsi="宋体" w:cs="宋体" w:hint="eastAsia"/>
                <w:i w:val="0"/>
                <w:iCs w:val="0"/>
                <w:color w:val="000000"/>
                <w:kern w:val="0"/>
                <w:sz w:val="20"/>
                <w:szCs w:val="20"/>
                <w:u w:val="none"/>
                <w:lang w:val="en-US" w:eastAsia="zh-CN" w:bidi="ar"/>
              </w:rPr>
              <w:t>221</w:t>
            </w:r>
          </w:p>
        </w:tc>
        <w:tc>
          <w:tcPr>
            <w:tcW w:w="449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hint="eastAsia"/>
                <w:b/>
                <w:bCs/>
                <w:kern w:val="0"/>
                <w:sz w:val="18"/>
                <w:szCs w:val="18"/>
              </w:rPr>
            </w:pPr>
            <w:r>
              <w:rPr>
                <w:rFonts w:ascii="宋体" w:eastAsia="宋体" w:hAnsi="宋体" w:cs="宋体" w:hint="eastAsia"/>
                <w:i w:val="0"/>
                <w:iCs w:val="0"/>
                <w:color w:val="000000"/>
                <w:kern w:val="0"/>
                <w:sz w:val="20"/>
                <w:szCs w:val="20"/>
                <w:u w:val="none"/>
                <w:lang w:val="en-US" w:eastAsia="zh-CN" w:bidi="ar"/>
              </w:rPr>
              <w:t>住房保障支出</w:t>
            </w:r>
          </w:p>
        </w:tc>
        <w:tc>
          <w:tcPr>
            <w:tcW w:w="1213"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1150" w:type="dxa"/>
            <w:tcBorders>
              <w:top w:val="single" w:sz="4" w:space="0" w:color="auto"/>
              <w:left w:val="single" w:sz="4" w:space="0" w:color="auto"/>
              <w:bottom w:val="single" w:sz="4" w:space="0" w:color="auto"/>
              <w:right w:val="single" w:sz="4" w:space="0" w:color="auto"/>
            </w:tcBorders>
            <w:noWrap w:val="0"/>
            <w:vAlign w:val="center"/>
          </w:tcPr>
          <w:p>
            <w:pPr>
              <w:jc w:val="right"/>
              <w:rPr>
                <w:rFonts w:ascii="TimesNewRoman" w:hAnsi="TimesNewRoman" w:cs="TimesNewRoman"/>
                <w:b/>
                <w:bCs/>
                <w:kern w:val="0"/>
                <w:sz w:val="18"/>
                <w:szCs w:val="18"/>
              </w:rPr>
            </w:pPr>
          </w:p>
        </w:tc>
        <w:tc>
          <w:tcPr>
            <w:tcW w:w="143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c>
          <w:tcPr>
            <w:tcW w:w="135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c>
          <w:tcPr>
            <w:tcW w:w="1731"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r>
      <w:tr>
        <w:tblPrEx>
          <w:tblW w:w="14192" w:type="dxa"/>
          <w:tblInd w:w="0" w:type="dxa"/>
          <w:tblLayout w:type="fixed"/>
          <w:tblCellMar>
            <w:top w:w="0" w:type="dxa"/>
            <w:left w:w="108" w:type="dxa"/>
            <w:bottom w:w="0" w:type="dxa"/>
            <w:right w:w="108" w:type="dxa"/>
          </w:tblCellMar>
        </w:tblPrEx>
        <w:trPr>
          <w:trHeight w:val="348"/>
        </w:trPr>
        <w:tc>
          <w:tcPr>
            <w:tcW w:w="163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hint="eastAsia"/>
                <w:b/>
                <w:bCs/>
                <w:kern w:val="0"/>
                <w:sz w:val="18"/>
                <w:szCs w:val="18"/>
              </w:rPr>
            </w:pPr>
            <w:r>
              <w:rPr>
                <w:rFonts w:ascii="宋体" w:eastAsia="宋体" w:hAnsi="宋体" w:cs="宋体" w:hint="eastAsia"/>
                <w:i w:val="0"/>
                <w:iCs w:val="0"/>
                <w:color w:val="000000"/>
                <w:kern w:val="0"/>
                <w:sz w:val="20"/>
                <w:szCs w:val="20"/>
                <w:u w:val="none"/>
                <w:lang w:val="en-US" w:eastAsia="zh-CN" w:bidi="ar"/>
              </w:rPr>
              <w:t>　22102</w:t>
            </w:r>
          </w:p>
        </w:tc>
        <w:tc>
          <w:tcPr>
            <w:tcW w:w="449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hint="eastAsia"/>
                <w:b/>
                <w:bCs/>
                <w:kern w:val="0"/>
                <w:sz w:val="18"/>
                <w:szCs w:val="18"/>
              </w:rPr>
            </w:pPr>
            <w:r>
              <w:rPr>
                <w:rFonts w:ascii="宋体" w:eastAsia="宋体" w:hAnsi="宋体" w:cs="宋体" w:hint="eastAsia"/>
                <w:i w:val="0"/>
                <w:iCs w:val="0"/>
                <w:color w:val="000000"/>
                <w:kern w:val="0"/>
                <w:sz w:val="20"/>
                <w:szCs w:val="20"/>
                <w:u w:val="none"/>
                <w:lang w:val="en-US" w:eastAsia="zh-CN" w:bidi="ar"/>
              </w:rPr>
              <w:t>　住房改革支出</w:t>
            </w:r>
          </w:p>
        </w:tc>
        <w:tc>
          <w:tcPr>
            <w:tcW w:w="1213"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1150" w:type="dxa"/>
            <w:tcBorders>
              <w:top w:val="single" w:sz="4" w:space="0" w:color="auto"/>
              <w:left w:val="single" w:sz="4" w:space="0" w:color="auto"/>
              <w:bottom w:val="single" w:sz="4" w:space="0" w:color="auto"/>
              <w:right w:val="single" w:sz="4" w:space="0" w:color="auto"/>
            </w:tcBorders>
            <w:noWrap w:val="0"/>
            <w:vAlign w:val="center"/>
          </w:tcPr>
          <w:p>
            <w:pPr>
              <w:jc w:val="right"/>
              <w:rPr>
                <w:rFonts w:ascii="TimesNewRoman" w:hAnsi="TimesNewRoman" w:cs="TimesNewRoman"/>
                <w:b/>
                <w:bCs/>
                <w:kern w:val="0"/>
                <w:sz w:val="18"/>
                <w:szCs w:val="18"/>
              </w:rPr>
            </w:pPr>
          </w:p>
        </w:tc>
        <w:tc>
          <w:tcPr>
            <w:tcW w:w="143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c>
          <w:tcPr>
            <w:tcW w:w="135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c>
          <w:tcPr>
            <w:tcW w:w="1731"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r>
      <w:tr>
        <w:tblPrEx>
          <w:tblW w:w="14192" w:type="dxa"/>
          <w:tblInd w:w="0" w:type="dxa"/>
          <w:tblLayout w:type="fixed"/>
          <w:tblCellMar>
            <w:top w:w="0" w:type="dxa"/>
            <w:left w:w="108" w:type="dxa"/>
            <w:bottom w:w="0" w:type="dxa"/>
            <w:right w:w="108" w:type="dxa"/>
          </w:tblCellMar>
        </w:tblPrEx>
        <w:trPr>
          <w:trHeight w:val="318"/>
        </w:trPr>
        <w:tc>
          <w:tcPr>
            <w:tcW w:w="163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hint="eastAsia"/>
                <w:b/>
                <w:bCs/>
                <w:kern w:val="0"/>
                <w:sz w:val="18"/>
                <w:szCs w:val="18"/>
              </w:rPr>
            </w:pPr>
            <w:r>
              <w:rPr>
                <w:rFonts w:ascii="宋体" w:eastAsia="宋体" w:hAnsi="宋体" w:cs="宋体" w:hint="eastAsia"/>
                <w:i w:val="0"/>
                <w:iCs w:val="0"/>
                <w:color w:val="000000"/>
                <w:kern w:val="0"/>
                <w:sz w:val="20"/>
                <w:szCs w:val="20"/>
                <w:u w:val="none"/>
                <w:lang w:val="en-US" w:eastAsia="zh-CN" w:bidi="ar"/>
              </w:rPr>
              <w:t>　　2210201</w:t>
            </w:r>
          </w:p>
        </w:tc>
        <w:tc>
          <w:tcPr>
            <w:tcW w:w="449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hint="eastAsia"/>
                <w:b/>
                <w:bCs/>
                <w:kern w:val="0"/>
                <w:sz w:val="18"/>
                <w:szCs w:val="18"/>
              </w:rPr>
            </w:pPr>
            <w:r>
              <w:rPr>
                <w:rFonts w:ascii="宋体" w:eastAsia="宋体" w:hAnsi="宋体" w:cs="宋体" w:hint="eastAsia"/>
                <w:i w:val="0"/>
                <w:iCs w:val="0"/>
                <w:color w:val="000000"/>
                <w:kern w:val="0"/>
                <w:sz w:val="20"/>
                <w:szCs w:val="20"/>
                <w:u w:val="none"/>
                <w:lang w:val="en-US" w:eastAsia="zh-CN" w:bidi="ar"/>
              </w:rPr>
              <w:t>　　住房公积金</w:t>
            </w:r>
          </w:p>
        </w:tc>
        <w:tc>
          <w:tcPr>
            <w:tcW w:w="1213"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1150" w:type="dxa"/>
            <w:tcBorders>
              <w:top w:val="single" w:sz="4" w:space="0" w:color="auto"/>
              <w:left w:val="single" w:sz="4" w:space="0" w:color="auto"/>
              <w:bottom w:val="single" w:sz="4" w:space="0" w:color="auto"/>
              <w:right w:val="single" w:sz="4" w:space="0" w:color="auto"/>
            </w:tcBorders>
            <w:noWrap w:val="0"/>
            <w:vAlign w:val="center"/>
          </w:tcPr>
          <w:p>
            <w:pPr>
              <w:jc w:val="right"/>
              <w:rPr>
                <w:rFonts w:ascii="TimesNewRoman" w:hAnsi="TimesNewRoman" w:cs="TimesNewRoman"/>
                <w:b/>
                <w:bCs/>
                <w:kern w:val="0"/>
                <w:sz w:val="18"/>
                <w:szCs w:val="18"/>
              </w:rPr>
            </w:pPr>
          </w:p>
        </w:tc>
        <w:tc>
          <w:tcPr>
            <w:tcW w:w="143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c>
          <w:tcPr>
            <w:tcW w:w="135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c>
          <w:tcPr>
            <w:tcW w:w="1731"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hint="eastAsia"/>
                <w:b/>
                <w:bCs/>
                <w:kern w:val="0"/>
                <w:sz w:val="18"/>
                <w:szCs w:val="18"/>
              </w:rPr>
            </w:pPr>
            <w:r>
              <w:rPr>
                <w:rFonts w:ascii="宋体" w:eastAsia="宋体" w:hAnsi="宋体" w:cs="宋体" w:hint="eastAsia"/>
                <w:i w:val="0"/>
                <w:iCs w:val="0"/>
                <w:color w:val="000000"/>
                <w:kern w:val="0"/>
                <w:sz w:val="20"/>
                <w:szCs w:val="20"/>
                <w:u w:val="none"/>
                <w:lang w:val="en-US" w:eastAsia="zh-CN" w:bidi="ar"/>
              </w:rPr>
              <w:t>224</w:t>
            </w:r>
          </w:p>
        </w:tc>
        <w:tc>
          <w:tcPr>
            <w:tcW w:w="449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hint="eastAsia"/>
                <w:b/>
                <w:bCs/>
                <w:kern w:val="0"/>
                <w:sz w:val="18"/>
                <w:szCs w:val="18"/>
              </w:rPr>
            </w:pPr>
            <w:r>
              <w:rPr>
                <w:rFonts w:ascii="宋体" w:eastAsia="宋体" w:hAnsi="宋体" w:cs="宋体" w:hint="eastAsia"/>
                <w:i w:val="0"/>
                <w:iCs w:val="0"/>
                <w:color w:val="000000"/>
                <w:kern w:val="0"/>
                <w:sz w:val="20"/>
                <w:szCs w:val="20"/>
                <w:u w:val="none"/>
                <w:lang w:val="en-US" w:eastAsia="zh-CN" w:bidi="ar"/>
              </w:rPr>
              <w:t>灾害防治及应急管理支出</w:t>
            </w:r>
          </w:p>
        </w:tc>
        <w:tc>
          <w:tcPr>
            <w:tcW w:w="1213"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642.84</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471.33</w:t>
            </w:r>
          </w:p>
        </w:tc>
        <w:tc>
          <w:tcPr>
            <w:tcW w:w="115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171.51</w:t>
            </w:r>
          </w:p>
        </w:tc>
        <w:tc>
          <w:tcPr>
            <w:tcW w:w="143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c>
          <w:tcPr>
            <w:tcW w:w="135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c>
          <w:tcPr>
            <w:tcW w:w="1731"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r>
      <w:tr>
        <w:tblPrEx>
          <w:tblW w:w="14192" w:type="dxa"/>
          <w:tblInd w:w="0" w:type="dxa"/>
          <w:tblLayout w:type="fixed"/>
          <w:tblCellMar>
            <w:top w:w="0" w:type="dxa"/>
            <w:left w:w="108" w:type="dxa"/>
            <w:bottom w:w="0" w:type="dxa"/>
            <w:right w:w="108" w:type="dxa"/>
          </w:tblCellMar>
        </w:tblPrEx>
        <w:trPr>
          <w:trHeight w:val="333"/>
        </w:trPr>
        <w:tc>
          <w:tcPr>
            <w:tcW w:w="163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hint="eastAsia"/>
                <w:b/>
                <w:bCs/>
                <w:kern w:val="0"/>
                <w:sz w:val="18"/>
                <w:szCs w:val="18"/>
              </w:rPr>
            </w:pPr>
            <w:r>
              <w:rPr>
                <w:rFonts w:ascii="宋体" w:eastAsia="宋体" w:hAnsi="宋体" w:cs="宋体" w:hint="eastAsia"/>
                <w:i w:val="0"/>
                <w:iCs w:val="0"/>
                <w:color w:val="000000"/>
                <w:kern w:val="0"/>
                <w:sz w:val="20"/>
                <w:szCs w:val="20"/>
                <w:u w:val="none"/>
                <w:lang w:val="en-US" w:eastAsia="zh-CN" w:bidi="ar"/>
              </w:rPr>
              <w:t>　22401</w:t>
            </w:r>
          </w:p>
        </w:tc>
        <w:tc>
          <w:tcPr>
            <w:tcW w:w="449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hint="eastAsia"/>
                <w:b/>
                <w:bCs/>
                <w:kern w:val="0"/>
                <w:sz w:val="18"/>
                <w:szCs w:val="18"/>
              </w:rPr>
            </w:pPr>
            <w:r>
              <w:rPr>
                <w:rFonts w:ascii="宋体" w:eastAsia="宋体" w:hAnsi="宋体" w:cs="宋体" w:hint="eastAsia"/>
                <w:i w:val="0"/>
                <w:iCs w:val="0"/>
                <w:color w:val="000000"/>
                <w:kern w:val="0"/>
                <w:sz w:val="20"/>
                <w:szCs w:val="20"/>
                <w:u w:val="none"/>
                <w:lang w:val="en-US" w:eastAsia="zh-CN" w:bidi="ar"/>
              </w:rPr>
              <w:t>　应急管理事务</w:t>
            </w:r>
          </w:p>
        </w:tc>
        <w:tc>
          <w:tcPr>
            <w:tcW w:w="1213"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642.84</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471.33</w:t>
            </w:r>
          </w:p>
        </w:tc>
        <w:tc>
          <w:tcPr>
            <w:tcW w:w="115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171.51</w:t>
            </w:r>
          </w:p>
        </w:tc>
        <w:tc>
          <w:tcPr>
            <w:tcW w:w="1430"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c>
          <w:tcPr>
            <w:tcW w:w="135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c>
          <w:tcPr>
            <w:tcW w:w="1731"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hint="eastAsia"/>
                <w:b/>
                <w:bCs/>
                <w:kern w:val="0"/>
                <w:sz w:val="18"/>
                <w:szCs w:val="18"/>
              </w:rPr>
            </w:pPr>
            <w:r>
              <w:rPr>
                <w:rFonts w:ascii="宋体" w:eastAsia="宋体" w:hAnsi="宋体" w:cs="宋体" w:hint="eastAsia"/>
                <w:i w:val="0"/>
                <w:iCs w:val="0"/>
                <w:color w:val="000000"/>
                <w:kern w:val="0"/>
                <w:sz w:val="20"/>
                <w:szCs w:val="20"/>
                <w:u w:val="none"/>
                <w:lang w:val="en-US" w:eastAsia="zh-CN" w:bidi="ar"/>
              </w:rPr>
              <w:t>　　2240101</w:t>
            </w:r>
          </w:p>
        </w:tc>
        <w:tc>
          <w:tcPr>
            <w:tcW w:w="449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行政运行</w:t>
            </w:r>
          </w:p>
        </w:tc>
        <w:tc>
          <w:tcPr>
            <w:tcW w:w="1213"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eastAsia="宋体" w:hAnsi="TimesNewRoman" w:cs="TimesNewRoman"/>
                <w:b/>
                <w:bCs/>
                <w:kern w:val="0"/>
                <w:sz w:val="18"/>
                <w:szCs w:val="18"/>
                <w:lang w:val="en-US" w:eastAsia="zh-CN" w:bidi="ar-SA"/>
              </w:rPr>
            </w:pPr>
            <w:r>
              <w:rPr>
                <w:rFonts w:ascii="宋体" w:eastAsia="宋体" w:hAnsi="宋体" w:cs="宋体" w:hint="eastAsia"/>
                <w:i w:val="0"/>
                <w:iCs w:val="0"/>
                <w:color w:val="000000"/>
                <w:kern w:val="0"/>
                <w:sz w:val="20"/>
                <w:szCs w:val="20"/>
                <w:u w:val="none"/>
                <w:lang w:val="en-US" w:eastAsia="zh-CN" w:bidi="ar"/>
              </w:rPr>
              <w:t>642.84</w:t>
            </w:r>
          </w:p>
        </w:tc>
        <w:tc>
          <w:tcPr>
            <w:tcW w:w="1181"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eastAsia="宋体" w:hAnsi="TimesNewRoman" w:cs="TimesNewRoman"/>
                <w:b/>
                <w:bCs/>
                <w:kern w:val="0"/>
                <w:sz w:val="18"/>
                <w:szCs w:val="18"/>
                <w:lang w:val="en-US" w:eastAsia="zh-CN" w:bidi="ar-SA"/>
              </w:rPr>
            </w:pPr>
            <w:r>
              <w:rPr>
                <w:rFonts w:ascii="宋体" w:eastAsia="宋体" w:hAnsi="宋体" w:cs="宋体" w:hint="eastAsia"/>
                <w:i w:val="0"/>
                <w:iCs w:val="0"/>
                <w:color w:val="000000"/>
                <w:kern w:val="0"/>
                <w:sz w:val="20"/>
                <w:szCs w:val="20"/>
                <w:u w:val="none"/>
                <w:lang w:val="en-US" w:eastAsia="zh-CN" w:bidi="ar"/>
              </w:rPr>
              <w:t>471.33</w:t>
            </w:r>
          </w:p>
        </w:tc>
        <w:tc>
          <w:tcPr>
            <w:tcW w:w="1150"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eastAsia="宋体" w:hAnsi="TimesNewRoman" w:cs="TimesNewRoman" w:hint="default"/>
                <w:b/>
                <w:bCs/>
                <w:kern w:val="0"/>
                <w:sz w:val="18"/>
                <w:szCs w:val="18"/>
                <w:lang w:val="en-US" w:eastAsia="zh-CN"/>
              </w:rPr>
            </w:pPr>
            <w:r>
              <w:rPr>
                <w:rFonts w:ascii="TimesNewRoman" w:hAnsi="TimesNewRoman" w:cs="TimesNewRoman" w:hint="eastAsia"/>
                <w:b/>
                <w:bCs/>
                <w:kern w:val="0"/>
                <w:sz w:val="18"/>
                <w:szCs w:val="18"/>
                <w:lang w:val="en-US" w:eastAsia="zh-CN"/>
              </w:rPr>
              <w:t>171.51</w:t>
            </w:r>
          </w:p>
        </w:tc>
        <w:tc>
          <w:tcPr>
            <w:tcW w:w="1430"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c>
          <w:tcPr>
            <w:tcW w:w="1353"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c>
          <w:tcPr>
            <w:tcW w:w="1731"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b/>
                <w:bCs/>
                <w:kern w:val="0"/>
                <w:sz w:val="18"/>
                <w:szCs w:val="18"/>
              </w:rPr>
            </w:pPr>
          </w:p>
        </w:tc>
      </w:tr>
    </w:tbl>
    <w:p>
      <w:pPr>
        <w:spacing w:line="240" w:lineRule="auto"/>
        <w:rPr>
          <w:rFonts w:ascii="TimesNewRoman" w:hAnsi="TimesNewRoman" w:cs="TimesNewRoman"/>
          <w:kern w:val="0"/>
          <w:sz w:val="20"/>
        </w:rPr>
        <w:sectPr>
          <w:pgSz w:w="16840" w:h="11907" w:orient="landscape"/>
          <w:pgMar w:top="1588" w:right="1389" w:bottom="1474" w:left="1418" w:header="851" w:footer="1021" w:gutter="0"/>
          <w:cols w:num="1" w:space="425"/>
          <w:docGrid w:type="linesAndChars" w:linePitch="312" w:charSpace="0"/>
        </w:sectPr>
      </w:pPr>
    </w:p>
    <w:p>
      <w:pPr>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公开表4</w:t>
      </w:r>
      <w:bookmarkStart w:id="0" w:name="_GoBack"/>
      <w:bookmarkEnd w:id="0"/>
    </w:p>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b/>
          <w:bCs/>
          <w:kern w:val="0"/>
          <w:sz w:val="28"/>
          <w:szCs w:val="32"/>
        </w:rPr>
        <w:t>XX（部门、单位名称）</w:t>
      </w:r>
      <w:r>
        <w:rPr>
          <w:rFonts w:ascii="宋体" w:hAnsi="宋体" w:cs="TimesNewRoman" w:hint="eastAsia"/>
          <w:b/>
          <w:bCs/>
          <w:kern w:val="0"/>
          <w:sz w:val="28"/>
          <w:szCs w:val="32"/>
        </w:rPr>
        <w:t>2024</w:t>
      </w:r>
      <w:r>
        <w:rPr>
          <w:rFonts w:ascii="宋体" w:hAnsi="宋体" w:cs="TimesNewRoman"/>
          <w:b/>
          <w:bCs/>
          <w:kern w:val="0"/>
          <w:sz w:val="28"/>
          <w:szCs w:val="32"/>
        </w:rPr>
        <w:t>年财政拨款收支总表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9274" w:type="dxa"/>
        <w:tblInd w:w="0" w:type="dxa"/>
        <w:tblLayout w:type="fixed"/>
        <w:tblCellMar>
          <w:top w:w="0" w:type="dxa"/>
          <w:left w:w="108" w:type="dxa"/>
          <w:bottom w:w="0" w:type="dxa"/>
          <w:right w:w="108" w:type="dxa"/>
        </w:tblCellMar>
      </w:tblPr>
      <w:tblGrid>
        <w:gridCol w:w="2995"/>
        <w:gridCol w:w="1167"/>
        <w:gridCol w:w="3821"/>
        <w:gridCol w:w="1291"/>
      </w:tblGrid>
      <w:tr>
        <w:tblPrEx>
          <w:tblW w:w="9274" w:type="dxa"/>
          <w:tblInd w:w="0" w:type="dxa"/>
          <w:tblLayout w:type="fixed"/>
          <w:tblCellMar>
            <w:top w:w="0" w:type="dxa"/>
            <w:left w:w="108" w:type="dxa"/>
            <w:bottom w:w="0" w:type="dxa"/>
            <w:right w:w="108" w:type="dxa"/>
          </w:tblCellMar>
        </w:tblPrEx>
        <w:trPr>
          <w:trHeight w:val="167"/>
        </w:trPr>
        <w:tc>
          <w:tcPr>
            <w:tcW w:w="4162"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w:t>
            </w:r>
          </w:p>
        </w:tc>
        <w:tc>
          <w:tcPr>
            <w:tcW w:w="5112" w:type="dxa"/>
            <w:gridSpan w:val="2"/>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      出</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预算数</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预算数</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一、本年收入</w:t>
            </w:r>
          </w:p>
        </w:tc>
        <w:tc>
          <w:tcPr>
            <w:tcW w:w="116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815.96</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一、本年支出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815.96</w:t>
            </w: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（一）一般公共预算拨款</w:t>
            </w:r>
          </w:p>
        </w:tc>
        <w:tc>
          <w:tcPr>
            <w:tcW w:w="116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815.96</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（一）一般公共服务支出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（二）政府性基金预算拨款</w:t>
            </w:r>
          </w:p>
        </w:tc>
        <w:tc>
          <w:tcPr>
            <w:tcW w:w="116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（二）外交支出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（三）国有资本经营预算拨款</w:t>
            </w:r>
          </w:p>
        </w:tc>
        <w:tc>
          <w:tcPr>
            <w:tcW w:w="116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（三）国防支出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jc w:val="left"/>
              <w:rPr>
                <w:rFonts w:ascii="TimesNewRoman" w:hAnsi="TimesNewRoman" w:cs="TimesNewRoman"/>
                <w:kern w:val="0"/>
                <w:sz w:val="18"/>
                <w:szCs w:val="18"/>
              </w:rPr>
            </w:pPr>
          </w:p>
        </w:tc>
        <w:tc>
          <w:tcPr>
            <w:tcW w:w="116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（四）公共安全支出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eastAsia="仿宋_GB2312"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二、上年结转</w:t>
            </w:r>
          </w:p>
        </w:tc>
        <w:tc>
          <w:tcPr>
            <w:tcW w:w="116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（五）教育支出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eastAsia="仿宋_GB2312"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（一）一般公共预算拨款</w:t>
            </w:r>
          </w:p>
        </w:tc>
        <w:tc>
          <w:tcPr>
            <w:tcW w:w="116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（六）科学技术支出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eastAsia="仿宋_GB2312"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（二）政府性基金预算拨款</w:t>
            </w:r>
          </w:p>
        </w:tc>
        <w:tc>
          <w:tcPr>
            <w:tcW w:w="116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（七）文化旅游体育与传媒支出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eastAsia="仿宋_GB2312"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（三）国有资本经营预算拨款</w:t>
            </w:r>
          </w:p>
        </w:tc>
        <w:tc>
          <w:tcPr>
            <w:tcW w:w="116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（八）社会保障和就业支出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100.02</w:t>
            </w: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p>
        </w:tc>
        <w:tc>
          <w:tcPr>
            <w:tcW w:w="116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（九）卫生健康支出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23.99</w:t>
            </w: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（十）节能环保支出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（十一）城乡社区支出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（十二）农林水支出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（十三）交通运输支出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（十四）资源勘探工业信息等支出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（十五）商业服务业等支出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（十六）金融支出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（十七）援助其他地区支出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（十八）自然资源海洋气象等支出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（十九）住房保障支出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49.10</w:t>
            </w: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（二十）粮油物资储备支出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（二十一）灾害防治及应急管理支出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642.84</w:t>
            </w: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（二十二）预备费</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（二十三）其他支出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（二十四）转移性支出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（二十五）债务还本支出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（二十六）债务付息支出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（二十七）债务发行费用支出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二、年终结转结余</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（一）一般公共预算结转结余</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（二）政府性基金预算结转结余</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（三）国有资本经营预算结转结余</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    总    计</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hint="eastAsia"/>
                <w:b/>
                <w:bCs/>
                <w:kern w:val="0"/>
                <w:sz w:val="18"/>
                <w:szCs w:val="18"/>
                <w:lang w:val="en-US" w:eastAsia="zh-CN"/>
              </w:rPr>
              <w:t>815.96</w:t>
            </w:r>
            <w:r>
              <w:rPr>
                <w:rFonts w:ascii="TimesNewRoman" w:hAnsi="TimesNewRoman" w:cs="TimesNewRoman"/>
                <w:b/>
                <w:bCs/>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    出    总    计</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815.96</w:t>
            </w:r>
            <w:r>
              <w:rPr>
                <w:rFonts w:ascii="TimesNewRoman" w:hAnsi="TimesNewRoman" w:cs="TimesNewRoman"/>
                <w:kern w:val="0"/>
                <w:sz w:val="18"/>
                <w:szCs w:val="18"/>
              </w:rPr>
              <w:t>　</w:t>
            </w:r>
          </w:p>
        </w:tc>
      </w:tr>
    </w:tbl>
    <w:p>
      <w:pPr>
        <w:spacing w:line="560" w:lineRule="exact"/>
        <w:jc w:val="right"/>
        <w:rPr>
          <w:rFonts w:ascii="TimesNewRoman" w:hAnsi="TimesNewRoman" w:cs="TimesNewRoman"/>
          <w:kern w:val="0"/>
          <w:sz w:val="20"/>
        </w:rPr>
        <w:sectPr>
          <w:pgSz w:w="11907" w:h="16840"/>
          <w:pgMar w:top="2098" w:right="1474" w:bottom="1985" w:left="1588" w:header="851" w:footer="1021" w:gutter="0"/>
          <w:cols w:num="1" w:space="425"/>
          <w:docGrid w:type="lines" w:linePitch="312" w:charSpace="0"/>
        </w:sectPr>
      </w:pPr>
    </w:p>
    <w:p>
      <w:pPr>
        <w:widowControl/>
        <w:spacing w:before="156" w:beforeLines="50" w:after="156" w:afterLines="50" w:line="560" w:lineRule="exact"/>
        <w:jc w:val="center"/>
        <w:rPr>
          <w:rFonts w:ascii="TimesNewRoman" w:hAnsi="TimesNewRoman" w:cs="TimesNewRoman"/>
          <w:kern w:val="0"/>
          <w:sz w:val="20"/>
        </w:rPr>
      </w:pPr>
      <w:r>
        <w:rPr>
          <w:rFonts w:ascii="TimesNewRoman" w:eastAsia="华文中宋" w:hAnsi="TimesNewRoman" w:cs="TimesNewRoman" w:hint="eastAsia"/>
          <w:b/>
          <w:bCs/>
          <w:kern w:val="0"/>
          <w:sz w:val="30"/>
          <w:szCs w:val="30"/>
          <w:lang w:val="en-US" w:eastAsia="zh-CN"/>
        </w:rPr>
        <w:t xml:space="preserve">     </w:t>
      </w:r>
      <w:r>
        <w:rPr>
          <w:rFonts w:ascii="TimesNewRoman" w:eastAsia="华文中宋" w:hAnsi="TimesNewRoman" w:cs="TimesNewRoman" w:hint="eastAsia"/>
          <w:b/>
          <w:bCs/>
          <w:kern w:val="0"/>
          <w:sz w:val="30"/>
          <w:szCs w:val="30"/>
        </w:rPr>
        <w:t>寿县</w:t>
      </w:r>
      <w:r>
        <w:rPr>
          <w:rFonts w:ascii="TimesNewRoman" w:eastAsia="华文中宋" w:hAnsi="TimesNewRoman" w:cs="TimesNewRoman" w:hint="eastAsia"/>
          <w:b/>
          <w:bCs/>
          <w:kern w:val="0"/>
          <w:sz w:val="30"/>
          <w:szCs w:val="30"/>
          <w:lang w:eastAsia="zh-CN"/>
        </w:rPr>
        <w:t>应急管理局</w:t>
      </w:r>
      <w:r>
        <w:rPr>
          <w:rFonts w:ascii="TimesNewRoman" w:eastAsia="华文中宋" w:hAnsi="TimesNewRoman" w:cs="TimesNewRoman" w:hint="eastAsia"/>
          <w:b/>
          <w:bCs/>
          <w:kern w:val="0"/>
          <w:sz w:val="30"/>
          <w:szCs w:val="30"/>
        </w:rPr>
        <w:t>2024</w:t>
      </w:r>
      <w:r>
        <w:rPr>
          <w:rFonts w:ascii="TimesNewRoman" w:eastAsia="华文中宋" w:hAnsi="TimesNewRoman" w:cs="TimesNewRoman"/>
          <w:b/>
          <w:bCs/>
          <w:kern w:val="0"/>
          <w:sz w:val="30"/>
          <w:szCs w:val="30"/>
        </w:rPr>
        <w:t>年一般公共预算支出表</w:t>
      </w:r>
      <w:r>
        <w:rPr>
          <w:rFonts w:ascii="TimesNewRoman" w:hAnsi="TimesNewRoman" w:cs="TimesNewRoman"/>
          <w:kern w:val="0"/>
          <w:sz w:val="20"/>
        </w:rPr>
        <w:t xml:space="preserve">                  </w:t>
      </w:r>
      <w:r>
        <w:rPr>
          <w:rFonts w:ascii="TimesNewRoman" w:hAnsi="TimesNewRoman" w:cs="TimesNewRoman" w:hint="eastAsia"/>
          <w:kern w:val="0"/>
          <w:sz w:val="20"/>
          <w:lang w:eastAsia="zh-CN"/>
        </w:rPr>
        <w:t>单位：万元</w:t>
      </w:r>
      <w:r>
        <w:rPr>
          <w:rFonts w:ascii="TimesNewRoman" w:hAnsi="TimesNewRoman" w:cs="TimesNewRoman"/>
          <w:kern w:val="0"/>
          <w:sz w:val="20"/>
        </w:rPr>
        <w:t xml:space="preserve">                                                    </w:t>
      </w:r>
      <w:r>
        <w:rPr>
          <w:rFonts w:ascii="TimesNewRoman" w:hAnsi="TimesNewRoman" w:cs="TimesNewRoman" w:hint="eastAsia"/>
          <w:kern w:val="0"/>
          <w:sz w:val="20"/>
          <w:lang w:val="en-US" w:eastAsia="zh-CN"/>
        </w:rPr>
        <w:t xml:space="preserve">                                           </w:t>
      </w:r>
      <w:r>
        <w:rPr>
          <w:rFonts w:ascii="TimesNewRoman" w:hAnsi="TimesNewRoman" w:cs="TimesNewRoman"/>
          <w:kern w:val="0"/>
          <w:sz w:val="20"/>
        </w:rPr>
        <w:t xml:space="preserve"> </w:t>
      </w:r>
      <w:r>
        <w:rPr>
          <w:rFonts w:ascii="TimesNewRoman" w:hAnsi="TimesNewRoman" w:cs="TimesNewRoman" w:hint="eastAsia"/>
          <w:kern w:val="0"/>
          <w:sz w:val="20"/>
          <w:lang w:val="en-US" w:eastAsia="zh-CN"/>
        </w:rPr>
        <w:t xml:space="preserve">                               </w:t>
      </w:r>
    </w:p>
    <w:tbl>
      <w:tblPr>
        <w:tblStyle w:val="TableNormal"/>
        <w:tblW w:w="13840" w:type="dxa"/>
        <w:tblInd w:w="0" w:type="dxa"/>
        <w:tblLayout w:type="fixed"/>
        <w:tblCellMar>
          <w:top w:w="0" w:type="dxa"/>
          <w:left w:w="108" w:type="dxa"/>
          <w:bottom w:w="0" w:type="dxa"/>
          <w:right w:w="108" w:type="dxa"/>
        </w:tblCellMar>
      </w:tblPr>
      <w:tblGrid>
        <w:gridCol w:w="1603"/>
        <w:gridCol w:w="4482"/>
        <w:gridCol w:w="1303"/>
        <w:gridCol w:w="1287"/>
        <w:gridCol w:w="1752"/>
        <w:gridCol w:w="1706"/>
        <w:gridCol w:w="1707"/>
      </w:tblGrid>
      <w:tr>
        <w:tblPrEx>
          <w:tblW w:w="13840" w:type="dxa"/>
          <w:tblInd w:w="0" w:type="dxa"/>
          <w:tblLayout w:type="fixed"/>
          <w:tblCellMar>
            <w:top w:w="0" w:type="dxa"/>
            <w:left w:w="108" w:type="dxa"/>
            <w:bottom w:w="0" w:type="dxa"/>
            <w:right w:w="108" w:type="dxa"/>
          </w:tblCellMar>
        </w:tblPrEx>
        <w:trPr>
          <w:trHeight w:val="383"/>
        </w:trPr>
        <w:tc>
          <w:tcPr>
            <w:tcW w:w="1603" w:type="dxa"/>
            <w:vMerge w:val="restart"/>
            <w:tcBorders>
              <w:top w:val="single" w:sz="4" w:space="0" w:color="auto"/>
              <w:left w:val="single" w:sz="4" w:space="0" w:color="auto"/>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编码</w:t>
            </w:r>
          </w:p>
        </w:tc>
        <w:tc>
          <w:tcPr>
            <w:tcW w:w="4482" w:type="dxa"/>
            <w:vMerge w:val="restart"/>
            <w:tcBorders>
              <w:top w:val="single" w:sz="4" w:space="0" w:color="auto"/>
              <w:left w:val="single" w:sz="4" w:space="0" w:color="auto"/>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303" w:type="dxa"/>
            <w:vMerge w:val="restart"/>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4745" w:type="dxa"/>
            <w:gridSpan w:val="3"/>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1707" w:type="dxa"/>
            <w:vMerge w:val="restart"/>
            <w:tcBorders>
              <w:top w:val="single" w:sz="4" w:space="0" w:color="auto"/>
              <w:left w:val="single" w:sz="4" w:space="0" w:color="auto"/>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W w:w="13840" w:type="dxa"/>
          <w:tblInd w:w="0" w:type="dxa"/>
          <w:tblLayout w:type="fixed"/>
          <w:tblCellMar>
            <w:top w:w="0" w:type="dxa"/>
            <w:left w:w="108" w:type="dxa"/>
            <w:bottom w:w="0" w:type="dxa"/>
            <w:right w:w="108" w:type="dxa"/>
          </w:tblCellMar>
        </w:tblPrEx>
        <w:trPr>
          <w:trHeight w:val="383"/>
        </w:trPr>
        <w:tc>
          <w:tcPr>
            <w:tcW w:w="1603" w:type="dxa"/>
            <w:vMerge/>
            <w:tcBorders>
              <w:top w:val="single" w:sz="4" w:space="0" w:color="auto"/>
              <w:left w:val="single" w:sz="4" w:space="0" w:color="auto"/>
              <w:bottom w:val="nil"/>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4482" w:type="dxa"/>
            <w:vMerge/>
            <w:tcBorders>
              <w:top w:val="single" w:sz="4" w:space="0" w:color="auto"/>
              <w:left w:val="single" w:sz="4" w:space="0" w:color="auto"/>
              <w:bottom w:val="nil"/>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303" w:type="dxa"/>
            <w:vMerge/>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287"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小计</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人员经费</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公用经费</w:t>
            </w:r>
          </w:p>
        </w:tc>
        <w:tc>
          <w:tcPr>
            <w:tcW w:w="1707" w:type="dxa"/>
            <w:vMerge/>
            <w:tcBorders>
              <w:top w:val="single" w:sz="4" w:space="0" w:color="auto"/>
              <w:left w:val="single" w:sz="4" w:space="0" w:color="auto"/>
              <w:bottom w:val="nil"/>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208</w:t>
            </w:r>
          </w:p>
        </w:tc>
        <w:tc>
          <w:tcPr>
            <w:tcW w:w="4482"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社会保障和就业支出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815.96</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644.45</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598.85</w:t>
            </w:r>
          </w:p>
        </w:tc>
        <w:tc>
          <w:tcPr>
            <w:tcW w:w="1706"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45.59</w:t>
            </w:r>
          </w:p>
        </w:tc>
        <w:tc>
          <w:tcPr>
            <w:tcW w:w="1707"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171.51</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行政事业单位养老支出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100.02</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100.02</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100.02</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2080505</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机关事业单位基本养老保险缴费支出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98.21</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98.21</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98.21</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2080506</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eastAsia="仿宋_GB2312" w:hAnsi="TimesNewRoman" w:cs="TimesNewRoman" w:hint="eastAsia"/>
                <w:kern w:val="0"/>
                <w:sz w:val="18"/>
                <w:szCs w:val="18"/>
              </w:rPr>
            </w:pPr>
            <w:r>
              <w:rPr>
                <w:rFonts w:ascii="宋体" w:eastAsia="宋体" w:hAnsi="宋体" w:cs="宋体" w:hint="eastAsia"/>
                <w:i w:val="0"/>
                <w:iCs w:val="0"/>
                <w:color w:val="000000"/>
                <w:kern w:val="0"/>
                <w:sz w:val="20"/>
                <w:szCs w:val="20"/>
                <w:u w:val="none"/>
                <w:lang w:val="en-US" w:eastAsia="zh-CN" w:bidi="ar"/>
              </w:rPr>
              <w:t>　　机关事业单位职业年金缴费支出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65.47</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65.47</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65.47</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20899</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其他社会保障和就业支出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32.74</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32.74</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32.74</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2089999</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其他社会保障和就业支出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1.81</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1.81</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1.81</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210</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卫生健康支出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1.81</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1.81</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1.81</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21011</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行政事业单位医疗</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23.99</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23.99</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23.99</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2101101</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行政单位医疗</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23.99</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23.99</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23.99</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2101102</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事业单位医疗</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5.29</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5.29</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5.29</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2101103</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公务员医疗补助</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16.33</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16.33</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16.33</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221</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住房保障支出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2.38</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2.38</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2.38</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22102</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住房改革支出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2210201</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住房公积金</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224</w:t>
            </w:r>
          </w:p>
        </w:tc>
        <w:tc>
          <w:tcPr>
            <w:tcW w:w="448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灾害防治及应急管理支出</w:t>
            </w:r>
          </w:p>
        </w:tc>
        <w:tc>
          <w:tcPr>
            <w:tcW w:w="1303"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128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175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1706" w:type="dxa"/>
            <w:tcBorders>
              <w:top w:val="single" w:sz="4" w:space="0" w:color="auto"/>
              <w:left w:val="single" w:sz="4" w:space="0" w:color="auto"/>
              <w:bottom w:val="single" w:sz="4" w:space="0" w:color="auto"/>
              <w:right w:val="single" w:sz="4" w:space="0" w:color="auto"/>
            </w:tcBorders>
            <w:noWrap w:val="0"/>
            <w:vAlign w:val="center"/>
          </w:tcPr>
          <w:p>
            <w:pPr>
              <w:jc w:val="right"/>
              <w:rPr>
                <w:rFonts w:ascii="TimesNewRoman" w:hAnsi="TimesNewRoman" w:cs="TimesNewRoman"/>
                <w:b/>
                <w:bCs/>
                <w:kern w:val="0"/>
                <w:sz w:val="18"/>
                <w:szCs w:val="18"/>
              </w:rPr>
            </w:pPr>
          </w:p>
        </w:tc>
        <w:tc>
          <w:tcPr>
            <w:tcW w:w="1707" w:type="dxa"/>
            <w:tcBorders>
              <w:top w:val="single" w:sz="4" w:space="0" w:color="auto"/>
              <w:left w:val="single" w:sz="4" w:space="0" w:color="auto"/>
              <w:bottom w:val="single" w:sz="4" w:space="0" w:color="auto"/>
              <w:right w:val="single" w:sz="4" w:space="0" w:color="auto"/>
            </w:tcBorders>
            <w:noWrap w:val="0"/>
            <w:vAlign w:val="center"/>
          </w:tcPr>
          <w:p>
            <w:pPr>
              <w:jc w:val="right"/>
              <w:rPr>
                <w:rFonts w:ascii="TimesNewRoman" w:hAnsi="TimesNewRoman" w:cs="TimesNewRoman"/>
                <w:b/>
                <w:bCs/>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hint="eastAsia"/>
                <w:b/>
                <w:bCs/>
                <w:kern w:val="0"/>
                <w:sz w:val="18"/>
                <w:szCs w:val="18"/>
              </w:rPr>
            </w:pPr>
            <w:r>
              <w:rPr>
                <w:rFonts w:ascii="宋体" w:eastAsia="宋体" w:hAnsi="宋体" w:cs="宋体" w:hint="eastAsia"/>
                <w:i w:val="0"/>
                <w:iCs w:val="0"/>
                <w:color w:val="000000"/>
                <w:kern w:val="0"/>
                <w:sz w:val="20"/>
                <w:szCs w:val="20"/>
                <w:u w:val="none"/>
                <w:lang w:val="en-US" w:eastAsia="zh-CN" w:bidi="ar"/>
              </w:rPr>
              <w:t>　22401</w:t>
            </w:r>
          </w:p>
        </w:tc>
        <w:tc>
          <w:tcPr>
            <w:tcW w:w="448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hint="eastAsia"/>
                <w:b/>
                <w:bCs/>
                <w:kern w:val="0"/>
                <w:sz w:val="18"/>
                <w:szCs w:val="18"/>
              </w:rPr>
            </w:pPr>
            <w:r>
              <w:rPr>
                <w:rFonts w:ascii="宋体" w:eastAsia="宋体" w:hAnsi="宋体" w:cs="宋体" w:hint="eastAsia"/>
                <w:i w:val="0"/>
                <w:iCs w:val="0"/>
                <w:color w:val="000000"/>
                <w:kern w:val="0"/>
                <w:sz w:val="20"/>
                <w:szCs w:val="20"/>
                <w:u w:val="none"/>
                <w:lang w:val="en-US" w:eastAsia="zh-CN" w:bidi="ar"/>
              </w:rPr>
              <w:t>　应急管理事务</w:t>
            </w:r>
          </w:p>
        </w:tc>
        <w:tc>
          <w:tcPr>
            <w:tcW w:w="1303"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642.84</w:t>
            </w:r>
          </w:p>
        </w:tc>
        <w:tc>
          <w:tcPr>
            <w:tcW w:w="128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471.33</w:t>
            </w:r>
          </w:p>
        </w:tc>
        <w:tc>
          <w:tcPr>
            <w:tcW w:w="175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425.74</w:t>
            </w:r>
          </w:p>
        </w:tc>
        <w:tc>
          <w:tcPr>
            <w:tcW w:w="1706"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45.59</w:t>
            </w:r>
          </w:p>
        </w:tc>
        <w:tc>
          <w:tcPr>
            <w:tcW w:w="170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171.51</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hint="eastAsia"/>
                <w:b/>
                <w:bCs/>
                <w:kern w:val="0"/>
                <w:sz w:val="18"/>
                <w:szCs w:val="18"/>
              </w:rPr>
            </w:pPr>
            <w:r>
              <w:rPr>
                <w:rFonts w:ascii="宋体" w:eastAsia="宋体" w:hAnsi="宋体" w:cs="宋体" w:hint="eastAsia"/>
                <w:i w:val="0"/>
                <w:iCs w:val="0"/>
                <w:color w:val="000000"/>
                <w:kern w:val="0"/>
                <w:sz w:val="20"/>
                <w:szCs w:val="20"/>
                <w:u w:val="none"/>
                <w:lang w:val="en-US" w:eastAsia="zh-CN" w:bidi="ar"/>
              </w:rPr>
              <w:t>　　2240101</w:t>
            </w:r>
          </w:p>
        </w:tc>
        <w:tc>
          <w:tcPr>
            <w:tcW w:w="448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hint="eastAsia"/>
                <w:b/>
                <w:bCs/>
                <w:kern w:val="0"/>
                <w:sz w:val="18"/>
                <w:szCs w:val="18"/>
              </w:rPr>
            </w:pPr>
            <w:r>
              <w:rPr>
                <w:rFonts w:ascii="宋体" w:eastAsia="宋体" w:hAnsi="宋体" w:cs="宋体" w:hint="eastAsia"/>
                <w:i w:val="0"/>
                <w:iCs w:val="0"/>
                <w:color w:val="000000"/>
                <w:kern w:val="0"/>
                <w:sz w:val="20"/>
                <w:szCs w:val="20"/>
                <w:u w:val="none"/>
                <w:lang w:val="en-US" w:eastAsia="zh-CN" w:bidi="ar"/>
              </w:rPr>
              <w:t>　　行政运行</w:t>
            </w:r>
          </w:p>
        </w:tc>
        <w:tc>
          <w:tcPr>
            <w:tcW w:w="1303"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642.84</w:t>
            </w:r>
          </w:p>
        </w:tc>
        <w:tc>
          <w:tcPr>
            <w:tcW w:w="128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471.33</w:t>
            </w:r>
          </w:p>
        </w:tc>
        <w:tc>
          <w:tcPr>
            <w:tcW w:w="175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425.74</w:t>
            </w:r>
          </w:p>
        </w:tc>
        <w:tc>
          <w:tcPr>
            <w:tcW w:w="1706"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45.59</w:t>
            </w:r>
          </w:p>
        </w:tc>
        <w:tc>
          <w:tcPr>
            <w:tcW w:w="170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171.51</w:t>
            </w:r>
          </w:p>
        </w:tc>
      </w:tr>
    </w:tbl>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eastAsia="zh-CN"/>
        </w:rPr>
        <w:t>应急管理局</w:t>
      </w:r>
      <w:r>
        <w:rPr>
          <w:rFonts w:ascii="宋体" w:hAnsi="宋体" w:cs="TimesNewRoman" w:hint="eastAsia"/>
          <w:b/>
          <w:bCs/>
          <w:kern w:val="0"/>
          <w:sz w:val="28"/>
          <w:szCs w:val="32"/>
        </w:rPr>
        <w:t>2024</w:t>
      </w:r>
      <w:r>
        <w:rPr>
          <w:rFonts w:ascii="宋体" w:hAnsi="宋体" w:cs="TimesNewRoman"/>
          <w:b/>
          <w:bCs/>
          <w:kern w:val="0"/>
          <w:sz w:val="28"/>
          <w:szCs w:val="32"/>
        </w:rPr>
        <w:t>年一般公共预算基本支出表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lang w:val="en-US" w:eastAsia="zh-CN"/>
        </w:rPr>
        <w:t xml:space="preserve">                                </w:t>
      </w:r>
      <w:r>
        <w:rPr>
          <w:rFonts w:ascii="TimesNewRoman" w:hAnsi="TimesNewRoman" w:cs="TimesNewRoman"/>
          <w:kern w:val="0"/>
          <w:sz w:val="20"/>
        </w:rPr>
        <w:t>单位：万元</w:t>
      </w:r>
    </w:p>
    <w:tbl>
      <w:tblPr>
        <w:tblStyle w:val="TableNormal"/>
        <w:tblW w:w="14005" w:type="dxa"/>
        <w:tblInd w:w="0" w:type="dxa"/>
        <w:tblLayout w:type="fixed"/>
        <w:tblCellMar>
          <w:top w:w="0" w:type="dxa"/>
          <w:left w:w="108" w:type="dxa"/>
          <w:bottom w:w="0" w:type="dxa"/>
          <w:right w:w="108" w:type="dxa"/>
        </w:tblCellMar>
      </w:tblPr>
      <w:tblGrid>
        <w:gridCol w:w="2930"/>
        <w:gridCol w:w="4350"/>
        <w:gridCol w:w="1530"/>
        <w:gridCol w:w="2631"/>
        <w:gridCol w:w="2564"/>
      </w:tblGrid>
      <w:tr>
        <w:tblPrEx>
          <w:tblW w:w="14005" w:type="dxa"/>
          <w:tblInd w:w="0" w:type="dxa"/>
          <w:tblLayout w:type="fixed"/>
          <w:tblCellMar>
            <w:top w:w="0" w:type="dxa"/>
            <w:left w:w="108" w:type="dxa"/>
            <w:bottom w:w="0" w:type="dxa"/>
            <w:right w:w="108" w:type="dxa"/>
          </w:tblCellMar>
        </w:tblPrEx>
        <w:trPr>
          <w:trHeight w:val="365"/>
        </w:trPr>
        <w:tc>
          <w:tcPr>
            <w:tcW w:w="7280"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部门预算支出经济分类科目</w:t>
            </w:r>
          </w:p>
        </w:tc>
        <w:tc>
          <w:tcPr>
            <w:tcW w:w="6725" w:type="dxa"/>
            <w:gridSpan w:val="3"/>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本年一般公共预算基本支出</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4350"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530"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631"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人员经费</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公用经费</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301</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工资福利支出</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582.31</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582.31</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30101</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基本工资</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196.91</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196.91</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30102</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津贴补贴</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24.01</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24.01</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30103</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奖金</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99.55</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99.55</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30107</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绩效工资</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82.96</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82.96</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30108</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机关事业单位基本养老保险缴费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65.47</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65.47</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30109</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职业年金缴费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32.74</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32.74</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30110</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职工基本医疗保险缴费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21.61</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21.61</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30111</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公务员医疗补助缴费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2.38</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2.38</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30112</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其他社会保障缴费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1.81</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1.81</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30113</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住房公积金</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49.10</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30199</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其他工资福利支出</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5.77</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5.77</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商品和服务支出</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47.02</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4.91</w:t>
            </w: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42.11</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30201</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办公费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18.96</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18.96</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30203</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咨询费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1.00</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1.00</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30207</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邮电费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5.00</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5.00</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30211</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差旅费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5.00</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5.00</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30215</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会议费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1.80</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1.80</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30228</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工会经费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4.91</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4.91</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30231</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公务用车运行维护费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2.00</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2.00</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30239</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其他交通费用</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8.35</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8.35</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303</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对个人和家庭的补助</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11.63</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11.63</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30302</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退休费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11.63</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11.63</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310</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资本性支出</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3.48</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3.48</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31002</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0"/>
                <w:szCs w:val="20"/>
                <w:u w:val="none"/>
                <w:lang w:val="en-US" w:eastAsia="zh-CN" w:bidi="ar"/>
              </w:rPr>
            </w:pPr>
            <w:r>
              <w:rPr>
                <w:rFonts w:ascii="宋体" w:eastAsia="宋体" w:hAnsi="宋体" w:cs="宋体" w:hint="eastAsia"/>
                <w:i w:val="0"/>
                <w:iCs w:val="0"/>
                <w:color w:val="000000"/>
                <w:kern w:val="0"/>
                <w:sz w:val="20"/>
                <w:szCs w:val="20"/>
                <w:u w:val="none"/>
                <w:lang w:val="en-US" w:eastAsia="zh-CN" w:bidi="ar"/>
              </w:rPr>
              <w:t>　办公设备购置</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3.48</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3.48</w:t>
            </w:r>
          </w:p>
        </w:tc>
      </w:tr>
      <w:tr>
        <w:tblPrEx>
          <w:tblW w:w="14005" w:type="dxa"/>
          <w:tblInd w:w="0" w:type="dxa"/>
          <w:tblLayout w:type="fixed"/>
          <w:tblCellMar>
            <w:top w:w="0" w:type="dxa"/>
            <w:left w:w="108" w:type="dxa"/>
            <w:bottom w:w="0" w:type="dxa"/>
            <w:right w:w="108" w:type="dxa"/>
          </w:tblCellMar>
        </w:tblPrEx>
        <w:trPr>
          <w:trHeight w:val="365"/>
        </w:trPr>
        <w:tc>
          <w:tcPr>
            <w:tcW w:w="7280" w:type="dxa"/>
            <w:gridSpan w:val="2"/>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 xml:space="preserve"> 计</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hint="default"/>
                <w:b/>
                <w:bCs/>
                <w:kern w:val="0"/>
                <w:sz w:val="18"/>
                <w:szCs w:val="18"/>
                <w:lang w:val="en-US"/>
              </w:rPr>
            </w:pPr>
            <w:r>
              <w:rPr>
                <w:rFonts w:ascii="宋体" w:eastAsia="宋体" w:hAnsi="宋体" w:cs="宋体" w:hint="eastAsia"/>
                <w:i w:val="0"/>
                <w:iCs w:val="0"/>
                <w:color w:val="000000"/>
                <w:kern w:val="0"/>
                <w:sz w:val="20"/>
                <w:szCs w:val="20"/>
                <w:u w:val="none"/>
                <w:lang w:val="en-US" w:eastAsia="zh-CN" w:bidi="ar"/>
              </w:rPr>
              <w:t>644.45</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598.85</w:t>
            </w: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45.59</w:t>
            </w:r>
          </w:p>
        </w:tc>
      </w:tr>
    </w:tbl>
    <w:p>
      <w:pPr>
        <w:spacing w:line="560" w:lineRule="exact"/>
        <w:rPr>
          <w:rFonts w:ascii="TimesNewRoman" w:hAnsi="TimesNewRoman" w:cs="TimesNewRoman"/>
        </w:rPr>
      </w:pPr>
    </w:p>
    <w:p>
      <w:pPr>
        <w:spacing w:line="560" w:lineRule="exact"/>
        <w:jc w:val="right"/>
        <w:rPr>
          <w:rFonts w:ascii="TimesNewRoman" w:hAnsi="TimesNewRoman" w:cs="TimesNewRoman" w:hint="eastAsia"/>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p>
    <w:p>
      <w:pPr>
        <w:spacing w:line="560" w:lineRule="exact"/>
        <w:jc w:val="right"/>
        <w:rPr>
          <w:rFonts w:ascii="TimesNewRoman" w:hAnsi="TimesNewRoman" w:cs="TimesNewRoman" w:hint="eastAsia"/>
          <w:kern w:val="0"/>
          <w:sz w:val="20"/>
        </w:rPr>
      </w:pPr>
    </w:p>
    <w:p>
      <w:pPr>
        <w:spacing w:line="560" w:lineRule="exact"/>
        <w:jc w:val="right"/>
        <w:rPr>
          <w:rFonts w:ascii="TimesNewRoman" w:hAnsi="TimesNewRoman" w:cs="TimesNewRoman" w:hint="eastAsia"/>
          <w:kern w:val="0"/>
          <w:sz w:val="20"/>
        </w:rPr>
      </w:pPr>
    </w:p>
    <w:p>
      <w:pPr>
        <w:spacing w:line="560" w:lineRule="exact"/>
        <w:jc w:val="right"/>
        <w:rPr>
          <w:rFonts w:ascii="TimesNewRoman" w:hAnsi="TimesNewRoman" w:cs="TimesNewRoman" w:hint="eastAsia"/>
          <w:kern w:val="0"/>
          <w:sz w:val="20"/>
        </w:rPr>
      </w:pPr>
    </w:p>
    <w:p>
      <w:pPr>
        <w:spacing w:line="560" w:lineRule="exact"/>
        <w:jc w:val="right"/>
        <w:rPr>
          <w:rFonts w:ascii="TimesNewRoman" w:hAnsi="TimesNewRoman" w:cs="TimesNewRoman" w:hint="eastAsia"/>
          <w:kern w:val="0"/>
          <w:sz w:val="20"/>
        </w:rPr>
      </w:pPr>
    </w:p>
    <w:p>
      <w:pPr>
        <w:spacing w:line="560" w:lineRule="exact"/>
        <w:jc w:val="right"/>
        <w:rPr>
          <w:rFonts w:ascii="TimesNewRoman" w:hAnsi="TimesNewRoman" w:cs="TimesNewRoman" w:hint="eastAsia"/>
          <w:kern w:val="0"/>
          <w:sz w:val="20"/>
        </w:rPr>
      </w:pPr>
    </w:p>
    <w:p>
      <w:pPr>
        <w:spacing w:line="560" w:lineRule="exact"/>
        <w:jc w:val="right"/>
        <w:rPr>
          <w:rFonts w:ascii="TimesNewRoman" w:hAnsi="TimesNewRoman" w:cs="TimesNewRoman" w:hint="eastAsia"/>
          <w:kern w:val="0"/>
          <w:sz w:val="20"/>
        </w:rPr>
      </w:pPr>
    </w:p>
    <w:p>
      <w:pPr>
        <w:spacing w:line="560" w:lineRule="exact"/>
        <w:jc w:val="right"/>
        <w:rPr>
          <w:rFonts w:ascii="TimesNewRoman" w:hAnsi="TimesNewRoman" w:cs="TimesNewRoman" w:hint="eastAsia"/>
          <w:kern w:val="0"/>
          <w:sz w:val="20"/>
        </w:rPr>
      </w:pPr>
    </w:p>
    <w:p>
      <w:pPr>
        <w:spacing w:line="560" w:lineRule="exact"/>
        <w:jc w:val="right"/>
        <w:rPr>
          <w:rFonts w:ascii="TimesNewRoman" w:hAnsi="TimesNewRoman" w:cs="TimesNewRoman" w:hint="eastAsia"/>
          <w:kern w:val="0"/>
          <w:sz w:val="20"/>
        </w:rPr>
      </w:pPr>
    </w:p>
    <w:p>
      <w:pPr>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公开表7</w:t>
      </w:r>
    </w:p>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eastAsia="zh-CN"/>
        </w:rPr>
        <w:t>应急管理局</w:t>
      </w:r>
      <w:r>
        <w:rPr>
          <w:rFonts w:ascii="宋体" w:hAnsi="宋体" w:cs="TimesNewRoman" w:hint="eastAsia"/>
          <w:b/>
          <w:bCs/>
          <w:kern w:val="0"/>
          <w:sz w:val="28"/>
          <w:szCs w:val="32"/>
        </w:rPr>
        <w:t>2024</w:t>
      </w:r>
      <w:r>
        <w:rPr>
          <w:rFonts w:ascii="宋体" w:hAnsi="宋体" w:cs="TimesNewRoman"/>
          <w:b/>
          <w:bCs/>
          <w:kern w:val="0"/>
          <w:sz w:val="28"/>
          <w:szCs w:val="32"/>
        </w:rPr>
        <w:t>年政府性基金预算支出表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lang w:val="en-US" w:eastAsia="zh-CN"/>
        </w:rPr>
        <w:t xml:space="preserve">                                       </w:t>
      </w:r>
      <w:r>
        <w:rPr>
          <w:rFonts w:ascii="TimesNewRoman" w:hAnsi="TimesNewRoman" w:cs="TimesNewRoman"/>
          <w:kern w:val="0"/>
          <w:sz w:val="20"/>
        </w:rPr>
        <w:t>单位：万元</w:t>
      </w:r>
    </w:p>
    <w:tbl>
      <w:tblPr>
        <w:tblStyle w:val="TableNormal"/>
        <w:tblW w:w="13951" w:type="dxa"/>
        <w:tblInd w:w="0" w:type="dxa"/>
        <w:tblLayout w:type="fixed"/>
        <w:tblCellMar>
          <w:top w:w="0" w:type="dxa"/>
          <w:left w:w="108" w:type="dxa"/>
          <w:bottom w:w="0" w:type="dxa"/>
          <w:right w:w="108" w:type="dxa"/>
        </w:tblCellMar>
      </w:tblPr>
      <w:tblGrid>
        <w:gridCol w:w="1911"/>
        <w:gridCol w:w="6266"/>
        <w:gridCol w:w="1640"/>
        <w:gridCol w:w="2018"/>
        <w:gridCol w:w="2116"/>
      </w:tblGrid>
      <w:tr>
        <w:tblPrEx>
          <w:tblW w:w="13951" w:type="dxa"/>
          <w:tblInd w:w="0" w:type="dxa"/>
          <w:tblLayout w:type="fixed"/>
          <w:tblCellMar>
            <w:top w:w="0" w:type="dxa"/>
            <w:left w:w="108" w:type="dxa"/>
            <w:bottom w:w="0" w:type="dxa"/>
            <w:right w:w="108" w:type="dxa"/>
          </w:tblCellMar>
        </w:tblPrEx>
        <w:trPr>
          <w:trHeight w:val="570"/>
        </w:trPr>
        <w:tc>
          <w:tcPr>
            <w:tcW w:w="1911"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6266"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5774" w:type="dxa"/>
            <w:gridSpan w:val="3"/>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本年政府性基金预算支出</w:t>
            </w:r>
          </w:p>
        </w:tc>
      </w:tr>
      <w:tr>
        <w:tblPrEx>
          <w:tblW w:w="13951" w:type="dxa"/>
          <w:tblInd w:w="0" w:type="dxa"/>
          <w:tblLayout w:type="fixed"/>
          <w:tblCellMar>
            <w:top w:w="0" w:type="dxa"/>
            <w:left w:w="108" w:type="dxa"/>
            <w:bottom w:w="0" w:type="dxa"/>
            <w:right w:w="108" w:type="dxa"/>
          </w:tblCellMar>
        </w:tblPrEx>
        <w:trPr>
          <w:trHeight w:val="570"/>
        </w:trPr>
        <w:tc>
          <w:tcPr>
            <w:tcW w:w="1911"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6266"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640"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hint="eastAsia"/>
                <w:kern w:val="0"/>
                <w:sz w:val="18"/>
                <w:szCs w:val="18"/>
              </w:rPr>
            </w:pPr>
            <w:r>
              <w:rPr>
                <w:rFonts w:ascii="TimesNewRoman" w:hAnsi="TimesNewRoman" w:cs="TimesNewRoman"/>
                <w:kern w:val="0"/>
                <w:sz w:val="18"/>
                <w:szCs w:val="18"/>
              </w:rPr>
              <w:t>20</w:t>
            </w:r>
            <w:r>
              <w:rPr>
                <w:rFonts w:ascii="TimesNewRoman" w:hAnsi="TimesNewRoman" w:cs="TimesNewRoman" w:hint="eastAsia"/>
                <w:kern w:val="0"/>
                <w:sz w:val="18"/>
                <w:szCs w:val="18"/>
              </w:rPr>
              <w:t>6</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科学技术</w:t>
            </w:r>
            <w:r>
              <w:rPr>
                <w:rFonts w:ascii="TimesNewRoman" w:hAnsi="TimesNewRoman" w:cs="TimesNewRoman"/>
                <w:kern w:val="0"/>
                <w:sz w:val="18"/>
                <w:szCs w:val="18"/>
              </w:rPr>
              <w:t>支出</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20</w:t>
            </w:r>
            <w:r>
              <w:rPr>
                <w:rFonts w:ascii="TimesNewRoman" w:hAnsi="TimesNewRoman" w:cs="TimesNewRoman" w:hint="eastAsia"/>
                <w:kern w:val="0"/>
                <w:sz w:val="18"/>
                <w:szCs w:val="18"/>
              </w:rPr>
              <w:t>610</w:t>
            </w:r>
          </w:p>
        </w:tc>
        <w:tc>
          <w:tcPr>
            <w:tcW w:w="6266" w:type="dxa"/>
            <w:tcBorders>
              <w:top w:val="nil"/>
              <w:left w:val="nil"/>
              <w:bottom w:val="single" w:sz="4" w:space="0" w:color="auto"/>
              <w:right w:val="single" w:sz="4" w:space="0" w:color="auto"/>
            </w:tcBorders>
            <w:noWrap w:val="0"/>
            <w:vAlign w:val="center"/>
          </w:tcPr>
          <w:p>
            <w:pPr>
              <w:widowControl/>
              <w:spacing w:line="280" w:lineRule="exact"/>
              <w:ind w:firstLine="360" w:firstLineChars="200"/>
              <w:jc w:val="left"/>
              <w:rPr>
                <w:rFonts w:ascii="TimesNewRoman" w:hAnsi="TimesNewRoman" w:cs="TimesNewRoman"/>
                <w:kern w:val="0"/>
                <w:sz w:val="18"/>
                <w:szCs w:val="18"/>
              </w:rPr>
            </w:pPr>
            <w:r>
              <w:rPr>
                <w:rFonts w:ascii="TimesNewRoman" w:hAnsi="TimesNewRoman" w:cs="TimesNewRoman"/>
                <w:kern w:val="0"/>
                <w:sz w:val="18"/>
                <w:szCs w:val="18"/>
              </w:rPr>
              <w:t>核电站乏燃料处理处置基金支出</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576"/>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ind w:firstLine="90" w:firstLineChars="50"/>
              <w:jc w:val="left"/>
              <w:rPr>
                <w:rFonts w:ascii="TimesNewRoman" w:eastAsia="仿宋_GB2312" w:hAnsi="TimesNewRoman" w:cs="TimesNewRoman"/>
                <w:kern w:val="0"/>
                <w:sz w:val="18"/>
                <w:szCs w:val="18"/>
              </w:rPr>
            </w:pPr>
            <w:r>
              <w:rPr>
                <w:rFonts w:ascii="TimesNewRoman" w:hAnsi="TimesNewRoman" w:cs="TimesNewRoman"/>
                <w:kern w:val="0"/>
                <w:sz w:val="18"/>
                <w:szCs w:val="18"/>
              </w:rPr>
              <w:t>20</w:t>
            </w:r>
            <w:r>
              <w:rPr>
                <w:rFonts w:ascii="TimesNewRoman" w:hAnsi="TimesNewRoman" w:cs="TimesNewRoman" w:hint="eastAsia"/>
                <w:kern w:val="0"/>
                <w:sz w:val="18"/>
                <w:szCs w:val="18"/>
              </w:rPr>
              <w:t>61001</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 xml:space="preserve">     </w:t>
            </w:r>
            <w:r>
              <w:rPr>
                <w:rFonts w:ascii="TimesNewRoman" w:hAnsi="TimesNewRoman" w:cs="TimesNewRoman"/>
                <w:kern w:val="0"/>
                <w:sz w:val="18"/>
                <w:szCs w:val="18"/>
              </w:rPr>
              <w:t>乏燃料运输</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汉仪中秀体简" w:eastAsia="汉仪中秀体简" w:hAnsi="汉仪中秀体简" w:cs="汉仪中秀体简" w:hint="eastAsia"/>
                <w:sz w:val="18"/>
                <w:szCs w:val="18"/>
              </w:rPr>
              <w:t>……</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8177" w:type="dxa"/>
            <w:gridSpan w:val="2"/>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 xml:space="preserve"> 计</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bl>
    <w:p>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Pr>
          <w:rFonts w:ascii="TimesNewRoman" w:hAnsi="TimesNewRoman" w:cs="TimesNewRoman" w:hint="eastAsia"/>
          <w:kern w:val="0"/>
          <w:sz w:val="24"/>
        </w:rPr>
        <w:t>寿县</w:t>
      </w:r>
      <w:r>
        <w:rPr>
          <w:rFonts w:ascii="TimesNewRoman" w:hAnsi="TimesNewRoman" w:cs="TimesNewRoman" w:hint="eastAsia"/>
          <w:kern w:val="0"/>
          <w:sz w:val="24"/>
          <w:lang w:eastAsia="zh-CN"/>
        </w:rPr>
        <w:t>应急管理局</w:t>
      </w:r>
      <w:r>
        <w:rPr>
          <w:rFonts w:ascii="TimesNewRoman" w:hAnsi="TimesNewRoman" w:cs="TimesNewRoman"/>
          <w:kern w:val="0"/>
          <w:sz w:val="24"/>
        </w:rPr>
        <w:t>没有政府性基金预算拨款收入，也没有政府性基金预算拨款安排的支出，故本表无数。</w:t>
      </w:r>
    </w:p>
    <w:p>
      <w:pPr>
        <w:pStyle w:val="NormalWeb"/>
        <w:adjustRightInd w:val="0"/>
        <w:snapToGrid w:val="0"/>
        <w:spacing w:after="156" w:afterLines="50" w:line="560" w:lineRule="exact"/>
        <w:ind w:right="102"/>
        <w:jc w:val="right"/>
        <w:rPr>
          <w:rFonts w:ascii="TimesNewRoman" w:eastAsia="黑体" w:hAnsi="TimesNewRoman" w:cs="TimesNewRoman"/>
          <w:bCs/>
          <w:sz w:val="36"/>
          <w:szCs w:val="36"/>
        </w:rPr>
      </w:pPr>
      <w:r>
        <w:rPr>
          <w:rFonts w:ascii="TimesNewRoman" w:hAnsi="TimesNewRoman" w:cs="TimesNewRoman"/>
          <w:sz w:val="20"/>
          <w:szCs w:val="20"/>
        </w:rPr>
        <w:t xml:space="preserve"> </w:t>
      </w:r>
      <w:r>
        <w:rPr>
          <w:rFonts w:ascii="TimesNewRoman" w:eastAsia="仿宋_GB2312" w:hAnsi="TimesNewRoman" w:cs="TimesNewRoman"/>
          <w:sz w:val="20"/>
          <w:szCs w:val="20"/>
        </w:rPr>
        <w:t xml:space="preserve"> 部门</w:t>
      </w:r>
      <w:r>
        <w:rPr>
          <w:rFonts w:ascii="TimesNewRoman" w:eastAsia="仿宋_GB2312" w:hAnsi="TimesNewRoman" w:cs="TimesNewRoman"/>
          <w:sz w:val="20"/>
          <w:szCs w:val="20"/>
          <w:u w:val="single"/>
        </w:rPr>
        <w:t>（单位）</w:t>
      </w:r>
      <w:r>
        <w:rPr>
          <w:rFonts w:ascii="TimesNewRoman" w:eastAsia="仿宋_GB2312" w:hAnsi="TimesNewRoman" w:cs="TimesNewRoman"/>
          <w:sz w:val="20"/>
          <w:szCs w:val="20"/>
        </w:rPr>
        <w:t>公开表8</w:t>
      </w:r>
    </w:p>
    <w:tbl>
      <w:tblPr>
        <w:tblStyle w:val="TableNormal"/>
        <w:tblW w:w="13876" w:type="dxa"/>
        <w:tblInd w:w="0" w:type="dxa"/>
        <w:tblLayout w:type="fixed"/>
        <w:tblCellMar>
          <w:top w:w="0" w:type="dxa"/>
          <w:left w:w="108" w:type="dxa"/>
          <w:bottom w:w="0" w:type="dxa"/>
          <w:right w:w="108" w:type="dxa"/>
        </w:tblCellMar>
      </w:tblPr>
      <w:tblGrid>
        <w:gridCol w:w="710"/>
        <w:gridCol w:w="902"/>
        <w:gridCol w:w="1870"/>
        <w:gridCol w:w="4312"/>
        <w:gridCol w:w="342"/>
        <w:gridCol w:w="1153"/>
        <w:gridCol w:w="2013"/>
        <w:gridCol w:w="666"/>
        <w:gridCol w:w="1224"/>
        <w:gridCol w:w="559"/>
        <w:gridCol w:w="125"/>
      </w:tblGrid>
      <w:tr>
        <w:tblPrEx>
          <w:tblW w:w="13876" w:type="dxa"/>
          <w:tblInd w:w="0" w:type="dxa"/>
          <w:tblLayout w:type="fixed"/>
          <w:tblCellMar>
            <w:top w:w="0" w:type="dxa"/>
            <w:left w:w="108" w:type="dxa"/>
            <w:bottom w:w="0" w:type="dxa"/>
            <w:right w:w="108" w:type="dxa"/>
          </w:tblCellMar>
        </w:tblPrEx>
        <w:trPr>
          <w:gridAfter w:val="2"/>
          <w:wAfter w:w="683" w:type="dxa"/>
          <w:trHeight w:val="441"/>
        </w:trPr>
        <w:tc>
          <w:tcPr>
            <w:tcW w:w="13193" w:type="dxa"/>
            <w:gridSpan w:val="9"/>
            <w:tcBorders>
              <w:top w:val="nil"/>
              <w:left w:val="nil"/>
              <w:bottom w:val="nil"/>
              <w:right w:val="nil"/>
            </w:tcBorders>
            <w:noWrap w:val="0"/>
            <w:vAlign w:val="center"/>
          </w:tcPr>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eastAsia="zh-CN"/>
              </w:rPr>
              <w:t>应急管理局</w:t>
            </w:r>
            <w:r>
              <w:rPr>
                <w:rFonts w:ascii="宋体" w:hAnsi="宋体" w:cs="TimesNewRoman" w:hint="eastAsia"/>
                <w:b/>
                <w:bCs/>
                <w:kern w:val="0"/>
                <w:sz w:val="28"/>
                <w:szCs w:val="32"/>
              </w:rPr>
              <w:t>2024</w:t>
            </w:r>
            <w:r>
              <w:rPr>
                <w:rFonts w:ascii="宋体" w:hAnsi="宋体" w:cs="TimesNewRoman"/>
                <w:b/>
                <w:bCs/>
                <w:kern w:val="0"/>
                <w:sz w:val="28"/>
                <w:szCs w:val="32"/>
              </w:rPr>
              <w:t>年国有资本经营预算支出表</w:t>
            </w:r>
          </w:p>
        </w:tc>
      </w:tr>
      <w:tr>
        <w:tblPrEx>
          <w:tblW w:w="13876" w:type="dxa"/>
          <w:tblInd w:w="0" w:type="dxa"/>
          <w:tblLayout w:type="fixed"/>
          <w:tblCellMar>
            <w:top w:w="0" w:type="dxa"/>
            <w:left w:w="108" w:type="dxa"/>
            <w:bottom w:w="0" w:type="dxa"/>
            <w:right w:w="108" w:type="dxa"/>
          </w:tblCellMar>
        </w:tblPrEx>
        <w:trPr>
          <w:trHeight w:val="299"/>
        </w:trPr>
        <w:tc>
          <w:tcPr>
            <w:tcW w:w="711" w:type="dxa"/>
            <w:tcBorders>
              <w:top w:val="nil"/>
              <w:left w:val="nil"/>
              <w:bottom w:val="single" w:sz="4" w:space="0" w:color="auto"/>
              <w:right w:val="nil"/>
            </w:tcBorders>
            <w:noWrap w:val="0"/>
            <w:vAlign w:val="center"/>
          </w:tcPr>
          <w:p>
            <w:pPr>
              <w:widowControl/>
              <w:spacing w:line="560" w:lineRule="exact"/>
              <w:jc w:val="left"/>
              <w:rPr>
                <w:rFonts w:ascii="TimesNewRoman" w:hAnsi="TimesNewRoman" w:cs="TimesNewRoman"/>
                <w:kern w:val="0"/>
                <w:sz w:val="18"/>
                <w:szCs w:val="18"/>
              </w:rPr>
            </w:pPr>
          </w:p>
        </w:tc>
        <w:tc>
          <w:tcPr>
            <w:tcW w:w="902" w:type="dxa"/>
            <w:tcBorders>
              <w:top w:val="nil"/>
              <w:left w:val="nil"/>
              <w:bottom w:val="single" w:sz="4" w:space="0" w:color="auto"/>
              <w:right w:val="nil"/>
            </w:tcBorders>
            <w:noWrap w:val="0"/>
            <w:vAlign w:val="center"/>
          </w:tcPr>
          <w:p>
            <w:pPr>
              <w:widowControl/>
              <w:spacing w:line="560" w:lineRule="exact"/>
              <w:jc w:val="left"/>
              <w:rPr>
                <w:rFonts w:ascii="TimesNewRoman" w:hAnsi="TimesNewRoman" w:cs="TimesNewRoman"/>
                <w:kern w:val="0"/>
                <w:sz w:val="20"/>
              </w:rPr>
            </w:pPr>
          </w:p>
        </w:tc>
        <w:tc>
          <w:tcPr>
            <w:tcW w:w="6182" w:type="dxa"/>
            <w:gridSpan w:val="2"/>
            <w:tcBorders>
              <w:top w:val="nil"/>
              <w:left w:val="nil"/>
              <w:bottom w:val="single" w:sz="4" w:space="0" w:color="auto"/>
              <w:right w:val="nil"/>
            </w:tcBorders>
            <w:noWrap w:val="0"/>
            <w:vAlign w:val="center"/>
          </w:tcPr>
          <w:p>
            <w:pPr>
              <w:widowControl/>
              <w:spacing w:line="560" w:lineRule="exact"/>
              <w:jc w:val="left"/>
              <w:rPr>
                <w:rFonts w:ascii="TimesNewRoman" w:hAnsi="TimesNewRoman" w:cs="TimesNewRoman"/>
                <w:kern w:val="0"/>
                <w:sz w:val="20"/>
              </w:rPr>
            </w:pPr>
          </w:p>
        </w:tc>
        <w:tc>
          <w:tcPr>
            <w:tcW w:w="342" w:type="dxa"/>
            <w:tcBorders>
              <w:top w:val="nil"/>
              <w:left w:val="nil"/>
              <w:bottom w:val="nil"/>
              <w:right w:val="nil"/>
            </w:tcBorders>
            <w:noWrap w:val="0"/>
            <w:vAlign w:val="center"/>
          </w:tcPr>
          <w:p>
            <w:pPr>
              <w:widowControl/>
              <w:spacing w:line="560" w:lineRule="exact"/>
              <w:jc w:val="left"/>
              <w:rPr>
                <w:rFonts w:ascii="TimesNewRoman" w:hAnsi="TimesNewRoman" w:cs="TimesNewRoman"/>
                <w:kern w:val="0"/>
                <w:sz w:val="20"/>
              </w:rPr>
            </w:pPr>
          </w:p>
        </w:tc>
        <w:tc>
          <w:tcPr>
            <w:tcW w:w="3832" w:type="dxa"/>
            <w:gridSpan w:val="3"/>
            <w:tcBorders>
              <w:top w:val="nil"/>
              <w:left w:val="nil"/>
              <w:bottom w:val="nil"/>
              <w:right w:val="nil"/>
            </w:tcBorders>
            <w:noWrap w:val="0"/>
            <w:vAlign w:val="center"/>
          </w:tcPr>
          <w:p>
            <w:pPr>
              <w:widowControl/>
              <w:spacing w:line="560" w:lineRule="exact"/>
              <w:jc w:val="left"/>
              <w:rPr>
                <w:rFonts w:ascii="TimesNewRoman" w:hAnsi="TimesNewRoman" w:cs="TimesNewRoman"/>
                <w:kern w:val="0"/>
                <w:sz w:val="20"/>
              </w:rPr>
            </w:pPr>
          </w:p>
        </w:tc>
        <w:tc>
          <w:tcPr>
            <w:tcW w:w="1907" w:type="dxa"/>
            <w:gridSpan w:val="3"/>
            <w:tcBorders>
              <w:top w:val="nil"/>
              <w:left w:val="nil"/>
              <w:bottom w:val="nil"/>
              <w:right w:val="nil"/>
            </w:tcBorders>
            <w:noWrap w:val="0"/>
            <w:vAlign w:val="center"/>
          </w:tcPr>
          <w:p>
            <w:pPr>
              <w:widowControl/>
              <w:spacing w:line="560" w:lineRule="exact"/>
              <w:ind w:right="100"/>
              <w:jc w:val="right"/>
              <w:rPr>
                <w:rFonts w:ascii="TimesNewRoman" w:hAnsi="TimesNewRoman" w:cs="TimesNewRoman"/>
                <w:kern w:val="0"/>
                <w:sz w:val="20"/>
              </w:rPr>
            </w:pPr>
            <w:r>
              <w:rPr>
                <w:rFonts w:ascii="TimesNewRoman" w:hAnsi="TimesNewRoman" w:cs="TimesNewRoman"/>
                <w:kern w:val="0"/>
                <w:sz w:val="20"/>
              </w:rPr>
              <w:t>单位：万元</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7795" w:type="dxa"/>
            <w:gridSpan w:val="4"/>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kern w:val="0"/>
                <w:sz w:val="18"/>
                <w:szCs w:val="18"/>
              </w:rPr>
            </w:pPr>
            <w:r>
              <w:rPr>
                <w:rFonts w:ascii="TimesNewRoman" w:hAnsi="TimesNewRoman" w:cs="TimesNewRoman"/>
                <w:b/>
                <w:kern w:val="0"/>
                <w:sz w:val="18"/>
                <w:szCs w:val="18"/>
              </w:rPr>
              <w:t>功能分类科目</w:t>
            </w:r>
          </w:p>
        </w:tc>
        <w:tc>
          <w:tcPr>
            <w:tcW w:w="5956" w:type="dxa"/>
            <w:gridSpan w:val="6"/>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b/>
                <w:bCs/>
                <w:kern w:val="0"/>
                <w:sz w:val="18"/>
                <w:szCs w:val="18"/>
              </w:rPr>
              <w:t>国有资本经营预算拨款支出</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49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3" w:type="dxa"/>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Cs/>
                <w:kern w:val="0"/>
                <w:sz w:val="18"/>
                <w:szCs w:val="18"/>
              </w:rPr>
            </w:pPr>
            <w:r>
              <w:rPr>
                <w:rFonts w:ascii="TimesNewRoman" w:hAnsi="TimesNewRoman" w:cs="TimesNewRoman"/>
                <w:bCs/>
                <w:kern w:val="0"/>
                <w:sz w:val="18"/>
                <w:szCs w:val="18"/>
              </w:rPr>
              <w:t>223</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bCs/>
                <w:kern w:val="0"/>
                <w:sz w:val="18"/>
                <w:szCs w:val="18"/>
              </w:rPr>
            </w:pPr>
            <w:r>
              <w:rPr>
                <w:rFonts w:ascii="TimesNewRoman" w:hAnsi="TimesNewRoman" w:cs="TimesNewRoman"/>
                <w:bCs/>
                <w:kern w:val="0"/>
                <w:sz w:val="18"/>
                <w:szCs w:val="18"/>
              </w:rPr>
              <w:t>国有资本经营预算支出</w:t>
            </w:r>
          </w:p>
        </w:tc>
        <w:tc>
          <w:tcPr>
            <w:tcW w:w="149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22301</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ind w:firstLine="360" w:firstLineChars="200"/>
              <w:jc w:val="left"/>
              <w:rPr>
                <w:rFonts w:ascii="TimesNewRoman" w:hAnsi="TimesNewRoman" w:cs="TimesNewRoman"/>
                <w:kern w:val="0"/>
                <w:sz w:val="18"/>
                <w:szCs w:val="18"/>
              </w:rPr>
            </w:pPr>
            <w:r>
              <w:rPr>
                <w:rFonts w:ascii="TimesNewRoman" w:hAnsi="TimesNewRoman" w:cs="TimesNewRoman"/>
                <w:kern w:val="0"/>
                <w:sz w:val="18"/>
                <w:szCs w:val="18"/>
              </w:rPr>
              <w:t>解决历史遗留问题及改革成本支出</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2230101　</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ind w:firstLine="720" w:firstLineChars="400"/>
              <w:jc w:val="left"/>
              <w:rPr>
                <w:rFonts w:ascii="TimesNewRoman" w:hAnsi="TimesNewRoman" w:cs="TimesNewRoman"/>
                <w:kern w:val="0"/>
                <w:sz w:val="18"/>
                <w:szCs w:val="18"/>
              </w:rPr>
            </w:pPr>
            <w:r>
              <w:rPr>
                <w:rFonts w:ascii="TimesNewRoman" w:hAnsi="TimesNewRoman" w:cs="TimesNewRoman"/>
                <w:kern w:val="0"/>
                <w:sz w:val="18"/>
                <w:szCs w:val="18"/>
              </w:rPr>
              <w:t>厂办大集体改革支出</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汉仪中秀体简" w:eastAsia="汉仪中秀体简" w:hAnsi="汉仪中秀体简" w:cs="汉仪中秀体简" w:hint="eastAsia"/>
                <w:sz w:val="18"/>
                <w:szCs w:val="18"/>
              </w:rPr>
              <w:t>……</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汉仪中秀体简" w:eastAsia="汉仪中秀体简" w:hAnsi="汉仪中秀体简" w:cs="汉仪中秀体简" w:hint="eastAsia"/>
                <w:sz w:val="18"/>
                <w:szCs w:val="18"/>
              </w:rPr>
              <w:t>……</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noWrap w:val="0"/>
            <w:vAlign w:val="bottom"/>
          </w:tcPr>
          <w:p>
            <w:pPr>
              <w:widowControl/>
              <w:spacing w:line="280" w:lineRule="exact"/>
              <w:jc w:val="center"/>
              <w:rPr>
                <w:rFonts w:ascii="TimesNewRoman" w:hAnsi="TimesNewRoman" w:cs="TimesNewRoman"/>
                <w:kern w:val="0"/>
                <w:sz w:val="18"/>
                <w:szCs w:val="18"/>
              </w:rPr>
            </w:pPr>
          </w:p>
        </w:tc>
        <w:tc>
          <w:tcPr>
            <w:tcW w:w="4312" w:type="dxa"/>
            <w:tcBorders>
              <w:top w:val="nil"/>
              <w:left w:val="nil"/>
              <w:bottom w:val="single" w:sz="4" w:space="0" w:color="auto"/>
              <w:right w:val="single" w:sz="4" w:space="0" w:color="auto"/>
            </w:tcBorders>
            <w:noWrap w:val="0"/>
            <w:vAlign w:val="bottom"/>
          </w:tcPr>
          <w:p>
            <w:pPr>
              <w:widowControl/>
              <w:spacing w:line="280" w:lineRule="exact"/>
              <w:jc w:val="center"/>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7795" w:type="dxa"/>
            <w:gridSpan w:val="4"/>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hint="eastAsia"/>
                <w:sz w:val="18"/>
                <w:szCs w:val="18"/>
              </w:rPr>
              <w:t>总</w:t>
            </w:r>
            <w:r>
              <w:rPr>
                <w:rFonts w:ascii="汉仪中秀体简" w:eastAsia="汉仪中秀体简" w:hAnsi="汉仪中秀体简" w:cs="汉仪中秀体简"/>
                <w:sz w:val="18"/>
                <w:szCs w:val="18"/>
              </w:rPr>
              <w:t xml:space="preserve"> 计</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tblPrEx>
          <w:tblW w:w="13876" w:type="dxa"/>
          <w:tblInd w:w="0" w:type="dxa"/>
          <w:tblLayout w:type="fixed"/>
          <w:tblCellMar>
            <w:top w:w="0" w:type="dxa"/>
            <w:left w:w="108" w:type="dxa"/>
            <w:bottom w:w="0" w:type="dxa"/>
            <w:right w:w="108" w:type="dxa"/>
          </w:tblCellMar>
        </w:tblPrEx>
        <w:trPr>
          <w:gridAfter w:val="1"/>
          <w:wAfter w:w="124" w:type="dxa"/>
          <w:trHeight w:val="633"/>
        </w:trPr>
        <w:tc>
          <w:tcPr>
            <w:tcW w:w="13752" w:type="dxa"/>
            <w:gridSpan w:val="10"/>
            <w:tcBorders>
              <w:top w:val="single" w:sz="4" w:space="0" w:color="auto"/>
              <w:left w:val="nil"/>
              <w:bottom w:val="nil"/>
              <w:right w:val="nil"/>
            </w:tcBorders>
            <w:noWrap w:val="0"/>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Pr>
                <w:rFonts w:ascii="TimesNewRoman" w:hAnsi="TimesNewRoman" w:cs="TimesNewRoman" w:hint="eastAsia"/>
                <w:kern w:val="0"/>
                <w:sz w:val="24"/>
              </w:rPr>
              <w:t>寿县</w:t>
            </w:r>
            <w:r>
              <w:rPr>
                <w:rFonts w:ascii="TimesNewRoman" w:hAnsi="TimesNewRoman" w:cs="TimesNewRoman" w:hint="eastAsia"/>
                <w:kern w:val="0"/>
                <w:sz w:val="24"/>
                <w:lang w:eastAsia="zh-CN"/>
              </w:rPr>
              <w:t>应急管理局</w:t>
            </w:r>
            <w:r>
              <w:rPr>
                <w:rFonts w:ascii="TimesNewRoman" w:hAnsi="TimesNewRoman" w:cs="TimesNewRoman"/>
                <w:kern w:val="0"/>
                <w:sz w:val="24"/>
              </w:rPr>
              <w:t>没有国有资本经营预算拨款收入，也没有国有资本经营预算拨款安排的支出，故本表无数据。</w:t>
            </w:r>
          </w:p>
        </w:tc>
      </w:tr>
    </w:tbl>
    <w:p>
      <w:pPr>
        <w:spacing w:line="560" w:lineRule="exact"/>
        <w:jc w:val="center"/>
        <w:rPr>
          <w:rFonts w:ascii="TimesNewRoman" w:hAnsi="TimesNewRoman" w:cs="TimesNewRoman" w:hint="eastAsia"/>
          <w:kern w:val="0"/>
          <w:sz w:val="20"/>
        </w:rPr>
      </w:pPr>
    </w:p>
    <w:p>
      <w:pPr>
        <w:spacing w:line="560" w:lineRule="exact"/>
        <w:jc w:val="center"/>
        <w:rPr>
          <w:rFonts w:ascii="TimesNewRoman" w:hAnsi="TimesNewRoman" w:cs="TimesNewRoman" w:hint="eastAsia"/>
          <w:kern w:val="0"/>
          <w:sz w:val="20"/>
        </w:rPr>
      </w:pPr>
      <w:r>
        <w:rPr>
          <w:rFonts w:ascii="TimesNewRoman" w:hAnsi="TimesNewRoman" w:cs="TimesNewRoman" w:hint="eastAsia"/>
          <w:kern w:val="0"/>
          <w:sz w:val="20"/>
        </w:rPr>
        <w:t xml:space="preserve">                                                                                                        </w:t>
      </w:r>
    </w:p>
    <w:p>
      <w:pPr>
        <w:spacing w:line="560" w:lineRule="exact"/>
        <w:jc w:val="both"/>
        <w:rPr>
          <w:rFonts w:ascii="宋体" w:hAnsi="宋体" w:cs="TimesNewRoman"/>
          <w:b/>
          <w:bCs/>
          <w:kern w:val="0"/>
          <w:sz w:val="28"/>
          <w:szCs w:val="32"/>
        </w:rPr>
      </w:pPr>
      <w:r>
        <w:rPr>
          <w:rFonts w:ascii="TimesNewRoman" w:hAnsi="TimesNewRoman" w:cs="TimesNewRoman" w:hint="eastAsia"/>
          <w:kern w:val="0"/>
          <w:sz w:val="20"/>
        </w:rPr>
        <w:t xml:space="preserve">  </w:t>
      </w:r>
      <w:r>
        <w:rPr>
          <w:rFonts w:ascii="TimesNewRoman" w:hAnsi="TimesNewRoman" w:cs="TimesNewRoman" w:hint="eastAsia"/>
          <w:kern w:val="0"/>
          <w:sz w:val="20"/>
          <w:lang w:val="en-US" w:eastAsia="zh-CN"/>
        </w:rPr>
        <w:t xml:space="preserve">                                              </w:t>
      </w:r>
      <w:r>
        <w:rPr>
          <w:rFonts w:ascii="宋体" w:hAnsi="宋体" w:cs="TimesNewRoman" w:hint="eastAsia"/>
          <w:b/>
          <w:bCs/>
          <w:kern w:val="0"/>
          <w:sz w:val="28"/>
          <w:szCs w:val="32"/>
        </w:rPr>
        <w:t>寿县</w:t>
      </w:r>
      <w:r>
        <w:rPr>
          <w:rFonts w:ascii="宋体" w:hAnsi="宋体" w:cs="TimesNewRoman" w:hint="eastAsia"/>
          <w:b/>
          <w:bCs/>
          <w:kern w:val="0"/>
          <w:sz w:val="28"/>
          <w:szCs w:val="32"/>
          <w:lang w:eastAsia="zh-CN"/>
        </w:rPr>
        <w:t>应急管理局</w:t>
      </w:r>
      <w:r>
        <w:rPr>
          <w:rFonts w:ascii="宋体" w:hAnsi="宋体" w:cs="TimesNewRoman" w:hint="eastAsia"/>
          <w:b/>
          <w:bCs/>
          <w:kern w:val="0"/>
          <w:sz w:val="28"/>
          <w:szCs w:val="32"/>
        </w:rPr>
        <w:t>2024</w:t>
      </w:r>
      <w:r>
        <w:rPr>
          <w:rFonts w:ascii="宋体" w:hAnsi="宋体" w:cs="TimesNewRoman"/>
          <w:b/>
          <w:bCs/>
          <w:kern w:val="0"/>
          <w:sz w:val="28"/>
          <w:szCs w:val="32"/>
        </w:rPr>
        <w:t>年项目支出表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14071" w:type="dxa"/>
        <w:tblInd w:w="0" w:type="dxa"/>
        <w:tblLayout w:type="fixed"/>
        <w:tblCellMar>
          <w:top w:w="0" w:type="dxa"/>
          <w:left w:w="108" w:type="dxa"/>
          <w:bottom w:w="0" w:type="dxa"/>
          <w:right w:w="108" w:type="dxa"/>
        </w:tblCellMar>
      </w:tblPr>
      <w:tblGrid>
        <w:gridCol w:w="1194"/>
        <w:gridCol w:w="1433"/>
        <w:gridCol w:w="1353"/>
        <w:gridCol w:w="916"/>
        <w:gridCol w:w="1214"/>
        <w:gridCol w:w="1214"/>
        <w:gridCol w:w="1214"/>
        <w:gridCol w:w="1214"/>
        <w:gridCol w:w="1214"/>
        <w:gridCol w:w="1214"/>
        <w:gridCol w:w="1015"/>
        <w:gridCol w:w="876"/>
      </w:tblGrid>
      <w:tr>
        <w:tblPrEx>
          <w:tblW w:w="14071" w:type="dxa"/>
          <w:tblInd w:w="0" w:type="dxa"/>
          <w:tblLayout w:type="fixed"/>
          <w:tblCellMar>
            <w:top w:w="0" w:type="dxa"/>
            <w:left w:w="108" w:type="dxa"/>
            <w:bottom w:w="0" w:type="dxa"/>
            <w:right w:w="108" w:type="dxa"/>
          </w:tblCellMar>
        </w:tblPrEx>
        <w:trPr>
          <w:trHeight w:val="1124"/>
        </w:trPr>
        <w:tc>
          <w:tcPr>
            <w:tcW w:w="1194"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类型</w:t>
            </w:r>
          </w:p>
        </w:tc>
        <w:tc>
          <w:tcPr>
            <w:tcW w:w="1433" w:type="dxa"/>
            <w:vMerge w:val="restart"/>
            <w:tcBorders>
              <w:top w:val="single" w:sz="4" w:space="0" w:color="auto"/>
              <w:left w:val="single" w:sz="4" w:space="0" w:color="auto"/>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项目名称</w:t>
            </w:r>
          </w:p>
        </w:tc>
        <w:tc>
          <w:tcPr>
            <w:tcW w:w="1353"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项目单位</w:t>
            </w:r>
          </w:p>
        </w:tc>
        <w:tc>
          <w:tcPr>
            <w:tcW w:w="916" w:type="dxa"/>
            <w:vMerge w:val="restart"/>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3642" w:type="dxa"/>
            <w:gridSpan w:val="3"/>
            <w:tcBorders>
              <w:top w:val="single" w:sz="4" w:space="0" w:color="auto"/>
              <w:left w:val="nil"/>
              <w:bottom w:val="single" w:sz="4" w:space="0" w:color="auto"/>
              <w:right w:val="single" w:sz="4" w:space="0" w:color="00000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本年财政拨款</w:t>
            </w:r>
          </w:p>
        </w:tc>
        <w:tc>
          <w:tcPr>
            <w:tcW w:w="3642" w:type="dxa"/>
            <w:gridSpan w:val="3"/>
            <w:tcBorders>
              <w:top w:val="single" w:sz="4" w:space="0" w:color="auto"/>
              <w:left w:val="nil"/>
              <w:bottom w:val="single" w:sz="4" w:space="0" w:color="auto"/>
              <w:right w:val="single" w:sz="4" w:space="0" w:color="00000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财政拨款结转结余</w:t>
            </w:r>
          </w:p>
        </w:tc>
        <w:tc>
          <w:tcPr>
            <w:tcW w:w="1015" w:type="dxa"/>
            <w:vMerge w:val="restart"/>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财政专户管理资金</w:t>
            </w:r>
          </w:p>
        </w:tc>
        <w:tc>
          <w:tcPr>
            <w:tcW w:w="876" w:type="dxa"/>
            <w:vMerge w:val="restart"/>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单位</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资金</w:t>
            </w:r>
          </w:p>
        </w:tc>
      </w:tr>
      <w:tr>
        <w:tblPrEx>
          <w:tblW w:w="14071" w:type="dxa"/>
          <w:tblInd w:w="0" w:type="dxa"/>
          <w:tblLayout w:type="fixed"/>
          <w:tblCellMar>
            <w:top w:w="0" w:type="dxa"/>
            <w:left w:w="108" w:type="dxa"/>
            <w:bottom w:w="0" w:type="dxa"/>
            <w:right w:w="108" w:type="dxa"/>
          </w:tblCellMar>
        </w:tblPrEx>
        <w:trPr>
          <w:trHeight w:val="1124"/>
        </w:trPr>
        <w:tc>
          <w:tcPr>
            <w:tcW w:w="1194"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433" w:type="dxa"/>
            <w:vMerge/>
            <w:tcBorders>
              <w:top w:val="single" w:sz="4" w:space="0" w:color="auto"/>
              <w:left w:val="single" w:sz="4" w:space="0" w:color="auto"/>
              <w:bottom w:val="nil"/>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916" w:type="dxa"/>
            <w:vMerge/>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一般公共预算</w:t>
            </w: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政府性</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基金预算</w:t>
            </w: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国有资本经营预算</w:t>
            </w: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一般公共预算</w:t>
            </w: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政府性</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基金预算</w:t>
            </w: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国有资本经营预算</w:t>
            </w:r>
          </w:p>
        </w:tc>
        <w:tc>
          <w:tcPr>
            <w:tcW w:w="1015" w:type="dxa"/>
            <w:vMerge/>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876" w:type="dxa"/>
            <w:vMerge/>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r>
      <w:tr>
        <w:tblPrEx>
          <w:tblW w:w="14071" w:type="dxa"/>
          <w:tblInd w:w="0" w:type="dxa"/>
          <w:tblLayout w:type="fixed"/>
          <w:tblCellMar>
            <w:top w:w="0" w:type="dxa"/>
            <w:left w:w="108" w:type="dxa"/>
            <w:bottom w:w="0" w:type="dxa"/>
            <w:right w:w="108" w:type="dxa"/>
          </w:tblCellMar>
        </w:tblPrEx>
        <w:trPr>
          <w:trHeight w:val="531"/>
        </w:trPr>
        <w:tc>
          <w:tcPr>
            <w:tcW w:w="119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特定目标类</w:t>
            </w:r>
          </w:p>
        </w:tc>
        <w:tc>
          <w:tcPr>
            <w:tcW w:w="1433"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安全生产及防灾救灾工作经费</w:t>
            </w:r>
          </w:p>
        </w:tc>
        <w:tc>
          <w:tcPr>
            <w:tcW w:w="1353"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寿县应急管理局</w:t>
            </w:r>
          </w:p>
        </w:tc>
        <w:tc>
          <w:tcPr>
            <w:tcW w:w="916"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160.95</w:t>
            </w:r>
          </w:p>
        </w:tc>
        <w:tc>
          <w:tcPr>
            <w:tcW w:w="1214"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160.95</w:t>
            </w:r>
          </w:p>
        </w:tc>
        <w:tc>
          <w:tcPr>
            <w:tcW w:w="1214"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015"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87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r>
        <w:tblPrEx>
          <w:tblW w:w="14071" w:type="dxa"/>
          <w:tblInd w:w="0" w:type="dxa"/>
          <w:tblLayout w:type="fixed"/>
          <w:tblCellMar>
            <w:top w:w="0" w:type="dxa"/>
            <w:left w:w="108" w:type="dxa"/>
            <w:bottom w:w="0" w:type="dxa"/>
            <w:right w:w="108" w:type="dxa"/>
          </w:tblCellMar>
        </w:tblPrEx>
        <w:trPr>
          <w:trHeight w:val="531"/>
        </w:trPr>
        <w:tc>
          <w:tcPr>
            <w:tcW w:w="119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其他运转类</w:t>
            </w:r>
          </w:p>
        </w:tc>
        <w:tc>
          <w:tcPr>
            <w:tcW w:w="1433"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应急岗位津贴、值班补贴及救援补贴工作经费</w:t>
            </w:r>
          </w:p>
        </w:tc>
        <w:tc>
          <w:tcPr>
            <w:tcW w:w="1353"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寿县应急管理局</w:t>
            </w:r>
          </w:p>
        </w:tc>
        <w:tc>
          <w:tcPr>
            <w:tcW w:w="916"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10.56</w:t>
            </w:r>
          </w:p>
        </w:tc>
        <w:tc>
          <w:tcPr>
            <w:tcW w:w="121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10.56</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015"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87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r>
        <w:tblPrEx>
          <w:tblW w:w="14071" w:type="dxa"/>
          <w:tblInd w:w="0" w:type="dxa"/>
          <w:tblLayout w:type="fixed"/>
          <w:tblCellMar>
            <w:top w:w="0" w:type="dxa"/>
            <w:left w:w="108" w:type="dxa"/>
            <w:bottom w:w="0" w:type="dxa"/>
            <w:right w:w="108" w:type="dxa"/>
          </w:tblCellMar>
        </w:tblPrEx>
        <w:trPr>
          <w:trHeight w:val="531"/>
        </w:trPr>
        <w:tc>
          <w:tcPr>
            <w:tcW w:w="1194"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33" w:type="dxa"/>
            <w:tcBorders>
              <w:top w:val="nil"/>
              <w:left w:val="nil"/>
              <w:bottom w:val="single" w:sz="4" w:space="0" w:color="auto"/>
              <w:right w:val="single" w:sz="4" w:space="0" w:color="auto"/>
            </w:tcBorders>
            <w:noWrap w:val="0"/>
            <w:vAlign w:val="center"/>
          </w:tcPr>
          <w:p>
            <w:pPr>
              <w:widowControl/>
              <w:spacing w:line="280" w:lineRule="exact"/>
              <w:jc w:val="both"/>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9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15"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87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071" w:type="dxa"/>
          <w:tblInd w:w="0" w:type="dxa"/>
          <w:tblLayout w:type="fixed"/>
          <w:tblCellMar>
            <w:top w:w="0" w:type="dxa"/>
            <w:left w:w="108" w:type="dxa"/>
            <w:bottom w:w="0" w:type="dxa"/>
            <w:right w:w="108" w:type="dxa"/>
          </w:tblCellMar>
        </w:tblPrEx>
        <w:trPr>
          <w:trHeight w:val="531"/>
        </w:trPr>
        <w:tc>
          <w:tcPr>
            <w:tcW w:w="1194"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33"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9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15"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87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071" w:type="dxa"/>
          <w:tblInd w:w="0" w:type="dxa"/>
          <w:tblLayout w:type="fixed"/>
          <w:tblCellMar>
            <w:top w:w="0" w:type="dxa"/>
            <w:left w:w="108" w:type="dxa"/>
            <w:bottom w:w="0" w:type="dxa"/>
            <w:right w:w="108" w:type="dxa"/>
          </w:tblCellMar>
        </w:tblPrEx>
        <w:trPr>
          <w:trHeight w:val="531"/>
        </w:trPr>
        <w:tc>
          <w:tcPr>
            <w:tcW w:w="3980" w:type="dxa"/>
            <w:gridSpan w:val="3"/>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 xml:space="preserve">总 </w:t>
            </w:r>
            <w:r>
              <w:rPr>
                <w:rFonts w:ascii="TimesNewRoman" w:hAnsi="TimesNewRoman" w:cs="TimesNewRoman"/>
                <w:b/>
                <w:bCs/>
                <w:kern w:val="0"/>
                <w:sz w:val="18"/>
                <w:szCs w:val="18"/>
              </w:rPr>
              <w:t>计　</w:t>
            </w:r>
          </w:p>
        </w:tc>
        <w:tc>
          <w:tcPr>
            <w:tcW w:w="916"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171.51</w:t>
            </w:r>
          </w:p>
        </w:tc>
        <w:tc>
          <w:tcPr>
            <w:tcW w:w="121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171.51</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015"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87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bl>
    <w:p>
      <w:pPr>
        <w:spacing w:line="560" w:lineRule="exact"/>
        <w:rPr>
          <w:rFonts w:ascii="TimesNewRoman" w:hAnsi="TimesNewRoman" w:cs="TimesNewRoman"/>
          <w:kern w:val="0"/>
          <w:sz w:val="22"/>
        </w:rPr>
      </w:pPr>
      <w:r>
        <w:rPr>
          <w:rFonts w:ascii="TimesNewRoman" w:hAnsi="TimesNewRoman" w:cs="TimesNewRoman"/>
          <w:kern w:val="0"/>
          <w:sz w:val="22"/>
        </w:rPr>
        <w:t>注：没有项目支出预算的部门（单位）也要公开空白表，并备注说明：“</w:t>
      </w:r>
      <w:r>
        <w:rPr>
          <w:rFonts w:ascii="TimesNewRoman" w:hAnsi="TimesNewRoman" w:cs="TimesNewRoman" w:hint="eastAsia"/>
          <w:kern w:val="0"/>
          <w:sz w:val="22"/>
        </w:rPr>
        <w:t>寿县</w:t>
      </w:r>
      <w:r>
        <w:rPr>
          <w:rFonts w:ascii="TimesNewRoman" w:hAnsi="TimesNewRoman" w:cs="TimesNewRoman"/>
          <w:kern w:val="0"/>
          <w:sz w:val="22"/>
        </w:rPr>
        <w:t>XX（部门、单位名称）没有使用一般公共预算拨款、政府性基金预算拨款、国有资本经营预算拨款、财政专户管理资金和单位资金安排的项目支出，故本表无数据”。</w:t>
      </w:r>
    </w:p>
    <w:p>
      <w:pPr>
        <w:pStyle w:val="NormalWeb"/>
        <w:wordWrap w:val="0"/>
        <w:adjustRightInd w:val="0"/>
        <w:snapToGrid w:val="0"/>
        <w:spacing w:after="156" w:afterLines="50" w:line="560" w:lineRule="exact"/>
        <w:jc w:val="center"/>
        <w:rPr>
          <w:rFonts w:ascii="TimesNewRoman" w:hAnsi="TimesNewRoman" w:cs="TimesNewRoman"/>
          <w:sz w:val="20"/>
          <w:szCs w:val="20"/>
        </w:rPr>
      </w:pPr>
      <w:r>
        <w:rPr>
          <w:rFonts w:ascii="TimesNewRoman" w:hAnsi="TimesNewRoman" w:cs="TimesNewRoman" w:hint="eastAsia"/>
          <w:sz w:val="20"/>
          <w:szCs w:val="20"/>
        </w:rPr>
        <w:t xml:space="preserve">                                                 </w:t>
      </w:r>
      <w:r>
        <w:rPr>
          <w:rFonts w:ascii="TimesNewRoman" w:hAnsi="TimesNewRoman" w:cs="TimesNewRoman"/>
          <w:sz w:val="20"/>
          <w:szCs w:val="20"/>
        </w:rPr>
        <w:t xml:space="preserve">    </w:t>
      </w:r>
      <w:r>
        <w:rPr>
          <w:rFonts w:ascii="TimesNewRoman" w:hAnsi="TimesNewRoman" w:cs="TimesNewRoman" w:hint="eastAsia"/>
          <w:sz w:val="20"/>
          <w:szCs w:val="20"/>
        </w:rPr>
        <w:t xml:space="preserve">                                                      </w:t>
      </w:r>
      <w:r>
        <w:rPr>
          <w:rFonts w:ascii="TimesNewRoman" w:hAnsi="TimesNewRoman" w:cs="TimesNewRoman"/>
          <w:sz w:val="20"/>
          <w:szCs w:val="20"/>
        </w:rPr>
        <w:t>部门</w:t>
      </w:r>
      <w:r>
        <w:rPr>
          <w:rFonts w:ascii="TimesNewRoman" w:hAnsi="TimesNewRoman" w:cs="TimesNewRoman"/>
          <w:sz w:val="20"/>
          <w:szCs w:val="20"/>
          <w:u w:val="single"/>
        </w:rPr>
        <w:t>（单位）</w:t>
      </w:r>
      <w:r>
        <w:rPr>
          <w:rFonts w:ascii="TimesNewRoman" w:hAnsi="TimesNewRoman" w:cs="TimesNewRoman"/>
          <w:sz w:val="20"/>
          <w:szCs w:val="20"/>
        </w:rPr>
        <w:t>公开表10</w:t>
      </w:r>
    </w:p>
    <w:tbl>
      <w:tblPr>
        <w:tblStyle w:val="TableNormal"/>
        <w:tblW w:w="14109" w:type="dxa"/>
        <w:tblInd w:w="0" w:type="dxa"/>
        <w:tblLayout w:type="fixed"/>
        <w:tblCellMar>
          <w:top w:w="0" w:type="dxa"/>
          <w:left w:w="108" w:type="dxa"/>
          <w:bottom w:w="0" w:type="dxa"/>
          <w:right w:w="108" w:type="dxa"/>
        </w:tblCellMar>
      </w:tblPr>
      <w:tblGrid>
        <w:gridCol w:w="1907"/>
        <w:gridCol w:w="1827"/>
        <w:gridCol w:w="1430"/>
        <w:gridCol w:w="1643"/>
        <w:gridCol w:w="1823"/>
        <w:gridCol w:w="1811"/>
        <w:gridCol w:w="1780"/>
        <w:gridCol w:w="1888"/>
      </w:tblGrid>
      <w:tr>
        <w:tblPrEx>
          <w:tblW w:w="14109" w:type="dxa"/>
          <w:tblInd w:w="0" w:type="dxa"/>
          <w:tblLayout w:type="fixed"/>
          <w:tblCellMar>
            <w:top w:w="0" w:type="dxa"/>
            <w:left w:w="108" w:type="dxa"/>
            <w:bottom w:w="0" w:type="dxa"/>
            <w:right w:w="108" w:type="dxa"/>
          </w:tblCellMar>
        </w:tblPrEx>
        <w:trPr>
          <w:trHeight w:val="482"/>
        </w:trPr>
        <w:tc>
          <w:tcPr>
            <w:tcW w:w="14109" w:type="dxa"/>
            <w:gridSpan w:val="8"/>
            <w:tcBorders>
              <w:top w:val="nil"/>
              <w:left w:val="nil"/>
              <w:bottom w:val="nil"/>
              <w:right w:val="nil"/>
            </w:tcBorders>
            <w:noWrap w:val="0"/>
            <w:vAlign w:val="center"/>
          </w:tcPr>
          <w:p>
            <w:pPr>
              <w:widowControl/>
              <w:spacing w:line="280" w:lineRule="exact"/>
              <w:jc w:val="center"/>
              <w:rPr>
                <w:rFonts w:ascii="TimesNewRoman" w:eastAsia="华文中宋" w:hAnsi="TimesNewRoman" w:cs="TimesNewRoman"/>
                <w:b/>
                <w:bCs/>
                <w:kern w:val="0"/>
                <w:szCs w:val="32"/>
              </w:rPr>
            </w:pPr>
            <w:r>
              <w:rPr>
                <w:rFonts w:ascii="TimesNewRoman" w:eastAsia="华文中宋" w:hAnsi="TimesNewRoman" w:cs="TimesNewRoman" w:hint="eastAsia"/>
                <w:b/>
                <w:bCs/>
                <w:kern w:val="0"/>
                <w:szCs w:val="32"/>
              </w:rPr>
              <w:t>寿县</w:t>
            </w:r>
            <w:r>
              <w:rPr>
                <w:rFonts w:ascii="TimesNewRoman" w:eastAsia="华文中宋" w:hAnsi="TimesNewRoman" w:cs="TimesNewRoman"/>
                <w:b/>
                <w:bCs/>
                <w:kern w:val="0"/>
                <w:szCs w:val="32"/>
              </w:rPr>
              <w:t>XX（部门、单位名称）</w:t>
            </w:r>
            <w:r>
              <w:rPr>
                <w:rFonts w:ascii="TimesNewRoman" w:eastAsia="华文中宋" w:hAnsi="TimesNewRoman" w:cs="TimesNewRoman" w:hint="eastAsia"/>
                <w:b/>
                <w:bCs/>
                <w:kern w:val="0"/>
                <w:szCs w:val="32"/>
              </w:rPr>
              <w:t>2024</w:t>
            </w:r>
            <w:r>
              <w:rPr>
                <w:rFonts w:ascii="TimesNewRoman" w:eastAsia="华文中宋" w:hAnsi="TimesNewRoman" w:cs="TimesNewRoman"/>
                <w:b/>
                <w:bCs/>
                <w:kern w:val="0"/>
                <w:szCs w:val="32"/>
              </w:rPr>
              <w:t>年政府采购支出表</w:t>
            </w:r>
          </w:p>
          <w:p>
            <w:pPr>
              <w:widowControl/>
              <w:spacing w:line="280" w:lineRule="exact"/>
              <w:jc w:val="center"/>
              <w:rPr>
                <w:rFonts w:ascii="TimesNewRoman" w:hAnsi="TimesNewRoman" w:cs="TimesNewRoman"/>
                <w:b/>
                <w:bCs/>
                <w:kern w:val="0"/>
                <w:szCs w:val="32"/>
              </w:rPr>
            </w:pPr>
            <w:r>
              <w:rPr>
                <w:rFonts w:ascii="TimesNewRoman" w:hAnsi="TimesNewRoman" w:cs="TimesNewRoman"/>
                <w:kern w:val="0"/>
                <w:sz w:val="20"/>
              </w:rPr>
              <w:t xml:space="preserve">                                                                      单位：万元</w:t>
            </w:r>
          </w:p>
        </w:tc>
      </w:tr>
      <w:tr>
        <w:tblPrEx>
          <w:tblW w:w="14109" w:type="dxa"/>
          <w:tblInd w:w="0" w:type="dxa"/>
          <w:tblLayout w:type="fixed"/>
          <w:tblCellMar>
            <w:top w:w="0" w:type="dxa"/>
            <w:left w:w="108" w:type="dxa"/>
            <w:bottom w:w="0" w:type="dxa"/>
            <w:right w:w="108" w:type="dxa"/>
          </w:tblCellMar>
        </w:tblPrEx>
        <w:trPr>
          <w:trHeight w:val="800"/>
        </w:trPr>
        <w:tc>
          <w:tcPr>
            <w:tcW w:w="1907" w:type="dxa"/>
            <w:tcBorders>
              <w:top w:val="single" w:sz="4" w:space="0" w:color="auto"/>
              <w:left w:val="single" w:sz="4" w:space="0" w:color="auto"/>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项目名称</w:t>
            </w:r>
          </w:p>
        </w:tc>
        <w:tc>
          <w:tcPr>
            <w:tcW w:w="1827"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政府采购品目</w:t>
            </w:r>
          </w:p>
        </w:tc>
        <w:tc>
          <w:tcPr>
            <w:tcW w:w="1430"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合计</w:t>
            </w:r>
          </w:p>
        </w:tc>
        <w:tc>
          <w:tcPr>
            <w:tcW w:w="1643"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一般公共预算</w:t>
            </w:r>
          </w:p>
        </w:tc>
        <w:tc>
          <w:tcPr>
            <w:tcW w:w="1823"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政府性</w:t>
            </w:r>
          </w:p>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基金预算</w:t>
            </w:r>
          </w:p>
        </w:tc>
        <w:tc>
          <w:tcPr>
            <w:tcW w:w="1811"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国有资本经营预算</w:t>
            </w:r>
          </w:p>
        </w:tc>
        <w:tc>
          <w:tcPr>
            <w:tcW w:w="1780"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财政专户管理资金</w:t>
            </w:r>
          </w:p>
        </w:tc>
        <w:tc>
          <w:tcPr>
            <w:tcW w:w="1888"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单位资金</w:t>
            </w:r>
          </w:p>
        </w:tc>
      </w:tr>
      <w:tr>
        <w:tblPrEx>
          <w:tblW w:w="14109" w:type="dxa"/>
          <w:tblInd w:w="0" w:type="dxa"/>
          <w:tblLayout w:type="fixed"/>
          <w:tblCellMar>
            <w:top w:w="0" w:type="dxa"/>
            <w:left w:w="108" w:type="dxa"/>
            <w:bottom w:w="0" w:type="dxa"/>
            <w:right w:w="108" w:type="dxa"/>
          </w:tblCellMar>
        </w:tblPrEx>
        <w:trPr>
          <w:trHeight w:val="496"/>
        </w:trPr>
        <w:tc>
          <w:tcPr>
            <w:tcW w:w="190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2"/>
                <w:sz w:val="20"/>
                <w:szCs w:val="20"/>
                <w:u w:val="none"/>
                <w:lang w:val="en-US" w:eastAsia="zh-CN" w:bidi="ar-SA"/>
              </w:rPr>
            </w:pPr>
            <w:r>
              <w:rPr>
                <w:rFonts w:ascii="宋体" w:eastAsia="宋体" w:hAnsi="宋体" w:cs="宋体" w:hint="eastAsia"/>
                <w:i w:val="0"/>
                <w:iCs w:val="0"/>
                <w:color w:val="000000"/>
                <w:kern w:val="0"/>
                <w:sz w:val="20"/>
                <w:szCs w:val="20"/>
                <w:u w:val="none"/>
                <w:lang w:val="en-US" w:eastAsia="zh-CN" w:bidi="ar"/>
              </w:rPr>
              <w:t>　寿县应急管理局_在职人员综合定额公务费（一）</w:t>
            </w:r>
          </w:p>
        </w:tc>
        <w:tc>
          <w:tcPr>
            <w:tcW w:w="1827"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20"/>
              </w:rPr>
            </w:pPr>
            <w:r>
              <w:rPr>
                <w:rFonts w:ascii="宋体" w:eastAsia="宋体" w:hAnsi="宋体" w:cs="宋体" w:hint="eastAsia"/>
                <w:i w:val="0"/>
                <w:iCs w:val="0"/>
                <w:color w:val="000000"/>
                <w:kern w:val="0"/>
                <w:sz w:val="20"/>
                <w:szCs w:val="20"/>
                <w:u w:val="none"/>
                <w:lang w:val="en-US" w:eastAsia="zh-CN" w:bidi="ar"/>
              </w:rPr>
              <w:t>　　台式计算机</w:t>
            </w:r>
          </w:p>
        </w:tc>
        <w:tc>
          <w:tcPr>
            <w:tcW w:w="1430"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ascii="宋体" w:eastAsia="宋体" w:hAnsi="宋体" w:cs="宋体" w:hint="eastAsia"/>
                <w:i w:val="0"/>
                <w:iCs w:val="0"/>
                <w:color w:val="000000"/>
                <w:kern w:val="0"/>
                <w:sz w:val="20"/>
                <w:szCs w:val="20"/>
                <w:u w:val="none"/>
                <w:lang w:val="en-US" w:eastAsia="zh-CN" w:bidi="ar"/>
              </w:rPr>
              <w:t>2.48</w:t>
            </w:r>
          </w:p>
        </w:tc>
        <w:tc>
          <w:tcPr>
            <w:tcW w:w="1643"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ascii="宋体" w:eastAsia="宋体" w:hAnsi="宋体" w:cs="宋体" w:hint="eastAsia"/>
                <w:i w:val="0"/>
                <w:iCs w:val="0"/>
                <w:color w:val="000000"/>
                <w:kern w:val="0"/>
                <w:sz w:val="20"/>
                <w:szCs w:val="20"/>
                <w:u w:val="none"/>
                <w:lang w:val="en-US" w:eastAsia="zh-CN" w:bidi="ar"/>
              </w:rPr>
              <w:t>2.48</w:t>
            </w:r>
          </w:p>
        </w:tc>
        <w:tc>
          <w:tcPr>
            <w:tcW w:w="1823"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W w:w="14109" w:type="dxa"/>
          <w:tblInd w:w="0" w:type="dxa"/>
          <w:tblLayout w:type="fixed"/>
          <w:tblCellMar>
            <w:top w:w="0" w:type="dxa"/>
            <w:left w:w="108" w:type="dxa"/>
            <w:bottom w:w="0" w:type="dxa"/>
            <w:right w:w="108" w:type="dxa"/>
          </w:tblCellMar>
        </w:tblPrEx>
        <w:trPr>
          <w:trHeight w:val="496"/>
        </w:trPr>
        <w:tc>
          <w:tcPr>
            <w:tcW w:w="1907"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2"/>
                <w:sz w:val="20"/>
                <w:szCs w:val="20"/>
                <w:u w:val="none"/>
                <w:lang w:val="en-US" w:eastAsia="zh-CN" w:bidi="ar-SA"/>
              </w:rPr>
            </w:pPr>
            <w:r>
              <w:rPr>
                <w:rFonts w:ascii="宋体" w:eastAsia="宋体" w:hAnsi="宋体" w:cs="宋体" w:hint="eastAsia"/>
                <w:i w:val="0"/>
                <w:iCs w:val="0"/>
                <w:color w:val="000000"/>
                <w:kern w:val="0"/>
                <w:sz w:val="20"/>
                <w:szCs w:val="20"/>
                <w:u w:val="none"/>
                <w:lang w:val="en-US" w:eastAsia="zh-CN" w:bidi="ar"/>
              </w:rPr>
              <w:t>　寿县应急管理局_在职人员综合定额公务费（一）</w:t>
            </w:r>
          </w:p>
        </w:tc>
        <w:tc>
          <w:tcPr>
            <w:tcW w:w="1827"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20"/>
              </w:rPr>
            </w:pPr>
            <w:r>
              <w:rPr>
                <w:rFonts w:ascii="宋体" w:eastAsia="宋体" w:hAnsi="宋体" w:cs="宋体" w:hint="eastAsia"/>
                <w:i w:val="0"/>
                <w:iCs w:val="0"/>
                <w:color w:val="000000"/>
                <w:kern w:val="0"/>
                <w:sz w:val="20"/>
                <w:szCs w:val="20"/>
                <w:u w:val="none"/>
                <w:lang w:val="en-US" w:eastAsia="zh-CN" w:bidi="ar"/>
              </w:rPr>
              <w:t>　　A3 黑白打印机</w:t>
            </w:r>
          </w:p>
        </w:tc>
        <w:tc>
          <w:tcPr>
            <w:tcW w:w="14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ascii="宋体" w:eastAsia="宋体" w:hAnsi="宋体" w:cs="宋体" w:hint="eastAsia"/>
                <w:i w:val="0"/>
                <w:iCs w:val="0"/>
                <w:color w:val="000000"/>
                <w:kern w:val="0"/>
                <w:sz w:val="20"/>
                <w:szCs w:val="20"/>
                <w:u w:val="none"/>
                <w:lang w:val="en-US" w:eastAsia="zh-CN" w:bidi="ar"/>
              </w:rPr>
              <w:t>1.00</w:t>
            </w:r>
          </w:p>
        </w:tc>
        <w:tc>
          <w:tcPr>
            <w:tcW w:w="164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ascii="宋体" w:eastAsia="宋体" w:hAnsi="宋体" w:cs="宋体" w:hint="eastAsia"/>
                <w:i w:val="0"/>
                <w:iCs w:val="0"/>
                <w:color w:val="000000"/>
                <w:kern w:val="0"/>
                <w:sz w:val="20"/>
                <w:szCs w:val="20"/>
                <w:u w:val="none"/>
                <w:lang w:val="en-US" w:eastAsia="zh-CN" w:bidi="ar"/>
              </w:rPr>
              <w:t>1.00</w:t>
            </w:r>
          </w:p>
        </w:tc>
        <w:tc>
          <w:tcPr>
            <w:tcW w:w="182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W w:w="14109" w:type="dxa"/>
          <w:tblInd w:w="0" w:type="dxa"/>
          <w:tblLayout w:type="fixed"/>
          <w:tblCellMar>
            <w:top w:w="0" w:type="dxa"/>
            <w:left w:w="108" w:type="dxa"/>
            <w:bottom w:w="0" w:type="dxa"/>
            <w:right w:w="108" w:type="dxa"/>
          </w:tblCellMar>
        </w:tblPrEx>
        <w:trPr>
          <w:trHeight w:val="496"/>
        </w:trPr>
        <w:tc>
          <w:tcPr>
            <w:tcW w:w="1907"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20"/>
              </w:rPr>
            </w:pPr>
          </w:p>
        </w:tc>
        <w:tc>
          <w:tcPr>
            <w:tcW w:w="1827"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20"/>
              </w:rPr>
            </w:pPr>
          </w:p>
        </w:tc>
        <w:tc>
          <w:tcPr>
            <w:tcW w:w="143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c>
          <w:tcPr>
            <w:tcW w:w="164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c>
          <w:tcPr>
            <w:tcW w:w="182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c>
          <w:tcPr>
            <w:tcW w:w="181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c>
          <w:tcPr>
            <w:tcW w:w="178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c>
          <w:tcPr>
            <w:tcW w:w="188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r>
      <w:tr>
        <w:tblPrEx>
          <w:tblW w:w="14109" w:type="dxa"/>
          <w:tblInd w:w="0" w:type="dxa"/>
          <w:tblLayout w:type="fixed"/>
          <w:tblCellMar>
            <w:top w:w="0" w:type="dxa"/>
            <w:left w:w="108" w:type="dxa"/>
            <w:bottom w:w="0" w:type="dxa"/>
            <w:right w:w="108" w:type="dxa"/>
          </w:tblCellMar>
        </w:tblPrEx>
        <w:trPr>
          <w:trHeight w:val="496"/>
        </w:trPr>
        <w:tc>
          <w:tcPr>
            <w:tcW w:w="1907"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20"/>
              </w:rPr>
            </w:pPr>
          </w:p>
        </w:tc>
        <w:tc>
          <w:tcPr>
            <w:tcW w:w="1827"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20"/>
              </w:rPr>
            </w:pPr>
          </w:p>
        </w:tc>
        <w:tc>
          <w:tcPr>
            <w:tcW w:w="143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c>
          <w:tcPr>
            <w:tcW w:w="164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c>
          <w:tcPr>
            <w:tcW w:w="182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c>
          <w:tcPr>
            <w:tcW w:w="181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c>
          <w:tcPr>
            <w:tcW w:w="178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c>
          <w:tcPr>
            <w:tcW w:w="188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r>
      <w:tr>
        <w:tblPrEx>
          <w:tblW w:w="14109" w:type="dxa"/>
          <w:tblInd w:w="0" w:type="dxa"/>
          <w:tblLayout w:type="fixed"/>
          <w:tblCellMar>
            <w:top w:w="0" w:type="dxa"/>
            <w:left w:w="108" w:type="dxa"/>
            <w:bottom w:w="0" w:type="dxa"/>
            <w:right w:w="108" w:type="dxa"/>
          </w:tblCellMar>
        </w:tblPrEx>
        <w:trPr>
          <w:trHeight w:val="496"/>
        </w:trPr>
        <w:tc>
          <w:tcPr>
            <w:tcW w:w="1907"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827"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43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64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2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W w:w="14109" w:type="dxa"/>
          <w:tblInd w:w="0" w:type="dxa"/>
          <w:tblLayout w:type="fixed"/>
          <w:tblCellMar>
            <w:top w:w="0" w:type="dxa"/>
            <w:left w:w="108" w:type="dxa"/>
            <w:bottom w:w="0" w:type="dxa"/>
            <w:right w:w="108" w:type="dxa"/>
          </w:tblCellMar>
        </w:tblPrEx>
        <w:trPr>
          <w:trHeight w:val="496"/>
        </w:trPr>
        <w:tc>
          <w:tcPr>
            <w:tcW w:w="1907"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827"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43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64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2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W w:w="14109" w:type="dxa"/>
          <w:tblInd w:w="0" w:type="dxa"/>
          <w:tblLayout w:type="fixed"/>
          <w:tblCellMar>
            <w:top w:w="0" w:type="dxa"/>
            <w:left w:w="108" w:type="dxa"/>
            <w:bottom w:w="0" w:type="dxa"/>
            <w:right w:w="108" w:type="dxa"/>
          </w:tblCellMar>
        </w:tblPrEx>
        <w:trPr>
          <w:trHeight w:val="496"/>
        </w:trPr>
        <w:tc>
          <w:tcPr>
            <w:tcW w:w="1907"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827"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43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64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2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W w:w="14109" w:type="dxa"/>
          <w:tblInd w:w="0" w:type="dxa"/>
          <w:tblLayout w:type="fixed"/>
          <w:tblCellMar>
            <w:top w:w="0" w:type="dxa"/>
            <w:left w:w="108" w:type="dxa"/>
            <w:bottom w:w="0" w:type="dxa"/>
            <w:right w:w="108" w:type="dxa"/>
          </w:tblCellMar>
        </w:tblPrEx>
        <w:trPr>
          <w:trHeight w:val="496"/>
        </w:trPr>
        <w:tc>
          <w:tcPr>
            <w:tcW w:w="3734" w:type="dxa"/>
            <w:gridSpan w:val="2"/>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20"/>
              </w:rPr>
            </w:pPr>
            <w:r>
              <w:rPr>
                <w:rFonts w:ascii="TimesNewRoman" w:hAnsi="TimesNewRoman" w:cs="TimesNewRoman" w:hint="eastAsia"/>
                <w:b/>
                <w:sz w:val="20"/>
              </w:rPr>
              <w:t>总</w:t>
            </w:r>
            <w:r>
              <w:rPr>
                <w:rFonts w:ascii="TimesNewRoman" w:hAnsi="TimesNewRoman" w:cs="TimesNewRoman"/>
                <w:b/>
                <w:sz w:val="20"/>
              </w:rPr>
              <w:t xml:space="preserve"> 计</w:t>
            </w:r>
          </w:p>
        </w:tc>
        <w:tc>
          <w:tcPr>
            <w:tcW w:w="143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lang w:val="en-US" w:eastAsia="zh-CN"/>
              </w:rPr>
              <w:t>3.48</w:t>
            </w:r>
            <w:r>
              <w:rPr>
                <w:rFonts w:ascii="TimesNewRoman" w:hAnsi="TimesNewRoman" w:cs="TimesNewRoman"/>
                <w:kern w:val="0"/>
                <w:sz w:val="20"/>
              </w:rPr>
              <w:t>　</w:t>
            </w:r>
          </w:p>
        </w:tc>
        <w:tc>
          <w:tcPr>
            <w:tcW w:w="164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lang w:val="en-US" w:eastAsia="zh-CN"/>
              </w:rPr>
              <w:t>3.48</w:t>
            </w:r>
            <w:r>
              <w:rPr>
                <w:rFonts w:ascii="TimesNewRoman" w:hAnsi="TimesNewRoman" w:cs="TimesNewRoman"/>
                <w:kern w:val="0"/>
                <w:sz w:val="20"/>
              </w:rPr>
              <w:t>　</w:t>
            </w:r>
          </w:p>
        </w:tc>
        <w:tc>
          <w:tcPr>
            <w:tcW w:w="182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bl>
    <w:p>
      <w:pPr>
        <w:spacing w:line="560" w:lineRule="exact"/>
        <w:rPr>
          <w:rFonts w:ascii="TimesNewRoman" w:hAnsi="TimesNewRoman" w:cs="TimesNewRoman"/>
        </w:rPr>
      </w:pPr>
    </w:p>
    <w:p>
      <w:pPr>
        <w:spacing w:line="560" w:lineRule="exact"/>
        <w:rPr>
          <w:rFonts w:ascii="TimesNewRoman" w:hAnsi="TimesNewRoman" w:cs="TimesNewRoman"/>
        </w:rPr>
      </w:pPr>
    </w:p>
    <w:p>
      <w:pPr>
        <w:pStyle w:val="NormalWeb"/>
        <w:wordWrap w:val="0"/>
        <w:adjustRightInd w:val="0"/>
        <w:snapToGrid w:val="0"/>
        <w:spacing w:line="560" w:lineRule="exact"/>
        <w:jc w:val="center"/>
        <w:rPr>
          <w:rFonts w:ascii="TimesNewRoman" w:hAnsi="TimesNewRoman" w:cs="TimesNewRoman"/>
          <w:sz w:val="20"/>
          <w:szCs w:val="20"/>
        </w:rPr>
      </w:pPr>
      <w:r>
        <w:rPr>
          <w:rFonts w:ascii="TimesNewRoman" w:hAnsi="TimesNewRoman" w:cs="TimesNewRoman" w:hint="eastAsia"/>
          <w:sz w:val="20"/>
          <w:szCs w:val="20"/>
        </w:rPr>
        <w:t xml:space="preserve">                                                                                                          </w:t>
      </w:r>
      <w:r>
        <w:rPr>
          <w:rFonts w:ascii="TimesNewRoman" w:hAnsi="TimesNewRoman" w:cs="TimesNewRoman"/>
          <w:sz w:val="20"/>
          <w:szCs w:val="20"/>
        </w:rPr>
        <w:t>部门</w:t>
      </w:r>
      <w:r>
        <w:rPr>
          <w:rFonts w:ascii="TimesNewRoman" w:hAnsi="TimesNewRoman" w:cs="TimesNewRoman"/>
          <w:sz w:val="20"/>
          <w:szCs w:val="20"/>
          <w:u w:val="single"/>
        </w:rPr>
        <w:t>（单位）</w:t>
      </w:r>
      <w:r>
        <w:rPr>
          <w:rFonts w:ascii="TimesNewRoman" w:hAnsi="TimesNewRoman" w:cs="TimesNewRoman"/>
          <w:sz w:val="20"/>
          <w:szCs w:val="20"/>
        </w:rPr>
        <w:t>公开表11</w:t>
      </w:r>
    </w:p>
    <w:tbl>
      <w:tblPr>
        <w:tblStyle w:val="TableNormal"/>
        <w:tblW w:w="13709" w:type="dxa"/>
        <w:jc w:val="center"/>
        <w:tblLayout w:type="fixed"/>
        <w:tblCellMar>
          <w:top w:w="0" w:type="dxa"/>
          <w:left w:w="108" w:type="dxa"/>
          <w:bottom w:w="0" w:type="dxa"/>
          <w:right w:w="108" w:type="dxa"/>
        </w:tblCellMar>
      </w:tblPr>
      <w:tblGrid>
        <w:gridCol w:w="2068"/>
        <w:gridCol w:w="1948"/>
        <w:gridCol w:w="1780"/>
        <w:gridCol w:w="1928"/>
        <w:gridCol w:w="2477"/>
        <w:gridCol w:w="1680"/>
        <w:gridCol w:w="1811"/>
        <w:gridCol w:w="17"/>
      </w:tblGrid>
      <w:tr>
        <w:tblPrEx>
          <w:tblW w:w="13709" w:type="dxa"/>
          <w:jc w:val="center"/>
          <w:tblLayout w:type="fixed"/>
          <w:tblCellMar>
            <w:top w:w="0" w:type="dxa"/>
            <w:left w:w="108" w:type="dxa"/>
            <w:bottom w:w="0" w:type="dxa"/>
            <w:right w:w="108" w:type="dxa"/>
          </w:tblCellMar>
        </w:tblPrEx>
        <w:trPr>
          <w:gridAfter w:val="1"/>
          <w:wAfter w:w="17" w:type="dxa"/>
          <w:trHeight w:val="673"/>
          <w:jc w:val="center"/>
        </w:trPr>
        <w:tc>
          <w:tcPr>
            <w:tcW w:w="13692" w:type="dxa"/>
            <w:gridSpan w:val="7"/>
            <w:tcBorders>
              <w:top w:val="nil"/>
              <w:left w:val="nil"/>
              <w:bottom w:val="nil"/>
              <w:right w:val="nil"/>
            </w:tcBorders>
            <w:noWrap w:val="0"/>
            <w:vAlign w:val="center"/>
          </w:tcPr>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eastAsia="zh-CN"/>
              </w:rPr>
              <w:t>应急管理局</w:t>
            </w:r>
            <w:r>
              <w:rPr>
                <w:rFonts w:ascii="宋体" w:hAnsi="宋体" w:cs="TimesNewRoman" w:hint="eastAsia"/>
                <w:b/>
                <w:bCs/>
                <w:kern w:val="0"/>
                <w:sz w:val="28"/>
                <w:szCs w:val="32"/>
              </w:rPr>
              <w:t>2024</w:t>
            </w:r>
            <w:r>
              <w:rPr>
                <w:rFonts w:ascii="宋体" w:hAnsi="宋体" w:cs="TimesNewRoman"/>
                <w:b/>
                <w:bCs/>
                <w:kern w:val="0"/>
                <w:sz w:val="28"/>
                <w:szCs w:val="32"/>
              </w:rPr>
              <w:t>年政府购买服务支出表</w:t>
            </w:r>
          </w:p>
          <w:p>
            <w:pPr>
              <w:widowControl/>
              <w:spacing w:line="560" w:lineRule="exact"/>
              <w:jc w:val="center"/>
              <w:rPr>
                <w:rFonts w:ascii="TimesNewRoman" w:hAnsi="TimesNewRoman" w:cs="TimesNewRoman"/>
                <w:kern w:val="0"/>
                <w:sz w:val="20"/>
              </w:rPr>
            </w:pPr>
            <w:r>
              <w:rPr>
                <w:rFonts w:ascii="TimesNewRoman" w:hAnsi="TimesNewRoman" w:cs="TimesNewRoman"/>
                <w:kern w:val="0"/>
                <w:sz w:val="20"/>
              </w:rPr>
              <w:t xml:space="preserve">                                                                                                                    单位：万元</w:t>
            </w:r>
          </w:p>
        </w:tc>
      </w:tr>
      <w:tr>
        <w:tblPrEx>
          <w:tblW w:w="13709" w:type="dxa"/>
          <w:jc w:val="center"/>
          <w:tblLayout w:type="fixed"/>
          <w:tblCellMar>
            <w:top w:w="15" w:type="dxa"/>
            <w:left w:w="15" w:type="dxa"/>
            <w:bottom w:w="15" w:type="dxa"/>
            <w:right w:w="15" w:type="dxa"/>
          </w:tblCellMar>
        </w:tblPrEx>
        <w:trPr>
          <w:trHeight w:val="922"/>
          <w:jc w:val="center"/>
        </w:trPr>
        <w:tc>
          <w:tcPr>
            <w:tcW w:w="2068"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项目名称</w:t>
            </w:r>
          </w:p>
        </w:tc>
        <w:tc>
          <w:tcPr>
            <w:tcW w:w="1948"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一级目录名称</w:t>
            </w:r>
          </w:p>
        </w:tc>
        <w:tc>
          <w:tcPr>
            <w:tcW w:w="1780"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二级目录名称</w:t>
            </w:r>
          </w:p>
        </w:tc>
        <w:tc>
          <w:tcPr>
            <w:tcW w:w="1928"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三级目录名称</w:t>
            </w:r>
          </w:p>
        </w:tc>
        <w:tc>
          <w:tcPr>
            <w:tcW w:w="2477"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政府购买服务内容</w:t>
            </w:r>
          </w:p>
        </w:tc>
        <w:tc>
          <w:tcPr>
            <w:tcW w:w="1680"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购买数量</w:t>
            </w:r>
          </w:p>
        </w:tc>
        <w:tc>
          <w:tcPr>
            <w:tcW w:w="1828" w:type="dxa"/>
            <w:gridSpan w:val="2"/>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购买金额</w:t>
            </w:r>
          </w:p>
        </w:tc>
      </w:tr>
      <w:tr>
        <w:tblPrEx>
          <w:tblW w:w="13709" w:type="dxa"/>
          <w:jc w:val="center"/>
          <w:tblLayout w:type="fixed"/>
          <w:tblCellMar>
            <w:top w:w="15" w:type="dxa"/>
            <w:left w:w="15" w:type="dxa"/>
            <w:bottom w:w="15" w:type="dxa"/>
            <w:right w:w="15" w:type="dxa"/>
          </w:tblCellMar>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2"/>
                <w:sz w:val="20"/>
                <w:szCs w:val="20"/>
                <w:u w:val="none"/>
                <w:lang w:val="en-US" w:eastAsia="zh-CN" w:bidi="ar-SA"/>
              </w:rPr>
            </w:pPr>
            <w:r>
              <w:rPr>
                <w:rFonts w:ascii="宋体" w:eastAsia="宋体" w:hAnsi="宋体" w:cs="宋体" w:hint="eastAsia"/>
                <w:i w:val="0"/>
                <w:iCs w:val="0"/>
                <w:color w:val="000000"/>
                <w:kern w:val="0"/>
                <w:sz w:val="20"/>
                <w:szCs w:val="20"/>
                <w:u w:val="none"/>
                <w:lang w:val="en-US" w:eastAsia="zh-CN" w:bidi="ar"/>
              </w:rPr>
              <w:t>　　寿县应急管理局_在职人员综合定额公务费（一）</w:t>
            </w:r>
          </w:p>
        </w:tc>
        <w:tc>
          <w:tcPr>
            <w:tcW w:w="194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2"/>
                <w:sz w:val="20"/>
                <w:szCs w:val="20"/>
                <w:u w:val="none"/>
                <w:lang w:val="en-US" w:eastAsia="zh-CN" w:bidi="ar-SA"/>
              </w:rPr>
            </w:pPr>
            <w:r>
              <w:rPr>
                <w:rFonts w:ascii="宋体" w:eastAsia="宋体" w:hAnsi="宋体" w:cs="宋体" w:hint="eastAsia"/>
                <w:i w:val="0"/>
                <w:iCs w:val="0"/>
                <w:color w:val="000000"/>
                <w:kern w:val="0"/>
                <w:sz w:val="20"/>
                <w:szCs w:val="20"/>
                <w:u w:val="none"/>
                <w:lang w:val="en-US" w:eastAsia="zh-CN" w:bidi="ar"/>
              </w:rPr>
              <w:t>公共服务</w:t>
            </w:r>
          </w:p>
        </w:tc>
        <w:tc>
          <w:tcPr>
            <w:tcW w:w="1780"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2"/>
                <w:sz w:val="20"/>
                <w:szCs w:val="20"/>
                <w:u w:val="none"/>
                <w:lang w:val="en-US" w:eastAsia="zh-CN" w:bidi="ar-SA"/>
              </w:rPr>
            </w:pPr>
            <w:r>
              <w:rPr>
                <w:rFonts w:ascii="宋体" w:eastAsia="宋体" w:hAnsi="宋体" w:cs="宋体" w:hint="eastAsia"/>
                <w:i w:val="0"/>
                <w:iCs w:val="0"/>
                <w:color w:val="000000"/>
                <w:kern w:val="0"/>
                <w:sz w:val="20"/>
                <w:szCs w:val="20"/>
                <w:u w:val="none"/>
                <w:lang w:val="en-US" w:eastAsia="zh-CN" w:bidi="ar"/>
              </w:rPr>
              <w:t>公共安全服务</w:t>
            </w:r>
          </w:p>
        </w:tc>
        <w:tc>
          <w:tcPr>
            <w:tcW w:w="1928"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2"/>
                <w:sz w:val="20"/>
                <w:szCs w:val="20"/>
                <w:u w:val="none"/>
                <w:lang w:val="en-US" w:eastAsia="zh-CN" w:bidi="ar-SA"/>
              </w:rPr>
            </w:pPr>
            <w:r>
              <w:rPr>
                <w:rFonts w:ascii="宋体" w:eastAsia="宋体" w:hAnsi="宋体" w:cs="宋体" w:hint="eastAsia"/>
                <w:i w:val="0"/>
                <w:iCs w:val="0"/>
                <w:color w:val="000000"/>
                <w:kern w:val="0"/>
                <w:sz w:val="20"/>
                <w:szCs w:val="20"/>
                <w:u w:val="none"/>
                <w:lang w:val="en-US" w:eastAsia="zh-CN" w:bidi="ar"/>
              </w:rPr>
              <w:t>安全生产事故调查服务</w:t>
            </w:r>
          </w:p>
        </w:tc>
        <w:tc>
          <w:tcPr>
            <w:tcW w:w="2477" w:type="dxa"/>
            <w:tcBorders>
              <w:top w:val="single" w:sz="4" w:space="0" w:color="000000"/>
              <w:left w:val="single" w:sz="4" w:space="0" w:color="000000"/>
              <w:bottom w:val="single" w:sz="4" w:space="0" w:color="000000"/>
              <w:right w:val="single" w:sz="4" w:space="0" w:color="000000"/>
            </w:tcBorders>
            <w:noWrap w:val="0"/>
            <w:vAlign w:val="center"/>
          </w:tcPr>
          <w:p>
            <w:pPr>
              <w:keepNext w:val="0"/>
              <w:keepLines w:val="0"/>
              <w:widowControl/>
              <w:suppressLineNumbers w:val="0"/>
              <w:jc w:val="left"/>
              <w:textAlignment w:val="center"/>
              <w:rPr>
                <w:rFonts w:ascii="宋体" w:eastAsia="宋体" w:hAnsi="宋体" w:cs="宋体" w:hint="eastAsia"/>
                <w:i w:val="0"/>
                <w:iCs w:val="0"/>
                <w:color w:val="000000"/>
                <w:kern w:val="2"/>
                <w:sz w:val="20"/>
                <w:szCs w:val="20"/>
                <w:u w:val="none"/>
                <w:lang w:val="en-US" w:eastAsia="zh-CN" w:bidi="ar-SA"/>
              </w:rPr>
            </w:pPr>
            <w:r>
              <w:rPr>
                <w:rFonts w:ascii="宋体" w:eastAsia="宋体" w:hAnsi="宋体" w:cs="宋体" w:hint="eastAsia"/>
                <w:i w:val="0"/>
                <w:iCs w:val="0"/>
                <w:color w:val="000000"/>
                <w:kern w:val="0"/>
                <w:sz w:val="20"/>
                <w:szCs w:val="20"/>
                <w:u w:val="none"/>
                <w:lang w:val="en-US" w:eastAsia="zh-CN" w:bidi="ar"/>
              </w:rPr>
              <w:t>政府履职所需辅助性服务</w:t>
            </w:r>
          </w:p>
        </w:tc>
        <w:tc>
          <w:tcPr>
            <w:tcW w:w="1680"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center"/>
              <w:rPr>
                <w:rFonts w:ascii="TimesNewRoman" w:eastAsia="宋体" w:hAnsi="TimesNewRoman" w:cs="TimesNewRoman" w:hint="eastAsia"/>
                <w:sz w:val="18"/>
                <w:szCs w:val="18"/>
                <w:lang w:val="en-US" w:eastAsia="zh-CN"/>
              </w:rPr>
            </w:pPr>
            <w:r>
              <w:rPr>
                <w:rFonts w:ascii="TimesNewRoman" w:hAnsi="TimesNewRoman" w:cs="TimesNewRoman" w:hint="eastAsia"/>
                <w:sz w:val="18"/>
                <w:szCs w:val="18"/>
                <w:lang w:val="en-US" w:eastAsia="zh-CN"/>
              </w:rPr>
              <w:t>1</w:t>
            </w:r>
          </w:p>
        </w:tc>
        <w:tc>
          <w:tcPr>
            <w:tcW w:w="1828" w:type="dxa"/>
            <w:gridSpan w:val="2"/>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center"/>
              <w:rPr>
                <w:rFonts w:ascii="TimesNewRoman" w:eastAsia="宋体" w:hAnsi="TimesNewRoman" w:cs="TimesNewRoman" w:hint="default"/>
                <w:sz w:val="18"/>
                <w:szCs w:val="18"/>
                <w:lang w:val="en-US" w:eastAsia="zh-CN"/>
              </w:rPr>
            </w:pPr>
            <w:r>
              <w:rPr>
                <w:rFonts w:ascii="TimesNewRoman" w:hAnsi="TimesNewRoman" w:cs="TimesNewRoman" w:hint="eastAsia"/>
                <w:sz w:val="18"/>
                <w:szCs w:val="18"/>
                <w:lang w:val="en-US" w:eastAsia="zh-CN"/>
              </w:rPr>
              <w:t>0.35</w:t>
            </w:r>
          </w:p>
        </w:tc>
      </w:tr>
      <w:tr>
        <w:tblPrEx>
          <w:tblW w:w="13709" w:type="dxa"/>
          <w:jc w:val="center"/>
          <w:tblLayout w:type="fixed"/>
          <w:tblCellMar>
            <w:top w:w="15" w:type="dxa"/>
            <w:left w:w="15" w:type="dxa"/>
            <w:bottom w:w="15" w:type="dxa"/>
            <w:right w:w="15" w:type="dxa"/>
          </w:tblCellMar>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r>
      <w:tr>
        <w:tblPrEx>
          <w:tblW w:w="13709" w:type="dxa"/>
          <w:jc w:val="center"/>
          <w:tblLayout w:type="fixed"/>
          <w:tblCellMar>
            <w:top w:w="15" w:type="dxa"/>
            <w:left w:w="15" w:type="dxa"/>
            <w:bottom w:w="15" w:type="dxa"/>
            <w:right w:w="15" w:type="dxa"/>
          </w:tblCellMar>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r>
      <w:tr>
        <w:tblPrEx>
          <w:tblW w:w="13709" w:type="dxa"/>
          <w:jc w:val="center"/>
          <w:tblLayout w:type="fixed"/>
          <w:tblCellMar>
            <w:top w:w="15" w:type="dxa"/>
            <w:left w:w="15" w:type="dxa"/>
            <w:bottom w:w="15" w:type="dxa"/>
            <w:right w:w="15" w:type="dxa"/>
          </w:tblCellMar>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center"/>
              <w:rPr>
                <w:rFonts w:ascii="TimesNewRoman" w:hAnsi="TimesNewRoman" w:cs="TimesNewRoman"/>
                <w:b/>
                <w:sz w:val="18"/>
                <w:szCs w:val="18"/>
              </w:rPr>
            </w:pPr>
            <w:r>
              <w:rPr>
                <w:rFonts w:ascii="TimesNewRoman" w:hAnsi="TimesNewRoman" w:cs="TimesNewRoman"/>
                <w:b/>
                <w:sz w:val="18"/>
                <w:szCs w:val="18"/>
              </w:rPr>
              <w:t>合</w:t>
            </w:r>
            <w:r>
              <w:rPr>
                <w:rFonts w:ascii="TimesNewRoman" w:hAnsi="TimesNewRoman" w:cs="TimesNewRoman" w:hint="eastAsia"/>
                <w:b/>
                <w:sz w:val="18"/>
                <w:szCs w:val="18"/>
              </w:rPr>
              <w:t xml:space="preserve"> </w:t>
            </w:r>
            <w:r>
              <w:rPr>
                <w:rFonts w:ascii="TimesNewRoman" w:hAnsi="TimesNewRoman" w:cs="TimesNewRoman"/>
                <w:b/>
                <w:sz w:val="18"/>
                <w:szCs w:val="18"/>
              </w:rPr>
              <w:t>计</w:t>
            </w:r>
          </w:p>
        </w:tc>
        <w:tc>
          <w:tcPr>
            <w:tcW w:w="194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jc w:val="center"/>
              <w:rPr>
                <w:rFonts w:ascii="TimesNewRoman" w:eastAsia="宋体" w:hAnsi="TimesNewRoman" w:cs="TimesNewRoman" w:hint="eastAsia"/>
                <w:sz w:val="18"/>
                <w:szCs w:val="18"/>
                <w:lang w:val="en-US" w:eastAsia="zh-CN"/>
              </w:rPr>
            </w:pPr>
            <w:r>
              <w:rPr>
                <w:rFonts w:ascii="TimesNewRoman" w:hAnsi="TimesNewRoman" w:cs="TimesNewRoman" w:hint="eastAsia"/>
                <w:sz w:val="18"/>
                <w:szCs w:val="18"/>
                <w:lang w:val="en-US" w:eastAsia="zh-CN"/>
              </w:rPr>
              <w:t>1</w:t>
            </w:r>
          </w:p>
        </w:tc>
        <w:tc>
          <w:tcPr>
            <w:tcW w:w="1828" w:type="dxa"/>
            <w:gridSpan w:val="2"/>
            <w:tcBorders>
              <w:top w:val="single" w:sz="4" w:space="0" w:color="000000"/>
              <w:left w:val="single" w:sz="4" w:space="0" w:color="000000"/>
              <w:bottom w:val="single" w:sz="4" w:space="0" w:color="000000"/>
              <w:right w:val="single" w:sz="4" w:space="0" w:color="000000"/>
            </w:tcBorders>
            <w:noWrap w:val="0"/>
            <w:vAlign w:val="bottom"/>
          </w:tcPr>
          <w:p>
            <w:pPr>
              <w:spacing w:line="280" w:lineRule="exact"/>
              <w:jc w:val="center"/>
              <w:rPr>
                <w:rFonts w:ascii="TimesNewRoman" w:eastAsia="宋体" w:hAnsi="TimesNewRoman" w:cs="TimesNewRoman" w:hint="default"/>
                <w:sz w:val="18"/>
                <w:szCs w:val="18"/>
                <w:lang w:val="en-US" w:eastAsia="zh-CN"/>
              </w:rPr>
            </w:pPr>
            <w:r>
              <w:rPr>
                <w:rFonts w:ascii="TimesNewRoman" w:hAnsi="TimesNewRoman" w:cs="TimesNewRoman" w:hint="eastAsia"/>
                <w:sz w:val="18"/>
                <w:szCs w:val="18"/>
                <w:lang w:val="en-US" w:eastAsia="zh-CN"/>
              </w:rPr>
              <w:t>0.35</w:t>
            </w:r>
          </w:p>
        </w:tc>
      </w:tr>
    </w:tbl>
    <w:p>
      <w:pPr>
        <w:spacing w:line="560" w:lineRule="exact"/>
        <w:rPr>
          <w:rFonts w:ascii="TimesNewRoman" w:hAnsi="TimesNewRoman" w:cs="TimesNewRoman"/>
          <w:kern w:val="0"/>
          <w:sz w:val="22"/>
        </w:rPr>
      </w:pPr>
      <w:r>
        <w:rPr>
          <w:rFonts w:ascii="TimesNewRoman" w:hAnsi="TimesNewRoman" w:cs="TimesNewRoman"/>
          <w:kern w:val="0"/>
          <w:sz w:val="22"/>
        </w:rPr>
        <w:t>注：未安排政府购买服务预算的（单位），也要公开空白表，并备注说明“</w:t>
      </w:r>
      <w:r>
        <w:rPr>
          <w:rFonts w:ascii="TimesNewRoman" w:hAnsi="TimesNewRoman" w:cs="TimesNewRoman" w:hint="eastAsia"/>
          <w:kern w:val="0"/>
          <w:sz w:val="22"/>
        </w:rPr>
        <w:t>寿县</w:t>
      </w:r>
      <w:r>
        <w:rPr>
          <w:rFonts w:ascii="TimesNewRoman" w:hAnsi="TimesNewRoman" w:cs="TimesNewRoman"/>
          <w:kern w:val="0"/>
          <w:sz w:val="22"/>
        </w:rPr>
        <w:t>XX（部门、单位名称）没有安排政府购买服务支出，故本表无数据”。</w:t>
      </w:r>
    </w:p>
    <w:p>
      <w:pPr>
        <w:pStyle w:val="NormalWeb"/>
        <w:adjustRightInd w:val="0"/>
        <w:snapToGrid w:val="0"/>
        <w:spacing w:before="100" w:after="100" w:line="560" w:lineRule="exact"/>
        <w:ind w:firstLine="640" w:firstLineChars="200"/>
        <w:rPr>
          <w:rFonts w:ascii="TimesNewRoman" w:eastAsia="楷体_GB2312" w:hAnsi="TimesNewRoman" w:cs="TimesNewRoman"/>
          <w:bCs/>
          <w:sz w:val="32"/>
          <w:szCs w:val="32"/>
        </w:rPr>
        <w:sectPr>
          <w:pgSz w:w="16840" w:h="11907" w:orient="landscape"/>
          <w:pgMar w:top="1588" w:right="1531" w:bottom="1474" w:left="1560" w:header="851" w:footer="1021" w:gutter="0"/>
          <w:cols w:num="1" w:space="425"/>
          <w:docGrid w:type="linesAndChars" w:linePitch="312" w:charSpace="0"/>
        </w:sectPr>
      </w:pPr>
    </w:p>
    <w:p>
      <w:pPr>
        <w:pStyle w:val="NormalWeb"/>
        <w:topLinePunct/>
        <w:adjustRightInd w:val="0"/>
        <w:snapToGrid w:val="0"/>
        <w:spacing w:beforeAutospacing="0" w:afterAutospacing="0" w:line="560" w:lineRule="exact"/>
        <w:jc w:val="center"/>
        <w:rPr>
          <w:rFonts w:ascii="TimesNewRoman" w:eastAsia="黑体" w:hAnsi="TimesNewRoman" w:cs="TimesNewRoman" w:hint="eastAsia"/>
          <w:bCs/>
          <w:sz w:val="36"/>
          <w:szCs w:val="36"/>
        </w:rPr>
      </w:pPr>
    </w:p>
    <w:p>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 xml:space="preserve">第三部分 </w:t>
      </w:r>
      <w:r>
        <w:rPr>
          <w:rFonts w:ascii="TimesNewRoman" w:eastAsia="黑体" w:hAnsi="TimesNewRoman" w:cs="TimesNewRoman" w:hint="eastAsia"/>
          <w:bCs/>
          <w:sz w:val="36"/>
          <w:szCs w:val="36"/>
        </w:rPr>
        <w:t>2024</w:t>
      </w:r>
      <w:r>
        <w:rPr>
          <w:rFonts w:ascii="TimesNewRoman" w:eastAsia="黑体" w:hAnsi="TimesNewRoman" w:cs="TimesNewRoman"/>
          <w:bCs/>
          <w:sz w:val="36"/>
          <w:szCs w:val="36"/>
        </w:rPr>
        <w:t>年部门（单位）预算情况说明</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一、关于2024年收支总表的说明</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按照综合预算的原则，寿县</w:t>
      </w:r>
      <w:r>
        <w:rPr>
          <w:rFonts w:ascii="仿宋_GB2312" w:eastAsia="仿宋_GB2312" w:hAnsi="TimesNewRoman" w:cs="TimesNewRoman" w:hint="eastAsia"/>
          <w:sz w:val="32"/>
          <w:szCs w:val="32"/>
          <w:lang w:eastAsia="zh-CN"/>
        </w:rPr>
        <w:t>应急管理局</w:t>
      </w:r>
      <w:r>
        <w:rPr>
          <w:rFonts w:ascii="仿宋_GB2312" w:eastAsia="仿宋_GB2312" w:hAnsi="TimesNewRoman" w:cs="TimesNewRoman" w:hint="eastAsia"/>
          <w:sz w:val="32"/>
          <w:szCs w:val="32"/>
        </w:rPr>
        <w:t>所有收入和支出均纳入部门预算管理。寿县</w:t>
      </w:r>
      <w:r>
        <w:rPr>
          <w:rFonts w:ascii="仿宋_GB2312" w:eastAsia="仿宋_GB2312" w:hAnsi="TimesNewRoman" w:cs="TimesNewRoman" w:hint="eastAsia"/>
          <w:sz w:val="32"/>
          <w:szCs w:val="32"/>
          <w:lang w:eastAsia="zh-CN"/>
        </w:rPr>
        <w:t>应急管理局</w:t>
      </w:r>
      <w:r>
        <w:rPr>
          <w:rFonts w:ascii="仿宋_GB2312" w:eastAsia="仿宋_GB2312" w:hAnsi="TimesNewRoman" w:cs="TimesNewRoman" w:hint="eastAsia"/>
          <w:sz w:val="32"/>
          <w:szCs w:val="32"/>
        </w:rPr>
        <w:t>2024年收支总预算</w:t>
      </w:r>
      <w:r>
        <w:rPr>
          <w:rFonts w:ascii="仿宋_GB2312" w:eastAsia="仿宋_GB2312" w:hAnsi="TimesNewRoman" w:cs="TimesNewRoman" w:hint="eastAsia"/>
          <w:sz w:val="32"/>
          <w:szCs w:val="32"/>
          <w:lang w:val="en-US" w:eastAsia="zh-CN"/>
        </w:rPr>
        <w:t>815.96</w:t>
      </w:r>
      <w:r>
        <w:rPr>
          <w:rFonts w:ascii="仿宋_GB2312" w:eastAsia="仿宋_GB2312" w:hAnsi="TimesNewRoman" w:cs="TimesNewRoman" w:hint="eastAsia"/>
          <w:sz w:val="32"/>
          <w:szCs w:val="32"/>
        </w:rPr>
        <w:t>万元，收入</w:t>
      </w:r>
      <w:r>
        <w:rPr>
          <w:rFonts w:ascii="仿宋_GB2312" w:eastAsia="仿宋_GB2312" w:hAnsi="TimesNewRoman" w:cs="TimesNewRoman" w:hint="eastAsia"/>
          <w:sz w:val="32"/>
          <w:szCs w:val="32"/>
          <w:lang w:eastAsia="zh-CN"/>
        </w:rPr>
        <w:t>都属于</w:t>
      </w:r>
      <w:r>
        <w:rPr>
          <w:rFonts w:ascii="仿宋_GB2312" w:eastAsia="仿宋_GB2312" w:hAnsi="TimesNewRoman" w:cs="TimesNewRoman" w:hint="eastAsia"/>
          <w:sz w:val="32"/>
          <w:szCs w:val="32"/>
        </w:rPr>
        <w:t>一般公共预算拨款收入，支出包括：一般公共服务支出、社会保障和就业支出</w:t>
      </w:r>
      <w:r>
        <w:rPr>
          <w:rFonts w:ascii="仿宋_GB2312" w:eastAsia="仿宋_GB2312" w:hAnsi="TimesNewRoman" w:cs="TimesNewRoman" w:hint="eastAsia"/>
          <w:sz w:val="32"/>
          <w:szCs w:val="32"/>
          <w:lang w:val="en-US" w:eastAsia="zh-CN"/>
        </w:rPr>
        <w:t>100.02万元</w:t>
      </w:r>
      <w:r>
        <w:rPr>
          <w:rFonts w:ascii="仿宋_GB2312" w:eastAsia="仿宋_GB2312" w:hAnsi="TimesNewRoman" w:cs="TimesNewRoman" w:hint="eastAsia"/>
          <w:sz w:val="32"/>
          <w:szCs w:val="32"/>
        </w:rPr>
        <w:t>、卫生健康支出</w:t>
      </w:r>
      <w:r>
        <w:rPr>
          <w:rFonts w:ascii="仿宋_GB2312" w:eastAsia="仿宋_GB2312" w:hAnsi="TimesNewRoman" w:cs="TimesNewRoman" w:hint="eastAsia"/>
          <w:sz w:val="32"/>
          <w:szCs w:val="32"/>
          <w:lang w:val="en-US" w:eastAsia="zh-CN"/>
        </w:rPr>
        <w:t>23.99</w:t>
      </w:r>
      <w:r>
        <w:rPr>
          <w:rFonts w:ascii="仿宋_GB2312" w:eastAsia="仿宋_GB2312" w:hAnsi="TimesNewRoman" w:cs="TimesNewRoman" w:hint="eastAsia"/>
          <w:sz w:val="32"/>
          <w:szCs w:val="32"/>
        </w:rPr>
        <w:t>、住房保障支出</w:t>
      </w:r>
      <w:r>
        <w:rPr>
          <w:rFonts w:ascii="仿宋_GB2312" w:eastAsia="仿宋_GB2312" w:hAnsi="TimesNewRoman" w:cs="TimesNewRoman" w:hint="eastAsia"/>
          <w:sz w:val="32"/>
          <w:szCs w:val="32"/>
          <w:lang w:val="en-US" w:eastAsia="zh-CN"/>
        </w:rPr>
        <w:t>49.10万元</w:t>
      </w:r>
      <w:r>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lang w:eastAsia="zh-CN"/>
        </w:rPr>
        <w:t>灾害防治及应急管理支出</w:t>
      </w:r>
      <w:r>
        <w:rPr>
          <w:rFonts w:ascii="仿宋_GB2312" w:eastAsia="仿宋_GB2312" w:hAnsi="TimesNewRoman" w:cs="TimesNewRoman" w:hint="eastAsia"/>
          <w:sz w:val="32"/>
          <w:szCs w:val="32"/>
          <w:lang w:val="en-US" w:eastAsia="zh-CN"/>
        </w:rPr>
        <w:t>642.84万元</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二、关于2024年收入总表的说明</w:t>
      </w:r>
    </w:p>
    <w:p>
      <w:pPr>
        <w:topLinePunct/>
        <w:adjustRightInd w:val="0"/>
        <w:snapToGrid w:val="0"/>
        <w:spacing w:line="580" w:lineRule="exact"/>
        <w:ind w:firstLine="640" w:firstLineChars="200"/>
        <w:rPr>
          <w:rFonts w:ascii="仿宋_GB2312" w:eastAsia="仿宋_GB2312" w:hAnsi="TimesNewRoman" w:cs="TimesNewRoman" w:hint="eastAsia"/>
          <w:sz w:val="32"/>
          <w:szCs w:val="32"/>
          <w:lang w:val="en-US" w:eastAsia="zh-CN"/>
        </w:rPr>
      </w:pPr>
      <w:r>
        <w:rPr>
          <w:rFonts w:ascii="仿宋_GB2312" w:eastAsia="仿宋_GB2312" w:hAnsi="TimesNewRoman" w:cs="TimesNewRoman" w:hint="eastAsia"/>
          <w:kern w:val="0"/>
          <w:sz w:val="32"/>
          <w:szCs w:val="32"/>
        </w:rPr>
        <w:t>寿县</w:t>
      </w:r>
      <w:r>
        <w:rPr>
          <w:rFonts w:ascii="仿宋_GB2312" w:eastAsia="仿宋_GB2312" w:hAnsi="TimesNewRoman" w:cs="TimesNewRoman" w:hint="eastAsia"/>
          <w:kern w:val="0"/>
          <w:sz w:val="32"/>
          <w:szCs w:val="32"/>
          <w:lang w:eastAsia="zh-CN"/>
        </w:rPr>
        <w:t>应急管理局</w:t>
      </w:r>
      <w:r>
        <w:rPr>
          <w:rFonts w:ascii="仿宋_GB2312" w:eastAsia="仿宋_GB2312" w:hAnsi="TimesNewRoman" w:cs="TimesNewRoman" w:hint="eastAsia"/>
          <w:sz w:val="32"/>
          <w:szCs w:val="32"/>
        </w:rPr>
        <w:t>2024年收入预算</w:t>
      </w:r>
      <w:r>
        <w:rPr>
          <w:rFonts w:ascii="仿宋_GB2312" w:eastAsia="仿宋_GB2312" w:hAnsi="TimesNewRoman" w:cs="TimesNewRoman" w:hint="eastAsia"/>
          <w:sz w:val="32"/>
          <w:szCs w:val="32"/>
          <w:lang w:val="en-US" w:eastAsia="zh-CN"/>
        </w:rPr>
        <w:t>815.96</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lang w:eastAsia="zh-CN"/>
        </w:rPr>
        <w:t>都为一般公共预算收</w:t>
      </w:r>
      <w:r>
        <w:rPr>
          <w:rFonts w:ascii="仿宋_GB2312" w:eastAsia="仿宋_GB2312" w:hAnsi="TimesNewRoman" w:cs="TimesNewRoman" w:hint="eastAsia"/>
          <w:sz w:val="32"/>
          <w:szCs w:val="32"/>
        </w:rPr>
        <w:t>。比2023年预算增加</w:t>
      </w:r>
      <w:r>
        <w:rPr>
          <w:rFonts w:ascii="仿宋_GB2312" w:eastAsia="仿宋_GB2312" w:hAnsi="TimesNewRoman" w:cs="TimesNewRoman" w:hint="eastAsia"/>
          <w:sz w:val="32"/>
          <w:szCs w:val="32"/>
          <w:lang w:val="en-US" w:eastAsia="zh-CN"/>
        </w:rPr>
        <w:t>61.94</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8.21</w:t>
      </w:r>
      <w:r>
        <w:rPr>
          <w:rFonts w:ascii="仿宋_GB2312" w:eastAsia="仿宋_GB2312" w:hAnsi="TimesNewRoman" w:cs="TimesNewRoman" w:hint="eastAsia"/>
          <w:sz w:val="32"/>
          <w:szCs w:val="32"/>
        </w:rPr>
        <w:t>%，增长原因主要是</w:t>
      </w:r>
      <w:r>
        <w:rPr>
          <w:rFonts w:ascii="仿宋_GB2312" w:eastAsia="仿宋_GB2312" w:hAnsi="TimesNewRoman" w:cs="TimesNewRoman" w:hint="eastAsia"/>
          <w:sz w:val="32"/>
          <w:szCs w:val="32"/>
          <w:lang w:eastAsia="zh-CN"/>
        </w:rPr>
        <w:t>本年新进人员</w:t>
      </w:r>
      <w:r>
        <w:rPr>
          <w:rFonts w:ascii="仿宋_GB2312" w:eastAsia="仿宋_GB2312" w:hAnsi="TimesNewRoman" w:cs="TimesNewRoman" w:hint="eastAsia"/>
          <w:sz w:val="32"/>
          <w:szCs w:val="32"/>
          <w:lang w:val="en-US" w:eastAsia="zh-CN"/>
        </w:rPr>
        <w:t>2人，人员增加，经费增加。</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三、关于2024年支出总表的说明</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eastAsia="zh-CN"/>
        </w:rPr>
        <w:t>应急管理局</w:t>
      </w:r>
      <w:r>
        <w:rPr>
          <w:rFonts w:ascii="仿宋_GB2312" w:eastAsia="仿宋_GB2312" w:hAnsi="TimesNewRoman" w:cs="TimesNewRoman" w:hint="eastAsia"/>
          <w:sz w:val="32"/>
          <w:szCs w:val="32"/>
        </w:rPr>
        <w:t>2024年支出预算</w:t>
      </w:r>
      <w:r>
        <w:rPr>
          <w:rFonts w:ascii="仿宋_GB2312" w:eastAsia="仿宋_GB2312" w:hAnsi="TimesNewRoman" w:cs="TimesNewRoman" w:hint="eastAsia"/>
          <w:sz w:val="32"/>
          <w:szCs w:val="32"/>
          <w:lang w:val="en-US" w:eastAsia="zh-CN"/>
        </w:rPr>
        <w:t>815.96</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61.94</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8.21</w:t>
      </w:r>
      <w:r>
        <w:rPr>
          <w:rFonts w:ascii="仿宋_GB2312" w:eastAsia="仿宋_GB2312" w:hAnsi="TimesNewRoman" w:cs="TimesNewRoman" w:hint="eastAsia"/>
          <w:sz w:val="32"/>
          <w:szCs w:val="32"/>
        </w:rPr>
        <w:t>%，增长原因主要是</w:t>
      </w:r>
      <w:r>
        <w:rPr>
          <w:rFonts w:ascii="仿宋_GB2312" w:eastAsia="仿宋_GB2312" w:hAnsi="TimesNewRoman" w:cs="TimesNewRoman" w:hint="eastAsia"/>
          <w:sz w:val="32"/>
          <w:szCs w:val="32"/>
          <w:lang w:eastAsia="zh-CN"/>
        </w:rPr>
        <w:t>本年新进人员</w:t>
      </w:r>
      <w:r>
        <w:rPr>
          <w:rFonts w:ascii="仿宋_GB2312" w:eastAsia="仿宋_GB2312" w:hAnsi="TimesNewRoman" w:cs="TimesNewRoman" w:hint="eastAsia"/>
          <w:sz w:val="32"/>
          <w:szCs w:val="32"/>
          <w:lang w:val="en-US" w:eastAsia="zh-CN"/>
        </w:rPr>
        <w:t>2人，人员增加，经费增加。</w:t>
      </w:r>
      <w:r>
        <w:rPr>
          <w:rFonts w:ascii="仿宋_GB2312" w:eastAsia="仿宋_GB2312" w:hAnsi="TimesNewRoman" w:cs="TimesNewRoman" w:hint="eastAsia"/>
          <w:sz w:val="32"/>
          <w:szCs w:val="32"/>
        </w:rPr>
        <w:t>其中，基本支出</w:t>
      </w:r>
      <w:r>
        <w:rPr>
          <w:rFonts w:ascii="仿宋_GB2312" w:eastAsia="仿宋_GB2312" w:hAnsi="TimesNewRoman" w:cs="TimesNewRoman" w:hint="eastAsia"/>
          <w:sz w:val="32"/>
          <w:szCs w:val="32"/>
          <w:lang w:val="en-US" w:eastAsia="zh-CN"/>
        </w:rPr>
        <w:t>644.45</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78.98</w:t>
      </w:r>
      <w:r>
        <w:rPr>
          <w:rFonts w:ascii="仿宋_GB2312" w:eastAsia="仿宋_GB2312" w:hAnsi="TimesNewRoman" w:cs="TimesNewRoman" w:hint="eastAsia"/>
          <w:sz w:val="32"/>
          <w:szCs w:val="32"/>
        </w:rPr>
        <w:t>%，主要用于保障机构日常运转、完成日常工作任务；项目支出</w:t>
      </w:r>
      <w:r>
        <w:rPr>
          <w:rFonts w:ascii="仿宋_GB2312" w:eastAsia="仿宋_GB2312" w:hAnsi="TimesNewRoman" w:cs="TimesNewRoman" w:hint="eastAsia"/>
          <w:sz w:val="32"/>
          <w:szCs w:val="32"/>
          <w:lang w:val="en-US" w:eastAsia="zh-CN"/>
        </w:rPr>
        <w:t>171.51</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21.02</w:t>
      </w:r>
      <w:r>
        <w:rPr>
          <w:rFonts w:ascii="仿宋_GB2312" w:eastAsia="仿宋_GB2312" w:hAnsi="TimesNewRoman" w:cs="TimesNewRoman" w:hint="eastAsia"/>
          <w:sz w:val="32"/>
          <w:szCs w:val="32"/>
        </w:rPr>
        <w:t>%，主要用于</w:t>
      </w:r>
      <w:r>
        <w:rPr>
          <w:rFonts w:ascii="仿宋_GB2312" w:eastAsia="仿宋_GB2312" w:hAnsi="TimesNewRoman" w:cs="TimesNewRoman" w:hint="eastAsia"/>
          <w:sz w:val="32"/>
          <w:szCs w:val="32"/>
          <w:lang w:eastAsia="zh-CN"/>
        </w:rPr>
        <w:t>安全生产、减灾救灾、防汛抗旱等。</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四、关于2024年财政拨款收支总表的说明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eastAsia="zh-CN"/>
        </w:rPr>
        <w:t>应急管理局</w:t>
      </w:r>
      <w:r>
        <w:rPr>
          <w:rFonts w:ascii="仿宋_GB2312" w:eastAsia="仿宋_GB2312" w:hAnsi="TimesNewRoman" w:cs="TimesNewRoman" w:hint="eastAsia"/>
          <w:sz w:val="32"/>
          <w:szCs w:val="32"/>
        </w:rPr>
        <w:t>2024年财政拨款收支预算</w:t>
      </w:r>
      <w:r>
        <w:rPr>
          <w:rFonts w:ascii="仿宋_GB2312" w:eastAsia="仿宋_GB2312" w:hAnsi="TimesNewRoman" w:cs="TimesNewRoman" w:hint="eastAsia"/>
          <w:sz w:val="32"/>
          <w:szCs w:val="32"/>
          <w:lang w:val="en-US" w:eastAsia="zh-CN"/>
        </w:rPr>
        <w:t>815.96</w:t>
      </w:r>
      <w:r>
        <w:rPr>
          <w:rFonts w:ascii="仿宋_GB2312" w:eastAsia="仿宋_GB2312" w:hAnsi="TimesNewRoman" w:cs="TimesNewRoman" w:hint="eastAsia"/>
          <w:sz w:val="32"/>
          <w:szCs w:val="32"/>
        </w:rPr>
        <w:t>万元。收入</w:t>
      </w:r>
      <w:r>
        <w:rPr>
          <w:rFonts w:ascii="仿宋_GB2312" w:eastAsia="仿宋_GB2312" w:hAnsi="TimesNewRoman" w:cs="TimesNewRoman" w:hint="eastAsia"/>
          <w:sz w:val="32"/>
          <w:szCs w:val="32"/>
          <w:lang w:eastAsia="zh-CN"/>
        </w:rPr>
        <w:t>的</w:t>
      </w:r>
      <w:r>
        <w:rPr>
          <w:rFonts w:ascii="仿宋_GB2312" w:eastAsia="仿宋_GB2312" w:hAnsi="TimesNewRoman" w:cs="TimesNewRoman" w:hint="eastAsia"/>
          <w:sz w:val="32"/>
          <w:szCs w:val="32"/>
        </w:rPr>
        <w:t>资金来源</w:t>
      </w:r>
      <w:r>
        <w:rPr>
          <w:rFonts w:ascii="仿宋_GB2312" w:eastAsia="仿宋_GB2312" w:hAnsi="TimesNewRoman" w:cs="TimesNewRoman" w:hint="eastAsia"/>
          <w:sz w:val="32"/>
          <w:szCs w:val="32"/>
          <w:lang w:eastAsia="zh-CN"/>
        </w:rPr>
        <w:t>均</w:t>
      </w:r>
      <w:r>
        <w:rPr>
          <w:rFonts w:ascii="仿宋_GB2312" w:eastAsia="仿宋_GB2312" w:hAnsi="TimesNewRoman" w:cs="TimesNewRoman" w:hint="eastAsia"/>
          <w:sz w:val="32"/>
          <w:szCs w:val="32"/>
        </w:rPr>
        <w:t>为：一般公共预算拨款</w:t>
      </w:r>
      <w:r>
        <w:rPr>
          <w:rFonts w:ascii="仿宋_GB2312" w:eastAsia="仿宋_GB2312" w:hAnsi="TimesNewRoman" w:cs="TimesNewRoman" w:hint="eastAsia"/>
          <w:sz w:val="32"/>
          <w:szCs w:val="32"/>
          <w:lang w:val="en-US" w:eastAsia="zh-CN"/>
        </w:rPr>
        <w:t>815.96</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rPr>
        <w:t>支出按功能分类分为：社会保障和就业支出</w:t>
      </w:r>
      <w:r>
        <w:rPr>
          <w:rFonts w:ascii="仿宋_GB2312" w:eastAsia="仿宋_GB2312" w:hAnsi="TimesNewRoman" w:cs="TimesNewRoman" w:hint="eastAsia"/>
          <w:sz w:val="32"/>
          <w:szCs w:val="32"/>
          <w:lang w:val="en-US" w:eastAsia="zh-CN"/>
        </w:rPr>
        <w:t>100.02</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12.26</w:t>
      </w:r>
      <w:r>
        <w:rPr>
          <w:rFonts w:ascii="仿宋_GB2312" w:eastAsia="仿宋_GB2312" w:hAnsi="TimesNewRoman" w:cs="TimesNewRoman" w:hint="eastAsia"/>
          <w:sz w:val="32"/>
          <w:szCs w:val="32"/>
        </w:rPr>
        <w:t>%；卫生健康支出</w:t>
      </w:r>
      <w:r>
        <w:rPr>
          <w:rFonts w:ascii="仿宋_GB2312" w:eastAsia="仿宋_GB2312" w:hAnsi="TimesNewRoman" w:cs="TimesNewRoman" w:hint="eastAsia"/>
          <w:sz w:val="32"/>
          <w:szCs w:val="32"/>
          <w:lang w:val="en-US" w:eastAsia="zh-CN"/>
        </w:rPr>
        <w:t>23.99</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2.94</w:t>
      </w:r>
      <w:r>
        <w:rPr>
          <w:rFonts w:ascii="仿宋_GB2312" w:eastAsia="仿宋_GB2312" w:hAnsi="TimesNewRoman" w:cs="TimesNewRoman" w:hint="eastAsia"/>
          <w:sz w:val="32"/>
          <w:szCs w:val="32"/>
        </w:rPr>
        <w:t>%；住房保障支出</w:t>
      </w:r>
      <w:r>
        <w:rPr>
          <w:rFonts w:ascii="仿宋_GB2312" w:eastAsia="仿宋_GB2312" w:hAnsi="TimesNewRoman" w:cs="TimesNewRoman" w:hint="eastAsia"/>
          <w:sz w:val="32"/>
          <w:szCs w:val="32"/>
          <w:lang w:val="en-US" w:eastAsia="zh-CN"/>
        </w:rPr>
        <w:t>49.10</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6.02</w:t>
      </w:r>
      <w:r>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lang w:eastAsia="zh-CN"/>
        </w:rPr>
        <w:t>灾害防治及应急管理支出</w:t>
      </w:r>
      <w:r>
        <w:rPr>
          <w:rFonts w:ascii="仿宋_GB2312" w:eastAsia="仿宋_GB2312" w:hAnsi="TimesNewRoman" w:cs="TimesNewRoman" w:hint="eastAsia"/>
          <w:sz w:val="32"/>
          <w:szCs w:val="32"/>
          <w:lang w:val="en-US" w:eastAsia="zh-CN"/>
        </w:rPr>
        <w:t>642.84万元，占78.78%</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五、关于2024年一般公共预算支出表的说明</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（一）一般公共预算支出规模变化情况。</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eastAsia="zh-CN"/>
        </w:rPr>
        <w:t>应急管理局</w:t>
      </w:r>
      <w:r>
        <w:rPr>
          <w:rFonts w:ascii="仿宋_GB2312" w:eastAsia="仿宋_GB2312" w:hAnsi="TimesNewRoman" w:cs="TimesNewRoman" w:hint="eastAsia"/>
          <w:sz w:val="32"/>
          <w:szCs w:val="32"/>
        </w:rPr>
        <w:t>2024年一般公共预算支出</w:t>
      </w:r>
      <w:r>
        <w:rPr>
          <w:rFonts w:ascii="仿宋_GB2312" w:eastAsia="仿宋_GB2312" w:hAnsi="TimesNewRoman" w:cs="TimesNewRoman" w:hint="eastAsia"/>
          <w:sz w:val="32"/>
          <w:szCs w:val="32"/>
          <w:lang w:val="en-US" w:eastAsia="zh-CN"/>
        </w:rPr>
        <w:t>815.96</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61.94</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8.21</w:t>
      </w:r>
      <w:r>
        <w:rPr>
          <w:rFonts w:ascii="仿宋_GB2312" w:eastAsia="仿宋_GB2312" w:hAnsi="TimesNewRoman" w:cs="TimesNewRoman" w:hint="eastAsia"/>
          <w:sz w:val="32"/>
          <w:szCs w:val="32"/>
        </w:rPr>
        <w:t>%，主要是</w:t>
      </w:r>
      <w:r>
        <w:rPr>
          <w:rFonts w:ascii="仿宋_GB2312" w:eastAsia="仿宋_GB2312" w:hAnsi="TimesNewRoman" w:cs="TimesNewRoman" w:hint="eastAsia"/>
          <w:sz w:val="32"/>
          <w:szCs w:val="32"/>
          <w:lang w:eastAsia="zh-CN"/>
        </w:rPr>
        <w:t>本年新进人员</w:t>
      </w:r>
      <w:r>
        <w:rPr>
          <w:rFonts w:ascii="仿宋_GB2312" w:eastAsia="仿宋_GB2312" w:hAnsi="TimesNewRoman" w:cs="TimesNewRoman" w:hint="eastAsia"/>
          <w:sz w:val="32"/>
          <w:szCs w:val="32"/>
          <w:lang w:val="en-US" w:eastAsia="zh-CN"/>
        </w:rPr>
        <w:t>2人，人员增加，经费增加。</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（二）一般公共预算支出结构情况。</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b w:val="0"/>
          <w:bCs/>
          <w:sz w:val="32"/>
          <w:szCs w:val="32"/>
        </w:rPr>
        <w:t>一般公共服务支出</w:t>
      </w:r>
      <w:r>
        <w:rPr>
          <w:rFonts w:ascii="仿宋_GB2312" w:eastAsia="仿宋_GB2312" w:hAnsi="TimesNewRoman" w:cs="TimesNewRoman" w:hint="eastAsia"/>
          <w:b w:val="0"/>
          <w:bCs/>
          <w:sz w:val="32"/>
          <w:szCs w:val="32"/>
          <w:lang w:val="en-US" w:eastAsia="zh-CN"/>
        </w:rPr>
        <w:t>642.84万元，</w:t>
      </w:r>
      <w:r>
        <w:rPr>
          <w:rFonts w:ascii="仿宋_GB2312" w:eastAsia="仿宋_GB2312" w:hAnsi="TimesNewRoman" w:cs="TimesNewRoman" w:hint="eastAsia"/>
          <w:sz w:val="32"/>
          <w:szCs w:val="32"/>
          <w:lang w:val="en-US" w:eastAsia="zh-CN"/>
        </w:rPr>
        <w:t>占78.78%</w:t>
      </w:r>
      <w:r>
        <w:rPr>
          <w:rFonts w:ascii="仿宋_GB2312" w:eastAsia="仿宋_GB2312" w:hAnsi="TimesNewRoman" w:cs="TimesNewRoman" w:hint="eastAsia"/>
          <w:sz w:val="32"/>
          <w:szCs w:val="32"/>
        </w:rPr>
        <w:t>社会保障和就业支出</w:t>
      </w:r>
      <w:r>
        <w:rPr>
          <w:rFonts w:ascii="仿宋_GB2312" w:eastAsia="仿宋_GB2312" w:hAnsi="TimesNewRoman" w:cs="TimesNewRoman" w:hint="eastAsia"/>
          <w:sz w:val="32"/>
          <w:szCs w:val="32"/>
          <w:lang w:val="en-US" w:eastAsia="zh-CN"/>
        </w:rPr>
        <w:t>100.02</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12.26</w:t>
      </w:r>
      <w:r>
        <w:rPr>
          <w:rFonts w:ascii="仿宋_GB2312" w:eastAsia="仿宋_GB2312" w:hAnsi="TimesNewRoman" w:cs="TimesNewRoman" w:hint="eastAsia"/>
          <w:sz w:val="32"/>
          <w:szCs w:val="32"/>
        </w:rPr>
        <w:t>%；卫生健康支出</w:t>
      </w:r>
      <w:r>
        <w:rPr>
          <w:rFonts w:ascii="仿宋_GB2312" w:eastAsia="仿宋_GB2312" w:hAnsi="TimesNewRoman" w:cs="TimesNewRoman" w:hint="eastAsia"/>
          <w:sz w:val="32"/>
          <w:szCs w:val="32"/>
          <w:lang w:val="en-US" w:eastAsia="zh-CN"/>
        </w:rPr>
        <w:t>23.99</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2.94</w:t>
      </w:r>
      <w:r>
        <w:rPr>
          <w:rFonts w:ascii="仿宋_GB2312" w:eastAsia="仿宋_GB2312" w:hAnsi="TimesNewRoman" w:cs="TimesNewRoman" w:hint="eastAsia"/>
          <w:sz w:val="32"/>
          <w:szCs w:val="32"/>
        </w:rPr>
        <w:t>%；住房保障支出</w:t>
      </w:r>
      <w:r>
        <w:rPr>
          <w:rFonts w:ascii="仿宋_GB2312" w:eastAsia="仿宋_GB2312" w:hAnsi="TimesNewRoman" w:cs="TimesNewRoman" w:hint="eastAsia"/>
          <w:sz w:val="32"/>
          <w:szCs w:val="32"/>
          <w:lang w:val="en-US" w:eastAsia="zh-CN"/>
        </w:rPr>
        <w:t>49.10</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6.02</w:t>
      </w:r>
      <w:r>
        <w:rPr>
          <w:rFonts w:ascii="仿宋_GB2312" w:eastAsia="仿宋_GB2312" w:hAnsi="TimesNewRoman" w:cs="TimesNewRoman" w:hint="eastAsia"/>
          <w:sz w:val="32"/>
          <w:szCs w:val="32"/>
        </w:rPr>
        <w:t>%。</w:t>
      </w:r>
    </w:p>
    <w:p>
      <w:pPr>
        <w:topLinePunct/>
        <w:adjustRightInd w:val="0"/>
        <w:snapToGrid w:val="0"/>
        <w:spacing w:line="58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（三）一般公共预算支出具体使用情况。</w:t>
      </w:r>
    </w:p>
    <w:p>
      <w:pPr>
        <w:adjustRightInd w:val="0"/>
        <w:snapToGrid w:val="0"/>
        <w:spacing w:line="60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b/>
          <w:sz w:val="32"/>
          <w:szCs w:val="32"/>
        </w:rPr>
        <w:t>1.一般公共服务支出（类）财政事务（款）行政运行（项）</w:t>
      </w:r>
      <w:r>
        <w:rPr>
          <w:rFonts w:ascii="仿宋_GB2312" w:eastAsia="仿宋_GB2312" w:hAnsi="TimesNewRoman" w:cs="TimesNewRoman" w:hint="eastAsia"/>
          <w:sz w:val="32"/>
          <w:szCs w:val="32"/>
        </w:rPr>
        <w:t>2024年预算</w:t>
      </w:r>
      <w:r>
        <w:rPr>
          <w:rFonts w:ascii="仿宋_GB2312" w:eastAsia="仿宋_GB2312" w:hAnsi="TimesNewRoman" w:cs="TimesNewRoman" w:hint="eastAsia"/>
          <w:sz w:val="32"/>
          <w:szCs w:val="32"/>
          <w:lang w:val="en-US" w:eastAsia="zh-CN"/>
        </w:rPr>
        <w:t>642.84</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48.52</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8.16</w:t>
      </w:r>
      <w:r>
        <w:rPr>
          <w:rFonts w:ascii="仿宋_GB2312" w:eastAsia="仿宋_GB2312" w:hAnsi="TimesNewRoman" w:cs="TimesNewRoman" w:hint="eastAsia"/>
          <w:sz w:val="32"/>
          <w:szCs w:val="32"/>
        </w:rPr>
        <w:t>%，增长原因主要是</w:t>
      </w:r>
      <w:r>
        <w:rPr>
          <w:rFonts w:ascii="仿宋_GB2312" w:eastAsia="仿宋_GB2312" w:hAnsi="仿宋" w:hint="eastAsia"/>
          <w:sz w:val="32"/>
          <w:szCs w:val="32"/>
        </w:rPr>
        <w:t>人员增加单位业务量增加。</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b/>
          <w:sz w:val="32"/>
          <w:szCs w:val="32"/>
          <w:lang w:val="en-US" w:eastAsia="zh-CN"/>
        </w:rPr>
        <w:t>2</w:t>
      </w:r>
      <w:r>
        <w:rPr>
          <w:rFonts w:ascii="仿宋_GB2312" w:eastAsia="仿宋_GB2312" w:hAnsi="TimesNewRoman" w:cs="TimesNewRoman" w:hint="eastAsia"/>
          <w:b/>
          <w:sz w:val="32"/>
          <w:szCs w:val="32"/>
        </w:rPr>
        <w:t>.社会保障和就业支出（类）行政事业单位离退休（款）归口管理的行政事业单位离退休（项）</w:t>
      </w:r>
      <w:r>
        <w:rPr>
          <w:rFonts w:ascii="仿宋_GB2312" w:eastAsia="仿宋_GB2312" w:hAnsi="TimesNewRoman" w:cs="TimesNewRoman" w:hint="eastAsia"/>
          <w:sz w:val="32"/>
          <w:szCs w:val="32"/>
        </w:rPr>
        <w:t>2024年预算</w:t>
      </w:r>
      <w:r>
        <w:rPr>
          <w:rFonts w:ascii="仿宋_GB2312" w:eastAsia="仿宋_GB2312" w:hAnsi="TimesNewRoman" w:cs="TimesNewRoman" w:hint="eastAsia"/>
          <w:sz w:val="32"/>
          <w:szCs w:val="32"/>
          <w:lang w:val="en-US" w:eastAsia="zh-CN"/>
        </w:rPr>
        <w:t>100.02</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7.62</w:t>
      </w:r>
      <w:r>
        <w:rPr>
          <w:rFonts w:ascii="仿宋_GB2312" w:eastAsia="仿宋_GB2312" w:hAnsi="TimesNewRoman" w:cs="TimesNewRoman" w:hint="eastAsia"/>
          <w:sz w:val="32"/>
          <w:szCs w:val="32"/>
        </w:rPr>
        <w:t>万元，增长（下降）</w:t>
      </w:r>
      <w:r>
        <w:rPr>
          <w:rFonts w:ascii="仿宋_GB2312" w:eastAsia="仿宋_GB2312" w:hAnsi="TimesNewRoman" w:cs="TimesNewRoman" w:hint="eastAsia"/>
          <w:sz w:val="32"/>
          <w:szCs w:val="32"/>
          <w:lang w:val="en-US" w:eastAsia="zh-CN"/>
        </w:rPr>
        <w:t>8.25</w:t>
      </w:r>
      <w:r>
        <w:rPr>
          <w:rFonts w:ascii="仿宋_GB2312" w:eastAsia="仿宋_GB2312" w:hAnsi="TimesNewRoman" w:cs="TimesNewRoman" w:hint="eastAsia"/>
          <w:sz w:val="32"/>
          <w:szCs w:val="32"/>
        </w:rPr>
        <w:t>%，增长原因主要是</w:t>
      </w:r>
      <w:r>
        <w:rPr>
          <w:rFonts w:ascii="仿宋_GB2312" w:eastAsia="仿宋_GB2312" w:hAnsi="TimesNewRoman" w:cs="TimesNewRoman" w:hint="eastAsia"/>
          <w:sz w:val="32"/>
          <w:szCs w:val="32"/>
          <w:lang w:eastAsia="zh-CN"/>
        </w:rPr>
        <w:t>本年度人员增加</w:t>
      </w:r>
      <w:r>
        <w:rPr>
          <w:rFonts w:ascii="仿宋_GB2312" w:eastAsia="仿宋_GB2312" w:hAnsi="TimesNewRoman" w:cs="TimesNewRoman" w:hint="eastAsia"/>
          <w:sz w:val="32"/>
          <w:szCs w:val="32"/>
        </w:rPr>
        <w:t>。</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b/>
          <w:sz w:val="32"/>
          <w:szCs w:val="32"/>
          <w:lang w:val="en-US" w:eastAsia="zh-CN"/>
        </w:rPr>
        <w:t>3</w:t>
      </w:r>
      <w:r>
        <w:rPr>
          <w:rFonts w:ascii="仿宋_GB2312" w:eastAsia="仿宋_GB2312" w:hAnsi="TimesNewRoman" w:cs="TimesNewRoman" w:hint="eastAsia"/>
          <w:b/>
          <w:sz w:val="32"/>
          <w:szCs w:val="32"/>
        </w:rPr>
        <w:t>.住房保障支出（类）住房改革支出（款）住房公积金（项）</w:t>
      </w:r>
      <w:r>
        <w:rPr>
          <w:rFonts w:ascii="仿宋_GB2312" w:eastAsia="仿宋_GB2312" w:hAnsi="TimesNewRoman" w:cs="TimesNewRoman" w:hint="eastAsia"/>
          <w:sz w:val="32"/>
          <w:szCs w:val="32"/>
        </w:rPr>
        <w:t>2024年预算</w:t>
      </w:r>
      <w:r>
        <w:rPr>
          <w:rFonts w:ascii="仿宋_GB2312" w:eastAsia="仿宋_GB2312" w:hAnsi="TimesNewRoman" w:cs="TimesNewRoman" w:hint="eastAsia"/>
          <w:sz w:val="32"/>
          <w:szCs w:val="32"/>
          <w:lang w:val="en-US" w:eastAsia="zh-CN"/>
        </w:rPr>
        <w:t>49.10</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3.71</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8.17</w:t>
      </w:r>
      <w:r>
        <w:rPr>
          <w:rFonts w:ascii="仿宋_GB2312" w:eastAsia="仿宋_GB2312" w:hAnsi="TimesNewRoman" w:cs="TimesNewRoman" w:hint="eastAsia"/>
          <w:sz w:val="32"/>
          <w:szCs w:val="32"/>
        </w:rPr>
        <w:t>%，增长（下降）原因主要是</w:t>
      </w:r>
      <w:r>
        <w:rPr>
          <w:rFonts w:ascii="仿宋_GB2312" w:eastAsia="仿宋_GB2312" w:hAnsi="TimesNewRoman" w:cs="TimesNewRoman" w:hint="eastAsia"/>
          <w:sz w:val="32"/>
          <w:szCs w:val="32"/>
          <w:lang w:eastAsia="zh-CN"/>
        </w:rPr>
        <w:t>本年度人员增加</w:t>
      </w:r>
      <w:r>
        <w:rPr>
          <w:rFonts w:ascii="仿宋_GB2312" w:eastAsia="仿宋_GB2312" w:hAnsi="TimesNewRoman" w:cs="TimesNewRoman" w:hint="eastAsia"/>
          <w:sz w:val="32"/>
          <w:szCs w:val="32"/>
        </w:rPr>
        <w:t>。</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b/>
          <w:sz w:val="32"/>
          <w:szCs w:val="32"/>
          <w:lang w:val="en-US" w:eastAsia="zh-CN"/>
        </w:rPr>
        <w:t>4</w:t>
      </w:r>
      <w:r>
        <w:rPr>
          <w:rFonts w:ascii="仿宋_GB2312" w:eastAsia="仿宋_GB2312" w:hAnsi="TimesNewRoman" w:cs="TimesNewRoman" w:hint="eastAsia"/>
          <w:b/>
          <w:sz w:val="32"/>
          <w:szCs w:val="32"/>
        </w:rPr>
        <w:t>.</w:t>
      </w:r>
      <w:r>
        <w:rPr>
          <w:rFonts w:ascii="仿宋_GB2312" w:eastAsia="仿宋_GB2312" w:hAnsi="TimesNewRoman" w:cs="TimesNewRoman" w:hint="eastAsia"/>
          <w:b/>
          <w:sz w:val="32"/>
          <w:szCs w:val="32"/>
          <w:lang w:eastAsia="zh-CN"/>
        </w:rPr>
        <w:t>卫生健康</w:t>
      </w:r>
      <w:r>
        <w:rPr>
          <w:rFonts w:ascii="仿宋_GB2312" w:eastAsia="仿宋_GB2312" w:hAnsi="TimesNewRoman" w:cs="TimesNewRoman" w:hint="eastAsia"/>
          <w:b/>
          <w:sz w:val="32"/>
          <w:szCs w:val="32"/>
        </w:rPr>
        <w:t>支出（类）</w:t>
      </w:r>
      <w:r>
        <w:rPr>
          <w:rFonts w:ascii="仿宋_GB2312" w:eastAsia="仿宋_GB2312" w:hAnsi="TimesNewRoman" w:cs="TimesNewRoman" w:hint="eastAsia"/>
          <w:b/>
          <w:sz w:val="32"/>
          <w:szCs w:val="32"/>
          <w:lang w:eastAsia="zh-CN"/>
        </w:rPr>
        <w:t>行政事业单位医疗</w:t>
      </w:r>
      <w:r>
        <w:rPr>
          <w:rFonts w:ascii="仿宋_GB2312" w:eastAsia="仿宋_GB2312" w:hAnsi="TimesNewRoman" w:cs="TimesNewRoman" w:hint="eastAsia"/>
          <w:b/>
          <w:sz w:val="32"/>
          <w:szCs w:val="32"/>
        </w:rPr>
        <w:t>支出（款）</w:t>
      </w:r>
      <w:r>
        <w:rPr>
          <w:rFonts w:ascii="仿宋_GB2312" w:eastAsia="仿宋_GB2312" w:hAnsi="TimesNewRoman" w:cs="TimesNewRoman" w:hint="eastAsia"/>
          <w:b/>
          <w:sz w:val="32"/>
          <w:szCs w:val="32"/>
          <w:lang w:eastAsia="zh-CN"/>
        </w:rPr>
        <w:t>行政事业单位医疗</w:t>
      </w:r>
      <w:r>
        <w:rPr>
          <w:rFonts w:ascii="仿宋_GB2312" w:eastAsia="仿宋_GB2312" w:hAnsi="TimesNewRoman" w:cs="TimesNewRoman" w:hint="eastAsia"/>
          <w:b/>
          <w:sz w:val="32"/>
          <w:szCs w:val="32"/>
        </w:rPr>
        <w:t>（项）</w:t>
      </w:r>
      <w:r>
        <w:rPr>
          <w:rFonts w:ascii="仿宋_GB2312" w:eastAsia="仿宋_GB2312" w:hAnsi="TimesNewRoman" w:cs="TimesNewRoman" w:hint="eastAsia"/>
          <w:sz w:val="32"/>
          <w:szCs w:val="32"/>
        </w:rPr>
        <w:t>2024年预算</w:t>
      </w:r>
      <w:r>
        <w:rPr>
          <w:rFonts w:ascii="仿宋_GB2312" w:eastAsia="仿宋_GB2312" w:hAnsi="TimesNewRoman" w:cs="TimesNewRoman" w:hint="eastAsia"/>
          <w:sz w:val="32"/>
          <w:szCs w:val="32"/>
          <w:lang w:val="en-US" w:eastAsia="zh-CN"/>
        </w:rPr>
        <w:t>23.99</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2.09</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8.71</w:t>
      </w:r>
      <w:r>
        <w:rPr>
          <w:rFonts w:ascii="仿宋_GB2312" w:eastAsia="仿宋_GB2312" w:hAnsi="TimesNewRoman" w:cs="TimesNewRoman" w:hint="eastAsia"/>
          <w:sz w:val="32"/>
          <w:szCs w:val="32"/>
        </w:rPr>
        <w:t>%，增长原因主要是</w:t>
      </w:r>
      <w:r>
        <w:rPr>
          <w:rFonts w:ascii="仿宋_GB2312" w:eastAsia="仿宋_GB2312" w:hAnsi="TimesNewRoman" w:cs="TimesNewRoman" w:hint="eastAsia"/>
          <w:sz w:val="32"/>
          <w:szCs w:val="32"/>
          <w:lang w:eastAsia="zh-CN"/>
        </w:rPr>
        <w:t>本年度人员增加</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六、关于2024年一般公共预算基本支出表的说明</w:t>
      </w:r>
    </w:p>
    <w:p>
      <w:pPr>
        <w:topLinePunct/>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eastAsia="zh-CN"/>
        </w:rPr>
        <w:t>应急管理局</w:t>
      </w:r>
      <w:r>
        <w:rPr>
          <w:rFonts w:ascii="仿宋_GB2312" w:eastAsia="仿宋_GB2312" w:hAnsi="TimesNewRoman" w:cs="TimesNewRoman" w:hint="eastAsia"/>
          <w:sz w:val="32"/>
          <w:szCs w:val="32"/>
        </w:rPr>
        <w:t>2024年一般公共预算基本支出</w:t>
      </w:r>
      <w:r>
        <w:rPr>
          <w:rFonts w:ascii="仿宋_GB2312" w:eastAsia="仿宋_GB2312" w:hAnsi="TimesNewRoman" w:cs="TimesNewRoman" w:hint="eastAsia"/>
          <w:sz w:val="32"/>
          <w:szCs w:val="32"/>
          <w:lang w:val="en-US" w:eastAsia="zh-CN"/>
        </w:rPr>
        <w:t>815.96</w:t>
      </w:r>
      <w:r>
        <w:rPr>
          <w:rFonts w:ascii="仿宋_GB2312" w:eastAsia="仿宋_GB2312" w:hAnsi="TimesNewRoman" w:cs="TimesNewRoman" w:hint="eastAsia"/>
          <w:sz w:val="32"/>
          <w:szCs w:val="32"/>
        </w:rPr>
        <w:t>万元，其中，人员经费</w:t>
      </w:r>
      <w:r>
        <w:rPr>
          <w:rFonts w:ascii="仿宋_GB2312" w:eastAsia="仿宋_GB2312" w:hAnsi="TimesNewRoman" w:cs="TimesNewRoman" w:hint="eastAsia"/>
          <w:sz w:val="32"/>
          <w:szCs w:val="32"/>
          <w:lang w:val="en-US" w:eastAsia="zh-CN"/>
        </w:rPr>
        <w:t>644.45</w:t>
      </w:r>
      <w:r>
        <w:rPr>
          <w:rFonts w:ascii="仿宋_GB2312" w:eastAsia="仿宋_GB2312" w:hAnsi="TimesNewRoman" w:cs="TimesNewRoman" w:hint="eastAsia"/>
          <w:sz w:val="32"/>
          <w:szCs w:val="32"/>
        </w:rPr>
        <w:t>万元，公用经费</w:t>
      </w:r>
      <w:r>
        <w:rPr>
          <w:rFonts w:ascii="仿宋_GB2312" w:eastAsia="仿宋_GB2312" w:hAnsi="TimesNewRoman" w:cs="TimesNewRoman" w:hint="eastAsia"/>
          <w:sz w:val="32"/>
          <w:szCs w:val="32"/>
          <w:lang w:val="en-US" w:eastAsia="zh-CN"/>
        </w:rPr>
        <w:t>45.59</w:t>
      </w:r>
      <w:r>
        <w:rPr>
          <w:rFonts w:ascii="仿宋_GB2312" w:eastAsia="仿宋_GB2312" w:hAnsi="TimesNewRoman" w:cs="TimesNewRoman" w:hint="eastAsia"/>
          <w:sz w:val="32"/>
          <w:szCs w:val="32"/>
        </w:rPr>
        <w:t>万元。</w:t>
      </w:r>
    </w:p>
    <w:p>
      <w:pPr>
        <w:topLinePunct/>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（一）人员经费</w:t>
      </w:r>
      <w:r>
        <w:rPr>
          <w:rFonts w:ascii="仿宋_GB2312" w:eastAsia="仿宋_GB2312" w:hAnsi="TimesNewRoman" w:cs="TimesNewRoman" w:hint="eastAsia"/>
          <w:sz w:val="32"/>
          <w:szCs w:val="32"/>
          <w:lang w:val="en-US" w:eastAsia="zh-CN"/>
        </w:rPr>
        <w:t>644.45</w:t>
      </w:r>
      <w:r>
        <w:rPr>
          <w:rFonts w:ascii="仿宋_GB2312" w:eastAsia="仿宋_GB2312" w:hAnsi="TimesNewRoman" w:cs="TimesNewRoman" w:hint="eastAsia"/>
          <w:sz w:val="32"/>
          <w:szCs w:val="32"/>
        </w:rPr>
        <w:t>万元，主要包括:</w:t>
      </w:r>
      <w:r>
        <w:rPr>
          <w:rFonts w:ascii="仿宋_GB2312" w:eastAsia="仿宋_GB2312" w:hAnsi="TimesNewRoman" w:cs="TimesNewRoman" w:hint="eastAsia"/>
          <w:sz w:val="32"/>
          <w:szCs w:val="32"/>
          <w:u w:val="single"/>
        </w:rPr>
        <w:t>基本工资</w:t>
      </w:r>
      <w:r>
        <w:rPr>
          <w:rFonts w:ascii="仿宋_GB2312" w:eastAsia="仿宋_GB2312" w:hAnsi="TimesNewRoman" w:cs="TimesNewRoman" w:hint="eastAsia"/>
          <w:sz w:val="32"/>
          <w:szCs w:val="32"/>
          <w:u w:val="single"/>
          <w:lang w:val="en-US" w:eastAsia="zh-CN"/>
        </w:rPr>
        <w:t>196.91万元</w:t>
      </w:r>
      <w:r>
        <w:rPr>
          <w:rFonts w:ascii="仿宋_GB2312" w:eastAsia="仿宋_GB2312" w:hAnsi="TimesNewRoman" w:cs="TimesNewRoman" w:hint="eastAsia"/>
          <w:sz w:val="32"/>
          <w:szCs w:val="32"/>
          <w:u w:val="single"/>
        </w:rPr>
        <w:t>、津贴补贴</w:t>
      </w:r>
      <w:r>
        <w:rPr>
          <w:rFonts w:ascii="仿宋_GB2312" w:eastAsia="仿宋_GB2312" w:hAnsi="TimesNewRoman" w:cs="TimesNewRoman" w:hint="eastAsia"/>
          <w:sz w:val="32"/>
          <w:szCs w:val="32"/>
          <w:u w:val="single"/>
          <w:lang w:val="en-US" w:eastAsia="zh-CN"/>
        </w:rPr>
        <w:t>24.01万元</w:t>
      </w:r>
      <w:r>
        <w:rPr>
          <w:rFonts w:ascii="仿宋_GB2312" w:eastAsia="仿宋_GB2312" w:hAnsi="TimesNewRoman" w:cs="TimesNewRoman" w:hint="eastAsia"/>
          <w:sz w:val="32"/>
          <w:szCs w:val="32"/>
          <w:u w:val="single"/>
        </w:rPr>
        <w:t>、奖金</w:t>
      </w:r>
      <w:r>
        <w:rPr>
          <w:rFonts w:ascii="仿宋_GB2312" w:eastAsia="仿宋_GB2312" w:hAnsi="TimesNewRoman" w:cs="TimesNewRoman" w:hint="eastAsia"/>
          <w:sz w:val="32"/>
          <w:szCs w:val="32"/>
          <w:u w:val="single"/>
          <w:lang w:val="en-US" w:eastAsia="zh-CN"/>
        </w:rPr>
        <w:t>99.55万元</w:t>
      </w:r>
      <w:r>
        <w:rPr>
          <w:rFonts w:ascii="仿宋_GB2312" w:eastAsia="仿宋_GB2312" w:hAnsi="TimesNewRoman" w:cs="TimesNewRoman" w:hint="eastAsia"/>
          <w:sz w:val="32"/>
          <w:szCs w:val="32"/>
          <w:u w:val="single"/>
        </w:rPr>
        <w:t>、绩效工资</w:t>
      </w:r>
      <w:r>
        <w:rPr>
          <w:rFonts w:ascii="仿宋_GB2312" w:eastAsia="仿宋_GB2312" w:hAnsi="TimesNewRoman" w:cs="TimesNewRoman" w:hint="eastAsia"/>
          <w:sz w:val="32"/>
          <w:szCs w:val="32"/>
          <w:u w:val="single"/>
          <w:lang w:val="en-US" w:eastAsia="zh-CN"/>
        </w:rPr>
        <w:t>82.96万元</w:t>
      </w:r>
      <w:r>
        <w:rPr>
          <w:rFonts w:ascii="仿宋_GB2312" w:eastAsia="仿宋_GB2312" w:hAnsi="TimesNewRoman" w:cs="TimesNewRoman" w:hint="eastAsia"/>
          <w:sz w:val="32"/>
          <w:szCs w:val="32"/>
          <w:u w:val="single"/>
        </w:rPr>
        <w:t>、机关事业单位基本养老保险费</w:t>
      </w:r>
      <w:r>
        <w:rPr>
          <w:rFonts w:ascii="仿宋_GB2312" w:eastAsia="仿宋_GB2312" w:hAnsi="TimesNewRoman" w:cs="TimesNewRoman" w:hint="eastAsia"/>
          <w:sz w:val="32"/>
          <w:szCs w:val="32"/>
          <w:u w:val="single"/>
          <w:lang w:val="en-US" w:eastAsia="zh-CN"/>
        </w:rPr>
        <w:t>65.47万元</w:t>
      </w:r>
      <w:r>
        <w:rPr>
          <w:rFonts w:ascii="仿宋_GB2312" w:eastAsia="仿宋_GB2312" w:hAnsi="TimesNewRoman" w:cs="TimesNewRoman" w:hint="eastAsia"/>
          <w:sz w:val="32"/>
          <w:szCs w:val="32"/>
          <w:u w:val="single"/>
        </w:rPr>
        <w:t>、职业年金缴费</w:t>
      </w:r>
      <w:r>
        <w:rPr>
          <w:rFonts w:ascii="仿宋_GB2312" w:eastAsia="仿宋_GB2312" w:hAnsi="TimesNewRoman" w:cs="TimesNewRoman" w:hint="eastAsia"/>
          <w:sz w:val="32"/>
          <w:szCs w:val="32"/>
          <w:u w:val="single"/>
          <w:lang w:val="en-US" w:eastAsia="zh-CN"/>
        </w:rPr>
        <w:t>32.74万元</w:t>
      </w:r>
      <w:r>
        <w:rPr>
          <w:rFonts w:ascii="仿宋_GB2312" w:eastAsia="仿宋_GB2312" w:hAnsi="TimesNewRoman" w:cs="TimesNewRoman" w:hint="eastAsia"/>
          <w:sz w:val="32"/>
          <w:szCs w:val="32"/>
          <w:u w:val="single"/>
        </w:rPr>
        <w:t>、职工基本医疗保险缴费</w:t>
      </w:r>
      <w:r>
        <w:rPr>
          <w:rFonts w:ascii="仿宋_GB2312" w:eastAsia="仿宋_GB2312" w:hAnsi="TimesNewRoman" w:cs="TimesNewRoman" w:hint="eastAsia"/>
          <w:sz w:val="32"/>
          <w:szCs w:val="32"/>
          <w:u w:val="single"/>
          <w:lang w:val="en-US" w:eastAsia="zh-CN"/>
        </w:rPr>
        <w:t>21.61万元</w:t>
      </w:r>
      <w:r>
        <w:rPr>
          <w:rFonts w:ascii="仿宋_GB2312" w:eastAsia="仿宋_GB2312" w:hAnsi="TimesNewRoman" w:cs="TimesNewRoman" w:hint="eastAsia"/>
          <w:sz w:val="32"/>
          <w:szCs w:val="32"/>
          <w:u w:val="single"/>
        </w:rPr>
        <w:t>、公务员医疗补助缴费</w:t>
      </w:r>
      <w:r>
        <w:rPr>
          <w:rFonts w:ascii="仿宋_GB2312" w:eastAsia="仿宋_GB2312" w:hAnsi="TimesNewRoman" w:cs="TimesNewRoman" w:hint="eastAsia"/>
          <w:sz w:val="32"/>
          <w:szCs w:val="32"/>
          <w:u w:val="single"/>
          <w:lang w:val="en-US" w:eastAsia="zh-CN"/>
        </w:rPr>
        <w:t>2.38万元</w:t>
      </w:r>
      <w:r>
        <w:rPr>
          <w:rFonts w:ascii="仿宋_GB2312" w:eastAsia="仿宋_GB2312" w:hAnsi="TimesNewRoman" w:cs="TimesNewRoman" w:hint="eastAsia"/>
          <w:sz w:val="32"/>
          <w:szCs w:val="32"/>
          <w:u w:val="single"/>
        </w:rPr>
        <w:t>、其他社会保障缴费</w:t>
      </w:r>
      <w:r>
        <w:rPr>
          <w:rFonts w:ascii="仿宋_GB2312" w:eastAsia="仿宋_GB2312" w:hAnsi="TimesNewRoman" w:cs="TimesNewRoman" w:hint="eastAsia"/>
          <w:sz w:val="32"/>
          <w:szCs w:val="32"/>
          <w:u w:val="single"/>
          <w:lang w:val="en-US" w:eastAsia="zh-CN"/>
        </w:rPr>
        <w:t>1.81万元</w:t>
      </w:r>
      <w:r>
        <w:rPr>
          <w:rFonts w:ascii="仿宋_GB2312" w:eastAsia="仿宋_GB2312" w:hAnsi="TimesNewRoman" w:cs="TimesNewRoman" w:hint="eastAsia"/>
          <w:sz w:val="32"/>
          <w:szCs w:val="32"/>
          <w:u w:val="single"/>
        </w:rPr>
        <w:t>、住房公积金</w:t>
      </w:r>
      <w:r>
        <w:rPr>
          <w:rFonts w:ascii="仿宋_GB2312" w:eastAsia="仿宋_GB2312" w:hAnsi="TimesNewRoman" w:cs="TimesNewRoman" w:hint="eastAsia"/>
          <w:sz w:val="32"/>
          <w:szCs w:val="32"/>
          <w:u w:val="single"/>
          <w:lang w:val="en-US" w:eastAsia="zh-CN"/>
        </w:rPr>
        <w:t>49.10万元</w:t>
      </w:r>
      <w:r>
        <w:rPr>
          <w:rFonts w:ascii="仿宋_GB2312" w:eastAsia="仿宋_GB2312" w:hAnsi="TimesNewRoman" w:cs="TimesNewRoman" w:hint="eastAsia"/>
          <w:sz w:val="32"/>
          <w:szCs w:val="32"/>
          <w:u w:val="single"/>
        </w:rPr>
        <w:t>、其他工资福利支出</w:t>
      </w:r>
      <w:r>
        <w:rPr>
          <w:rFonts w:ascii="仿宋_GB2312" w:eastAsia="仿宋_GB2312" w:hAnsi="TimesNewRoman" w:cs="TimesNewRoman" w:hint="eastAsia"/>
          <w:sz w:val="32"/>
          <w:szCs w:val="32"/>
          <w:u w:val="single"/>
          <w:lang w:val="en-US" w:eastAsia="zh-CN"/>
        </w:rPr>
        <w:t>5.77万元</w:t>
      </w:r>
      <w:r>
        <w:rPr>
          <w:rFonts w:ascii="仿宋_GB2312" w:eastAsia="仿宋_GB2312" w:hAnsi="TimesNewRoman" w:cs="TimesNewRoman" w:hint="eastAsia"/>
          <w:sz w:val="32"/>
          <w:szCs w:val="32"/>
          <w:u w:val="single"/>
        </w:rPr>
        <w:t>、退休费</w:t>
      </w:r>
      <w:r>
        <w:rPr>
          <w:rFonts w:ascii="仿宋_GB2312" w:eastAsia="仿宋_GB2312" w:hAnsi="TimesNewRoman" w:cs="TimesNewRoman" w:hint="eastAsia"/>
          <w:sz w:val="32"/>
          <w:szCs w:val="32"/>
          <w:u w:val="single"/>
          <w:lang w:val="en-US" w:eastAsia="zh-CN"/>
        </w:rPr>
        <w:t>11.63万元</w:t>
      </w:r>
      <w:r>
        <w:rPr>
          <w:rFonts w:ascii="仿宋_GB2312" w:eastAsia="仿宋_GB2312" w:hAnsi="TimesNewRoman" w:cs="TimesNewRoman" w:hint="eastAsia"/>
          <w:sz w:val="32"/>
          <w:szCs w:val="32"/>
          <w:u w:val="single"/>
        </w:rPr>
        <w:t>。</w:t>
      </w:r>
    </w:p>
    <w:p>
      <w:pPr>
        <w:topLinePunct/>
        <w:spacing w:line="580" w:lineRule="exact"/>
        <w:ind w:firstLine="640" w:firstLineChars="200"/>
        <w:rPr>
          <w:rFonts w:ascii="仿宋_GB2312" w:eastAsia="仿宋_GB2312" w:hAnsi="TimesNewRoman" w:cs="TimesNewRoman" w:hint="default"/>
          <w:sz w:val="32"/>
          <w:szCs w:val="32"/>
          <w:lang w:val="en-US"/>
        </w:rPr>
      </w:pPr>
      <w:r>
        <w:rPr>
          <w:rFonts w:ascii="仿宋_GB2312" w:eastAsia="仿宋_GB2312" w:hAnsi="TimesNewRoman" w:cs="TimesNewRoman" w:hint="eastAsia"/>
          <w:sz w:val="32"/>
          <w:szCs w:val="32"/>
        </w:rPr>
        <w:t>（二）公用经费</w:t>
      </w:r>
      <w:r>
        <w:rPr>
          <w:rFonts w:ascii="仿宋_GB2312" w:eastAsia="仿宋_GB2312" w:hAnsi="TimesNewRoman" w:cs="TimesNewRoman" w:hint="eastAsia"/>
          <w:sz w:val="32"/>
          <w:szCs w:val="32"/>
          <w:lang w:val="en-US" w:eastAsia="zh-CN"/>
        </w:rPr>
        <w:t>45.59</w:t>
      </w:r>
      <w:r>
        <w:rPr>
          <w:rFonts w:ascii="仿宋_GB2312" w:eastAsia="仿宋_GB2312" w:hAnsi="TimesNewRoman" w:cs="TimesNewRoman" w:hint="eastAsia"/>
          <w:sz w:val="32"/>
          <w:szCs w:val="32"/>
        </w:rPr>
        <w:t>万元，主要包括：</w:t>
      </w:r>
      <w:r>
        <w:rPr>
          <w:rFonts w:ascii="仿宋_GB2312" w:eastAsia="仿宋_GB2312" w:hAnsi="TimesNewRoman" w:cs="TimesNewRoman" w:hint="eastAsia"/>
          <w:sz w:val="32"/>
          <w:szCs w:val="32"/>
          <w:u w:val="single"/>
        </w:rPr>
        <w:t>办公费</w:t>
      </w:r>
      <w:r>
        <w:rPr>
          <w:rFonts w:ascii="仿宋_GB2312" w:eastAsia="仿宋_GB2312" w:hAnsi="TimesNewRoman" w:cs="TimesNewRoman" w:hint="eastAsia"/>
          <w:sz w:val="32"/>
          <w:szCs w:val="32"/>
          <w:u w:val="single"/>
          <w:lang w:val="en-US" w:eastAsia="zh-CN"/>
        </w:rPr>
        <w:t>18.96</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u w:val="single"/>
        </w:rPr>
        <w:t>、印刷费、咨询费</w:t>
      </w:r>
      <w:r>
        <w:rPr>
          <w:rFonts w:ascii="仿宋_GB2312" w:eastAsia="仿宋_GB2312" w:hAnsi="TimesNewRoman" w:cs="TimesNewRoman" w:hint="eastAsia"/>
          <w:sz w:val="32"/>
          <w:szCs w:val="32"/>
          <w:u w:val="single"/>
          <w:lang w:val="en-US" w:eastAsia="zh-CN"/>
        </w:rPr>
        <w:t>1.00</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u w:val="single"/>
        </w:rPr>
        <w:t>、邮电费</w:t>
      </w:r>
      <w:r>
        <w:rPr>
          <w:rFonts w:ascii="仿宋_GB2312" w:eastAsia="仿宋_GB2312" w:hAnsi="TimesNewRoman" w:cs="TimesNewRoman" w:hint="eastAsia"/>
          <w:sz w:val="32"/>
          <w:szCs w:val="32"/>
          <w:u w:val="single"/>
          <w:lang w:val="en-US" w:eastAsia="zh-CN"/>
        </w:rPr>
        <w:t>5.00</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u w:val="single"/>
        </w:rPr>
        <w:t>、差旅费</w:t>
      </w:r>
      <w:r>
        <w:rPr>
          <w:rFonts w:ascii="仿宋_GB2312" w:eastAsia="仿宋_GB2312" w:hAnsi="TimesNewRoman" w:cs="TimesNewRoman" w:hint="eastAsia"/>
          <w:sz w:val="32"/>
          <w:szCs w:val="32"/>
          <w:u w:val="single"/>
          <w:lang w:val="en-US" w:eastAsia="zh-CN"/>
        </w:rPr>
        <w:t>5.00</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u w:val="single"/>
        </w:rPr>
        <w:t>、会议费</w:t>
      </w:r>
      <w:r>
        <w:rPr>
          <w:rFonts w:ascii="仿宋_GB2312" w:eastAsia="仿宋_GB2312" w:hAnsi="TimesNewRoman" w:cs="TimesNewRoman" w:hint="eastAsia"/>
          <w:sz w:val="32"/>
          <w:szCs w:val="32"/>
          <w:u w:val="single"/>
          <w:lang w:val="en-US" w:eastAsia="zh-CN"/>
        </w:rPr>
        <w:t>1.80</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u w:val="single"/>
        </w:rPr>
        <w:t>、工会经费</w:t>
      </w:r>
      <w:r>
        <w:rPr>
          <w:rFonts w:ascii="仿宋_GB2312" w:eastAsia="仿宋_GB2312" w:hAnsi="TimesNewRoman" w:cs="TimesNewRoman" w:hint="eastAsia"/>
          <w:sz w:val="32"/>
          <w:szCs w:val="32"/>
          <w:u w:val="single"/>
          <w:lang w:val="en-US" w:eastAsia="zh-CN"/>
        </w:rPr>
        <w:t>4.91</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u w:val="single"/>
        </w:rPr>
        <w:t>、公务用车运行维护费</w:t>
      </w:r>
      <w:r>
        <w:rPr>
          <w:rFonts w:ascii="仿宋_GB2312" w:eastAsia="仿宋_GB2312" w:hAnsi="TimesNewRoman" w:cs="TimesNewRoman" w:hint="eastAsia"/>
          <w:sz w:val="32"/>
          <w:szCs w:val="32"/>
          <w:u w:val="single"/>
          <w:lang w:val="en-US" w:eastAsia="zh-CN"/>
        </w:rPr>
        <w:t>2.00</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u w:val="single"/>
        </w:rPr>
        <w:t>、其他交通费用</w:t>
      </w:r>
      <w:r>
        <w:rPr>
          <w:rFonts w:ascii="仿宋_GB2312" w:eastAsia="仿宋_GB2312" w:hAnsi="TimesNewRoman" w:cs="TimesNewRoman" w:hint="eastAsia"/>
          <w:sz w:val="32"/>
          <w:szCs w:val="32"/>
          <w:u w:val="single"/>
          <w:lang w:val="en-US" w:eastAsia="zh-CN"/>
        </w:rPr>
        <w:t>8.35</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u w:val="single"/>
        </w:rPr>
        <w:t>、办公设备购置</w:t>
      </w:r>
      <w:r>
        <w:rPr>
          <w:rFonts w:ascii="仿宋_GB2312" w:eastAsia="仿宋_GB2312" w:hAnsi="TimesNewRoman" w:cs="TimesNewRoman" w:hint="eastAsia"/>
          <w:sz w:val="32"/>
          <w:szCs w:val="32"/>
          <w:u w:val="single"/>
          <w:lang w:val="en-US" w:eastAsia="zh-CN"/>
        </w:rPr>
        <w:t>3.48</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u w:val="single"/>
          <w:lang w:val="en-US" w:eastAsia="zh-CN"/>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七、关于2024年政府性基金预算支出表的说明</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eastAsia="zh-CN"/>
        </w:rPr>
        <w:t>应急管理局</w:t>
      </w:r>
      <w:r>
        <w:rPr>
          <w:rFonts w:ascii="仿宋_GB2312" w:eastAsia="仿宋_GB2312" w:hAnsi="TimesNewRoman" w:cs="TimesNewRoman" w:hint="eastAsia"/>
          <w:sz w:val="32"/>
          <w:szCs w:val="32"/>
        </w:rPr>
        <w:t>2024年没有政府性基金预算拨款收入，也没有使用政府性基金预算拨款安排的支出。</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八、关于2024年国有资本经营预算支出表的说明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eastAsia="zh-CN"/>
        </w:rPr>
        <w:t>应急管理局</w:t>
      </w:r>
      <w:r>
        <w:rPr>
          <w:rFonts w:ascii="仿宋_GB2312" w:eastAsia="仿宋_GB2312" w:hAnsi="TimesNewRoman" w:cs="TimesNewRoman" w:hint="eastAsia"/>
          <w:sz w:val="32"/>
          <w:szCs w:val="32"/>
        </w:rPr>
        <w:t>2024年没有国有资本经营预算拨款收入，也没有使用国有资本经营预算拨款安排的支出。</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九、关于2024年项目支出表的说明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eastAsia="zh-CN"/>
        </w:rPr>
        <w:t>应急管理局</w:t>
      </w:r>
      <w:r>
        <w:rPr>
          <w:rFonts w:ascii="仿宋_GB2312" w:eastAsia="仿宋_GB2312" w:hAnsi="TimesNewRoman" w:cs="TimesNewRoman" w:hint="eastAsia"/>
          <w:sz w:val="32"/>
          <w:szCs w:val="32"/>
        </w:rPr>
        <w:t>2024年预算共安排项目支出</w:t>
      </w:r>
      <w:r>
        <w:rPr>
          <w:rFonts w:ascii="仿宋_GB2312" w:eastAsia="仿宋_GB2312" w:hAnsi="TimesNewRoman" w:cs="TimesNewRoman" w:hint="eastAsia"/>
          <w:sz w:val="32"/>
          <w:szCs w:val="32"/>
          <w:lang w:val="en-US" w:eastAsia="zh-CN"/>
        </w:rPr>
        <w:t>171.51</w:t>
      </w:r>
      <w:r>
        <w:rPr>
          <w:rFonts w:ascii="仿宋_GB2312" w:eastAsia="仿宋_GB2312" w:hAnsi="TimesNewRoman" w:cs="TimesNewRoman" w:hint="eastAsia"/>
          <w:sz w:val="32"/>
          <w:szCs w:val="32"/>
        </w:rPr>
        <w:t>万元，比2023年预算减少</w:t>
      </w:r>
      <w:r>
        <w:rPr>
          <w:rFonts w:ascii="仿宋_GB2312" w:eastAsia="仿宋_GB2312" w:hAnsi="TimesNewRoman" w:cs="TimesNewRoman" w:hint="eastAsia"/>
          <w:sz w:val="32"/>
          <w:szCs w:val="32"/>
          <w:lang w:val="en-US" w:eastAsia="zh-CN"/>
        </w:rPr>
        <w:t>5.04</w:t>
      </w:r>
      <w:r>
        <w:rPr>
          <w:rFonts w:ascii="仿宋_GB2312" w:eastAsia="仿宋_GB2312" w:hAnsi="TimesNewRoman" w:cs="TimesNewRoman" w:hint="eastAsia"/>
          <w:sz w:val="32"/>
          <w:szCs w:val="32"/>
        </w:rPr>
        <w:t>万元，下降</w:t>
      </w:r>
      <w:r>
        <w:rPr>
          <w:rFonts w:ascii="仿宋_GB2312" w:eastAsia="仿宋_GB2312" w:hAnsi="TimesNewRoman" w:cs="TimesNewRoman" w:hint="eastAsia"/>
          <w:sz w:val="32"/>
          <w:szCs w:val="32"/>
          <w:lang w:val="en-US" w:eastAsia="zh-CN"/>
        </w:rPr>
        <w:t>2.85</w:t>
      </w:r>
      <w:r>
        <w:rPr>
          <w:rFonts w:ascii="仿宋_GB2312" w:eastAsia="仿宋_GB2312" w:hAnsi="TimesNewRoman" w:cs="TimesNewRoman" w:hint="eastAsia"/>
          <w:sz w:val="32"/>
          <w:szCs w:val="32"/>
        </w:rPr>
        <w:t>%，下降原因主要是</w:t>
      </w:r>
      <w:r>
        <w:rPr>
          <w:rFonts w:ascii="仿宋_GB2312" w:eastAsia="仿宋_GB2312" w:hAnsi="TimesNewRoman" w:cs="TimesNewRoman" w:hint="eastAsia"/>
          <w:sz w:val="32"/>
          <w:szCs w:val="32"/>
          <w:lang w:eastAsia="zh-CN"/>
        </w:rPr>
        <w:t>政府压缩预算资金</w:t>
      </w:r>
      <w:r>
        <w:rPr>
          <w:rFonts w:ascii="仿宋_GB2312" w:eastAsia="仿宋_GB2312" w:hAnsi="TimesNewRoman" w:cs="TimesNewRoman" w:hint="eastAsia"/>
          <w:sz w:val="32"/>
          <w:szCs w:val="32"/>
        </w:rPr>
        <w:t>。主要包括：本年财政拨款安排</w:t>
      </w:r>
      <w:r>
        <w:rPr>
          <w:rFonts w:ascii="仿宋_GB2312" w:eastAsia="仿宋_GB2312" w:hAnsi="TimesNewRoman" w:cs="TimesNewRoman" w:hint="eastAsia"/>
          <w:sz w:val="32"/>
          <w:szCs w:val="32"/>
          <w:lang w:val="en-US" w:eastAsia="zh-CN"/>
        </w:rPr>
        <w:t>171.51</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lang w:eastAsia="zh-CN"/>
        </w:rPr>
        <w:t>，均为</w:t>
      </w:r>
      <w:r>
        <w:rPr>
          <w:rFonts w:ascii="仿宋_GB2312" w:eastAsia="仿宋_GB2312" w:hAnsi="TimesNewRoman" w:cs="TimesNewRoman" w:hint="eastAsia"/>
          <w:sz w:val="32"/>
          <w:szCs w:val="32"/>
        </w:rPr>
        <w:t>一般公共预算拨款。</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十、关于2024年政府采购支出表的说明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lang w:eastAsia="zh-CN"/>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eastAsia="zh-CN"/>
        </w:rPr>
        <w:t>应急管理局</w:t>
      </w:r>
      <w:r>
        <w:rPr>
          <w:rFonts w:ascii="仿宋_GB2312" w:eastAsia="仿宋_GB2312" w:hAnsi="TimesNewRoman" w:cs="TimesNewRoman" w:hint="eastAsia"/>
          <w:sz w:val="32"/>
          <w:szCs w:val="32"/>
        </w:rPr>
        <w:t>2024年预算安排政府采购支出</w:t>
      </w:r>
      <w:r>
        <w:rPr>
          <w:rFonts w:ascii="仿宋_GB2312" w:eastAsia="仿宋_GB2312" w:hAnsi="TimesNewRoman" w:cs="TimesNewRoman" w:hint="eastAsia"/>
          <w:sz w:val="32"/>
          <w:szCs w:val="32"/>
          <w:lang w:val="en-US" w:eastAsia="zh-CN"/>
        </w:rPr>
        <w:t>3.48</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3.48</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0.48</w:t>
      </w:r>
      <w:r>
        <w:rPr>
          <w:rFonts w:ascii="仿宋_GB2312" w:eastAsia="仿宋_GB2312" w:hAnsi="TimesNewRoman" w:cs="TimesNewRoman" w:hint="eastAsia"/>
          <w:sz w:val="32"/>
          <w:szCs w:val="32"/>
        </w:rPr>
        <w:t>%，增长原因主要是</w:t>
      </w:r>
      <w:r>
        <w:rPr>
          <w:rFonts w:ascii="仿宋_GB2312" w:eastAsia="仿宋_GB2312" w:hAnsi="TimesNewRoman" w:cs="TimesNewRoman" w:hint="eastAsia"/>
          <w:sz w:val="32"/>
          <w:szCs w:val="32"/>
          <w:lang w:eastAsia="zh-CN"/>
        </w:rPr>
        <w:t>为新增人员采购办公设备</w:t>
      </w:r>
      <w:r>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lang w:eastAsia="zh-CN"/>
        </w:rPr>
        <w:t>皆为</w:t>
      </w:r>
      <w:r>
        <w:rPr>
          <w:rFonts w:ascii="仿宋_GB2312" w:eastAsia="仿宋_GB2312" w:hAnsi="TimesNewRoman" w:cs="TimesNewRoman" w:hint="eastAsia"/>
          <w:sz w:val="32"/>
          <w:szCs w:val="32"/>
        </w:rPr>
        <w:t>一般公共预算</w:t>
      </w:r>
      <w:r>
        <w:rPr>
          <w:rFonts w:ascii="仿宋_GB2312" w:eastAsia="仿宋_GB2312" w:hAnsi="TimesNewRoman" w:cs="TimesNewRoman" w:hint="eastAsia"/>
          <w:sz w:val="32"/>
          <w:szCs w:val="32"/>
          <w:lang w:eastAsia="zh-CN"/>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十一、关于2024年政府购买服务支出表的说明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eastAsia="zh-CN"/>
        </w:rPr>
        <w:t>应急管理局</w:t>
      </w:r>
      <w:r>
        <w:rPr>
          <w:rFonts w:ascii="仿宋_GB2312" w:eastAsia="仿宋_GB2312" w:hAnsi="TimesNewRoman" w:cs="TimesNewRoman" w:hint="eastAsia"/>
          <w:sz w:val="32"/>
          <w:szCs w:val="32"/>
        </w:rPr>
        <w:t>2024年预算安排政府购买服务支出</w:t>
      </w:r>
      <w:r>
        <w:rPr>
          <w:rFonts w:ascii="仿宋_GB2312" w:eastAsia="仿宋_GB2312" w:hAnsi="TimesNewRoman" w:cs="TimesNewRoman" w:hint="eastAsia"/>
          <w:sz w:val="32"/>
          <w:szCs w:val="32"/>
          <w:lang w:val="en-US" w:eastAsia="zh-CN"/>
        </w:rPr>
        <w:t>0.35</w:t>
      </w:r>
      <w:r>
        <w:rPr>
          <w:rFonts w:ascii="仿宋_GB2312" w:eastAsia="仿宋_GB2312" w:hAnsi="TimesNewRoman" w:cs="TimesNewRoman" w:hint="eastAsia"/>
          <w:sz w:val="32"/>
          <w:szCs w:val="32"/>
        </w:rPr>
        <w:t>万元，比2023年预算减少</w:t>
      </w:r>
      <w:r>
        <w:rPr>
          <w:rFonts w:ascii="仿宋_GB2312" w:eastAsia="仿宋_GB2312" w:hAnsi="TimesNewRoman" w:cs="TimesNewRoman" w:hint="eastAsia"/>
          <w:sz w:val="32"/>
          <w:szCs w:val="32"/>
          <w:lang w:val="en-US" w:eastAsia="zh-CN"/>
        </w:rPr>
        <w:t>2.65</w:t>
      </w:r>
      <w:r>
        <w:rPr>
          <w:rFonts w:ascii="仿宋_GB2312" w:eastAsia="仿宋_GB2312" w:hAnsi="TimesNewRoman" w:cs="TimesNewRoman" w:hint="eastAsia"/>
          <w:sz w:val="32"/>
          <w:szCs w:val="32"/>
        </w:rPr>
        <w:t>万元，下降</w:t>
      </w:r>
      <w:r>
        <w:rPr>
          <w:rFonts w:ascii="仿宋_GB2312" w:eastAsia="仿宋_GB2312" w:hAnsi="TimesNewRoman" w:cs="TimesNewRoman" w:hint="eastAsia"/>
          <w:sz w:val="32"/>
          <w:szCs w:val="32"/>
          <w:lang w:val="en-US" w:eastAsia="zh-CN"/>
        </w:rPr>
        <w:t>88.33</w:t>
      </w:r>
      <w:r>
        <w:rPr>
          <w:rFonts w:ascii="仿宋_GB2312" w:eastAsia="仿宋_GB2312" w:hAnsi="TimesNewRoman" w:cs="TimesNewRoman" w:hint="eastAsia"/>
          <w:sz w:val="32"/>
          <w:szCs w:val="32"/>
        </w:rPr>
        <w:t>%，下降原因主要是</w:t>
      </w:r>
      <w:r>
        <w:rPr>
          <w:rFonts w:ascii="仿宋_GB2312" w:eastAsia="仿宋_GB2312" w:hAnsi="TimesNewRoman" w:cs="TimesNewRoman" w:hint="eastAsia"/>
          <w:sz w:val="32"/>
          <w:szCs w:val="32"/>
          <w:lang w:eastAsia="zh-CN"/>
        </w:rPr>
        <w:t>缩减政府购买服务开支</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十二、其他重要事项情况说明</w:t>
      </w:r>
    </w:p>
    <w:p>
      <w:pPr>
        <w:topLinePunct/>
        <w:adjustRightInd w:val="0"/>
        <w:snapToGrid w:val="0"/>
        <w:spacing w:line="58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（一）项目及绩效目标情况。</w:t>
      </w:r>
    </w:p>
    <w:p>
      <w:pPr>
        <w:topLinePunct/>
        <w:adjustRightInd w:val="0"/>
        <w:snapToGrid w:val="0"/>
        <w:spacing w:line="58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1.</w:t>
      </w:r>
      <w:r>
        <w:rPr>
          <w:rFonts w:ascii="仿宋_GB2312" w:eastAsia="仿宋_GB2312" w:hAnsi="仿宋_GB2312" w:cs="仿宋_GB2312" w:hint="eastAsia"/>
          <w:b/>
          <w:bCs w:val="0"/>
          <w:sz w:val="32"/>
          <w:szCs w:val="32"/>
        </w:rPr>
        <w:t>“</w:t>
      </w:r>
      <w:r>
        <w:rPr>
          <w:rFonts w:ascii="仿宋_GB2312" w:eastAsia="仿宋_GB2312" w:hAnsi="仿宋_GB2312" w:cs="仿宋_GB2312" w:hint="eastAsia"/>
          <w:b/>
          <w:bCs w:val="0"/>
          <w:i w:val="0"/>
          <w:iCs w:val="0"/>
          <w:color w:val="000000"/>
          <w:kern w:val="0"/>
          <w:sz w:val="32"/>
          <w:szCs w:val="32"/>
          <w:u w:val="none"/>
          <w:lang w:val="en-US" w:eastAsia="zh-CN" w:bidi="ar"/>
        </w:rPr>
        <w:t>安全生产及防灾救灾工作经费</w:t>
      </w:r>
      <w:r>
        <w:rPr>
          <w:rFonts w:ascii="仿宋_GB2312" w:eastAsia="仿宋_GB2312" w:hAnsi="TimesNewRoman" w:cs="TimesNewRoman" w:hint="eastAsia"/>
          <w:b/>
          <w:sz w:val="32"/>
          <w:szCs w:val="32"/>
        </w:rPr>
        <w:t>”项目。</w:t>
      </w:r>
    </w:p>
    <w:p>
      <w:pPr>
        <w:topLinePunct/>
        <w:adjustRightInd w:val="0"/>
        <w:snapToGrid w:val="0"/>
        <w:spacing w:line="580" w:lineRule="exact"/>
        <w:ind w:left="638" w:firstLine="0" w:leftChars="304" w:firstLineChars="0"/>
        <w:rPr>
          <w:rFonts w:ascii="仿宋_GB2312" w:eastAsia="仿宋_GB2312" w:hAnsi="TimesNewRoman" w:cs="TimesNewRoman" w:hint="eastAsia"/>
          <w:sz w:val="32"/>
          <w:szCs w:val="32"/>
          <w:lang w:eastAsia="zh-CN"/>
        </w:rPr>
      </w:pPr>
      <w:r>
        <w:rPr>
          <w:rFonts w:ascii="仿宋_GB2312" w:eastAsia="仿宋_GB2312" w:hAnsi="TimesNewRoman" w:cs="TimesNewRoman" w:hint="eastAsia"/>
          <w:sz w:val="32"/>
          <w:szCs w:val="32"/>
        </w:rPr>
        <w:t>（1）项目概述。</w:t>
      </w:r>
      <w:r>
        <w:rPr>
          <w:rFonts w:ascii="仿宋_GB2312" w:eastAsia="仿宋_GB2312" w:hAnsi="TimesNewRoman" w:cs="TimesNewRoman" w:hint="eastAsia"/>
          <w:sz w:val="32"/>
          <w:szCs w:val="32"/>
          <w:lang w:eastAsia="zh-CN"/>
        </w:rPr>
        <w:t>保证安全生产及防灾救灾工作的顺利进行。</w:t>
      </w:r>
      <w:r>
        <w:rPr>
          <w:rFonts w:ascii="仿宋_GB2312" w:eastAsia="仿宋_GB2312" w:hAnsi="TimesNewRoman" w:cs="TimesNewRoman" w:hint="eastAsia"/>
          <w:sz w:val="32"/>
          <w:szCs w:val="32"/>
        </w:rPr>
        <w:t>（2）立项依据。皖应急【2020】47号“保费所需资金由财政全额承担，省与市县财政按4:6分担。防灾救灾工作经</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rPr>
        <w:t>办﹝2019﹞21号</w:t>
      </w:r>
      <w:r>
        <w:rPr>
          <w:rFonts w:ascii="仿宋_GB2312" w:eastAsia="仿宋_GB2312" w:hAnsi="TimesNewRoman" w:cs="TimesNewRoman" w:hint="eastAsia"/>
          <w:sz w:val="32"/>
          <w:szCs w:val="32"/>
          <w:lang w:eastAsia="zh-CN"/>
        </w:rPr>
        <w:t>。</w:t>
      </w:r>
    </w:p>
    <w:p>
      <w:pPr>
        <w:topLinePunct/>
        <w:adjustRightInd w:val="0"/>
        <w:snapToGrid w:val="0"/>
        <w:spacing w:line="580" w:lineRule="exact"/>
        <w:ind w:firstLine="640" w:firstLineChars="200"/>
        <w:rPr>
          <w:rFonts w:ascii="仿宋_GB2312" w:eastAsia="仿宋_GB2312" w:hAnsi="TimesNewRoman" w:cs="TimesNewRoman" w:hint="eastAsia"/>
          <w:sz w:val="32"/>
          <w:szCs w:val="32"/>
          <w:lang w:eastAsia="zh-CN"/>
        </w:rPr>
      </w:pPr>
      <w:r>
        <w:rPr>
          <w:rFonts w:ascii="仿宋_GB2312" w:eastAsia="仿宋_GB2312" w:hAnsi="TimesNewRoman" w:cs="TimesNewRoman" w:hint="eastAsia"/>
          <w:sz w:val="32"/>
          <w:szCs w:val="32"/>
        </w:rPr>
        <w:t>（3）实施主体</w:t>
      </w:r>
      <w:r>
        <w:rPr>
          <w:rFonts w:ascii="仿宋_GB2312" w:eastAsia="仿宋_GB2312" w:hAnsi="TimesNewRoman" w:cs="TimesNewRoman" w:hint="eastAsia"/>
          <w:sz w:val="32"/>
          <w:szCs w:val="32"/>
          <w:lang w:eastAsia="zh-CN"/>
        </w:rPr>
        <w:t>：寿县应急管理局安委会及减灾救灾股</w:t>
      </w:r>
    </w:p>
    <w:p>
      <w:pPr>
        <w:topLinePunct/>
        <w:adjustRightInd w:val="0"/>
        <w:snapToGrid w:val="0"/>
        <w:spacing w:line="580" w:lineRule="exact"/>
        <w:ind w:left="638" w:firstLine="0" w:leftChars="304" w:firstLineChars="0"/>
        <w:rPr>
          <w:rFonts w:ascii="仿宋_GB2312" w:eastAsia="仿宋_GB2312" w:hAnsi="TimesNewRoman" w:cs="TimesNewRoman" w:hint="eastAsia"/>
          <w:sz w:val="32"/>
          <w:szCs w:val="32"/>
          <w:lang w:eastAsia="zh-CN"/>
        </w:rPr>
      </w:pPr>
      <w:r>
        <w:rPr>
          <w:rFonts w:ascii="仿宋_GB2312" w:eastAsia="仿宋_GB2312" w:hAnsi="TimesNewRoman" w:cs="TimesNewRoman" w:hint="eastAsia"/>
          <w:sz w:val="32"/>
          <w:szCs w:val="32"/>
        </w:rPr>
        <w:t>（4）起止时间</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lang w:val="en-US" w:eastAsia="zh-CN"/>
        </w:rPr>
        <w:t xml:space="preserve">2024年1月至2024年12月               </w:t>
      </w:r>
      <w:r>
        <w:rPr>
          <w:rFonts w:ascii="仿宋_GB2312" w:eastAsia="仿宋_GB2312" w:hAnsi="TimesNewRoman" w:cs="TimesNewRoman" w:hint="eastAsia"/>
          <w:sz w:val="32"/>
          <w:szCs w:val="32"/>
        </w:rPr>
        <w:t>（5）项目内容</w:t>
      </w:r>
      <w:r>
        <w:rPr>
          <w:rFonts w:ascii="仿宋_GB2312" w:eastAsia="仿宋_GB2312" w:hAnsi="TimesNewRoman" w:cs="TimesNewRoman" w:hint="eastAsia"/>
          <w:sz w:val="32"/>
          <w:szCs w:val="32"/>
          <w:lang w:eastAsia="zh-CN"/>
        </w:rPr>
        <w:t>：行洪区农村住房保险专项资金、防灾救灾专项资金、安全生产检查及迎接上级部门检查、防震减灾工作经费</w:t>
      </w:r>
    </w:p>
    <w:p>
      <w:pPr>
        <w:topLinePunct/>
        <w:adjustRightInd w:val="0"/>
        <w:snapToGrid w:val="0"/>
        <w:spacing w:line="580" w:lineRule="exact"/>
        <w:ind w:firstLine="640" w:firstLineChars="200"/>
        <w:rPr>
          <w:rFonts w:ascii="仿宋_GB2312" w:eastAsia="仿宋_GB2312" w:hAnsi="TimesNewRoman" w:cs="TimesNewRoman" w:hint="eastAsia"/>
          <w:sz w:val="32"/>
          <w:szCs w:val="32"/>
          <w:lang w:val="en-US" w:eastAsia="zh-CN"/>
        </w:rPr>
      </w:pPr>
      <w:r>
        <w:rPr>
          <w:rFonts w:ascii="仿宋_GB2312" w:eastAsia="仿宋_GB2312" w:hAnsi="TimesNewRoman" w:cs="TimesNewRoman" w:hint="eastAsia"/>
          <w:sz w:val="32"/>
          <w:szCs w:val="32"/>
        </w:rPr>
        <w:t>（6）年度预算安排</w:t>
      </w:r>
      <w:r>
        <w:rPr>
          <w:rFonts w:ascii="仿宋_GB2312" w:eastAsia="仿宋_GB2312" w:hAnsi="TimesNewRoman" w:cs="TimesNewRoman" w:hint="eastAsia"/>
          <w:sz w:val="32"/>
          <w:szCs w:val="32"/>
          <w:lang w:eastAsia="zh-CN"/>
        </w:rPr>
        <w:t>资金</w:t>
      </w:r>
      <w:r>
        <w:rPr>
          <w:rFonts w:ascii="仿宋_GB2312" w:eastAsia="仿宋_GB2312" w:hAnsi="TimesNewRoman" w:cs="TimesNewRoman" w:hint="eastAsia"/>
          <w:sz w:val="32"/>
          <w:szCs w:val="32"/>
          <w:lang w:val="en-US" w:eastAsia="zh-CN"/>
        </w:rPr>
        <w:t>160.95万元</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（7）绩效目标。</w:t>
      </w:r>
    </w:p>
    <w:p>
      <w:pPr>
        <w:topLinePunct/>
        <w:adjustRightInd w:val="0"/>
        <w:snapToGrid w:val="0"/>
        <w:spacing w:line="580" w:lineRule="exact"/>
        <w:ind w:firstLine="640" w:firstLineChars="200"/>
        <w:rPr>
          <w:rFonts w:ascii="仿宋_GB2312" w:eastAsia="仿宋_GB2312" w:hAnsi="楷体" w:hint="eastAsia"/>
          <w:sz w:val="32"/>
          <w:szCs w:val="32"/>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35"/>
        <w:gridCol w:w="597"/>
        <w:gridCol w:w="1005"/>
        <w:gridCol w:w="2312"/>
        <w:gridCol w:w="467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53"/>
        </w:trPr>
        <w:tc>
          <w:tcPr>
            <w:tcW w:w="9020" w:type="dxa"/>
            <w:gridSpan w:val="5"/>
            <w:tcBorders>
              <w:top w:val="nil"/>
              <w:left w:val="nil"/>
              <w:bottom w:val="nil"/>
              <w:right w:val="nil"/>
            </w:tcBorders>
            <w:noWrap w:val="0"/>
            <w:vAlign w:val="center"/>
          </w:tcPr>
          <w:p>
            <w:pPr>
              <w:widowControl/>
              <w:jc w:val="center"/>
              <w:textAlignment w:val="center"/>
              <w:rPr>
                <w:rFonts w:ascii="宋体" w:cs="宋体"/>
                <w:b/>
                <w:bCs/>
                <w:szCs w:val="32"/>
              </w:rPr>
            </w:pPr>
            <w:r>
              <w:rPr>
                <w:rFonts w:ascii="宋体" w:hAnsi="宋体" w:cs="宋体" w:hint="eastAsia"/>
                <w:b/>
                <w:color w:val="000000"/>
                <w:kern w:val="0"/>
                <w:sz w:val="28"/>
                <w:szCs w:val="28"/>
                <w:lang w:bidi="ar"/>
              </w:rPr>
              <w:t>项目支出绩效目标表</w:t>
            </w:r>
          </w:p>
        </w:tc>
      </w:tr>
      <w:tr>
        <w:tblPrEx>
          <w:tblW w:w="0" w:type="auto"/>
          <w:tblInd w:w="0" w:type="dxa"/>
          <w:tblLayout w:type="fixed"/>
          <w:tblCellMar>
            <w:top w:w="0" w:type="dxa"/>
            <w:left w:w="108" w:type="dxa"/>
            <w:bottom w:w="0" w:type="dxa"/>
            <w:right w:w="108" w:type="dxa"/>
          </w:tblCellMar>
        </w:tblPrEx>
        <w:trPr>
          <w:trHeight w:val="270"/>
        </w:trPr>
        <w:tc>
          <w:tcPr>
            <w:tcW w:w="9020" w:type="dxa"/>
            <w:gridSpan w:val="5"/>
            <w:tcBorders>
              <w:top w:val="nil"/>
              <w:left w:val="nil"/>
              <w:right w:val="nil"/>
            </w:tcBorders>
            <w:noWrap w:val="0"/>
            <w:vAlign w:val="center"/>
          </w:tcPr>
          <w:p>
            <w:pPr>
              <w:widowControl/>
              <w:jc w:val="center"/>
              <w:textAlignment w:val="center"/>
              <w:rPr>
                <w:rFonts w:ascii="宋体" w:cs="宋体"/>
                <w:sz w:val="20"/>
              </w:rPr>
            </w:pPr>
            <w:r>
              <w:rPr>
                <w:rFonts w:ascii="宋体" w:hAnsi="宋体" w:cs="宋体" w:hint="eastAsia"/>
                <w:color w:val="000000"/>
                <w:kern w:val="0"/>
                <w:sz w:val="20"/>
                <w:szCs w:val="20"/>
                <w:lang w:bidi="ar"/>
              </w:rPr>
              <w:t xml:space="preserve"> （2024年度）                                </w:t>
            </w:r>
          </w:p>
        </w:tc>
      </w:tr>
      <w:tr>
        <w:tblPrEx>
          <w:tblW w:w="0" w:type="auto"/>
          <w:tblInd w:w="0" w:type="dxa"/>
          <w:tblLayout w:type="fixed"/>
          <w:tblCellMar>
            <w:top w:w="0" w:type="dxa"/>
            <w:left w:w="108" w:type="dxa"/>
            <w:bottom w:w="0" w:type="dxa"/>
            <w:right w:w="108" w:type="dxa"/>
          </w:tblCellMar>
        </w:tblPrEx>
        <w:trPr>
          <w:trHeight w:val="330"/>
        </w:trPr>
        <w:tc>
          <w:tcPr>
            <w:tcW w:w="2037" w:type="dxa"/>
            <w:gridSpan w:val="3"/>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项目名称</w:t>
            </w:r>
          </w:p>
        </w:tc>
        <w:tc>
          <w:tcPr>
            <w:tcW w:w="6983" w:type="dxa"/>
            <w:gridSpan w:val="2"/>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安全生产及防灾救灾工作经费</w:t>
            </w:r>
          </w:p>
        </w:tc>
      </w:tr>
      <w:tr>
        <w:tblPrEx>
          <w:tblW w:w="0" w:type="auto"/>
          <w:tblInd w:w="0" w:type="dxa"/>
          <w:tblLayout w:type="fixed"/>
          <w:tblCellMar>
            <w:top w:w="0" w:type="dxa"/>
            <w:left w:w="108" w:type="dxa"/>
            <w:bottom w:w="0" w:type="dxa"/>
            <w:right w:w="108" w:type="dxa"/>
          </w:tblCellMar>
        </w:tblPrEx>
        <w:trPr>
          <w:trHeight w:val="491"/>
        </w:trPr>
        <w:tc>
          <w:tcPr>
            <w:tcW w:w="2037" w:type="dxa"/>
            <w:gridSpan w:val="3"/>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主管部门</w:t>
            </w:r>
          </w:p>
        </w:tc>
        <w:tc>
          <w:tcPr>
            <w:tcW w:w="6983" w:type="dxa"/>
            <w:gridSpan w:val="2"/>
            <w:noWrap w:val="0"/>
            <w:vAlign w:val="center"/>
          </w:tcPr>
          <w:p>
            <w:pPr>
              <w:keepNext w:val="0"/>
              <w:keepLines w:val="0"/>
              <w:widowControl/>
              <w:suppressLineNumbers w:val="0"/>
              <w:jc w:val="center"/>
              <w:textAlignment w:val="center"/>
              <w:rPr>
                <w:sz w:val="18"/>
                <w:szCs w:val="18"/>
              </w:rPr>
            </w:pPr>
            <w:r>
              <w:rPr>
                <w:rFonts w:ascii="宋体" w:eastAsia="宋体" w:hAnsi="宋体" w:cs="宋体" w:hint="eastAsia"/>
                <w:i w:val="0"/>
                <w:iCs w:val="0"/>
                <w:color w:val="000000"/>
                <w:kern w:val="0"/>
                <w:sz w:val="20"/>
                <w:szCs w:val="20"/>
                <w:u w:val="none"/>
                <w:lang w:val="en-US" w:eastAsia="zh-CN" w:bidi="ar"/>
              </w:rPr>
              <w:t>县政府</w:t>
            </w:r>
          </w:p>
        </w:tc>
      </w:tr>
      <w:tr>
        <w:tblPrEx>
          <w:tblW w:w="0" w:type="auto"/>
          <w:tblInd w:w="0" w:type="dxa"/>
          <w:tblLayout w:type="fixed"/>
          <w:tblCellMar>
            <w:top w:w="0" w:type="dxa"/>
            <w:left w:w="108" w:type="dxa"/>
            <w:bottom w:w="0" w:type="dxa"/>
            <w:right w:w="108" w:type="dxa"/>
          </w:tblCellMar>
        </w:tblPrEx>
        <w:trPr>
          <w:trHeight w:val="330"/>
        </w:trPr>
        <w:tc>
          <w:tcPr>
            <w:tcW w:w="2037" w:type="dxa"/>
            <w:gridSpan w:val="3"/>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是否事前绩效评估</w:t>
            </w:r>
          </w:p>
        </w:tc>
        <w:tc>
          <w:tcPr>
            <w:tcW w:w="6983" w:type="dxa"/>
            <w:gridSpan w:val="2"/>
            <w:noWrap w:val="0"/>
            <w:vAlign w:val="center"/>
          </w:tcPr>
          <w:p>
            <w:pPr>
              <w:keepNext w:val="0"/>
              <w:keepLines w:val="0"/>
              <w:widowControl/>
              <w:suppressLineNumbers w:val="0"/>
              <w:jc w:val="center"/>
              <w:textAlignment w:val="center"/>
              <w:rPr>
                <w:sz w:val="18"/>
                <w:szCs w:val="18"/>
              </w:rPr>
            </w:pPr>
            <w:r>
              <w:rPr>
                <w:rFonts w:ascii="宋体" w:eastAsia="宋体" w:hAnsi="宋体" w:cs="宋体" w:hint="eastAsia"/>
                <w:i w:val="0"/>
                <w:iCs w:val="0"/>
                <w:color w:val="000000"/>
                <w:kern w:val="0"/>
                <w:sz w:val="20"/>
                <w:szCs w:val="20"/>
                <w:u w:val="none"/>
                <w:lang w:val="en-US" w:eastAsia="zh-CN" w:bidi="ar"/>
              </w:rPr>
              <w:t>是</w:t>
            </w:r>
          </w:p>
        </w:tc>
      </w:tr>
      <w:tr>
        <w:tblPrEx>
          <w:tblW w:w="0" w:type="auto"/>
          <w:tblInd w:w="0" w:type="dxa"/>
          <w:tblLayout w:type="fixed"/>
          <w:tblCellMar>
            <w:top w:w="0" w:type="dxa"/>
            <w:left w:w="108" w:type="dxa"/>
            <w:bottom w:w="0" w:type="dxa"/>
            <w:right w:w="108" w:type="dxa"/>
          </w:tblCellMar>
        </w:tblPrEx>
        <w:trPr>
          <w:trHeight w:val="330"/>
        </w:trPr>
        <w:tc>
          <w:tcPr>
            <w:tcW w:w="2037" w:type="dxa"/>
            <w:gridSpan w:val="3"/>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事前绩效评估审核结论</w:t>
            </w:r>
          </w:p>
        </w:tc>
        <w:tc>
          <w:tcPr>
            <w:tcW w:w="6983" w:type="dxa"/>
            <w:gridSpan w:val="2"/>
            <w:noWrap w:val="0"/>
            <w:vAlign w:val="center"/>
          </w:tcPr>
          <w:p>
            <w:pPr>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2237"/>
        </w:trPr>
        <w:tc>
          <w:tcPr>
            <w:tcW w:w="435" w:type="dxa"/>
            <w:vMerge w:val="restart"/>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项目年限及资金情况</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（万元）</w:t>
            </w:r>
          </w:p>
        </w:tc>
        <w:tc>
          <w:tcPr>
            <w:tcW w:w="597" w:type="dxa"/>
            <w:noWrap w:val="0"/>
            <w:vAlign w:val="center"/>
          </w:tcPr>
          <w:p>
            <w:pPr>
              <w:keepNext w:val="0"/>
              <w:keepLines w:val="0"/>
              <w:widowControl/>
              <w:suppressLineNumbers w:val="0"/>
              <w:jc w:val="left"/>
              <w:textAlignment w:val="center"/>
            </w:pPr>
            <w:r>
              <w:rPr>
                <w:rFonts w:ascii="宋体" w:eastAsia="宋体" w:hAnsi="宋体" w:cs="宋体" w:hint="eastAsia"/>
                <w:i w:val="0"/>
                <w:iCs w:val="0"/>
                <w:color w:val="000000"/>
                <w:kern w:val="0"/>
                <w:sz w:val="20"/>
                <w:szCs w:val="20"/>
                <w:u w:val="none"/>
                <w:lang w:val="en-US" w:eastAsia="zh-CN" w:bidi="ar"/>
              </w:rPr>
              <w:t>项目开始年度</w:t>
            </w:r>
          </w:p>
        </w:tc>
        <w:tc>
          <w:tcPr>
            <w:tcW w:w="1005" w:type="dxa"/>
            <w:noWrap w:val="0"/>
            <w:vAlign w:val="bottom"/>
          </w:tcPr>
          <w:p>
            <w:pPr>
              <w:keepNext w:val="0"/>
              <w:keepLines w:val="0"/>
              <w:widowControl/>
              <w:suppressLineNumbers w:val="0"/>
              <w:jc w:val="left"/>
              <w:textAlignment w:val="bottom"/>
            </w:pPr>
            <w:r>
              <w:rPr>
                <w:rFonts w:ascii="宋体" w:eastAsia="宋体" w:hAnsi="宋体" w:cs="宋体" w:hint="eastAsia"/>
                <w:i w:val="0"/>
                <w:iCs w:val="0"/>
                <w:color w:val="000000"/>
                <w:kern w:val="0"/>
                <w:sz w:val="20"/>
                <w:szCs w:val="20"/>
                <w:u w:val="none"/>
                <w:lang w:val="en-US" w:eastAsia="zh-CN" w:bidi="ar"/>
              </w:rPr>
              <w:t>2024.1.1</w:t>
            </w:r>
          </w:p>
        </w:tc>
        <w:tc>
          <w:tcPr>
            <w:tcW w:w="6983" w:type="dxa"/>
            <w:gridSpan w:val="2"/>
            <w:noWrap w:val="0"/>
            <w:vAlign w:val="center"/>
          </w:tcPr>
          <w:p>
            <w:pPr>
              <w:keepNext w:val="0"/>
              <w:keepLines w:val="0"/>
              <w:widowControl/>
              <w:suppressLineNumbers w:val="0"/>
              <w:jc w:val="center"/>
              <w:textAlignment w:val="center"/>
              <w:rPr>
                <w:rFonts w:ascii="宋体" w:cs="宋体" w:hint="default"/>
                <w:sz w:val="18"/>
                <w:szCs w:val="18"/>
                <w:lang w:val="en-US"/>
              </w:rPr>
            </w:pPr>
            <w:r>
              <w:rPr>
                <w:rFonts w:ascii="宋体" w:hAnsi="宋体" w:cs="宋体" w:hint="eastAsia"/>
                <w:i w:val="0"/>
                <w:iCs w:val="0"/>
                <w:color w:val="000000"/>
                <w:kern w:val="0"/>
                <w:sz w:val="20"/>
                <w:szCs w:val="20"/>
                <w:u w:val="none"/>
                <w:lang w:val="en-US" w:eastAsia="zh-CN" w:bidi="ar"/>
              </w:rPr>
              <w:t>160.95</w:t>
            </w:r>
          </w:p>
        </w:tc>
      </w:tr>
      <w:tr>
        <w:tblPrEx>
          <w:tblW w:w="0" w:type="auto"/>
          <w:tblInd w:w="0" w:type="dxa"/>
          <w:tblLayout w:type="fixed"/>
          <w:tblCellMar>
            <w:top w:w="0" w:type="dxa"/>
            <w:left w:w="108" w:type="dxa"/>
            <w:bottom w:w="0" w:type="dxa"/>
            <w:right w:w="108" w:type="dxa"/>
          </w:tblCellMar>
        </w:tblPrEx>
        <w:trPr>
          <w:trHeight w:val="330"/>
        </w:trPr>
        <w:tc>
          <w:tcPr>
            <w:tcW w:w="435" w:type="dxa"/>
            <w:vMerge/>
            <w:noWrap w:val="0"/>
            <w:vAlign w:val="center"/>
          </w:tcPr>
          <w:p>
            <w:pPr>
              <w:jc w:val="center"/>
              <w:rPr>
                <w:rFonts w:ascii="宋体" w:cs="宋体"/>
                <w:sz w:val="18"/>
                <w:szCs w:val="18"/>
              </w:rPr>
            </w:pPr>
          </w:p>
        </w:tc>
        <w:tc>
          <w:tcPr>
            <w:tcW w:w="597" w:type="dxa"/>
            <w:noWrap w:val="0"/>
            <w:vAlign w:val="center"/>
          </w:tcPr>
          <w:p>
            <w:pPr>
              <w:keepNext w:val="0"/>
              <w:keepLines w:val="0"/>
              <w:widowControl/>
              <w:suppressLineNumbers w:val="0"/>
              <w:jc w:val="left"/>
              <w:textAlignment w:val="center"/>
            </w:pPr>
            <w:r>
              <w:rPr>
                <w:rFonts w:ascii="宋体" w:eastAsia="宋体" w:hAnsi="宋体" w:cs="宋体" w:hint="eastAsia"/>
                <w:i w:val="0"/>
                <w:iCs w:val="0"/>
                <w:color w:val="000000"/>
                <w:kern w:val="0"/>
                <w:sz w:val="20"/>
                <w:szCs w:val="20"/>
                <w:u w:val="none"/>
                <w:lang w:val="en-US" w:eastAsia="zh-CN" w:bidi="ar"/>
              </w:rPr>
              <w:t>项目终止年度</w:t>
            </w:r>
          </w:p>
        </w:tc>
        <w:tc>
          <w:tcPr>
            <w:tcW w:w="1005" w:type="dxa"/>
            <w:noWrap w:val="0"/>
            <w:vAlign w:val="bottom"/>
          </w:tcPr>
          <w:p>
            <w:pPr>
              <w:keepNext w:val="0"/>
              <w:keepLines w:val="0"/>
              <w:widowControl/>
              <w:suppressLineNumbers w:val="0"/>
              <w:jc w:val="left"/>
              <w:textAlignment w:val="bottom"/>
            </w:pPr>
            <w:r>
              <w:rPr>
                <w:rFonts w:ascii="宋体" w:eastAsia="宋体" w:hAnsi="宋体" w:cs="宋体" w:hint="eastAsia"/>
                <w:i w:val="0"/>
                <w:iCs w:val="0"/>
                <w:color w:val="000000"/>
                <w:kern w:val="0"/>
                <w:sz w:val="20"/>
                <w:szCs w:val="20"/>
                <w:u w:val="none"/>
                <w:lang w:val="en-US" w:eastAsia="zh-CN" w:bidi="ar"/>
              </w:rPr>
              <w:t>2024.12.31</w:t>
            </w:r>
          </w:p>
        </w:tc>
        <w:tc>
          <w:tcPr>
            <w:tcW w:w="6983" w:type="dxa"/>
            <w:gridSpan w:val="2"/>
            <w:noWrap w:val="0"/>
            <w:vAlign w:val="center"/>
          </w:tcPr>
          <w:p>
            <w:pPr>
              <w:keepNext w:val="0"/>
              <w:keepLines w:val="0"/>
              <w:widowControl/>
              <w:suppressLineNumbers w:val="0"/>
              <w:jc w:val="center"/>
              <w:textAlignment w:val="center"/>
              <w:rPr>
                <w:rFonts w:ascii="宋体" w:cs="宋体" w:hint="default"/>
                <w:sz w:val="18"/>
                <w:szCs w:val="18"/>
                <w:lang w:val="en-US"/>
              </w:rPr>
            </w:pPr>
            <w:r>
              <w:rPr>
                <w:rFonts w:ascii="宋体" w:eastAsia="宋体" w:hAnsi="宋体" w:cs="宋体" w:hint="eastAsia"/>
                <w:i w:val="0"/>
                <w:iCs w:val="0"/>
                <w:color w:val="000000"/>
                <w:kern w:val="0"/>
                <w:sz w:val="20"/>
                <w:szCs w:val="20"/>
                <w:u w:val="none"/>
                <w:lang w:val="en-US" w:eastAsia="zh-CN" w:bidi="ar"/>
              </w:rPr>
              <w:t>其中：财政拨款</w:t>
            </w:r>
            <w:r>
              <w:rPr>
                <w:rFonts w:ascii="宋体" w:hAnsi="宋体" w:cs="宋体" w:hint="eastAsia"/>
                <w:i w:val="0"/>
                <w:iCs w:val="0"/>
                <w:color w:val="000000"/>
                <w:kern w:val="0"/>
                <w:sz w:val="20"/>
                <w:szCs w:val="20"/>
                <w:u w:val="none"/>
                <w:lang w:val="en-US" w:eastAsia="zh-CN" w:bidi="ar"/>
              </w:rPr>
              <w:t>160.95</w:t>
            </w:r>
          </w:p>
        </w:tc>
      </w:tr>
      <w:tr>
        <w:tblPrEx>
          <w:tblW w:w="0" w:type="auto"/>
          <w:tblInd w:w="0" w:type="dxa"/>
          <w:tblLayout w:type="fixed"/>
          <w:tblCellMar>
            <w:top w:w="0" w:type="dxa"/>
            <w:left w:w="108" w:type="dxa"/>
            <w:bottom w:w="0" w:type="dxa"/>
            <w:right w:w="108" w:type="dxa"/>
          </w:tblCellMar>
        </w:tblPrEx>
        <w:trPr>
          <w:trHeight w:val="1145"/>
        </w:trPr>
        <w:tc>
          <w:tcPr>
            <w:tcW w:w="435" w:type="dxa"/>
            <w:vMerge/>
            <w:noWrap w:val="0"/>
            <w:vAlign w:val="center"/>
          </w:tcPr>
          <w:p>
            <w:pPr>
              <w:jc w:val="center"/>
              <w:rPr>
                <w:rFonts w:ascii="宋体" w:cs="宋体"/>
                <w:sz w:val="18"/>
                <w:szCs w:val="18"/>
              </w:rPr>
            </w:pPr>
          </w:p>
        </w:tc>
        <w:tc>
          <w:tcPr>
            <w:tcW w:w="597" w:type="dxa"/>
            <w:noWrap w:val="0"/>
            <w:vAlign w:val="center"/>
          </w:tcPr>
          <w:p>
            <w:pPr>
              <w:keepNext w:val="0"/>
              <w:keepLines w:val="0"/>
              <w:widowControl/>
              <w:suppressLineNumbers w:val="0"/>
              <w:jc w:val="left"/>
              <w:textAlignment w:val="center"/>
            </w:pPr>
            <w:r>
              <w:rPr>
                <w:rFonts w:ascii="宋体" w:eastAsia="宋体" w:hAnsi="宋体" w:cs="宋体" w:hint="eastAsia"/>
                <w:i w:val="0"/>
                <w:iCs w:val="0"/>
                <w:color w:val="000000"/>
                <w:kern w:val="0"/>
                <w:sz w:val="20"/>
                <w:szCs w:val="20"/>
                <w:u w:val="none"/>
                <w:lang w:val="en-US" w:eastAsia="zh-CN" w:bidi="ar"/>
              </w:rPr>
              <w:t>项目总资金</w:t>
            </w:r>
          </w:p>
        </w:tc>
        <w:tc>
          <w:tcPr>
            <w:tcW w:w="1005" w:type="dxa"/>
            <w:noWrap w:val="0"/>
            <w:vAlign w:val="bottom"/>
          </w:tcPr>
          <w:p>
            <w:pPr>
              <w:keepNext w:val="0"/>
              <w:keepLines w:val="0"/>
              <w:widowControl/>
              <w:suppressLineNumbers w:val="0"/>
              <w:jc w:val="center"/>
              <w:textAlignment w:val="bottom"/>
            </w:pPr>
            <w:r>
              <w:rPr>
                <w:rFonts w:ascii="宋体" w:eastAsia="宋体" w:hAnsi="宋体" w:cs="宋体" w:hint="eastAsia"/>
                <w:i w:val="0"/>
                <w:iCs w:val="0"/>
                <w:color w:val="000000"/>
                <w:kern w:val="0"/>
                <w:sz w:val="20"/>
                <w:szCs w:val="20"/>
                <w:u w:val="none"/>
                <w:lang w:val="en-US" w:eastAsia="zh-CN" w:bidi="ar"/>
              </w:rPr>
              <w:t>160.95</w:t>
            </w:r>
          </w:p>
        </w:tc>
        <w:tc>
          <w:tcPr>
            <w:tcW w:w="6983" w:type="dxa"/>
            <w:gridSpan w:val="2"/>
            <w:noWrap w:val="0"/>
            <w:vAlign w:val="center"/>
          </w:tcPr>
          <w:p>
            <w:pPr>
              <w:keepNext w:val="0"/>
              <w:keepLines w:val="0"/>
              <w:widowControl/>
              <w:suppressLineNumbers w:val="0"/>
              <w:jc w:val="left"/>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 xml:space="preserve">     其他资金</w:t>
            </w:r>
          </w:p>
        </w:tc>
      </w:tr>
      <w:tr>
        <w:tblPrEx>
          <w:tblW w:w="0" w:type="auto"/>
          <w:tblInd w:w="0" w:type="dxa"/>
          <w:tblLayout w:type="fixed"/>
          <w:tblCellMar>
            <w:top w:w="0" w:type="dxa"/>
            <w:left w:w="108" w:type="dxa"/>
            <w:bottom w:w="0" w:type="dxa"/>
            <w:right w:w="108" w:type="dxa"/>
          </w:tblCellMar>
        </w:tblPrEx>
        <w:trPr>
          <w:trHeight w:val="780"/>
        </w:trPr>
        <w:tc>
          <w:tcPr>
            <w:tcW w:w="435" w:type="dxa"/>
            <w:vMerge w:val="restart"/>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总</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体</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目</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标</w:t>
            </w:r>
          </w:p>
        </w:tc>
        <w:tc>
          <w:tcPr>
            <w:tcW w:w="8585" w:type="dxa"/>
            <w:gridSpan w:val="4"/>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年度目标</w:t>
            </w:r>
          </w:p>
        </w:tc>
      </w:tr>
      <w:tr>
        <w:tblPrEx>
          <w:tblW w:w="0" w:type="auto"/>
          <w:tblInd w:w="0" w:type="dxa"/>
          <w:tblLayout w:type="fixed"/>
          <w:tblCellMar>
            <w:top w:w="0" w:type="dxa"/>
            <w:left w:w="108" w:type="dxa"/>
            <w:bottom w:w="0" w:type="dxa"/>
            <w:right w:w="108" w:type="dxa"/>
          </w:tblCellMar>
        </w:tblPrEx>
        <w:trPr>
          <w:trHeight w:val="508"/>
        </w:trPr>
        <w:tc>
          <w:tcPr>
            <w:tcW w:w="435" w:type="dxa"/>
            <w:vMerge/>
            <w:noWrap w:val="0"/>
            <w:vAlign w:val="center"/>
          </w:tcPr>
          <w:p>
            <w:pPr>
              <w:jc w:val="center"/>
              <w:rPr>
                <w:rFonts w:ascii="宋体" w:cs="宋体"/>
                <w:sz w:val="18"/>
                <w:szCs w:val="18"/>
              </w:rPr>
            </w:pPr>
          </w:p>
        </w:tc>
        <w:tc>
          <w:tcPr>
            <w:tcW w:w="8585" w:type="dxa"/>
            <w:gridSpan w:val="4"/>
            <w:noWrap w:val="0"/>
            <w:vAlign w:val="center"/>
          </w:tcPr>
          <w:p>
            <w:pPr>
              <w:keepNext w:val="0"/>
              <w:keepLines w:val="0"/>
              <w:widowControl/>
              <w:suppressLineNumbers w:val="0"/>
              <w:jc w:val="left"/>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保障安全生产、防汛抗旱、减灾救灾等工作顺利进行</w:t>
            </w:r>
          </w:p>
        </w:tc>
      </w:tr>
      <w:tr>
        <w:tblPrEx>
          <w:tblW w:w="0" w:type="auto"/>
          <w:tblInd w:w="0" w:type="dxa"/>
          <w:tblLayout w:type="fixed"/>
          <w:tblCellMar>
            <w:top w:w="0" w:type="dxa"/>
            <w:left w:w="108" w:type="dxa"/>
            <w:bottom w:w="0" w:type="dxa"/>
            <w:right w:w="108" w:type="dxa"/>
          </w:tblCellMar>
        </w:tblPrEx>
        <w:trPr>
          <w:trHeight w:val="363"/>
        </w:trPr>
        <w:tc>
          <w:tcPr>
            <w:tcW w:w="435" w:type="dxa"/>
            <w:vMerge w:val="restart"/>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绩</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效</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指</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标</w:t>
            </w:r>
          </w:p>
        </w:tc>
        <w:tc>
          <w:tcPr>
            <w:tcW w:w="1602" w:type="dxa"/>
            <w:gridSpan w:val="2"/>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一级指标</w:t>
            </w:r>
          </w:p>
        </w:tc>
        <w:tc>
          <w:tcPr>
            <w:tcW w:w="2312" w:type="dxa"/>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二级指标</w:t>
            </w:r>
          </w:p>
        </w:tc>
        <w:tc>
          <w:tcPr>
            <w:tcW w:w="4671" w:type="dxa"/>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三级指标</w:t>
            </w:r>
          </w:p>
        </w:tc>
      </w:tr>
      <w:tr>
        <w:tblPrEx>
          <w:tblW w:w="0" w:type="auto"/>
          <w:tblInd w:w="0" w:type="dxa"/>
          <w:tblLayout w:type="fixed"/>
          <w:tblCellMar>
            <w:top w:w="0" w:type="dxa"/>
            <w:left w:w="108" w:type="dxa"/>
            <w:bottom w:w="0" w:type="dxa"/>
            <w:right w:w="108" w:type="dxa"/>
          </w:tblCellMar>
        </w:tblPrEx>
        <w:trPr>
          <w:trHeight w:val="363"/>
        </w:trPr>
        <w:tc>
          <w:tcPr>
            <w:tcW w:w="435" w:type="dxa"/>
            <w:vMerge/>
            <w:noWrap w:val="0"/>
            <w:vAlign w:val="center"/>
          </w:tcPr>
          <w:p>
            <w:pPr>
              <w:jc w:val="center"/>
              <w:rPr>
                <w:rFonts w:ascii="宋体" w:cs="宋体"/>
                <w:sz w:val="18"/>
                <w:szCs w:val="18"/>
              </w:rPr>
            </w:pPr>
          </w:p>
        </w:tc>
        <w:tc>
          <w:tcPr>
            <w:tcW w:w="1602" w:type="dxa"/>
            <w:gridSpan w:val="2"/>
            <w:vMerge w:val="restart"/>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产出指标</w:t>
            </w:r>
          </w:p>
        </w:tc>
        <w:tc>
          <w:tcPr>
            <w:tcW w:w="2312" w:type="dxa"/>
            <w:vMerge w:val="restart"/>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数量指标</w:t>
            </w:r>
          </w:p>
        </w:tc>
        <w:tc>
          <w:tcPr>
            <w:tcW w:w="4671" w:type="dxa"/>
            <w:noWrap w:val="0"/>
            <w:vAlign w:val="center"/>
          </w:tcPr>
          <w:p>
            <w:pPr>
              <w:keepNext w:val="0"/>
              <w:keepLines w:val="0"/>
              <w:widowControl/>
              <w:suppressLineNumbers w:val="0"/>
              <w:jc w:val="left"/>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1、防灾救灾专项经费</w:t>
            </w:r>
          </w:p>
        </w:tc>
      </w:tr>
      <w:tr>
        <w:tblPrEx>
          <w:tblW w:w="0" w:type="auto"/>
          <w:tblInd w:w="0" w:type="dxa"/>
          <w:tblLayout w:type="fixed"/>
          <w:tblCellMar>
            <w:top w:w="0" w:type="dxa"/>
            <w:left w:w="108" w:type="dxa"/>
            <w:bottom w:w="0" w:type="dxa"/>
            <w:right w:w="108" w:type="dxa"/>
          </w:tblCellMar>
        </w:tblPrEx>
        <w:trPr>
          <w:trHeight w:val="363"/>
        </w:trPr>
        <w:tc>
          <w:tcPr>
            <w:tcW w:w="435" w:type="dxa"/>
            <w:vMerge/>
            <w:noWrap w:val="0"/>
            <w:vAlign w:val="center"/>
          </w:tcPr>
          <w:p>
            <w:pPr>
              <w:jc w:val="center"/>
              <w:rPr>
                <w:rFonts w:ascii="宋体" w:cs="宋体"/>
                <w:sz w:val="18"/>
                <w:szCs w:val="18"/>
              </w:rPr>
            </w:pPr>
          </w:p>
        </w:tc>
        <w:tc>
          <w:tcPr>
            <w:tcW w:w="1602" w:type="dxa"/>
            <w:gridSpan w:val="2"/>
            <w:vMerge/>
            <w:noWrap w:val="0"/>
            <w:vAlign w:val="center"/>
          </w:tcPr>
          <w:p>
            <w:pPr>
              <w:jc w:val="center"/>
              <w:rPr>
                <w:rFonts w:ascii="宋体" w:cs="宋体"/>
                <w:sz w:val="18"/>
                <w:szCs w:val="18"/>
              </w:rPr>
            </w:pPr>
          </w:p>
        </w:tc>
        <w:tc>
          <w:tcPr>
            <w:tcW w:w="2312" w:type="dxa"/>
            <w:vMerge/>
            <w:noWrap w:val="0"/>
            <w:vAlign w:val="center"/>
          </w:tcPr>
          <w:p>
            <w:pPr>
              <w:jc w:val="center"/>
              <w:rPr>
                <w:rFonts w:ascii="宋体" w:cs="宋体"/>
                <w:sz w:val="18"/>
                <w:szCs w:val="18"/>
              </w:rPr>
            </w:pPr>
          </w:p>
        </w:tc>
        <w:tc>
          <w:tcPr>
            <w:tcW w:w="4671" w:type="dxa"/>
            <w:noWrap w:val="0"/>
            <w:vAlign w:val="center"/>
          </w:tcPr>
          <w:p>
            <w:pPr>
              <w:keepNext w:val="0"/>
              <w:keepLines w:val="0"/>
              <w:widowControl/>
              <w:suppressLineNumbers w:val="0"/>
              <w:jc w:val="left"/>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2、安全生产工作经费</w:t>
            </w:r>
          </w:p>
        </w:tc>
      </w:tr>
      <w:tr>
        <w:tblPrEx>
          <w:tblW w:w="0" w:type="auto"/>
          <w:tblInd w:w="0" w:type="dxa"/>
          <w:tblLayout w:type="fixed"/>
          <w:tblCellMar>
            <w:top w:w="0" w:type="dxa"/>
            <w:left w:w="108" w:type="dxa"/>
            <w:bottom w:w="0" w:type="dxa"/>
            <w:right w:w="108" w:type="dxa"/>
          </w:tblCellMar>
        </w:tblPrEx>
        <w:trPr>
          <w:trHeight w:val="363"/>
        </w:trPr>
        <w:tc>
          <w:tcPr>
            <w:tcW w:w="435" w:type="dxa"/>
            <w:vMerge/>
            <w:noWrap w:val="0"/>
            <w:vAlign w:val="center"/>
          </w:tcPr>
          <w:p>
            <w:pPr>
              <w:jc w:val="center"/>
              <w:rPr>
                <w:rFonts w:ascii="宋体" w:cs="宋体"/>
                <w:sz w:val="18"/>
                <w:szCs w:val="18"/>
              </w:rPr>
            </w:pPr>
          </w:p>
        </w:tc>
        <w:tc>
          <w:tcPr>
            <w:tcW w:w="1602" w:type="dxa"/>
            <w:gridSpan w:val="2"/>
            <w:vMerge/>
            <w:noWrap w:val="0"/>
            <w:vAlign w:val="center"/>
          </w:tcPr>
          <w:p>
            <w:pPr>
              <w:jc w:val="center"/>
              <w:rPr>
                <w:rFonts w:ascii="宋体" w:cs="宋体"/>
                <w:sz w:val="18"/>
                <w:szCs w:val="18"/>
              </w:rPr>
            </w:pPr>
          </w:p>
        </w:tc>
        <w:tc>
          <w:tcPr>
            <w:tcW w:w="2312" w:type="dxa"/>
            <w:vMerge/>
            <w:noWrap w:val="0"/>
            <w:vAlign w:val="center"/>
          </w:tcPr>
          <w:p>
            <w:pPr>
              <w:jc w:val="center"/>
              <w:rPr>
                <w:rFonts w:ascii="宋体" w:cs="宋体"/>
                <w:sz w:val="18"/>
                <w:szCs w:val="18"/>
              </w:rPr>
            </w:pPr>
          </w:p>
        </w:tc>
        <w:tc>
          <w:tcPr>
            <w:tcW w:w="4671" w:type="dxa"/>
            <w:noWrap w:val="0"/>
            <w:vAlign w:val="center"/>
          </w:tcPr>
          <w:p>
            <w:pPr>
              <w:keepNext w:val="0"/>
              <w:keepLines w:val="0"/>
              <w:widowControl/>
              <w:suppressLineNumbers w:val="0"/>
              <w:jc w:val="left"/>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3、防震减灾工作经费</w:t>
            </w:r>
          </w:p>
        </w:tc>
      </w:tr>
      <w:tr>
        <w:tblPrEx>
          <w:tblW w:w="0" w:type="auto"/>
          <w:tblInd w:w="0" w:type="dxa"/>
          <w:tblLayout w:type="fixed"/>
          <w:tblCellMar>
            <w:top w:w="0" w:type="dxa"/>
            <w:left w:w="108" w:type="dxa"/>
            <w:bottom w:w="0" w:type="dxa"/>
            <w:right w:w="108" w:type="dxa"/>
          </w:tblCellMar>
        </w:tblPrEx>
        <w:trPr>
          <w:trHeight w:val="363"/>
        </w:trPr>
        <w:tc>
          <w:tcPr>
            <w:tcW w:w="435" w:type="dxa"/>
            <w:vMerge/>
            <w:noWrap w:val="0"/>
            <w:vAlign w:val="center"/>
          </w:tcPr>
          <w:p>
            <w:pPr>
              <w:jc w:val="center"/>
              <w:rPr>
                <w:rFonts w:ascii="宋体" w:cs="宋体"/>
                <w:sz w:val="18"/>
                <w:szCs w:val="18"/>
              </w:rPr>
            </w:pPr>
          </w:p>
        </w:tc>
        <w:tc>
          <w:tcPr>
            <w:tcW w:w="1602" w:type="dxa"/>
            <w:gridSpan w:val="2"/>
            <w:vMerge/>
            <w:noWrap w:val="0"/>
            <w:vAlign w:val="center"/>
          </w:tcPr>
          <w:p>
            <w:pPr>
              <w:jc w:val="center"/>
              <w:rPr>
                <w:rFonts w:ascii="宋体" w:cs="宋体"/>
                <w:sz w:val="18"/>
                <w:szCs w:val="18"/>
              </w:rPr>
            </w:pPr>
          </w:p>
        </w:tc>
        <w:tc>
          <w:tcPr>
            <w:tcW w:w="2312" w:type="dxa"/>
            <w:vMerge/>
            <w:noWrap w:val="0"/>
            <w:vAlign w:val="center"/>
          </w:tcPr>
          <w:p>
            <w:pPr>
              <w:jc w:val="center"/>
              <w:rPr>
                <w:rFonts w:ascii="宋体" w:cs="宋体"/>
                <w:sz w:val="18"/>
                <w:szCs w:val="18"/>
              </w:rPr>
            </w:pPr>
          </w:p>
        </w:tc>
        <w:tc>
          <w:tcPr>
            <w:tcW w:w="4671" w:type="dxa"/>
            <w:noWrap w:val="0"/>
            <w:vAlign w:val="center"/>
          </w:tcPr>
          <w:p>
            <w:pPr>
              <w:keepNext w:val="0"/>
              <w:keepLines w:val="0"/>
              <w:widowControl/>
              <w:suppressLineNumbers w:val="0"/>
              <w:jc w:val="left"/>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4、行洪区农村住房保险专项奖金</w:t>
            </w:r>
          </w:p>
        </w:tc>
      </w:tr>
      <w:tr>
        <w:tblPrEx>
          <w:tblW w:w="0" w:type="auto"/>
          <w:tblInd w:w="0" w:type="dxa"/>
          <w:tblLayout w:type="fixed"/>
          <w:tblCellMar>
            <w:top w:w="0" w:type="dxa"/>
            <w:left w:w="108" w:type="dxa"/>
            <w:bottom w:w="0" w:type="dxa"/>
            <w:right w:w="108" w:type="dxa"/>
          </w:tblCellMar>
        </w:tblPrEx>
        <w:trPr>
          <w:trHeight w:val="363"/>
        </w:trPr>
        <w:tc>
          <w:tcPr>
            <w:tcW w:w="435" w:type="dxa"/>
            <w:vMerge/>
            <w:noWrap w:val="0"/>
            <w:vAlign w:val="center"/>
          </w:tcPr>
          <w:p>
            <w:pPr>
              <w:jc w:val="center"/>
              <w:rPr>
                <w:rFonts w:ascii="宋体" w:cs="宋体"/>
                <w:sz w:val="18"/>
                <w:szCs w:val="18"/>
              </w:rPr>
            </w:pPr>
          </w:p>
        </w:tc>
        <w:tc>
          <w:tcPr>
            <w:tcW w:w="1602" w:type="dxa"/>
            <w:gridSpan w:val="2"/>
            <w:vMerge/>
            <w:noWrap w:val="0"/>
            <w:vAlign w:val="center"/>
          </w:tcPr>
          <w:p>
            <w:pPr>
              <w:jc w:val="center"/>
              <w:rPr>
                <w:rFonts w:ascii="宋体" w:cs="宋体"/>
                <w:sz w:val="18"/>
                <w:szCs w:val="18"/>
              </w:rPr>
            </w:pPr>
          </w:p>
        </w:tc>
        <w:tc>
          <w:tcPr>
            <w:tcW w:w="2312" w:type="dxa"/>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质量指标</w:t>
            </w:r>
          </w:p>
        </w:tc>
        <w:tc>
          <w:tcPr>
            <w:tcW w:w="4671" w:type="dxa"/>
            <w:noWrap w:val="0"/>
            <w:vAlign w:val="center"/>
          </w:tcPr>
          <w:p>
            <w:pPr>
              <w:keepNext w:val="0"/>
              <w:keepLines w:val="0"/>
              <w:widowControl/>
              <w:suppressLineNumbers w:val="0"/>
              <w:jc w:val="left"/>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经费支出合规性</w:t>
            </w:r>
          </w:p>
        </w:tc>
      </w:tr>
      <w:tr>
        <w:tblPrEx>
          <w:tblW w:w="0" w:type="auto"/>
          <w:tblInd w:w="0" w:type="dxa"/>
          <w:tblLayout w:type="fixed"/>
          <w:tblCellMar>
            <w:top w:w="0" w:type="dxa"/>
            <w:left w:w="108" w:type="dxa"/>
            <w:bottom w:w="0" w:type="dxa"/>
            <w:right w:w="108" w:type="dxa"/>
          </w:tblCellMar>
        </w:tblPrEx>
        <w:trPr>
          <w:trHeight w:val="363"/>
        </w:trPr>
        <w:tc>
          <w:tcPr>
            <w:tcW w:w="435" w:type="dxa"/>
            <w:vMerge/>
            <w:noWrap w:val="0"/>
            <w:vAlign w:val="center"/>
          </w:tcPr>
          <w:p>
            <w:pPr>
              <w:jc w:val="center"/>
              <w:rPr>
                <w:rFonts w:ascii="宋体" w:cs="宋体"/>
                <w:sz w:val="18"/>
                <w:szCs w:val="18"/>
              </w:rPr>
            </w:pPr>
          </w:p>
        </w:tc>
        <w:tc>
          <w:tcPr>
            <w:tcW w:w="1602" w:type="dxa"/>
            <w:gridSpan w:val="2"/>
            <w:vMerge/>
            <w:noWrap w:val="0"/>
            <w:vAlign w:val="center"/>
          </w:tcPr>
          <w:p>
            <w:pPr>
              <w:jc w:val="center"/>
              <w:rPr>
                <w:rFonts w:ascii="宋体" w:cs="宋体"/>
                <w:sz w:val="18"/>
                <w:szCs w:val="18"/>
              </w:rPr>
            </w:pPr>
          </w:p>
        </w:tc>
        <w:tc>
          <w:tcPr>
            <w:tcW w:w="2312" w:type="dxa"/>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时效指标</w:t>
            </w:r>
          </w:p>
        </w:tc>
        <w:tc>
          <w:tcPr>
            <w:tcW w:w="4671" w:type="dxa"/>
            <w:noWrap w:val="0"/>
            <w:vAlign w:val="center"/>
          </w:tcPr>
          <w:p>
            <w:pPr>
              <w:keepNext w:val="0"/>
              <w:keepLines w:val="0"/>
              <w:widowControl/>
              <w:suppressLineNumbers w:val="0"/>
              <w:jc w:val="left"/>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经费支出时效性</w:t>
            </w:r>
          </w:p>
        </w:tc>
      </w:tr>
      <w:tr>
        <w:tblPrEx>
          <w:tblW w:w="0" w:type="auto"/>
          <w:tblInd w:w="0" w:type="dxa"/>
          <w:tblLayout w:type="fixed"/>
          <w:tblCellMar>
            <w:top w:w="0" w:type="dxa"/>
            <w:left w:w="108" w:type="dxa"/>
            <w:bottom w:w="0" w:type="dxa"/>
            <w:right w:w="108" w:type="dxa"/>
          </w:tblCellMar>
        </w:tblPrEx>
        <w:trPr>
          <w:trHeight w:val="363"/>
        </w:trPr>
        <w:tc>
          <w:tcPr>
            <w:tcW w:w="435" w:type="dxa"/>
            <w:vMerge/>
            <w:noWrap w:val="0"/>
            <w:vAlign w:val="center"/>
          </w:tcPr>
          <w:p>
            <w:pPr>
              <w:jc w:val="center"/>
              <w:rPr>
                <w:rFonts w:ascii="宋体" w:cs="宋体"/>
                <w:sz w:val="18"/>
                <w:szCs w:val="18"/>
              </w:rPr>
            </w:pPr>
          </w:p>
        </w:tc>
        <w:tc>
          <w:tcPr>
            <w:tcW w:w="1602" w:type="dxa"/>
            <w:gridSpan w:val="2"/>
            <w:vMerge/>
            <w:noWrap w:val="0"/>
            <w:vAlign w:val="center"/>
          </w:tcPr>
          <w:p>
            <w:pPr>
              <w:jc w:val="center"/>
              <w:rPr>
                <w:rFonts w:ascii="宋体" w:cs="宋体"/>
                <w:sz w:val="18"/>
                <w:szCs w:val="18"/>
              </w:rPr>
            </w:pPr>
          </w:p>
        </w:tc>
        <w:tc>
          <w:tcPr>
            <w:tcW w:w="2312" w:type="dxa"/>
            <w:vMerge w:val="restart"/>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成本指标</w:t>
            </w:r>
          </w:p>
        </w:tc>
        <w:tc>
          <w:tcPr>
            <w:tcW w:w="4671" w:type="dxa"/>
            <w:noWrap w:val="0"/>
            <w:vAlign w:val="center"/>
          </w:tcPr>
          <w:p>
            <w:pPr>
              <w:keepNext w:val="0"/>
              <w:keepLines w:val="0"/>
              <w:widowControl/>
              <w:suppressLineNumbers w:val="0"/>
              <w:jc w:val="left"/>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1、防汛救灾专项经费</w:t>
            </w:r>
          </w:p>
        </w:tc>
      </w:tr>
      <w:tr>
        <w:tblPrEx>
          <w:tblW w:w="0" w:type="auto"/>
          <w:tblInd w:w="0" w:type="dxa"/>
          <w:tblLayout w:type="fixed"/>
          <w:tblCellMar>
            <w:top w:w="0" w:type="dxa"/>
            <w:left w:w="108" w:type="dxa"/>
            <w:bottom w:w="0" w:type="dxa"/>
            <w:right w:w="108" w:type="dxa"/>
          </w:tblCellMar>
        </w:tblPrEx>
        <w:trPr>
          <w:trHeight w:val="363"/>
        </w:trPr>
        <w:tc>
          <w:tcPr>
            <w:tcW w:w="435" w:type="dxa"/>
            <w:vMerge/>
            <w:noWrap w:val="0"/>
            <w:vAlign w:val="center"/>
          </w:tcPr>
          <w:p>
            <w:pPr>
              <w:jc w:val="center"/>
              <w:rPr>
                <w:rFonts w:ascii="宋体" w:cs="宋体"/>
                <w:sz w:val="18"/>
                <w:szCs w:val="18"/>
              </w:rPr>
            </w:pPr>
          </w:p>
        </w:tc>
        <w:tc>
          <w:tcPr>
            <w:tcW w:w="1602" w:type="dxa"/>
            <w:gridSpan w:val="2"/>
            <w:vMerge/>
            <w:noWrap w:val="0"/>
            <w:vAlign w:val="center"/>
          </w:tcPr>
          <w:p>
            <w:pPr>
              <w:jc w:val="center"/>
              <w:rPr>
                <w:rFonts w:ascii="宋体" w:cs="宋体"/>
                <w:sz w:val="18"/>
                <w:szCs w:val="18"/>
              </w:rPr>
            </w:pPr>
          </w:p>
        </w:tc>
        <w:tc>
          <w:tcPr>
            <w:tcW w:w="2312" w:type="dxa"/>
            <w:vMerge/>
            <w:noWrap w:val="0"/>
            <w:vAlign w:val="center"/>
          </w:tcPr>
          <w:p>
            <w:pPr>
              <w:jc w:val="center"/>
              <w:rPr>
                <w:rFonts w:ascii="宋体" w:cs="宋体"/>
                <w:sz w:val="18"/>
                <w:szCs w:val="18"/>
              </w:rPr>
            </w:pPr>
          </w:p>
        </w:tc>
        <w:tc>
          <w:tcPr>
            <w:tcW w:w="4671" w:type="dxa"/>
            <w:noWrap w:val="0"/>
            <w:vAlign w:val="center"/>
          </w:tcPr>
          <w:p>
            <w:pPr>
              <w:keepNext w:val="0"/>
              <w:keepLines w:val="0"/>
              <w:widowControl/>
              <w:suppressLineNumbers w:val="0"/>
              <w:jc w:val="left"/>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2、行洪区农村住房保险专项奖金</w:t>
            </w:r>
          </w:p>
        </w:tc>
      </w:tr>
      <w:tr>
        <w:tblPrEx>
          <w:tblW w:w="0" w:type="auto"/>
          <w:tblInd w:w="0" w:type="dxa"/>
          <w:tblLayout w:type="fixed"/>
          <w:tblCellMar>
            <w:top w:w="0" w:type="dxa"/>
            <w:left w:w="108" w:type="dxa"/>
            <w:bottom w:w="0" w:type="dxa"/>
            <w:right w:w="108" w:type="dxa"/>
          </w:tblCellMar>
        </w:tblPrEx>
        <w:trPr>
          <w:trHeight w:val="363"/>
        </w:trPr>
        <w:tc>
          <w:tcPr>
            <w:tcW w:w="435" w:type="dxa"/>
            <w:vMerge/>
            <w:noWrap w:val="0"/>
            <w:vAlign w:val="center"/>
          </w:tcPr>
          <w:p>
            <w:pPr>
              <w:jc w:val="center"/>
              <w:rPr>
                <w:rFonts w:ascii="宋体" w:cs="宋体"/>
                <w:sz w:val="18"/>
                <w:szCs w:val="18"/>
              </w:rPr>
            </w:pPr>
          </w:p>
        </w:tc>
        <w:tc>
          <w:tcPr>
            <w:tcW w:w="1602" w:type="dxa"/>
            <w:gridSpan w:val="2"/>
            <w:vMerge w:val="restart"/>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效益指标</w:t>
            </w:r>
          </w:p>
        </w:tc>
        <w:tc>
          <w:tcPr>
            <w:tcW w:w="2312" w:type="dxa"/>
            <w:vMerge w:val="restart"/>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社会效益指标</w:t>
            </w:r>
          </w:p>
        </w:tc>
        <w:tc>
          <w:tcPr>
            <w:tcW w:w="4671" w:type="dxa"/>
            <w:noWrap w:val="0"/>
            <w:vAlign w:val="center"/>
          </w:tcPr>
          <w:p>
            <w:pPr>
              <w:keepNext w:val="0"/>
              <w:keepLines w:val="0"/>
              <w:widowControl/>
              <w:suppressLineNumbers w:val="0"/>
              <w:jc w:val="left"/>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保证全县人民防灾和灾后重建工作</w:t>
            </w:r>
          </w:p>
        </w:tc>
      </w:tr>
      <w:tr>
        <w:tblPrEx>
          <w:tblW w:w="0" w:type="auto"/>
          <w:tblInd w:w="0" w:type="dxa"/>
          <w:tblLayout w:type="fixed"/>
          <w:tblCellMar>
            <w:top w:w="0" w:type="dxa"/>
            <w:left w:w="108" w:type="dxa"/>
            <w:bottom w:w="0" w:type="dxa"/>
            <w:right w:w="108" w:type="dxa"/>
          </w:tblCellMar>
        </w:tblPrEx>
        <w:trPr>
          <w:trHeight w:val="363"/>
        </w:trPr>
        <w:tc>
          <w:tcPr>
            <w:tcW w:w="435" w:type="dxa"/>
            <w:vMerge/>
            <w:noWrap w:val="0"/>
            <w:vAlign w:val="center"/>
          </w:tcPr>
          <w:p>
            <w:pPr>
              <w:jc w:val="center"/>
              <w:rPr>
                <w:rFonts w:ascii="宋体" w:cs="宋体"/>
                <w:sz w:val="18"/>
                <w:szCs w:val="18"/>
              </w:rPr>
            </w:pPr>
          </w:p>
        </w:tc>
        <w:tc>
          <w:tcPr>
            <w:tcW w:w="1602" w:type="dxa"/>
            <w:gridSpan w:val="2"/>
            <w:vMerge/>
            <w:noWrap w:val="0"/>
            <w:vAlign w:val="center"/>
          </w:tcPr>
          <w:p>
            <w:pPr>
              <w:jc w:val="center"/>
              <w:rPr>
                <w:rFonts w:ascii="宋体" w:cs="宋体"/>
                <w:sz w:val="18"/>
                <w:szCs w:val="18"/>
              </w:rPr>
            </w:pPr>
          </w:p>
        </w:tc>
        <w:tc>
          <w:tcPr>
            <w:tcW w:w="2312" w:type="dxa"/>
            <w:vMerge/>
            <w:noWrap w:val="0"/>
            <w:vAlign w:val="center"/>
          </w:tcPr>
          <w:p>
            <w:pPr>
              <w:jc w:val="center"/>
              <w:rPr>
                <w:rFonts w:ascii="宋体" w:cs="宋体"/>
                <w:sz w:val="18"/>
                <w:szCs w:val="18"/>
              </w:rPr>
            </w:pPr>
          </w:p>
        </w:tc>
        <w:tc>
          <w:tcPr>
            <w:tcW w:w="4671" w:type="dxa"/>
            <w:noWrap w:val="0"/>
            <w:vAlign w:val="center"/>
          </w:tcPr>
          <w:p>
            <w:pPr>
              <w:keepNext w:val="0"/>
              <w:keepLines w:val="0"/>
              <w:widowControl/>
              <w:suppressLineNumbers w:val="0"/>
              <w:jc w:val="left"/>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保证灾后行洪区人民住房安全</w:t>
            </w:r>
          </w:p>
        </w:tc>
      </w:tr>
      <w:tr>
        <w:tblPrEx>
          <w:tblW w:w="0" w:type="auto"/>
          <w:tblInd w:w="0" w:type="dxa"/>
          <w:tblLayout w:type="fixed"/>
          <w:tblCellMar>
            <w:top w:w="0" w:type="dxa"/>
            <w:left w:w="108" w:type="dxa"/>
            <w:bottom w:w="0" w:type="dxa"/>
            <w:right w:w="108" w:type="dxa"/>
          </w:tblCellMar>
        </w:tblPrEx>
        <w:trPr>
          <w:trHeight w:val="363"/>
        </w:trPr>
        <w:tc>
          <w:tcPr>
            <w:tcW w:w="435" w:type="dxa"/>
            <w:vMerge/>
            <w:noWrap w:val="0"/>
            <w:vAlign w:val="center"/>
          </w:tcPr>
          <w:p>
            <w:pPr>
              <w:jc w:val="center"/>
              <w:rPr>
                <w:rFonts w:ascii="宋体" w:cs="宋体"/>
                <w:sz w:val="18"/>
                <w:szCs w:val="18"/>
              </w:rPr>
            </w:pPr>
          </w:p>
        </w:tc>
        <w:tc>
          <w:tcPr>
            <w:tcW w:w="1602" w:type="dxa"/>
            <w:gridSpan w:val="2"/>
            <w:vMerge/>
            <w:noWrap w:val="0"/>
            <w:vAlign w:val="center"/>
          </w:tcPr>
          <w:p>
            <w:pPr>
              <w:jc w:val="center"/>
              <w:rPr>
                <w:rFonts w:ascii="宋体" w:cs="宋体"/>
                <w:sz w:val="18"/>
                <w:szCs w:val="18"/>
              </w:rPr>
            </w:pPr>
          </w:p>
        </w:tc>
        <w:tc>
          <w:tcPr>
            <w:tcW w:w="2312" w:type="dxa"/>
            <w:vMerge w:val="restart"/>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可持续影响</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指标</w:t>
            </w:r>
          </w:p>
        </w:tc>
        <w:tc>
          <w:tcPr>
            <w:tcW w:w="4671" w:type="dxa"/>
            <w:noWrap w:val="0"/>
            <w:vAlign w:val="center"/>
          </w:tcPr>
          <w:p>
            <w:pPr>
              <w:keepNext w:val="0"/>
              <w:keepLines w:val="0"/>
              <w:widowControl/>
              <w:suppressLineNumbers w:val="0"/>
              <w:jc w:val="left"/>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保障全县人民生命安全和财产安全。</w:t>
            </w:r>
          </w:p>
        </w:tc>
      </w:tr>
      <w:tr>
        <w:tblPrEx>
          <w:tblW w:w="0" w:type="auto"/>
          <w:tblInd w:w="0" w:type="dxa"/>
          <w:tblLayout w:type="fixed"/>
          <w:tblCellMar>
            <w:top w:w="0" w:type="dxa"/>
            <w:left w:w="108" w:type="dxa"/>
            <w:bottom w:w="0" w:type="dxa"/>
            <w:right w:w="108" w:type="dxa"/>
          </w:tblCellMar>
        </w:tblPrEx>
        <w:trPr>
          <w:trHeight w:val="363"/>
        </w:trPr>
        <w:tc>
          <w:tcPr>
            <w:tcW w:w="435" w:type="dxa"/>
            <w:vMerge/>
            <w:noWrap w:val="0"/>
            <w:vAlign w:val="center"/>
          </w:tcPr>
          <w:p>
            <w:pPr>
              <w:jc w:val="center"/>
              <w:rPr>
                <w:rFonts w:ascii="宋体" w:cs="宋体"/>
                <w:sz w:val="18"/>
                <w:szCs w:val="18"/>
              </w:rPr>
            </w:pPr>
          </w:p>
        </w:tc>
        <w:tc>
          <w:tcPr>
            <w:tcW w:w="1602" w:type="dxa"/>
            <w:gridSpan w:val="2"/>
            <w:vMerge/>
            <w:noWrap w:val="0"/>
            <w:vAlign w:val="center"/>
          </w:tcPr>
          <w:p>
            <w:pPr>
              <w:jc w:val="center"/>
              <w:rPr>
                <w:rFonts w:ascii="宋体" w:cs="宋体"/>
                <w:sz w:val="18"/>
                <w:szCs w:val="18"/>
              </w:rPr>
            </w:pPr>
          </w:p>
        </w:tc>
        <w:tc>
          <w:tcPr>
            <w:tcW w:w="2312" w:type="dxa"/>
            <w:vMerge/>
            <w:noWrap w:val="0"/>
            <w:vAlign w:val="center"/>
          </w:tcPr>
          <w:p>
            <w:pPr>
              <w:jc w:val="center"/>
              <w:rPr>
                <w:rFonts w:ascii="宋体" w:cs="宋体"/>
                <w:sz w:val="18"/>
                <w:szCs w:val="18"/>
              </w:rPr>
            </w:pPr>
          </w:p>
        </w:tc>
        <w:tc>
          <w:tcPr>
            <w:tcW w:w="4671" w:type="dxa"/>
            <w:noWrap w:val="0"/>
            <w:vAlign w:val="center"/>
          </w:tcPr>
          <w:p>
            <w:pPr>
              <w:keepNext w:val="0"/>
              <w:keepLines w:val="0"/>
              <w:widowControl/>
              <w:suppressLineNumbers w:val="0"/>
              <w:jc w:val="left"/>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通过项目实施，使人民群众的灾后生活有保障</w:t>
            </w:r>
          </w:p>
        </w:tc>
      </w:tr>
      <w:tr>
        <w:tblPrEx>
          <w:tblW w:w="0" w:type="auto"/>
          <w:tblInd w:w="0" w:type="dxa"/>
          <w:tblLayout w:type="fixed"/>
          <w:tblCellMar>
            <w:top w:w="0" w:type="dxa"/>
            <w:left w:w="108" w:type="dxa"/>
            <w:bottom w:w="0" w:type="dxa"/>
            <w:right w:w="108" w:type="dxa"/>
          </w:tblCellMar>
        </w:tblPrEx>
        <w:trPr>
          <w:trHeight w:val="363"/>
        </w:trPr>
        <w:tc>
          <w:tcPr>
            <w:tcW w:w="435" w:type="dxa"/>
            <w:vMerge/>
            <w:noWrap w:val="0"/>
            <w:vAlign w:val="center"/>
          </w:tcPr>
          <w:p>
            <w:pPr>
              <w:jc w:val="center"/>
              <w:rPr>
                <w:rFonts w:ascii="宋体" w:cs="宋体"/>
                <w:sz w:val="18"/>
                <w:szCs w:val="18"/>
              </w:rPr>
            </w:pPr>
          </w:p>
        </w:tc>
        <w:tc>
          <w:tcPr>
            <w:tcW w:w="1602" w:type="dxa"/>
            <w:gridSpan w:val="2"/>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满意度指标</w:t>
            </w:r>
          </w:p>
        </w:tc>
        <w:tc>
          <w:tcPr>
            <w:tcW w:w="2312" w:type="dxa"/>
            <w:noWrap w:val="0"/>
            <w:vAlign w:val="center"/>
          </w:tcPr>
          <w:p>
            <w:pPr>
              <w:keepNext w:val="0"/>
              <w:keepLines w:val="0"/>
              <w:widowControl/>
              <w:suppressLineNumbers w:val="0"/>
              <w:jc w:val="center"/>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服务对象</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满意度指标</w:t>
            </w:r>
          </w:p>
        </w:tc>
        <w:tc>
          <w:tcPr>
            <w:tcW w:w="4671" w:type="dxa"/>
            <w:noWrap w:val="0"/>
            <w:vAlign w:val="center"/>
          </w:tcPr>
          <w:p>
            <w:pPr>
              <w:keepNext w:val="0"/>
              <w:keepLines w:val="0"/>
              <w:widowControl/>
              <w:suppressLineNumbers w:val="0"/>
              <w:jc w:val="left"/>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人民群众对减灾救灾的满意度</w:t>
            </w:r>
          </w:p>
        </w:tc>
      </w:tr>
      <w:tr>
        <w:tblPrEx>
          <w:tblW w:w="0" w:type="auto"/>
          <w:tblInd w:w="0" w:type="dxa"/>
          <w:tblLayout w:type="fixed"/>
          <w:tblCellMar>
            <w:top w:w="0" w:type="dxa"/>
            <w:left w:w="108" w:type="dxa"/>
            <w:bottom w:w="0" w:type="dxa"/>
            <w:right w:w="108" w:type="dxa"/>
          </w:tblCellMar>
        </w:tblPrEx>
        <w:trPr>
          <w:trHeight w:val="363"/>
        </w:trPr>
        <w:tc>
          <w:tcPr>
            <w:tcW w:w="4349" w:type="dxa"/>
            <w:gridSpan w:val="4"/>
            <w:noWrap w:val="0"/>
            <w:vAlign w:val="center"/>
          </w:tcPr>
          <w:p>
            <w:pPr>
              <w:keepNext w:val="0"/>
              <w:keepLines w:val="0"/>
              <w:widowControl/>
              <w:suppressLineNumbers w:val="0"/>
              <w:jc w:val="left"/>
              <w:textAlignment w:val="center"/>
              <w:rPr>
                <w:rFonts w:ascii="宋体" w:cs="宋体"/>
                <w:sz w:val="18"/>
                <w:szCs w:val="18"/>
              </w:rPr>
            </w:pPr>
            <w:r>
              <w:rPr>
                <w:rFonts w:ascii="宋体" w:eastAsia="宋体" w:hAnsi="宋体" w:cs="宋体" w:hint="eastAsia"/>
                <w:i w:val="0"/>
                <w:iCs w:val="0"/>
                <w:color w:val="000000"/>
                <w:kern w:val="0"/>
                <w:sz w:val="20"/>
                <w:szCs w:val="20"/>
                <w:u w:val="none"/>
                <w:lang w:val="en-US" w:eastAsia="zh-CN" w:bidi="ar"/>
              </w:rPr>
              <w:t>经办人：周海涛</w:t>
            </w:r>
          </w:p>
        </w:tc>
        <w:tc>
          <w:tcPr>
            <w:tcW w:w="4671" w:type="dxa"/>
            <w:noWrap w:val="0"/>
            <w:vAlign w:val="center"/>
          </w:tcPr>
          <w:p>
            <w:pPr>
              <w:keepNext w:val="0"/>
              <w:keepLines w:val="0"/>
              <w:widowControl/>
              <w:suppressLineNumbers w:val="0"/>
              <w:jc w:val="left"/>
              <w:textAlignment w:val="center"/>
              <w:rPr>
                <w:rFonts w:ascii="汉仪中秀体简" w:eastAsia="汉仪中秀体简" w:hAnsi="汉仪中秀体简" w:cs="汉仪中秀体简"/>
                <w:color w:val="000000"/>
                <w:kern w:val="0"/>
                <w:sz w:val="18"/>
                <w:szCs w:val="18"/>
                <w:lang w:bidi="ar"/>
              </w:rPr>
            </w:pPr>
            <w:r>
              <w:rPr>
                <w:rFonts w:ascii="宋体" w:eastAsia="宋体" w:hAnsi="宋体" w:cs="宋体" w:hint="eastAsia"/>
                <w:i w:val="0"/>
                <w:iCs w:val="0"/>
                <w:color w:val="000000"/>
                <w:kern w:val="0"/>
                <w:sz w:val="20"/>
                <w:szCs w:val="20"/>
                <w:u w:val="none"/>
                <w:lang w:val="en-US" w:eastAsia="zh-CN" w:bidi="ar"/>
              </w:rPr>
              <w:t>单位负责人：</w:t>
            </w:r>
            <w:r>
              <w:rPr>
                <w:rFonts w:ascii="宋体" w:hAnsi="宋体" w:cs="宋体" w:hint="eastAsia"/>
                <w:i w:val="0"/>
                <w:iCs w:val="0"/>
                <w:color w:val="000000"/>
                <w:kern w:val="0"/>
                <w:sz w:val="20"/>
                <w:szCs w:val="20"/>
                <w:u w:val="none"/>
                <w:lang w:val="en-US" w:eastAsia="zh-CN" w:bidi="ar"/>
              </w:rPr>
              <w:t>吕学东</w:t>
            </w:r>
          </w:p>
        </w:tc>
      </w:tr>
    </w:tbl>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2.“应急岗位津贴、值班补贴及救援补贴”项目。</w:t>
      </w:r>
    </w:p>
    <w:p>
      <w:pPr>
        <w:topLinePunct/>
        <w:adjustRightInd w:val="0"/>
        <w:snapToGrid w:val="0"/>
        <w:spacing w:line="560" w:lineRule="exact"/>
        <w:ind w:firstLine="640" w:firstLineChars="200"/>
        <w:rPr>
          <w:rFonts w:ascii="仿宋_GB2312" w:eastAsia="仿宋_GB2312" w:hAnsi="TimesNewRoman" w:cs="TimesNewRoman" w:hint="eastAsia"/>
          <w:sz w:val="32"/>
          <w:szCs w:val="32"/>
          <w:lang w:eastAsia="zh-CN"/>
        </w:rPr>
      </w:pPr>
      <w:r>
        <w:rPr>
          <w:rFonts w:ascii="仿宋_GB2312" w:eastAsia="仿宋_GB2312" w:hAnsi="TimesNewRoman" w:cs="TimesNewRoman" w:hint="eastAsia"/>
          <w:sz w:val="32"/>
          <w:szCs w:val="32"/>
        </w:rPr>
        <w:t>（1）项目概述。</w:t>
      </w:r>
      <w:r>
        <w:rPr>
          <w:rFonts w:ascii="仿宋_GB2312" w:eastAsia="仿宋_GB2312" w:hAnsi="TimesNewRoman" w:cs="TimesNewRoman" w:hint="eastAsia"/>
          <w:sz w:val="32"/>
          <w:szCs w:val="32"/>
          <w:lang w:eastAsia="zh-CN"/>
        </w:rPr>
        <w:t>应急管理岗位津贴、应急救援补贴、应急值班补贴</w:t>
      </w: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（2）立项依据</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rPr>
        <w:t>皖组通字【2022】24号</w:t>
      </w:r>
    </w:p>
    <w:p>
      <w:pPr>
        <w:topLinePunct/>
        <w:adjustRightInd w:val="0"/>
        <w:snapToGrid w:val="0"/>
        <w:spacing w:line="560" w:lineRule="exact"/>
        <w:ind w:firstLine="640" w:firstLineChars="200"/>
        <w:rPr>
          <w:rFonts w:ascii="仿宋_GB2312" w:eastAsia="仿宋_GB2312" w:hAnsi="TimesNewRoman" w:cs="TimesNewRoman" w:hint="eastAsia"/>
          <w:sz w:val="32"/>
          <w:szCs w:val="32"/>
          <w:lang w:eastAsia="zh-CN"/>
        </w:rPr>
      </w:pPr>
      <w:r>
        <w:rPr>
          <w:rFonts w:ascii="仿宋_GB2312" w:eastAsia="仿宋_GB2312" w:hAnsi="TimesNewRoman" w:cs="TimesNewRoman" w:hint="eastAsia"/>
          <w:sz w:val="32"/>
          <w:szCs w:val="32"/>
        </w:rPr>
        <w:t>（3）实施主体</w:t>
      </w:r>
      <w:r>
        <w:rPr>
          <w:rFonts w:ascii="仿宋_GB2312" w:eastAsia="仿宋_GB2312" w:hAnsi="TimesNewRoman" w:cs="TimesNewRoman" w:hint="eastAsia"/>
          <w:sz w:val="32"/>
          <w:szCs w:val="32"/>
          <w:lang w:eastAsia="zh-CN"/>
        </w:rPr>
        <w:t>：寿县应急管理局</w:t>
      </w:r>
    </w:p>
    <w:p>
      <w:pPr>
        <w:topLinePunct/>
        <w:adjustRightInd w:val="0"/>
        <w:snapToGrid w:val="0"/>
        <w:spacing w:line="560" w:lineRule="exact"/>
        <w:ind w:firstLine="640" w:firstLineChars="200"/>
        <w:rPr>
          <w:rFonts w:ascii="仿宋_GB2312" w:eastAsia="仿宋_GB2312" w:hAnsi="TimesNewRoman" w:cs="TimesNewRoman" w:hint="default"/>
          <w:sz w:val="32"/>
          <w:szCs w:val="32"/>
          <w:lang w:val="en-US" w:eastAsia="zh-CN"/>
        </w:rPr>
      </w:pPr>
      <w:r>
        <w:rPr>
          <w:rFonts w:ascii="仿宋_GB2312" w:eastAsia="仿宋_GB2312" w:hAnsi="TimesNewRoman" w:cs="TimesNewRoman" w:hint="eastAsia"/>
          <w:sz w:val="32"/>
          <w:szCs w:val="32"/>
        </w:rPr>
        <w:t>（4）起止时间。</w:t>
      </w:r>
      <w:r>
        <w:rPr>
          <w:rFonts w:ascii="仿宋_GB2312" w:eastAsia="仿宋_GB2312" w:hAnsi="TimesNewRoman" w:cs="TimesNewRoman" w:hint="eastAsia"/>
          <w:sz w:val="32"/>
          <w:szCs w:val="32"/>
          <w:lang w:val="en-US" w:eastAsia="zh-CN"/>
        </w:rPr>
        <w:t>2024年1月1日至2024年12月31日</w:t>
      </w:r>
    </w:p>
    <w:p>
      <w:pPr>
        <w:topLinePunct/>
        <w:adjustRightInd w:val="0"/>
        <w:snapToGrid w:val="0"/>
        <w:spacing w:line="560" w:lineRule="exact"/>
        <w:ind w:firstLine="640" w:firstLineChars="200"/>
        <w:rPr>
          <w:rFonts w:ascii="仿宋_GB2312" w:eastAsia="仿宋_GB2312" w:hAnsi="TimesNewRoman" w:cs="TimesNewRoman" w:hint="eastAsia"/>
          <w:sz w:val="32"/>
          <w:szCs w:val="32"/>
          <w:lang w:eastAsia="zh-CN"/>
        </w:rPr>
      </w:pPr>
      <w:r>
        <w:rPr>
          <w:rFonts w:ascii="仿宋_GB2312" w:eastAsia="仿宋_GB2312" w:hAnsi="TimesNewRoman" w:cs="TimesNewRoman" w:hint="eastAsia"/>
          <w:sz w:val="32"/>
          <w:szCs w:val="32"/>
        </w:rPr>
        <w:t>（5）项目内容。</w:t>
      </w:r>
      <w:r>
        <w:rPr>
          <w:rFonts w:ascii="仿宋_GB2312" w:eastAsia="仿宋_GB2312" w:hAnsi="TimesNewRoman" w:cs="TimesNewRoman" w:hint="eastAsia"/>
          <w:sz w:val="32"/>
          <w:szCs w:val="32"/>
          <w:lang w:eastAsia="zh-CN"/>
        </w:rPr>
        <w:t>为健全完善与时代大国应急管理体系相配套的应急管理职业待遇保障体系，经中央领导同志同意，故完善管理津贴补贴有关政策。</w:t>
      </w:r>
    </w:p>
    <w:p>
      <w:pPr>
        <w:topLinePunct/>
        <w:adjustRightInd w:val="0"/>
        <w:snapToGrid w:val="0"/>
        <w:spacing w:line="560" w:lineRule="exact"/>
        <w:ind w:firstLine="640" w:firstLineChars="200"/>
        <w:rPr>
          <w:rFonts w:ascii="仿宋_GB2312" w:eastAsia="仿宋_GB2312" w:hAnsi="TimesNewRoman" w:cs="TimesNewRoman" w:hint="eastAsia"/>
          <w:sz w:val="32"/>
          <w:szCs w:val="32"/>
          <w:lang w:val="en-US" w:eastAsia="zh-CN"/>
        </w:rPr>
      </w:pPr>
      <w:r>
        <w:rPr>
          <w:rFonts w:ascii="仿宋_GB2312" w:eastAsia="仿宋_GB2312" w:hAnsi="TimesNewRoman" w:cs="TimesNewRoman" w:hint="eastAsia"/>
          <w:sz w:val="32"/>
          <w:szCs w:val="32"/>
        </w:rPr>
        <w:t>（6）年度预算安排</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lang w:val="en-US" w:eastAsia="zh-CN"/>
        </w:rPr>
        <w:t>10.56万元。</w:t>
      </w: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（7）绩效目标。</w:t>
      </w:r>
    </w:p>
    <w:tbl>
      <w:tblPr>
        <w:tblStyle w:val="TableNormal"/>
        <w:tblW w:w="98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699"/>
        <w:gridCol w:w="1416"/>
        <w:gridCol w:w="1216"/>
        <w:gridCol w:w="1579"/>
        <w:gridCol w:w="2437"/>
        <w:gridCol w:w="819"/>
        <w:gridCol w:w="1659"/>
      </w:tblGrid>
      <w:tr>
        <w:tblPrEx>
          <w:tblW w:w="98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5"/>
        </w:trPr>
        <w:tc>
          <w:tcPr>
            <w:tcW w:w="9828"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eastAsia="黑体" w:hAnsi="宋体" w:cs="黑体"/>
                <w:i w:val="0"/>
                <w:iCs w:val="0"/>
                <w:color w:val="000000"/>
                <w:sz w:val="40"/>
                <w:szCs w:val="40"/>
                <w:u w:val="none"/>
              </w:rPr>
            </w:pPr>
            <w:r>
              <w:rPr>
                <w:rFonts w:ascii="黑体" w:eastAsia="黑体" w:hAnsi="宋体" w:cs="黑体" w:hint="eastAsia"/>
                <w:i w:val="0"/>
                <w:iCs w:val="0"/>
                <w:color w:val="000000"/>
                <w:kern w:val="0"/>
                <w:sz w:val="40"/>
                <w:szCs w:val="40"/>
                <w:u w:val="none"/>
                <w:lang w:val="en-US" w:eastAsia="zh-CN" w:bidi="ar"/>
              </w:rPr>
              <w:t>2024年绩效目标申报表</w:t>
            </w:r>
          </w:p>
        </w:tc>
      </w:tr>
      <w:tr>
        <w:tblPrEx>
          <w:tblW w:w="9825" w:type="dxa"/>
          <w:tblInd w:w="93" w:type="dxa"/>
          <w:shd w:val="clear" w:color="auto" w:fill="auto"/>
          <w:tblCellMar>
            <w:top w:w="0" w:type="dxa"/>
            <w:left w:w="108" w:type="dxa"/>
            <w:bottom w:w="0" w:type="dxa"/>
            <w:right w:w="108" w:type="dxa"/>
          </w:tblCellMar>
        </w:tblPrEx>
        <w:trPr>
          <w:trHeight w:val="285"/>
        </w:trPr>
        <w:tc>
          <w:tcPr>
            <w:tcW w:w="9828" w:type="dxa"/>
            <w:gridSpan w:val="7"/>
            <w:tcBorders>
              <w:top w:val="nil"/>
              <w:left w:val="nil"/>
              <w:bottom w:val="single" w:sz="4" w:space="0" w:color="000000"/>
              <w:right w:val="nil"/>
            </w:tcBorders>
            <w:shd w:val="clear" w:color="auto" w:fill="FFFFFF"/>
            <w:vAlign w:val="top"/>
          </w:tcPr>
          <w:p>
            <w:pPr>
              <w:keepNext w:val="0"/>
              <w:keepLines w:val="0"/>
              <w:widowControl/>
              <w:suppressLineNumbers w:val="0"/>
              <w:jc w:val="center"/>
              <w:textAlignment w:val="top"/>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（2024年度）</w:t>
            </w:r>
          </w:p>
        </w:tc>
      </w:tr>
      <w:tr>
        <w:tblPrEx>
          <w:tblW w:w="9825" w:type="dxa"/>
          <w:tblInd w:w="93" w:type="dxa"/>
          <w:shd w:val="clear" w:color="auto" w:fill="auto"/>
          <w:tblCellMar>
            <w:top w:w="0" w:type="dxa"/>
            <w:left w:w="108" w:type="dxa"/>
            <w:bottom w:w="0" w:type="dxa"/>
            <w:right w:w="108" w:type="dxa"/>
          </w:tblCellMar>
        </w:tblPrEx>
        <w:trPr>
          <w:trHeight w:val="576"/>
        </w:trPr>
        <w:tc>
          <w:tcPr>
            <w:tcW w:w="339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项目名称</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应急岗位津贴、值班补贴及救援补贴</w:t>
            </w:r>
          </w:p>
        </w:tc>
        <w:tc>
          <w:tcPr>
            <w:tcW w:w="18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项目负责人及联系电话</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吕学东18905646929</w:t>
            </w:r>
          </w:p>
        </w:tc>
      </w:tr>
      <w:tr>
        <w:tblPrEx>
          <w:tblW w:w="9825" w:type="dxa"/>
          <w:tblInd w:w="93" w:type="dxa"/>
          <w:shd w:val="clear" w:color="auto" w:fill="auto"/>
          <w:tblCellMar>
            <w:top w:w="0" w:type="dxa"/>
            <w:left w:w="108" w:type="dxa"/>
            <w:bottom w:w="0" w:type="dxa"/>
            <w:right w:w="108" w:type="dxa"/>
          </w:tblCellMar>
        </w:tblPrEx>
        <w:trPr>
          <w:trHeight w:val="576"/>
        </w:trPr>
        <w:tc>
          <w:tcPr>
            <w:tcW w:w="339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主管部门</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县政府</w:t>
            </w:r>
          </w:p>
        </w:tc>
        <w:tc>
          <w:tcPr>
            <w:tcW w:w="18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实施单位</w:t>
            </w:r>
          </w:p>
        </w:tc>
        <w:tc>
          <w:tcPr>
            <w:tcW w:w="2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寿县应急局</w:t>
            </w:r>
          </w:p>
        </w:tc>
      </w:tr>
      <w:tr>
        <w:tblPrEx>
          <w:tblW w:w="9825" w:type="dxa"/>
          <w:tblInd w:w="93" w:type="dxa"/>
          <w:shd w:val="clear" w:color="auto" w:fill="auto"/>
          <w:tblCellMar>
            <w:top w:w="0" w:type="dxa"/>
            <w:left w:w="108" w:type="dxa"/>
            <w:bottom w:w="0" w:type="dxa"/>
            <w:right w:w="108" w:type="dxa"/>
          </w:tblCellMar>
        </w:tblPrEx>
        <w:trPr>
          <w:trHeight w:val="576"/>
        </w:trPr>
        <w:tc>
          <w:tcPr>
            <w:tcW w:w="339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是否事前绩效评估</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是否绩效目标公开</w:t>
            </w:r>
          </w:p>
        </w:tc>
        <w:tc>
          <w:tcPr>
            <w:tcW w:w="2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r>
      <w:tr>
        <w:tblPrEx>
          <w:tblW w:w="9825" w:type="dxa"/>
          <w:tblInd w:w="93" w:type="dxa"/>
          <w:shd w:val="clear" w:color="auto" w:fill="auto"/>
          <w:tblCellMar>
            <w:top w:w="0" w:type="dxa"/>
            <w:left w:w="108" w:type="dxa"/>
            <w:bottom w:w="0" w:type="dxa"/>
            <w:right w:w="108" w:type="dxa"/>
          </w:tblCellMar>
        </w:tblPrEx>
        <w:trPr>
          <w:trHeight w:val="576"/>
        </w:trPr>
        <w:tc>
          <w:tcPr>
            <w:tcW w:w="339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事前绩效评估审核结论</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绩效目标初审结论</w:t>
            </w:r>
          </w:p>
        </w:tc>
        <w:tc>
          <w:tcPr>
            <w:tcW w:w="2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项目年限及资金情况</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项目开始年度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jc w:val="left"/>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2024.1.1</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年度资金金额</w:t>
            </w:r>
          </w:p>
        </w:tc>
        <w:tc>
          <w:tcPr>
            <w:tcW w:w="44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10.56</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项目终止年度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jc w:val="left"/>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2024.12.31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其中：财政拨款（每项资金的名称和规模）</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10.56</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项目总资金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10.56</w:t>
            </w:r>
          </w:p>
        </w:tc>
        <w:tc>
          <w:tcPr>
            <w:tcW w:w="31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xml:space="preserve">     其他资金</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总</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体</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目</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标</w:t>
            </w:r>
          </w:p>
        </w:tc>
        <w:tc>
          <w:tcPr>
            <w:tcW w:w="89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年度目标</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89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保障安全生产、防汛抗旱、减灾救灾等工作顺利进行</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绩</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效</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指</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标</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一级指标</w:t>
            </w:r>
          </w:p>
        </w:tc>
        <w:tc>
          <w:tcPr>
            <w:tcW w:w="12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二级指标</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三级指标</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指标值</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48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产出指标</w:t>
            </w:r>
          </w:p>
        </w:tc>
        <w:tc>
          <w:tcPr>
            <w:tcW w:w="1212" w:type="dxa"/>
            <w:vMerge w:val="restart"/>
            <w:tcBorders>
              <w:top w:val="single" w:sz="4" w:space="0" w:color="000000"/>
              <w:left w:val="single" w:sz="4" w:space="0" w:color="000000"/>
              <w:bottom w:val="nil"/>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数量指标</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应急岗位津贴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ar"/>
              </w:rPr>
              <w:t>4.8</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48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212" w:type="dxa"/>
            <w:vMerge/>
            <w:tcBorders>
              <w:top w:val="single" w:sz="4" w:space="0" w:color="000000"/>
              <w:left w:val="single" w:sz="4" w:space="0" w:color="000000"/>
              <w:bottom w:val="nil"/>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值班补贴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ar"/>
              </w:rPr>
              <w:t>5.76</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48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212" w:type="dxa"/>
            <w:vMerge/>
            <w:tcBorders>
              <w:top w:val="single" w:sz="4" w:space="0" w:color="000000"/>
              <w:left w:val="single" w:sz="4" w:space="0" w:color="000000"/>
              <w:bottom w:val="nil"/>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4"/>
                <w:szCs w:val="24"/>
                <w:u w:val="none"/>
              </w:rPr>
            </w:pP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48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212" w:type="dxa"/>
            <w:vMerge/>
            <w:tcBorders>
              <w:top w:val="single" w:sz="4" w:space="0" w:color="000000"/>
              <w:left w:val="single" w:sz="4" w:space="0" w:color="000000"/>
              <w:bottom w:val="nil"/>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4"/>
                <w:szCs w:val="24"/>
                <w:u w:val="none"/>
              </w:rPr>
            </w:pP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48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2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质量指标</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经费支出合规性</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严格按财政法规执行</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48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2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时效指标</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经费支出时效性</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支出时间截止2024年12月份</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48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成本指标</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应急岗位津贴</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≤4.8</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48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2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值班补贴</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≤5.76</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48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2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应急救援补贴</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48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效益指标</w:t>
            </w:r>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社会效益指标</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保证全县人民应急管理工作顺利进行</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影响程度（明显）</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48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2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保证应急救援及时有效</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影响程度（明显）</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48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可持续影响</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指标</w:t>
            </w: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保障全县人民生命安全和财产安全。</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影响程度（明显）</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48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2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34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通过项目实施，使人民群众的生活有保障</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影响程度（明显）</w:t>
            </w:r>
          </w:p>
        </w:tc>
      </w:tr>
      <w:tr>
        <w:tblPrEx>
          <w:tblW w:w="9825" w:type="dxa"/>
          <w:tblInd w:w="93" w:type="dxa"/>
          <w:shd w:val="clear" w:color="auto" w:fill="auto"/>
          <w:tblCellMar>
            <w:top w:w="0" w:type="dxa"/>
            <w:left w:w="108" w:type="dxa"/>
            <w:bottom w:w="0" w:type="dxa"/>
            <w:right w:w="108" w:type="dxa"/>
          </w:tblCellMar>
        </w:tblPrEx>
        <w:trPr>
          <w:trHeight w:val="576"/>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48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满意度指标</w:t>
            </w:r>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服务对象</w:t>
            </w:r>
            <w:r>
              <w:rPr>
                <w:rFonts w:ascii="宋体" w:eastAsia="宋体" w:hAnsi="宋体" w:cs="宋体" w:hint="eastAsia"/>
                <w:i w:val="0"/>
                <w:iCs w:val="0"/>
                <w:color w:val="000000"/>
                <w:kern w:val="0"/>
                <w:sz w:val="20"/>
                <w:szCs w:val="20"/>
                <w:u w:val="none"/>
                <w:lang w:val="en-US" w:eastAsia="zh-CN" w:bidi="ar"/>
              </w:rPr>
              <w:br/>
            </w:r>
            <w:r>
              <w:rPr>
                <w:rFonts w:ascii="宋体" w:eastAsia="宋体" w:hAnsi="宋体" w:cs="宋体" w:hint="eastAsia"/>
                <w:i w:val="0"/>
                <w:iCs w:val="0"/>
                <w:color w:val="000000"/>
                <w:kern w:val="0"/>
                <w:sz w:val="20"/>
                <w:szCs w:val="20"/>
                <w:u w:val="none"/>
                <w:lang w:val="en-US" w:eastAsia="zh-CN" w:bidi="ar"/>
              </w:rPr>
              <w:t>满意度指标</w:t>
            </w:r>
          </w:p>
        </w:tc>
        <w:tc>
          <w:tcPr>
            <w:tcW w:w="346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人民群众对应急工作的满意度</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9825" w:type="dxa"/>
          <w:tblInd w:w="93" w:type="dxa"/>
          <w:shd w:val="clear" w:color="auto" w:fill="auto"/>
          <w:tblCellMar>
            <w:top w:w="0" w:type="dxa"/>
            <w:left w:w="108" w:type="dxa"/>
            <w:bottom w:w="0" w:type="dxa"/>
            <w:right w:w="108" w:type="dxa"/>
          </w:tblCellMar>
        </w:tblPrEx>
        <w:trPr>
          <w:trHeight w:val="228"/>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48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2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346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hAnsi="宋体" w:cs="宋体" w:hint="eastAsia"/>
                <w:i w:val="0"/>
                <w:iCs w:val="0"/>
                <w:color w:val="000000"/>
                <w:sz w:val="20"/>
                <w:szCs w:val="20"/>
                <w:u w:val="none"/>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r>
      <w:tr>
        <w:tblPrEx>
          <w:tblW w:w="9825" w:type="dxa"/>
          <w:tblInd w:w="93" w:type="dxa"/>
          <w:shd w:val="clear" w:color="auto" w:fill="auto"/>
          <w:tblCellMar>
            <w:top w:w="0" w:type="dxa"/>
            <w:left w:w="108" w:type="dxa"/>
            <w:bottom w:w="0" w:type="dxa"/>
            <w:right w:w="108" w:type="dxa"/>
          </w:tblCellMar>
        </w:tblPrEx>
        <w:trPr>
          <w:trHeight w:val="576"/>
        </w:trPr>
        <w:tc>
          <w:tcPr>
            <w:tcW w:w="4608"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经办人：曹化根</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单位负责人：</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吕学东</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上报时间：2023.9.21</w:t>
            </w:r>
          </w:p>
        </w:tc>
      </w:tr>
    </w:tbl>
    <w:p>
      <w:pPr>
        <w:topLinePunct/>
        <w:adjustRightInd w:val="0"/>
        <w:snapToGrid w:val="0"/>
        <w:spacing w:line="560" w:lineRule="exact"/>
        <w:ind w:firstLine="640" w:firstLineChars="200"/>
        <w:rPr>
          <w:rFonts w:ascii="仿宋_GB2312" w:eastAsia="仿宋_GB2312" w:hAnsi="TimesNewRoman" w:cs="TimesNewRoman" w:hint="eastAsia"/>
          <w:sz w:val="32"/>
          <w:szCs w:val="32"/>
        </w:rPr>
      </w:pP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（二）机关运行经费。</w:t>
      </w: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sz w:val="32"/>
          <w:szCs w:val="32"/>
        </w:rPr>
        <w:t>【如本部门（单位）为行政单位或参照公务员法管理的事业单位说明如下】</w:t>
      </w: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kern w:val="0"/>
          <w:sz w:val="32"/>
          <w:szCs w:val="32"/>
        </w:rPr>
        <w:t>寿县</w:t>
      </w:r>
      <w:r>
        <w:rPr>
          <w:rFonts w:ascii="仿宋_GB2312" w:eastAsia="仿宋_GB2312" w:hAnsi="TimesNewRoman" w:cs="TimesNewRoman" w:hint="eastAsia"/>
          <w:kern w:val="0"/>
          <w:sz w:val="32"/>
          <w:szCs w:val="32"/>
          <w:lang w:eastAsia="zh-CN"/>
        </w:rPr>
        <w:t>应急管理局</w:t>
      </w:r>
      <w:r>
        <w:rPr>
          <w:rFonts w:ascii="仿宋_GB2312" w:eastAsia="仿宋_GB2312" w:hAnsi="TimesNewRoman" w:cs="TimesNewRoman" w:hint="eastAsia"/>
          <w:sz w:val="32"/>
          <w:szCs w:val="32"/>
        </w:rPr>
        <w:t>2024年机关运行经费财政拨款预算</w:t>
      </w:r>
      <w:r>
        <w:rPr>
          <w:rFonts w:ascii="仿宋_GB2312" w:eastAsia="仿宋_GB2312" w:hAnsi="TimesNewRoman" w:cs="TimesNewRoman" w:hint="eastAsia"/>
          <w:sz w:val="32"/>
          <w:szCs w:val="32"/>
          <w:lang w:val="en-US" w:eastAsia="zh-CN"/>
        </w:rPr>
        <w:t>45.59</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1.97</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4.52</w:t>
      </w:r>
      <w:r>
        <w:rPr>
          <w:rFonts w:ascii="仿宋_GB2312" w:eastAsia="仿宋_GB2312" w:hAnsi="TimesNewRoman" w:cs="TimesNewRoman" w:hint="eastAsia"/>
          <w:sz w:val="32"/>
          <w:szCs w:val="32"/>
        </w:rPr>
        <w:t>%，增长主要原因是</w:t>
      </w:r>
      <w:r>
        <w:rPr>
          <w:rFonts w:ascii="仿宋_GB2312" w:eastAsia="仿宋_GB2312" w:hAnsi="TimesNewRoman" w:cs="TimesNewRoman" w:hint="eastAsia"/>
          <w:sz w:val="32"/>
          <w:szCs w:val="32"/>
          <w:lang w:eastAsia="zh-CN"/>
        </w:rPr>
        <w:t>本年人员增加，职能增加</w:t>
      </w:r>
      <w:r>
        <w:rPr>
          <w:rFonts w:ascii="仿宋_GB2312" w:eastAsia="仿宋_GB2312" w:hAnsi="TimesNewRoman" w:cs="TimesNewRoman" w:hint="eastAsia"/>
          <w:sz w:val="32"/>
          <w:szCs w:val="32"/>
        </w:rPr>
        <w:t>。</w:t>
      </w: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（三）政府采购情况。</w:t>
      </w: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kern w:val="0"/>
          <w:sz w:val="32"/>
          <w:szCs w:val="32"/>
        </w:rPr>
        <w:t>寿县</w:t>
      </w:r>
      <w:r>
        <w:rPr>
          <w:rFonts w:ascii="仿宋_GB2312" w:eastAsia="仿宋_GB2312" w:hAnsi="TimesNewRoman" w:cs="TimesNewRoman" w:hint="eastAsia"/>
          <w:kern w:val="0"/>
          <w:sz w:val="32"/>
          <w:szCs w:val="32"/>
          <w:lang w:eastAsia="zh-CN"/>
        </w:rPr>
        <w:t>应急管理局</w:t>
      </w:r>
      <w:r>
        <w:rPr>
          <w:rFonts w:ascii="仿宋_GB2312" w:eastAsia="仿宋_GB2312" w:hAnsi="TimesNewRoman" w:cs="TimesNewRoman" w:hint="eastAsia"/>
          <w:sz w:val="32"/>
          <w:szCs w:val="32"/>
        </w:rPr>
        <w:t>2024年政府采购预算</w:t>
      </w:r>
      <w:r>
        <w:rPr>
          <w:rFonts w:ascii="仿宋_GB2312" w:eastAsia="仿宋_GB2312" w:hAnsi="TimesNewRoman" w:cs="TimesNewRoman" w:hint="eastAsia"/>
          <w:sz w:val="32"/>
          <w:szCs w:val="32"/>
          <w:lang w:val="en-US" w:eastAsia="zh-CN"/>
        </w:rPr>
        <w:t>3.48</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lang w:eastAsia="zh-CN"/>
        </w:rPr>
        <w:t>，均为政府采购货物。</w:t>
      </w: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（四）国有资产占有使用情况。</w:t>
      </w:r>
    </w:p>
    <w:p>
      <w:pPr>
        <w:topLinePunct/>
        <w:spacing w:line="560" w:lineRule="exact"/>
        <w:ind w:firstLine="640" w:firstLineChars="200"/>
        <w:rPr>
          <w:rFonts w:ascii="仿宋_GB2312" w:eastAsia="仿宋_GB2312" w:hAnsi="TimesNewRoman" w:cs="TimesNewRoman" w:hint="eastAsia"/>
          <w:sz w:val="32"/>
          <w:szCs w:val="32"/>
          <w:lang w:eastAsia="zh-CN"/>
        </w:rPr>
      </w:pPr>
      <w:r>
        <w:rPr>
          <w:rFonts w:ascii="仿宋_GB2312" w:eastAsia="仿宋_GB2312" w:hAnsi="TimesNewRoman" w:cs="TimesNewRoman" w:hint="eastAsia"/>
          <w:sz w:val="32"/>
          <w:szCs w:val="32"/>
        </w:rPr>
        <w:t>截至2023年12月31日，</w:t>
      </w:r>
      <w:r>
        <w:rPr>
          <w:rFonts w:ascii="仿宋_GB2312" w:eastAsia="仿宋_GB2312" w:hAnsi="TimesNewRoman" w:cs="TimesNewRoman" w:hint="eastAsia"/>
          <w:kern w:val="0"/>
          <w:sz w:val="32"/>
          <w:szCs w:val="32"/>
        </w:rPr>
        <w:t>寿县</w:t>
      </w:r>
      <w:r>
        <w:rPr>
          <w:rFonts w:ascii="仿宋_GB2312" w:eastAsia="仿宋_GB2312" w:hAnsi="TimesNewRoman" w:cs="TimesNewRoman" w:hint="eastAsia"/>
          <w:kern w:val="0"/>
          <w:sz w:val="32"/>
          <w:szCs w:val="32"/>
          <w:lang w:eastAsia="zh-CN"/>
        </w:rPr>
        <w:t>应急管理局</w:t>
      </w:r>
      <w:r>
        <w:rPr>
          <w:rFonts w:ascii="仿宋_GB2312" w:eastAsia="仿宋_GB2312" w:hAnsi="TimesNewRoman" w:cs="TimesNewRoman" w:hint="eastAsia"/>
          <w:sz w:val="32"/>
          <w:szCs w:val="32"/>
        </w:rPr>
        <w:t>共有车辆</w:t>
      </w:r>
      <w:r>
        <w:rPr>
          <w:rFonts w:ascii="仿宋_GB2312" w:eastAsia="仿宋_GB2312" w:hAnsi="TimesNewRoman" w:cs="TimesNewRoman" w:hint="eastAsia"/>
          <w:sz w:val="32"/>
          <w:szCs w:val="32"/>
          <w:lang w:val="en-US" w:eastAsia="zh-CN"/>
        </w:rPr>
        <w:t>1</w:t>
      </w:r>
      <w:r>
        <w:rPr>
          <w:rFonts w:ascii="仿宋_GB2312" w:eastAsia="仿宋_GB2312" w:hAnsi="TimesNewRoman" w:cs="TimesNewRoman" w:hint="eastAsia"/>
          <w:sz w:val="32"/>
          <w:szCs w:val="32"/>
        </w:rPr>
        <w:t>辆，</w:t>
      </w:r>
      <w:r>
        <w:rPr>
          <w:rFonts w:ascii="仿宋_GB2312" w:eastAsia="仿宋_GB2312" w:hAnsi="TimesNewRoman" w:cs="TimesNewRoman" w:hint="eastAsia"/>
          <w:sz w:val="32"/>
          <w:szCs w:val="32"/>
          <w:lang w:eastAsia="zh-CN"/>
        </w:rPr>
        <w:t>为应急保障用车。</w:t>
      </w:r>
      <w:r>
        <w:rPr>
          <w:rFonts w:ascii="仿宋_GB2312" w:eastAsia="仿宋_GB2312" w:hAnsi="TimesNewRoman" w:cs="TimesNewRoman" w:hint="eastAsia"/>
          <w:sz w:val="32"/>
          <w:szCs w:val="32"/>
        </w:rPr>
        <w:t>2024年</w:t>
      </w:r>
      <w:r>
        <w:rPr>
          <w:rFonts w:ascii="仿宋_GB2312" w:eastAsia="仿宋_GB2312" w:hAnsi="TimesNewRoman" w:cs="TimesNewRoman" w:hint="eastAsia"/>
          <w:sz w:val="32"/>
          <w:szCs w:val="32"/>
          <w:lang w:eastAsia="zh-CN"/>
        </w:rPr>
        <w:t>寿县应急管理局未安排公车购置费。安排办公设备购置费</w:t>
      </w:r>
      <w:r>
        <w:rPr>
          <w:rFonts w:ascii="仿宋_GB2312" w:eastAsia="仿宋_GB2312" w:hAnsi="TimesNewRoman" w:cs="TimesNewRoman" w:hint="eastAsia"/>
          <w:sz w:val="32"/>
          <w:szCs w:val="32"/>
          <w:lang w:val="en-US" w:eastAsia="zh-CN"/>
        </w:rPr>
        <w:t>3.48万元，专用设备购置费0元</w:t>
      </w:r>
      <w:r>
        <w:rPr>
          <w:rFonts w:ascii="仿宋_GB2312" w:eastAsia="仿宋_GB2312" w:hAnsi="TimesNewRoman" w:cs="TimesNewRoman" w:hint="eastAsia"/>
          <w:sz w:val="32"/>
          <w:szCs w:val="32"/>
          <w:lang w:eastAsia="zh-CN"/>
        </w:rPr>
        <w:t>。</w:t>
      </w: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（五）绩效目标设置情况。</w:t>
      </w:r>
    </w:p>
    <w:p>
      <w:pPr>
        <w:topLinePunct/>
        <w:adjustRightInd w:val="0"/>
        <w:snapToGrid w:val="0"/>
        <w:spacing w:line="560" w:lineRule="exact"/>
        <w:ind w:firstLine="640" w:firstLineChars="200"/>
        <w:rPr>
          <w:rFonts w:ascii="仿宋_GB2312" w:eastAsia="仿宋_GB2312" w:hAnsi="TimesNewRoman" w:cs="TimesNewRoman" w:hint="eastAsia"/>
          <w:sz w:val="32"/>
          <w:szCs w:val="32"/>
          <w:lang w:eastAsia="zh-CN"/>
        </w:rPr>
      </w:pPr>
      <w:r>
        <w:rPr>
          <w:rFonts w:ascii="仿宋_GB2312" w:eastAsia="仿宋_GB2312" w:hAnsi="TimesNewRoman" w:cs="TimesNewRoman" w:hint="eastAsia"/>
          <w:sz w:val="32"/>
          <w:szCs w:val="32"/>
        </w:rPr>
        <w:t>2024年，</w:t>
      </w:r>
      <w:r>
        <w:rPr>
          <w:rFonts w:ascii="仿宋_GB2312" w:eastAsia="仿宋_GB2312" w:hAnsi="TimesNewRoman" w:cs="TimesNewRoman" w:hint="eastAsia"/>
          <w:kern w:val="0"/>
          <w:sz w:val="32"/>
          <w:szCs w:val="32"/>
        </w:rPr>
        <w:t>寿县</w:t>
      </w:r>
      <w:r>
        <w:rPr>
          <w:rFonts w:ascii="仿宋_GB2312" w:eastAsia="仿宋_GB2312" w:hAnsi="TimesNewRoman" w:cs="TimesNewRoman" w:hint="eastAsia"/>
          <w:kern w:val="0"/>
          <w:sz w:val="32"/>
          <w:szCs w:val="32"/>
          <w:lang w:eastAsia="zh-CN"/>
        </w:rPr>
        <w:t>寿县应急管理局共</w:t>
      </w:r>
      <w:r>
        <w:rPr>
          <w:rFonts w:ascii="仿宋_GB2312" w:eastAsia="仿宋_GB2312" w:hAnsi="TimesNewRoman" w:cs="TimesNewRoman" w:hint="eastAsia"/>
          <w:kern w:val="0"/>
          <w:sz w:val="32"/>
          <w:szCs w:val="32"/>
          <w:lang w:val="en-US" w:eastAsia="zh-CN"/>
        </w:rPr>
        <w:t>2</w:t>
      </w:r>
      <w:r>
        <w:rPr>
          <w:rFonts w:ascii="仿宋_GB2312" w:eastAsia="仿宋_GB2312" w:hAnsi="TimesNewRoman" w:cs="TimesNewRoman" w:hint="eastAsia"/>
          <w:sz w:val="32"/>
          <w:szCs w:val="32"/>
        </w:rPr>
        <w:t>个项目实行了绩效目标管理，涉及一般公共预算当年财政拨款</w:t>
      </w:r>
      <w:r>
        <w:rPr>
          <w:rFonts w:ascii="仿宋_GB2312" w:eastAsia="仿宋_GB2312" w:hAnsi="TimesNewRoman" w:cs="TimesNewRoman" w:hint="eastAsia"/>
          <w:sz w:val="32"/>
          <w:szCs w:val="32"/>
          <w:lang w:val="en-US" w:eastAsia="zh-CN"/>
        </w:rPr>
        <w:t>171.51</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lang w:eastAsia="zh-CN"/>
        </w:rPr>
        <w:t>。</w:t>
      </w:r>
    </w:p>
    <w:p>
      <w:pPr>
        <w:topLinePunct/>
        <w:adjustRightInd w:val="0"/>
        <w:snapToGrid w:val="0"/>
        <w:spacing w:line="560" w:lineRule="exact"/>
        <w:rPr>
          <w:rFonts w:ascii="TimesNewRoman" w:eastAsia="黑体" w:hAnsi="TimesNewRoman" w:cs="TimesNewRoman"/>
          <w:sz w:val="36"/>
          <w:szCs w:val="36"/>
        </w:rPr>
      </w:pPr>
    </w:p>
    <w:p>
      <w:pPr>
        <w:topLinePunct/>
        <w:adjustRightInd w:val="0"/>
        <w:snapToGrid w:val="0"/>
        <w:spacing w:line="560" w:lineRule="exact"/>
        <w:jc w:val="center"/>
        <w:rPr>
          <w:rFonts w:ascii="TimesNewRoman" w:eastAsia="黑体" w:hAnsi="TimesNewRoman" w:cs="TimesNewRoman"/>
          <w:sz w:val="36"/>
          <w:szCs w:val="36"/>
        </w:rPr>
      </w:pPr>
      <w:r>
        <w:rPr>
          <w:rFonts w:ascii="TimesNewRoman" w:eastAsia="黑体" w:hAnsi="TimesNewRoman" w:cs="TimesNewRoman"/>
          <w:sz w:val="36"/>
          <w:szCs w:val="36"/>
        </w:rPr>
        <w:t>第四部分 名词解释</w:t>
      </w:r>
    </w:p>
    <w:p>
      <w:pPr>
        <w:topLinePunct/>
        <w:adjustRightInd w:val="0"/>
        <w:snapToGrid w:val="0"/>
        <w:spacing w:line="560" w:lineRule="exact"/>
        <w:rPr>
          <w:rFonts w:ascii="TimesNewRoman" w:eastAsia="黑体" w:hAnsi="TimesNewRoman" w:cs="TimesNewRoman"/>
          <w:szCs w:val="32"/>
        </w:rPr>
      </w:pPr>
    </w:p>
    <w:p>
      <w:pPr>
        <w:topLinePunct/>
        <w:adjustRightInd w:val="0"/>
        <w:snapToGrid w:val="0"/>
        <w:spacing w:line="560" w:lineRule="exact"/>
        <w:ind w:firstLine="640" w:firstLineChars="200"/>
        <w:rPr>
          <w:rFonts w:ascii="TimesNewRoman" w:hAnsi="TimesNewRoman" w:cs="TimesNewRoman"/>
          <w:sz w:val="32"/>
          <w:szCs w:val="32"/>
        </w:rPr>
      </w:pPr>
      <w:r>
        <w:rPr>
          <w:rFonts w:ascii="楷体_GB2312" w:eastAsia="楷体_GB2312" w:hAnsi="TimesNewRoman" w:cs="TimesNewRoman" w:hint="eastAsia"/>
          <w:sz w:val="32"/>
          <w:szCs w:val="32"/>
        </w:rPr>
        <w:t>一、财政拨款收入</w:t>
      </w:r>
      <w:r>
        <w:rPr>
          <w:rFonts w:ascii="楷体_GB2312" w:eastAsia="楷体_GB2312" w:hAnsi="TimesNewRoman" w:cs="TimesNewRoman" w:hint="eastAsia"/>
          <w:b/>
          <w:sz w:val="32"/>
          <w:szCs w:val="32"/>
        </w:rPr>
        <w:t>：</w:t>
      </w:r>
      <w:r>
        <w:rPr>
          <w:rFonts w:ascii="TimesNewRoman" w:hAnsi="TimesNewRoman" w:cs="TimesNewRoman"/>
          <w:sz w:val="32"/>
          <w:szCs w:val="32"/>
        </w:rPr>
        <w:t>指部门或单位从同级财政部门取得的财政预算资金。</w:t>
      </w:r>
    </w:p>
    <w:p>
      <w:pPr>
        <w:pStyle w:val="NormalWeb"/>
        <w:topLinePunct/>
        <w:adjustRightInd w:val="0"/>
        <w:snapToGrid w:val="0"/>
        <w:spacing w:beforeAutospacing="0" w:afterAutospacing="0" w:line="560" w:lineRule="exact"/>
        <w:ind w:firstLine="627" w:firstLineChars="196"/>
        <w:jc w:val="both"/>
        <w:rPr>
          <w:rFonts w:ascii="TimesNewRoman" w:eastAsia="黑体" w:hAnsi="TimesNewRoman" w:cs="TimesNewRoman"/>
          <w:sz w:val="32"/>
          <w:szCs w:val="32"/>
        </w:rPr>
      </w:pPr>
      <w:r>
        <w:rPr>
          <w:rFonts w:ascii="楷体_GB2312" w:eastAsia="楷体_GB2312" w:hAnsi="TimesNewRoman" w:cs="TimesNewRoman"/>
          <w:kern w:val="2"/>
          <w:sz w:val="32"/>
          <w:szCs w:val="32"/>
        </w:rPr>
        <w:t>二、事业收入：</w:t>
      </w:r>
      <w:r>
        <w:rPr>
          <w:rFonts w:ascii="TimesNewRoman" w:eastAsia="仿宋_GB2312" w:hAnsi="TimesNewRoman" w:cs="TimesNewRoman"/>
          <w:sz w:val="32"/>
          <w:szCs w:val="32"/>
        </w:rPr>
        <w:t>指事业单位开展专业业务活动及辅助活动所取得的收入。</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三、财政专户管理资金：</w:t>
      </w:r>
      <w:r>
        <w:rPr>
          <w:rFonts w:ascii="TimesNewRoman" w:eastAsia="仿宋_GB2312" w:hAnsi="TimesNewRoman" w:cs="TimesNewRoman"/>
          <w:sz w:val="32"/>
          <w:szCs w:val="32"/>
        </w:rPr>
        <w:t>指按照非税收入管理相关规定，纳入财政专户管理的教育收费等。</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四、事业单位经营收入：</w:t>
      </w:r>
      <w:r>
        <w:rPr>
          <w:rFonts w:ascii="TimesNewRoman" w:eastAsia="仿宋_GB2312" w:hAnsi="TimesNewRoman" w:cs="TimesNewRoman"/>
          <w:sz w:val="32"/>
          <w:szCs w:val="32"/>
        </w:rPr>
        <w:t>指事业单位在专业业务活动及其辅助活动之外开展非独立核算经营活动取得的收入。</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五、附属单位上缴收入：</w:t>
      </w:r>
      <w:r>
        <w:rPr>
          <w:rFonts w:ascii="TimesNewRoman" w:eastAsia="仿宋_GB2312" w:hAnsi="TimesNewRoman" w:cs="TimesNewRoman"/>
          <w:sz w:val="32"/>
          <w:szCs w:val="32"/>
        </w:rPr>
        <w:t>本单位所属下级单位上缴给本单位的全部收入。</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六、上年结转：</w:t>
      </w:r>
      <w:r>
        <w:rPr>
          <w:rFonts w:ascii="TimesNewRoman" w:eastAsia="仿宋_GB2312" w:hAnsi="TimesNewRoman" w:cs="TimesNewRoman"/>
          <w:sz w:val="32"/>
          <w:szCs w:val="32"/>
        </w:rPr>
        <w:t>指以前年度安排、结转到本年仍按原用途继续使用的资金。</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七、结转下年：</w:t>
      </w:r>
      <w:r>
        <w:rPr>
          <w:rFonts w:ascii="TimesNewRoman" w:eastAsia="仿宋_GB2312" w:hAnsi="TimesNewRoman" w:cs="TimesNewRoman"/>
          <w:sz w:val="32"/>
          <w:szCs w:val="32"/>
        </w:rPr>
        <w:t>指以前年度预算安排、因客观条件发生变化无法按原计划实施，需以后年度按原用途继续使用的资金。</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八、基本支出：</w:t>
      </w:r>
      <w:r>
        <w:rPr>
          <w:rFonts w:ascii="TimesNewRoman" w:eastAsia="仿宋_GB2312" w:hAnsi="TimesNewRoman" w:cs="TimesNewRoman"/>
          <w:sz w:val="32"/>
          <w:szCs w:val="32"/>
        </w:rPr>
        <w:t>指为保障机构正常运转、完成日常工作任务而发生的人员支出和公用支出。</w:t>
      </w:r>
    </w:p>
    <w:p>
      <w:pPr>
        <w:pStyle w:val="NormalWeb"/>
        <w:topLinePunct/>
        <w:spacing w:beforeAutospacing="0" w:afterAutospacing="0" w:line="560" w:lineRule="exact"/>
        <w:ind w:firstLine="627" w:firstLineChars="196"/>
        <w:jc w:val="both"/>
        <w:rPr>
          <w:rFonts w:ascii="TimesNewRoman" w:eastAsia="仿宋_GB2312" w:hAnsi="TimesNewRoman" w:cs="TimesNewRoman" w:hint="eastAsia"/>
          <w:sz w:val="32"/>
          <w:szCs w:val="32"/>
          <w:lang w:eastAsia="zh-CN"/>
        </w:rPr>
      </w:pPr>
      <w:r>
        <w:rPr>
          <w:rFonts w:ascii="楷体_GB2312" w:eastAsia="楷体_GB2312" w:hAnsi="TimesNewRoman" w:cs="TimesNewRoman"/>
          <w:kern w:val="2"/>
          <w:sz w:val="32"/>
          <w:szCs w:val="32"/>
        </w:rPr>
        <w:t>九、项目支出：</w:t>
      </w:r>
      <w:r>
        <w:rPr>
          <w:rFonts w:ascii="TimesNewRoman" w:eastAsia="仿宋_GB2312" w:hAnsi="TimesNewRoman" w:cs="TimesNewRoman"/>
          <w:sz w:val="32"/>
          <w:szCs w:val="32"/>
        </w:rPr>
        <w:t>指在除基本支出之外的支出，主要用于完成特定的工作任务和事业发展目标。</w:t>
      </w:r>
    </w:p>
    <w:p>
      <w:pPr>
        <w:pStyle w:val="NormalWeb"/>
        <w:topLinePunct/>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 xml:space="preserve">    十、机关运行经费:</w:t>
      </w:r>
      <w:r>
        <w:rPr>
          <w:rFonts w:ascii="TimesNewRoman" w:eastAsia="仿宋_GB2312" w:hAnsi="TimesNewRoman"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十一、一般公共服务支出（类）财政事务（款）财政国库业务：</w:t>
      </w:r>
      <w:r>
        <w:rPr>
          <w:rFonts w:ascii="TimesNewRoman" w:eastAsia="仿宋_GB2312" w:hAnsi="TimesNewRoman" w:cs="TimesNewRoman"/>
          <w:sz w:val="32"/>
          <w:szCs w:val="32"/>
        </w:rPr>
        <w:t>反映</w:t>
      </w:r>
      <w:r>
        <w:rPr>
          <w:rFonts w:ascii="TimesNewRoman" w:eastAsia="仿宋_GB2312" w:hAnsi="TimesNewRoman" w:cs="TimesNewRoman" w:hint="eastAsia"/>
          <w:sz w:val="32"/>
          <w:szCs w:val="32"/>
        </w:rPr>
        <w:t>县</w:t>
      </w:r>
      <w:r>
        <w:rPr>
          <w:rFonts w:ascii="TimesNewRoman" w:eastAsia="仿宋_GB2312" w:hAnsi="TimesNewRoman" w:cs="TimesNewRoman" w:hint="eastAsia"/>
          <w:sz w:val="32"/>
          <w:szCs w:val="32"/>
          <w:u w:val="single"/>
        </w:rPr>
        <w:t>财政局</w:t>
      </w:r>
      <w:r>
        <w:rPr>
          <w:rFonts w:ascii="TimesNewRoman" w:eastAsia="仿宋_GB2312" w:hAnsi="TimesNewRoman" w:cs="TimesNewRoman"/>
          <w:sz w:val="32"/>
          <w:szCs w:val="32"/>
        </w:rPr>
        <w:t>用于国库集中收付业务方面的支出。（</w:t>
      </w:r>
      <w:r>
        <w:rPr>
          <w:rFonts w:ascii="TimesNewRoman" w:eastAsia="楷体_GB2312" w:hAnsi="TimesNewRoman" w:cs="TimesNewRoman"/>
          <w:sz w:val="32"/>
          <w:szCs w:val="32"/>
        </w:rPr>
        <w:t>根据部门预算实际对重要的支出功能科目进行解释</w:t>
      </w:r>
      <w:r>
        <w:rPr>
          <w:rFonts w:ascii="TimesNewRoman" w:eastAsia="仿宋_GB2312" w:hAnsi="TimesNewRoman" w:cs="TimesNewRoman"/>
          <w:sz w:val="32"/>
          <w:szCs w:val="32"/>
        </w:rPr>
        <w:t>）</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十二、</w:t>
      </w:r>
      <w:r>
        <w:rPr>
          <w:rFonts w:ascii="TimesNewRoman" w:eastAsia="仿宋_GB2312" w:hAnsi="TimesNewRoman" w:cs="TimesNewRoman"/>
          <w:sz w:val="32"/>
          <w:szCs w:val="32"/>
        </w:rPr>
        <w:t>……。</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TimesNewRoman" w:eastAsia="仿宋_GB2312" w:hAnsi="TimesNewRoman" w:cs="TimesNewRoman"/>
          <w:sz w:val="32"/>
          <w:szCs w:val="32"/>
        </w:rPr>
        <w:t>……</w:t>
      </w:r>
    </w:p>
    <w:p>
      <w:pPr>
        <w:pStyle w:val="NormalWeb"/>
        <w:topLinePunct/>
        <w:spacing w:beforeAutospacing="0" w:afterAutospacing="0" w:line="560" w:lineRule="exact"/>
        <w:ind w:firstLine="480" w:firstLineChars="150"/>
        <w:jc w:val="both"/>
        <w:rPr>
          <w:rFonts w:ascii="TimesNewRoman" w:eastAsia="楷体_GB2312" w:hAnsi="TimesNewRoman" w:cs="TimesNewRoman"/>
          <w:sz w:val="32"/>
          <w:szCs w:val="32"/>
        </w:rPr>
        <w:sectPr>
          <w:pgSz w:w="11907" w:h="16840"/>
          <w:pgMar w:top="2098" w:right="1474" w:bottom="1985" w:left="1588" w:header="851" w:footer="1021" w:gutter="0"/>
          <w:cols w:num="1" w:space="425"/>
          <w:docGrid w:type="lines" w:linePitch="312" w:charSpace="0"/>
        </w:sectPr>
      </w:pPr>
      <w:r>
        <w:rPr>
          <w:rFonts w:ascii="TimesNewRoman" w:eastAsia="楷体_GB2312" w:hAnsi="TimesNewRoman" w:cs="TimesNewRoman"/>
          <w:sz w:val="32"/>
          <w:szCs w:val="32"/>
        </w:rPr>
        <w:t>（各部门、单位均应公开名词解释，并可根据实际情况增减）</w:t>
      </w:r>
    </w:p>
    <w:p>
      <w:pPr>
        <w:pStyle w:val="NormalWeb"/>
        <w:topLinePunct/>
        <w:spacing w:beforeAutospacing="0" w:afterAutospacing="0" w:line="560" w:lineRule="exact"/>
        <w:ind w:firstLine="480" w:firstLineChars="150"/>
        <w:jc w:val="both"/>
        <w:rPr>
          <w:rStyle w:val="Strong"/>
          <w:rFonts w:ascii="TimesNewRoman" w:eastAsia="楷体_GB2312" w:hAnsi="TimesNewRoman" w:cs="TimesNewRoman"/>
          <w:b w:val="0"/>
          <w:sz w:val="32"/>
          <w:szCs w:val="32"/>
        </w:rPr>
      </w:pPr>
    </w:p>
    <w:p/>
    <w:sectPr>
      <w:footerReference w:type="default" r:id="rId6"/>
      <w:type w:val="oddPage"/>
      <w:pgSz w:w="11907" w:h="16840"/>
      <w:pgMar w:top="2098" w:right="1474" w:bottom="1985" w:left="1588" w:header="851" w:footer="1021"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implified Arabic"/>
    <w:panose1 w:val="02020603050405020304"/>
    <w:charset w:val="00"/>
    <w:family w:val="auto"/>
    <w:pitch w:val="default"/>
    <w:sig w:usb0="00000000" w:usb1="00000000" w:usb2="00000029" w:usb3="00000000" w:csb0="6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汉仪中秀体简">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left="420" w:leftChars="200"/>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zh-CN"/>
      </w:rPr>
      <w:t>38</w:t>
    </w:r>
    <w:r>
      <w:rPr>
        <w:rFonts w:ascii="宋体" w:hAnsi="宋体" w:hint="eastAsia"/>
        <w:sz w:val="28"/>
        <w:szCs w:val="28"/>
      </w:rPr>
      <w:fldChar w:fldCharType="end"/>
    </w:r>
    <w:r>
      <w:rPr>
        <w:rFonts w:ascii="宋体" w:hAnsi="宋体" w:hint="eastAsia"/>
        <w:sz w:val="28"/>
        <w:szCs w:val="28"/>
      </w:rPr>
      <w:t xml:space="preserve"> —</w:t>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180"/>
      <w:jc w:val="right"/>
    </w:pPr>
    <w:r>
      <w:rPr>
        <w:rFonts w:ascii="宋体" w:hAnsi="宋体"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37</w:t>
    </w:r>
    <w:r>
      <w:rPr>
        <w:sz w:val="28"/>
        <w:szCs w:val="28"/>
      </w:rPr>
      <w:fldChar w:fldCharType="end"/>
    </w:r>
    <w:r>
      <w:rPr>
        <w:rFonts w:hint="eastAsia"/>
        <w:sz w:val="28"/>
        <w:szCs w:val="28"/>
      </w:rPr>
      <w:t xml:space="preserve"> </w:t>
    </w:r>
    <w:r>
      <w:rPr>
        <w:rFonts w:ascii="宋体" w:hAnsi="宋体" w:hint="eastAsia"/>
        <w:sz w:val="28"/>
        <w:szCs w:val="28"/>
      </w:rPr>
      <w:t xml:space="preserv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C97AC9"/>
    <w:rsid w:val="0E5210C7"/>
    <w:rsid w:val="1F5D6890"/>
    <w:rsid w:val="2C715777"/>
    <w:rsid w:val="32145072"/>
    <w:rsid w:val="34C97AC9"/>
    <w:rsid w:val="43272584"/>
    <w:rsid w:val="57B152D4"/>
    <w:rsid w:val="6B356CA3"/>
    <w:rsid w:val="7ACA2794"/>
    <w:rsid w:val="7D436E52"/>
  </w:rsids>
  <w:docVars>
    <w:docVar w:name="commondata" w:val="eyJoZGlkIjoiNzNjMDI1ZDZkZGY2MWMyNmIwMTU2MjE3N2NkMDU1Mz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semiHidden/>
  </w:style>
  <w:style w:type="table" w:default="1" w:styleId="TableNormal">
    <w:name w:val="Normal Table"/>
    <w:autoRedefine/>
    <w:semiHidden/>
    <w:qFormat/>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NormalWeb">
    <w:name w:val="Normal (Web)"/>
    <w:basedOn w:val="Normal"/>
    <w:qFormat/>
    <w:pPr>
      <w:spacing w:beforeAutospacing="1" w:afterAutospacing="1"/>
      <w:jc w:val="left"/>
    </w:pPr>
    <w:rPr>
      <w:rFonts w:ascii="Calibri" w:hAnsi="Calibri"/>
      <w:kern w:val="0"/>
      <w:sz w:val="24"/>
    </w:rPr>
  </w:style>
  <w:style w:type="character" w:styleId="Strong">
    <w:name w:val="Strong"/>
    <w:basedOn w:val="DefaultParagraphFont"/>
    <w:autoRedefine/>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59</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二蛋</dc:creator>
  <cp:lastModifiedBy>Administrator</cp:lastModifiedBy>
  <cp:revision>1</cp:revision>
  <dcterms:created xsi:type="dcterms:W3CDTF">2024-01-16T02:39:00Z</dcterms:created>
  <dcterms:modified xsi:type="dcterms:W3CDTF">2024-01-17T09:00:28Z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AB12261BCF484B528A5866483B2ED966_11</vt:lpwstr>
  </property>
  <property fmtid="{D5CDD505-2E9C-101B-9397-08002B2CF9AE}" pid="3" name="KSOProductBuildVer">
    <vt:lpwstr>2052-12.1.0.16120</vt:lpwstr>
  </property>
</Properties>
</file>