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cs="TimesNewRoman"/>
          <w:sz w:val="32"/>
          <w:szCs w:val="32"/>
        </w:rPr>
      </w:pPr>
    </w:p>
    <w:p>
      <w:pPr>
        <w:spacing w:line="560" w:lineRule="exact"/>
        <w:rPr>
          <w:rFonts w:hint="eastAsia" w:ascii="TimesNewRoman" w:hAnsi="TimesNewRoman" w:eastAsia="黑体" w:cs="TimesNewRoman"/>
          <w:szCs w:val="32"/>
        </w:rPr>
      </w:pPr>
    </w:p>
    <w:p>
      <w:pPr>
        <w:spacing w:line="560" w:lineRule="exact"/>
        <w:jc w:val="center"/>
        <w:rPr>
          <w:rFonts w:hint="eastAsia" w:ascii="方正小标宋_GBK" w:hAnsi="TimesNewRoman" w:eastAsia="方正小标宋_GBK" w:cs="TimesNewRoman"/>
          <w:szCs w:val="32"/>
        </w:rPr>
      </w:pPr>
    </w:p>
    <w:p>
      <w:pPr>
        <w:spacing w:line="560" w:lineRule="exact"/>
        <w:jc w:val="center"/>
        <w:rPr>
          <w:rFonts w:hint="eastAsia" w:ascii="方正小标宋_GBK" w:hAnsi="TimesNewRoman" w:eastAsia="方正小标宋_GBK" w:cs="TimesNewRoman"/>
          <w:sz w:val="44"/>
          <w:szCs w:val="44"/>
        </w:rPr>
      </w:pPr>
      <w:r>
        <w:rPr>
          <w:rFonts w:hint="eastAsia" w:ascii="方正小标宋_GBK" w:hAnsi="TimesNewRoman" w:eastAsia="方正小标宋_GBK" w:cs="TimesNewRoman"/>
          <w:sz w:val="44"/>
          <w:szCs w:val="44"/>
        </w:rPr>
        <w:t>寿县</w:t>
      </w:r>
      <w:r>
        <w:rPr>
          <w:rFonts w:hint="eastAsia" w:ascii="方正小标宋_GBK" w:hAnsi="TimesNewRoman" w:eastAsia="方正小标宋_GBK" w:cs="TimesNewRoman"/>
          <w:sz w:val="44"/>
          <w:szCs w:val="44"/>
          <w:lang w:eastAsia="zh-CN"/>
        </w:rPr>
        <w:t>新桥北区</w:t>
      </w:r>
      <w:r>
        <w:rPr>
          <w:rFonts w:hint="eastAsia" w:ascii="方正小标宋_GBK" w:hAnsi="TimesNewRoman" w:eastAsia="方正小标宋_GBK" w:cs="TimesNewRoman"/>
          <w:sz w:val="44"/>
          <w:szCs w:val="44"/>
        </w:rPr>
        <w:t>2024年</w:t>
      </w:r>
    </w:p>
    <w:p>
      <w:pPr>
        <w:spacing w:line="560" w:lineRule="exact"/>
        <w:jc w:val="center"/>
        <w:rPr>
          <w:rFonts w:hint="eastAsia" w:ascii="方正小标宋_GBK" w:hAnsi="TimesNewRoman" w:eastAsia="方正小标宋_GBK" w:cs="TimesNewRoman"/>
          <w:sz w:val="44"/>
          <w:szCs w:val="44"/>
        </w:rPr>
      </w:pPr>
      <w:r>
        <w:rPr>
          <w:rFonts w:hint="eastAsia" w:ascii="方正小标宋_GBK" w:hAnsi="TimesNewRoman" w:eastAsia="方正小标宋_GBK" w:cs="TimesNewRoman"/>
          <w:sz w:val="44"/>
          <w:szCs w:val="44"/>
        </w:rPr>
        <w:t>部门预算</w:t>
      </w:r>
    </w:p>
    <w:p>
      <w:pPr>
        <w:pStyle w:val="4"/>
        <w:adjustRightInd w:val="0"/>
        <w:snapToGrid w:val="0"/>
        <w:spacing w:line="560" w:lineRule="exact"/>
        <w:jc w:val="center"/>
        <w:outlineLvl w:val="0"/>
        <w:rPr>
          <w:rFonts w:hint="eastAsia" w:ascii="方正小标宋_GBK" w:hAnsi="TimesNewRoman" w:eastAsia="方正小标宋_GBK" w:cs="TimesNewRoman"/>
          <w:sz w:val="32"/>
          <w:szCs w:val="32"/>
        </w:rPr>
      </w:pPr>
    </w:p>
    <w:p>
      <w:pPr>
        <w:pStyle w:val="4"/>
        <w:adjustRightInd w:val="0"/>
        <w:snapToGrid w:val="0"/>
        <w:spacing w:line="560" w:lineRule="exact"/>
        <w:jc w:val="center"/>
        <w:rPr>
          <w:rFonts w:ascii="TimesNewRoman" w:hAnsi="TimesNewRoman" w:eastAsia="黑体" w:cs="TimesNewRoman"/>
          <w:bCs/>
          <w:sz w:val="36"/>
          <w:szCs w:val="36"/>
        </w:rPr>
      </w:pPr>
    </w:p>
    <w:p>
      <w:pPr>
        <w:pStyle w:val="4"/>
        <w:adjustRightInd w:val="0"/>
        <w:snapToGrid w:val="0"/>
        <w:spacing w:line="560" w:lineRule="exact"/>
        <w:jc w:val="center"/>
        <w:rPr>
          <w:rFonts w:ascii="TimesNewRoman" w:hAnsi="TimesNewRoman" w:eastAsia="黑体" w:cs="TimesNewRoman"/>
          <w:bCs/>
          <w:sz w:val="36"/>
          <w:szCs w:val="36"/>
        </w:rPr>
      </w:pPr>
    </w:p>
    <w:p>
      <w:pPr>
        <w:pStyle w:val="4"/>
        <w:adjustRightInd w:val="0"/>
        <w:snapToGrid w:val="0"/>
        <w:spacing w:line="560" w:lineRule="exact"/>
        <w:jc w:val="center"/>
        <w:rPr>
          <w:rFonts w:ascii="TimesNewRoman" w:hAnsi="TimesNewRoman" w:eastAsia="黑体" w:cs="TimesNewRoman"/>
          <w:bCs/>
          <w:sz w:val="36"/>
          <w:szCs w:val="36"/>
        </w:rPr>
      </w:pPr>
    </w:p>
    <w:p>
      <w:pPr>
        <w:pStyle w:val="4"/>
        <w:adjustRightInd w:val="0"/>
        <w:snapToGrid w:val="0"/>
        <w:spacing w:line="560" w:lineRule="exact"/>
        <w:jc w:val="center"/>
        <w:rPr>
          <w:rFonts w:ascii="TimesNewRoman" w:hAnsi="TimesNewRoman" w:eastAsia="黑体" w:cs="TimesNewRoman"/>
          <w:bCs/>
          <w:sz w:val="36"/>
          <w:szCs w:val="36"/>
        </w:rPr>
      </w:pPr>
    </w:p>
    <w:p>
      <w:pPr>
        <w:pStyle w:val="4"/>
        <w:adjustRightInd w:val="0"/>
        <w:snapToGrid w:val="0"/>
        <w:spacing w:line="560" w:lineRule="exact"/>
        <w:jc w:val="center"/>
        <w:rPr>
          <w:rFonts w:hint="eastAsia" w:ascii="TimesNewRoman" w:hAnsi="TimesNewRoman" w:eastAsia="黑体" w:cs="TimesNewRoman"/>
          <w:bCs/>
          <w:sz w:val="36"/>
          <w:szCs w:val="36"/>
        </w:rPr>
      </w:pPr>
    </w:p>
    <w:p>
      <w:pPr>
        <w:pStyle w:val="4"/>
        <w:adjustRightInd w:val="0"/>
        <w:snapToGrid w:val="0"/>
        <w:spacing w:line="560" w:lineRule="exact"/>
        <w:jc w:val="center"/>
        <w:rPr>
          <w:rFonts w:ascii="TimesNewRoman" w:hAnsi="TimesNewRoman" w:eastAsia="黑体" w:cs="TimesNewRoman"/>
          <w:bCs/>
          <w:sz w:val="32"/>
          <w:szCs w:val="32"/>
        </w:rPr>
      </w:pPr>
    </w:p>
    <w:p>
      <w:pPr>
        <w:pStyle w:val="4"/>
        <w:adjustRightInd w:val="0"/>
        <w:snapToGrid w:val="0"/>
        <w:spacing w:line="560" w:lineRule="exact"/>
        <w:jc w:val="center"/>
        <w:rPr>
          <w:rFonts w:hint="eastAsia" w:ascii="仿宋_GB2312" w:hAnsi="TimesNewRoman" w:eastAsia="仿宋_GB2312" w:cs="TimesNewRoman"/>
          <w:bCs/>
          <w:sz w:val="32"/>
          <w:szCs w:val="32"/>
        </w:rPr>
      </w:pPr>
    </w:p>
    <w:p>
      <w:pPr>
        <w:pStyle w:val="4"/>
        <w:adjustRightInd w:val="0"/>
        <w:snapToGrid w:val="0"/>
        <w:spacing w:line="560" w:lineRule="exact"/>
        <w:jc w:val="center"/>
        <w:rPr>
          <w:rFonts w:hint="eastAsia" w:ascii="仿宋_GB2312" w:hAnsi="TimesNewRoman" w:eastAsia="仿宋_GB2312" w:cs="TimesNewRoman"/>
          <w:bCs/>
          <w:sz w:val="36"/>
          <w:szCs w:val="32"/>
        </w:rPr>
      </w:pPr>
    </w:p>
    <w:p>
      <w:pPr>
        <w:pStyle w:val="4"/>
        <w:adjustRightInd w:val="0"/>
        <w:snapToGrid w:val="0"/>
        <w:spacing w:line="560" w:lineRule="exact"/>
        <w:jc w:val="center"/>
        <w:rPr>
          <w:rFonts w:hint="eastAsia" w:ascii="仿宋_GB2312" w:hAnsi="TimesNewRoman" w:eastAsia="仿宋_GB2312" w:cs="TimesNewRoman"/>
          <w:bCs/>
          <w:sz w:val="36"/>
          <w:szCs w:val="32"/>
        </w:rPr>
      </w:pPr>
    </w:p>
    <w:p>
      <w:pPr>
        <w:pStyle w:val="4"/>
        <w:adjustRightInd w:val="0"/>
        <w:snapToGrid w:val="0"/>
        <w:spacing w:line="560" w:lineRule="exact"/>
        <w:jc w:val="center"/>
        <w:rPr>
          <w:rFonts w:hint="eastAsia" w:ascii="仿宋_GB2312" w:hAnsi="TimesNewRoman" w:eastAsia="仿宋_GB2312" w:cs="TimesNewRoman"/>
          <w:bCs/>
          <w:sz w:val="36"/>
          <w:szCs w:val="32"/>
        </w:rPr>
      </w:pPr>
      <w:r>
        <w:rPr>
          <w:rFonts w:hint="eastAsia" w:ascii="仿宋_GB2312" w:hAnsi="TimesNewRoman" w:eastAsia="仿宋_GB2312" w:cs="TimesNewRoman"/>
          <w:bCs/>
          <w:sz w:val="36"/>
          <w:szCs w:val="32"/>
        </w:rPr>
        <w:t>2024年</w:t>
      </w:r>
      <w:r>
        <w:rPr>
          <w:rFonts w:hint="eastAsia" w:ascii="仿宋_GB2312" w:hAnsi="TimesNewRoman" w:eastAsia="仿宋_GB2312" w:cs="TimesNewRoman"/>
          <w:bCs/>
          <w:sz w:val="36"/>
          <w:szCs w:val="32"/>
          <w:lang w:val="en-US" w:eastAsia="zh-CN"/>
        </w:rPr>
        <w:t>1</w:t>
      </w:r>
      <w:r>
        <w:rPr>
          <w:rFonts w:hint="eastAsia" w:ascii="仿宋_GB2312" w:hAnsi="TimesNewRoman" w:eastAsia="仿宋_GB2312" w:cs="TimesNewRoman"/>
          <w:bCs/>
          <w:sz w:val="36"/>
          <w:szCs w:val="32"/>
        </w:rPr>
        <w:t>月</w:t>
      </w:r>
    </w:p>
    <w:p>
      <w:pPr>
        <w:pStyle w:val="4"/>
        <w:adjustRightInd w:val="0"/>
        <w:snapToGrid w:val="0"/>
        <w:spacing w:line="560" w:lineRule="exact"/>
        <w:jc w:val="center"/>
        <w:rPr>
          <w:rFonts w:hint="eastAsia" w:ascii="方正小标宋_GBK" w:hAnsi="TimesNewRoman" w:eastAsia="方正小标宋_GBK" w:cs="TimesNewRoman"/>
          <w:bCs/>
          <w:sz w:val="44"/>
          <w:szCs w:val="44"/>
        </w:rPr>
      </w:pPr>
      <w:r>
        <w:rPr>
          <w:rFonts w:hint="eastAsia" w:ascii="方正小标宋_GBK" w:hAnsi="TimesNewRoman" w:eastAsia="方正小标宋_GBK" w:cs="TimesNewRoman"/>
          <w:bCs/>
          <w:sz w:val="44"/>
          <w:szCs w:val="44"/>
        </w:rPr>
        <w:t>目  录</w:t>
      </w:r>
    </w:p>
    <w:p>
      <w:pPr>
        <w:pStyle w:val="4"/>
        <w:topLinePunct/>
        <w:adjustRightInd w:val="0"/>
        <w:snapToGrid w:val="0"/>
        <w:spacing w:beforeAutospacing="0" w:afterAutospacing="0" w:line="560" w:lineRule="exact"/>
        <w:ind w:firstLine="640" w:firstLineChars="200"/>
        <w:jc w:val="both"/>
        <w:rPr>
          <w:rFonts w:ascii="黑体" w:hAnsi="黑体" w:eastAsia="黑体" w:cs="TimesNewRoman"/>
          <w:sz w:val="32"/>
          <w:szCs w:val="32"/>
        </w:rPr>
      </w:pPr>
    </w:p>
    <w:p>
      <w:pPr>
        <w:pStyle w:val="4"/>
        <w:topLinePunct/>
        <w:adjustRightInd w:val="0"/>
        <w:snapToGrid w:val="0"/>
        <w:spacing w:beforeAutospacing="0" w:afterAutospacing="0" w:line="560" w:lineRule="exact"/>
        <w:ind w:firstLine="640" w:firstLineChars="200"/>
        <w:jc w:val="both"/>
        <w:rPr>
          <w:rFonts w:ascii="黑体" w:hAnsi="黑体" w:eastAsia="黑体" w:cs="TimesNewRoman"/>
          <w:sz w:val="32"/>
          <w:szCs w:val="32"/>
        </w:rPr>
      </w:pPr>
      <w:r>
        <w:rPr>
          <w:rFonts w:ascii="黑体" w:hAnsi="黑体" w:eastAsia="黑体" w:cs="TimesNewRoman"/>
          <w:sz w:val="32"/>
          <w:szCs w:val="32"/>
        </w:rPr>
        <w:t>第一部分 部门概况</w:t>
      </w:r>
    </w:p>
    <w:p>
      <w:pPr>
        <w:pStyle w:val="4"/>
        <w:topLinePunct/>
        <w:adjustRightInd w:val="0"/>
        <w:snapToGrid w:val="0"/>
        <w:spacing w:beforeAutospacing="0" w:afterAutospacing="0" w:line="560" w:lineRule="exact"/>
        <w:ind w:firstLine="640" w:firstLineChars="200"/>
        <w:jc w:val="both"/>
        <w:rPr>
          <w:rFonts w:hint="eastAsia" w:ascii="仿宋_GB2312" w:hAnsi="TimesNewRoman" w:eastAsia="仿宋_GB2312" w:cs="TimesNewRoman"/>
          <w:bCs/>
          <w:sz w:val="32"/>
          <w:szCs w:val="32"/>
        </w:rPr>
      </w:pPr>
      <w:r>
        <w:rPr>
          <w:rFonts w:hint="eastAsia" w:ascii="仿宋_GB2312" w:hAnsi="TimesNewRoman" w:eastAsia="仿宋_GB2312" w:cs="TimesNewRoman"/>
          <w:bCs/>
          <w:sz w:val="32"/>
          <w:szCs w:val="32"/>
        </w:rPr>
        <w:t>1.主要职责</w:t>
      </w:r>
    </w:p>
    <w:p>
      <w:pPr>
        <w:pStyle w:val="4"/>
        <w:topLinePunct/>
        <w:adjustRightInd w:val="0"/>
        <w:snapToGrid w:val="0"/>
        <w:spacing w:beforeAutospacing="0" w:afterAutospacing="0" w:line="560" w:lineRule="exact"/>
        <w:ind w:firstLine="640" w:firstLineChars="200"/>
        <w:jc w:val="both"/>
        <w:rPr>
          <w:rFonts w:hint="eastAsia" w:ascii="仿宋_GB2312" w:hAnsi="TimesNewRoman" w:eastAsia="仿宋_GB2312" w:cs="TimesNewRoman"/>
          <w:bCs/>
          <w:sz w:val="32"/>
          <w:szCs w:val="32"/>
        </w:rPr>
      </w:pPr>
      <w:r>
        <w:rPr>
          <w:rFonts w:hint="eastAsia" w:ascii="仿宋_GB2312" w:hAnsi="TimesNewRoman" w:eastAsia="仿宋_GB2312" w:cs="TimesNewRoman"/>
          <w:bCs/>
          <w:sz w:val="32"/>
          <w:szCs w:val="32"/>
        </w:rPr>
        <w:t>2.部门预算构成</w:t>
      </w:r>
    </w:p>
    <w:p>
      <w:pPr>
        <w:pStyle w:val="4"/>
        <w:topLinePunct/>
        <w:adjustRightInd w:val="0"/>
        <w:snapToGrid w:val="0"/>
        <w:spacing w:beforeAutospacing="0" w:afterAutospacing="0" w:line="560" w:lineRule="exact"/>
        <w:ind w:firstLine="640" w:firstLineChars="200"/>
        <w:jc w:val="both"/>
        <w:rPr>
          <w:rFonts w:hint="eastAsia" w:ascii="仿宋_GB2312" w:hAnsi="TimesNewRoman" w:eastAsia="仿宋_GB2312" w:cs="TimesNewRoman"/>
          <w:bCs/>
          <w:sz w:val="32"/>
          <w:szCs w:val="32"/>
        </w:rPr>
      </w:pPr>
      <w:r>
        <w:rPr>
          <w:rFonts w:hint="eastAsia" w:ascii="仿宋_GB2312" w:hAnsi="TimesNewRoman" w:eastAsia="仿宋_GB2312" w:cs="TimesNewRoman"/>
          <w:bCs/>
          <w:sz w:val="32"/>
          <w:szCs w:val="32"/>
        </w:rPr>
        <w:t>3.2024年度主要工作任务</w:t>
      </w:r>
    </w:p>
    <w:p>
      <w:pPr>
        <w:pStyle w:val="4"/>
        <w:topLinePunct/>
        <w:adjustRightInd w:val="0"/>
        <w:snapToGrid w:val="0"/>
        <w:spacing w:beforeAutospacing="0" w:afterAutospacing="0" w:line="560" w:lineRule="exact"/>
        <w:ind w:firstLine="640" w:firstLineChars="200"/>
        <w:jc w:val="both"/>
        <w:rPr>
          <w:rFonts w:ascii="黑体" w:hAnsi="黑体" w:eastAsia="黑体" w:cs="TimesNewRoman"/>
          <w:sz w:val="32"/>
          <w:szCs w:val="32"/>
        </w:rPr>
      </w:pPr>
      <w:r>
        <w:rPr>
          <w:rFonts w:ascii="黑体" w:hAnsi="黑体" w:eastAsia="黑体" w:cs="TimesNewRoman"/>
          <w:sz w:val="32"/>
          <w:szCs w:val="32"/>
        </w:rPr>
        <w:t xml:space="preserve">第二部分 </w:t>
      </w:r>
      <w:r>
        <w:rPr>
          <w:rFonts w:hint="eastAsia" w:ascii="黑体" w:hAnsi="黑体" w:eastAsia="黑体" w:cs="TimesNewRoman"/>
          <w:sz w:val="32"/>
          <w:szCs w:val="32"/>
        </w:rPr>
        <w:t>2024</w:t>
      </w:r>
      <w:r>
        <w:rPr>
          <w:rFonts w:ascii="黑体" w:hAnsi="黑体" w:eastAsia="黑体" w:cs="TimesNewRoman"/>
          <w:sz w:val="32"/>
          <w:szCs w:val="32"/>
        </w:rPr>
        <w:t>年部门预算表</w:t>
      </w:r>
    </w:p>
    <w:p>
      <w:pPr>
        <w:pStyle w:val="4"/>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1.</w:t>
      </w:r>
      <w:r>
        <w:rPr>
          <w:rFonts w:hint="eastAsia" w:ascii="仿宋_GB2312" w:hAnsi="TimesNewRoman" w:eastAsia="仿宋_GB2312" w:cs="TimesNewRoman"/>
          <w:bCs/>
          <w:sz w:val="32"/>
          <w:szCs w:val="32"/>
        </w:rPr>
        <w:t>寿县</w:t>
      </w:r>
      <w:r>
        <w:rPr>
          <w:rFonts w:hint="eastAsia" w:ascii="仿宋_GB2312" w:hAnsi="TimesNewRoman" w:eastAsia="仿宋_GB2312" w:cs="TimesNewRoman"/>
          <w:bCs/>
          <w:sz w:val="32"/>
          <w:szCs w:val="32"/>
          <w:lang w:eastAsia="zh-CN"/>
        </w:rPr>
        <w:t>新桥北区</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年收支总表</w:t>
      </w:r>
    </w:p>
    <w:p>
      <w:pPr>
        <w:pStyle w:val="4"/>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2.</w:t>
      </w:r>
      <w:r>
        <w:rPr>
          <w:rFonts w:hint="eastAsia" w:ascii="仿宋_GB2312" w:hAnsi="TimesNewRoman" w:eastAsia="仿宋_GB2312" w:cs="TimesNewRoman"/>
          <w:bCs/>
          <w:sz w:val="32"/>
          <w:szCs w:val="32"/>
        </w:rPr>
        <w:t>寿县</w:t>
      </w:r>
      <w:r>
        <w:rPr>
          <w:rFonts w:hint="eastAsia" w:ascii="仿宋_GB2312" w:hAnsi="TimesNewRoman" w:eastAsia="仿宋_GB2312" w:cs="TimesNewRoman"/>
          <w:bCs/>
          <w:sz w:val="32"/>
          <w:szCs w:val="32"/>
          <w:lang w:eastAsia="zh-CN"/>
        </w:rPr>
        <w:t>新桥北区</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年收入总表</w:t>
      </w:r>
    </w:p>
    <w:p>
      <w:pPr>
        <w:pStyle w:val="4"/>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3.</w:t>
      </w:r>
      <w:r>
        <w:rPr>
          <w:rFonts w:hint="eastAsia" w:ascii="仿宋_GB2312" w:hAnsi="TimesNewRoman" w:eastAsia="仿宋_GB2312" w:cs="TimesNewRoman"/>
          <w:bCs/>
          <w:sz w:val="32"/>
          <w:szCs w:val="32"/>
        </w:rPr>
        <w:t>寿县</w:t>
      </w:r>
      <w:r>
        <w:rPr>
          <w:rFonts w:hint="eastAsia" w:ascii="仿宋_GB2312" w:hAnsi="TimesNewRoman" w:eastAsia="仿宋_GB2312" w:cs="TimesNewRoman"/>
          <w:bCs/>
          <w:sz w:val="32"/>
          <w:szCs w:val="32"/>
          <w:lang w:eastAsia="zh-CN"/>
        </w:rPr>
        <w:t>新桥北区</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年支出总表</w:t>
      </w:r>
    </w:p>
    <w:p>
      <w:pPr>
        <w:pStyle w:val="4"/>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4.</w:t>
      </w:r>
      <w:r>
        <w:rPr>
          <w:rFonts w:hint="eastAsia" w:ascii="仿宋_GB2312" w:hAnsi="TimesNewRoman" w:eastAsia="仿宋_GB2312" w:cs="TimesNewRoman"/>
          <w:bCs/>
          <w:sz w:val="32"/>
          <w:szCs w:val="32"/>
        </w:rPr>
        <w:t>寿县</w:t>
      </w:r>
      <w:r>
        <w:rPr>
          <w:rFonts w:hint="eastAsia" w:ascii="仿宋_GB2312" w:hAnsi="TimesNewRoman" w:eastAsia="仿宋_GB2312" w:cs="TimesNewRoman"/>
          <w:bCs/>
          <w:sz w:val="32"/>
          <w:szCs w:val="32"/>
          <w:lang w:eastAsia="zh-CN"/>
        </w:rPr>
        <w:t>新桥北区</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年财政拨款收支总表</w:t>
      </w:r>
    </w:p>
    <w:p>
      <w:pPr>
        <w:pStyle w:val="4"/>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5.</w:t>
      </w:r>
      <w:r>
        <w:rPr>
          <w:rFonts w:hint="eastAsia" w:ascii="仿宋_GB2312" w:hAnsi="TimesNewRoman" w:eastAsia="仿宋_GB2312" w:cs="TimesNewRoman"/>
          <w:bCs/>
          <w:sz w:val="32"/>
          <w:szCs w:val="32"/>
        </w:rPr>
        <w:t>寿县</w:t>
      </w:r>
      <w:r>
        <w:rPr>
          <w:rFonts w:hint="eastAsia" w:ascii="仿宋_GB2312" w:hAnsi="TimesNewRoman" w:eastAsia="仿宋_GB2312" w:cs="TimesNewRoman"/>
          <w:bCs/>
          <w:sz w:val="32"/>
          <w:szCs w:val="32"/>
          <w:lang w:eastAsia="zh-CN"/>
        </w:rPr>
        <w:t>新桥北区</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年一般公共预算支出表</w:t>
      </w:r>
    </w:p>
    <w:p>
      <w:pPr>
        <w:pStyle w:val="4"/>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6.</w:t>
      </w:r>
      <w:r>
        <w:rPr>
          <w:rFonts w:hint="eastAsia" w:ascii="仿宋_GB2312" w:hAnsi="TimesNewRoman" w:eastAsia="仿宋_GB2312" w:cs="TimesNewRoman"/>
          <w:bCs/>
          <w:sz w:val="32"/>
          <w:szCs w:val="32"/>
        </w:rPr>
        <w:t>寿县</w:t>
      </w:r>
      <w:r>
        <w:rPr>
          <w:rFonts w:hint="eastAsia" w:ascii="仿宋_GB2312" w:hAnsi="TimesNewRoman" w:eastAsia="仿宋_GB2312" w:cs="TimesNewRoman"/>
          <w:bCs/>
          <w:sz w:val="32"/>
          <w:szCs w:val="32"/>
          <w:lang w:eastAsia="zh-CN"/>
        </w:rPr>
        <w:t>新桥北区</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年一般公共预算基本支出表</w:t>
      </w:r>
    </w:p>
    <w:p>
      <w:pPr>
        <w:pStyle w:val="4"/>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7.</w:t>
      </w:r>
      <w:r>
        <w:rPr>
          <w:rFonts w:hint="eastAsia" w:ascii="仿宋_GB2312" w:hAnsi="TimesNewRoman" w:eastAsia="仿宋_GB2312" w:cs="TimesNewRoman"/>
          <w:bCs/>
          <w:sz w:val="32"/>
          <w:szCs w:val="32"/>
        </w:rPr>
        <w:t>寿县</w:t>
      </w:r>
      <w:r>
        <w:rPr>
          <w:rFonts w:hint="eastAsia" w:ascii="仿宋_GB2312" w:hAnsi="TimesNewRoman" w:eastAsia="仿宋_GB2312" w:cs="TimesNewRoman"/>
          <w:bCs/>
          <w:sz w:val="32"/>
          <w:szCs w:val="32"/>
          <w:lang w:eastAsia="zh-CN"/>
        </w:rPr>
        <w:t>新桥北区</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年政府性基金预算支出表</w:t>
      </w:r>
    </w:p>
    <w:p>
      <w:pPr>
        <w:pStyle w:val="4"/>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8.</w:t>
      </w:r>
      <w:r>
        <w:rPr>
          <w:rFonts w:hint="eastAsia" w:ascii="仿宋_GB2312" w:hAnsi="TimesNewRoman" w:eastAsia="仿宋_GB2312" w:cs="TimesNewRoman"/>
          <w:bCs/>
          <w:sz w:val="32"/>
          <w:szCs w:val="32"/>
        </w:rPr>
        <w:t>寿县2024</w:t>
      </w:r>
      <w:r>
        <w:rPr>
          <w:rFonts w:ascii="仿宋_GB2312" w:hAnsi="TimesNewRoman" w:eastAsia="仿宋_GB2312" w:cs="TimesNewRoman"/>
          <w:bCs/>
          <w:sz w:val="32"/>
          <w:szCs w:val="32"/>
        </w:rPr>
        <w:t>年国有资本经营预算支出表</w:t>
      </w:r>
    </w:p>
    <w:p>
      <w:pPr>
        <w:pStyle w:val="4"/>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9.</w:t>
      </w:r>
      <w:r>
        <w:rPr>
          <w:rFonts w:hint="eastAsia" w:ascii="仿宋_GB2312" w:hAnsi="TimesNewRoman" w:eastAsia="仿宋_GB2312" w:cs="TimesNewRoman"/>
          <w:bCs/>
          <w:sz w:val="32"/>
          <w:szCs w:val="32"/>
        </w:rPr>
        <w:t>寿县</w:t>
      </w:r>
      <w:r>
        <w:rPr>
          <w:rFonts w:hint="eastAsia" w:ascii="仿宋_GB2312" w:hAnsi="TimesNewRoman" w:eastAsia="仿宋_GB2312" w:cs="TimesNewRoman"/>
          <w:bCs/>
          <w:sz w:val="32"/>
          <w:szCs w:val="32"/>
          <w:lang w:eastAsia="zh-CN"/>
        </w:rPr>
        <w:t>新桥北区</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年项目支出表</w:t>
      </w:r>
    </w:p>
    <w:p>
      <w:pPr>
        <w:pStyle w:val="4"/>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10.</w:t>
      </w:r>
      <w:r>
        <w:rPr>
          <w:rFonts w:hint="eastAsia" w:ascii="仿宋_GB2312" w:hAnsi="TimesNewRoman" w:eastAsia="仿宋_GB2312" w:cs="TimesNewRoman"/>
          <w:bCs/>
          <w:sz w:val="32"/>
          <w:szCs w:val="32"/>
        </w:rPr>
        <w:t>寿县</w:t>
      </w:r>
      <w:r>
        <w:rPr>
          <w:rFonts w:hint="eastAsia" w:ascii="仿宋_GB2312" w:hAnsi="TimesNewRoman" w:eastAsia="仿宋_GB2312" w:cs="TimesNewRoman"/>
          <w:bCs/>
          <w:sz w:val="32"/>
          <w:szCs w:val="32"/>
          <w:lang w:eastAsia="zh-CN"/>
        </w:rPr>
        <w:t>新桥北区</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年政府采购支出表</w:t>
      </w:r>
    </w:p>
    <w:p>
      <w:pPr>
        <w:pStyle w:val="4"/>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11.</w:t>
      </w:r>
      <w:r>
        <w:rPr>
          <w:rFonts w:hint="eastAsia" w:ascii="仿宋_GB2312" w:hAnsi="TimesNewRoman" w:eastAsia="仿宋_GB2312" w:cs="TimesNewRoman"/>
          <w:bCs/>
          <w:sz w:val="32"/>
          <w:szCs w:val="32"/>
        </w:rPr>
        <w:t>寿县</w:t>
      </w:r>
      <w:r>
        <w:rPr>
          <w:rFonts w:hint="eastAsia" w:ascii="仿宋_GB2312" w:hAnsi="TimesNewRoman" w:eastAsia="仿宋_GB2312" w:cs="TimesNewRoman"/>
          <w:bCs/>
          <w:sz w:val="32"/>
          <w:szCs w:val="32"/>
          <w:lang w:eastAsia="zh-CN"/>
        </w:rPr>
        <w:t>新桥北区</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年政府购买服务支出表</w:t>
      </w:r>
    </w:p>
    <w:p>
      <w:pPr>
        <w:pStyle w:val="4"/>
        <w:topLinePunct/>
        <w:adjustRightInd w:val="0"/>
        <w:snapToGrid w:val="0"/>
        <w:spacing w:beforeAutospacing="0" w:afterAutospacing="0" w:line="560" w:lineRule="exact"/>
        <w:ind w:firstLine="640" w:firstLineChars="200"/>
        <w:jc w:val="both"/>
        <w:rPr>
          <w:rFonts w:ascii="黑体" w:hAnsi="黑体" w:eastAsia="黑体" w:cs="TimesNewRoman"/>
          <w:sz w:val="32"/>
          <w:szCs w:val="32"/>
        </w:rPr>
      </w:pPr>
      <w:r>
        <w:rPr>
          <w:rFonts w:ascii="黑体" w:hAnsi="黑体" w:eastAsia="黑体" w:cs="TimesNewRoman"/>
          <w:sz w:val="32"/>
          <w:szCs w:val="32"/>
        </w:rPr>
        <w:t xml:space="preserve">第三部分 </w:t>
      </w:r>
      <w:r>
        <w:rPr>
          <w:rFonts w:hint="eastAsia" w:ascii="黑体" w:hAnsi="黑体" w:eastAsia="黑体" w:cs="TimesNewRoman"/>
          <w:sz w:val="32"/>
          <w:szCs w:val="32"/>
        </w:rPr>
        <w:t>2024</w:t>
      </w:r>
      <w:r>
        <w:rPr>
          <w:rFonts w:ascii="黑体" w:hAnsi="黑体" w:eastAsia="黑体" w:cs="TimesNewRoman"/>
          <w:sz w:val="32"/>
          <w:szCs w:val="32"/>
        </w:rPr>
        <w:t>年部门预算情况说明</w:t>
      </w:r>
    </w:p>
    <w:p>
      <w:pPr>
        <w:pStyle w:val="4"/>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1.关于</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年收支总表的说明</w:t>
      </w:r>
    </w:p>
    <w:p>
      <w:pPr>
        <w:pStyle w:val="4"/>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2.关于</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年收入总表的说明</w:t>
      </w:r>
    </w:p>
    <w:p>
      <w:pPr>
        <w:pStyle w:val="4"/>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3.关于</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年支出总表的说明</w:t>
      </w:r>
    </w:p>
    <w:p>
      <w:pPr>
        <w:pStyle w:val="4"/>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4.关于</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年财政拨款收支总表的说明</w:t>
      </w:r>
    </w:p>
    <w:p>
      <w:pPr>
        <w:pStyle w:val="4"/>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5.关于</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年一般公共预算支出表的说明</w:t>
      </w:r>
    </w:p>
    <w:p>
      <w:pPr>
        <w:pStyle w:val="4"/>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6.关于</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年一般公共预算基本支出表的说明</w:t>
      </w:r>
    </w:p>
    <w:p>
      <w:pPr>
        <w:pStyle w:val="4"/>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7.关于</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年政府性基金预算支出表的说明</w:t>
      </w:r>
    </w:p>
    <w:p>
      <w:pPr>
        <w:pStyle w:val="4"/>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8.关于</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年国有资本经营预算支出表的说明</w:t>
      </w:r>
    </w:p>
    <w:p>
      <w:pPr>
        <w:pStyle w:val="4"/>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9.关于</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年项目支出表的说明</w:t>
      </w:r>
    </w:p>
    <w:p>
      <w:pPr>
        <w:pStyle w:val="4"/>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10.关于</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年政府采购支出表的说明</w:t>
      </w:r>
    </w:p>
    <w:p>
      <w:pPr>
        <w:pStyle w:val="4"/>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11.关于</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年政府购买服务支出表的说明</w:t>
      </w:r>
    </w:p>
    <w:p>
      <w:pPr>
        <w:pStyle w:val="4"/>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12.其他重要事项情况说明</w:t>
      </w:r>
    </w:p>
    <w:p>
      <w:pPr>
        <w:pStyle w:val="4"/>
        <w:topLinePunct/>
        <w:adjustRightInd w:val="0"/>
        <w:snapToGrid w:val="0"/>
        <w:spacing w:beforeAutospacing="0" w:afterAutospacing="0" w:line="560" w:lineRule="exact"/>
        <w:ind w:firstLine="640" w:firstLineChars="200"/>
        <w:jc w:val="both"/>
        <w:rPr>
          <w:rFonts w:ascii="黑体" w:hAnsi="黑体" w:eastAsia="黑体" w:cs="TimesNewRoman"/>
          <w:sz w:val="32"/>
          <w:szCs w:val="32"/>
        </w:rPr>
      </w:pPr>
      <w:r>
        <w:rPr>
          <w:rFonts w:ascii="黑体" w:hAnsi="黑体" w:eastAsia="黑体" w:cs="TimesNewRoman"/>
          <w:sz w:val="32"/>
          <w:szCs w:val="32"/>
        </w:rPr>
        <w:t>第四部分 名词解释</w:t>
      </w:r>
    </w:p>
    <w:p>
      <w:pPr>
        <w:pStyle w:val="4"/>
        <w:topLinePunct/>
        <w:adjustRightInd w:val="0"/>
        <w:snapToGrid w:val="0"/>
        <w:spacing w:beforeAutospacing="0" w:afterAutospacing="0" w:line="560" w:lineRule="exact"/>
        <w:ind w:firstLine="643" w:firstLineChars="200"/>
        <w:jc w:val="both"/>
        <w:rPr>
          <w:rFonts w:ascii="TimesNewRoman" w:hAnsi="TimesNewRoman" w:eastAsia="仿宋_GB2312" w:cs="TimesNewRoman"/>
          <w:b/>
          <w:sz w:val="32"/>
          <w:szCs w:val="32"/>
        </w:rPr>
      </w:pPr>
    </w:p>
    <w:p>
      <w:pPr>
        <w:pStyle w:val="4"/>
        <w:topLinePunct/>
        <w:adjustRightInd w:val="0"/>
        <w:snapToGrid w:val="0"/>
        <w:spacing w:beforeAutospacing="0" w:afterAutospacing="0" w:line="560" w:lineRule="exact"/>
        <w:ind w:firstLine="643" w:firstLineChars="200"/>
        <w:jc w:val="both"/>
        <w:rPr>
          <w:rFonts w:ascii="TimesNewRoman" w:hAnsi="TimesNewRoman" w:eastAsia="仿宋_GB2312" w:cs="TimesNewRoman"/>
          <w:b/>
          <w:sz w:val="32"/>
          <w:szCs w:val="32"/>
        </w:rPr>
      </w:pPr>
    </w:p>
    <w:p>
      <w:pPr>
        <w:pStyle w:val="4"/>
        <w:topLinePunct/>
        <w:adjustRightInd w:val="0"/>
        <w:snapToGrid w:val="0"/>
        <w:spacing w:beforeAutospacing="0" w:afterAutospacing="0" w:line="560" w:lineRule="exact"/>
        <w:ind w:firstLine="643" w:firstLineChars="200"/>
        <w:jc w:val="both"/>
        <w:rPr>
          <w:rFonts w:ascii="TimesNewRoman" w:hAnsi="TimesNewRoman" w:eastAsia="仿宋_GB2312" w:cs="TimesNewRoman"/>
          <w:b/>
          <w:sz w:val="32"/>
          <w:szCs w:val="32"/>
        </w:rPr>
      </w:pPr>
    </w:p>
    <w:p>
      <w:pPr>
        <w:pStyle w:val="4"/>
        <w:topLinePunct/>
        <w:adjustRightInd w:val="0"/>
        <w:snapToGrid w:val="0"/>
        <w:spacing w:beforeAutospacing="0" w:afterAutospacing="0" w:line="560" w:lineRule="exact"/>
        <w:ind w:firstLine="643" w:firstLineChars="200"/>
        <w:jc w:val="both"/>
        <w:rPr>
          <w:rFonts w:ascii="TimesNewRoman" w:hAnsi="TimesNewRoman" w:eastAsia="仿宋_GB2312" w:cs="TimesNewRoman"/>
          <w:b/>
          <w:sz w:val="32"/>
          <w:szCs w:val="32"/>
        </w:rPr>
      </w:pPr>
    </w:p>
    <w:p>
      <w:pPr>
        <w:pStyle w:val="4"/>
        <w:topLinePunct/>
        <w:adjustRightInd w:val="0"/>
        <w:snapToGrid w:val="0"/>
        <w:spacing w:beforeAutospacing="0" w:afterAutospacing="0" w:line="560" w:lineRule="exact"/>
        <w:ind w:firstLine="643" w:firstLineChars="200"/>
        <w:jc w:val="both"/>
        <w:rPr>
          <w:rFonts w:ascii="TimesNewRoman" w:hAnsi="TimesNewRoman" w:eastAsia="仿宋_GB2312" w:cs="TimesNewRoman"/>
          <w:b/>
          <w:sz w:val="32"/>
          <w:szCs w:val="32"/>
        </w:rPr>
      </w:pPr>
    </w:p>
    <w:p>
      <w:pPr>
        <w:pStyle w:val="4"/>
        <w:topLinePunct/>
        <w:adjustRightInd w:val="0"/>
        <w:snapToGrid w:val="0"/>
        <w:spacing w:beforeAutospacing="0" w:afterAutospacing="0" w:line="560" w:lineRule="exact"/>
        <w:ind w:firstLine="643" w:firstLineChars="200"/>
        <w:jc w:val="both"/>
        <w:rPr>
          <w:rFonts w:ascii="TimesNewRoman" w:hAnsi="TimesNewRoman" w:eastAsia="仿宋_GB2312" w:cs="TimesNewRoman"/>
          <w:b/>
          <w:sz w:val="32"/>
          <w:szCs w:val="32"/>
        </w:rPr>
      </w:pPr>
    </w:p>
    <w:p>
      <w:pPr>
        <w:pStyle w:val="4"/>
        <w:topLinePunct/>
        <w:adjustRightInd w:val="0"/>
        <w:snapToGrid w:val="0"/>
        <w:spacing w:beforeAutospacing="0" w:afterAutospacing="0" w:line="560" w:lineRule="exact"/>
        <w:ind w:firstLine="643" w:firstLineChars="200"/>
        <w:jc w:val="both"/>
        <w:rPr>
          <w:rFonts w:ascii="TimesNewRoman" w:hAnsi="TimesNewRoman" w:eastAsia="仿宋_GB2312" w:cs="TimesNewRoman"/>
          <w:b/>
          <w:sz w:val="32"/>
          <w:szCs w:val="32"/>
        </w:rPr>
      </w:pPr>
    </w:p>
    <w:p>
      <w:pPr>
        <w:pStyle w:val="4"/>
        <w:topLinePunct/>
        <w:adjustRightInd w:val="0"/>
        <w:snapToGrid w:val="0"/>
        <w:spacing w:beforeAutospacing="0" w:afterAutospacing="0" w:line="560" w:lineRule="exact"/>
        <w:ind w:firstLine="200"/>
        <w:jc w:val="both"/>
        <w:rPr>
          <w:rFonts w:ascii="TimesNewRoman" w:hAnsi="TimesNewRoman" w:eastAsia="黑体" w:cs="TimesNewRoman"/>
          <w:bCs/>
          <w:sz w:val="36"/>
          <w:szCs w:val="36"/>
        </w:rPr>
      </w:pPr>
    </w:p>
    <w:p>
      <w:pPr>
        <w:pStyle w:val="4"/>
        <w:topLinePunct/>
        <w:adjustRightInd w:val="0"/>
        <w:snapToGrid w:val="0"/>
        <w:spacing w:beforeAutospacing="0" w:afterAutospacing="0" w:line="560" w:lineRule="exact"/>
        <w:ind w:firstLine="200"/>
        <w:jc w:val="both"/>
        <w:rPr>
          <w:rFonts w:ascii="TimesNewRoman" w:hAnsi="TimesNewRoman" w:eastAsia="黑体" w:cs="TimesNewRoman"/>
          <w:bCs/>
          <w:sz w:val="36"/>
          <w:szCs w:val="36"/>
        </w:rPr>
      </w:pPr>
    </w:p>
    <w:p>
      <w:pPr>
        <w:pStyle w:val="4"/>
        <w:topLinePunct/>
        <w:adjustRightInd w:val="0"/>
        <w:snapToGrid w:val="0"/>
        <w:spacing w:beforeAutospacing="0" w:afterAutospacing="0" w:line="560" w:lineRule="exact"/>
        <w:jc w:val="center"/>
        <w:rPr>
          <w:rFonts w:ascii="TimesNewRoman" w:hAnsi="TimesNewRoman" w:eastAsia="黑体" w:cs="TimesNewRoman"/>
          <w:bCs/>
          <w:sz w:val="36"/>
          <w:szCs w:val="36"/>
        </w:rPr>
      </w:pPr>
    </w:p>
    <w:p>
      <w:pPr>
        <w:pStyle w:val="4"/>
        <w:topLinePunct/>
        <w:adjustRightInd w:val="0"/>
        <w:snapToGrid w:val="0"/>
        <w:spacing w:beforeAutospacing="0" w:afterAutospacing="0" w:line="560" w:lineRule="exact"/>
        <w:jc w:val="center"/>
        <w:rPr>
          <w:rFonts w:ascii="TimesNewRoman" w:hAnsi="TimesNewRoman" w:eastAsia="黑体" w:cs="TimesNewRoman"/>
          <w:bCs/>
          <w:sz w:val="36"/>
          <w:szCs w:val="36"/>
        </w:rPr>
      </w:pPr>
    </w:p>
    <w:p>
      <w:pPr>
        <w:pStyle w:val="4"/>
        <w:topLinePunct/>
        <w:adjustRightInd w:val="0"/>
        <w:snapToGrid w:val="0"/>
        <w:spacing w:beforeAutospacing="0" w:afterAutospacing="0" w:line="560" w:lineRule="exact"/>
        <w:jc w:val="center"/>
        <w:rPr>
          <w:rFonts w:ascii="TimesNewRoman" w:hAnsi="TimesNewRoman" w:eastAsia="黑体" w:cs="TimesNewRoman"/>
          <w:bCs/>
          <w:sz w:val="36"/>
          <w:szCs w:val="36"/>
        </w:rPr>
      </w:pPr>
    </w:p>
    <w:p>
      <w:pPr>
        <w:pStyle w:val="4"/>
        <w:topLinePunct/>
        <w:adjustRightInd w:val="0"/>
        <w:snapToGrid w:val="0"/>
        <w:spacing w:beforeAutospacing="0" w:afterAutospacing="0" w:line="560" w:lineRule="exact"/>
        <w:jc w:val="center"/>
        <w:rPr>
          <w:rFonts w:ascii="TimesNewRoman" w:hAnsi="TimesNewRoman" w:eastAsia="黑体" w:cs="TimesNewRoman"/>
          <w:bCs/>
          <w:sz w:val="36"/>
          <w:szCs w:val="36"/>
        </w:rPr>
      </w:pPr>
      <w:r>
        <w:rPr>
          <w:rFonts w:ascii="TimesNewRoman" w:hAnsi="TimesNewRoman" w:eastAsia="黑体" w:cs="TimesNewRoman"/>
          <w:bCs/>
          <w:sz w:val="36"/>
          <w:szCs w:val="36"/>
        </w:rPr>
        <w:t>第一部分 部门概况</w:t>
      </w:r>
    </w:p>
    <w:p>
      <w:pPr>
        <w:pStyle w:val="4"/>
        <w:topLinePunct/>
        <w:adjustRightInd w:val="0"/>
        <w:snapToGrid w:val="0"/>
        <w:spacing w:beforeAutospacing="0" w:afterAutospacing="0" w:line="560" w:lineRule="exact"/>
        <w:ind w:firstLine="627" w:firstLineChars="196"/>
        <w:jc w:val="both"/>
        <w:rPr>
          <w:rFonts w:ascii="TimesNewRoman" w:hAnsi="TimesNewRoman" w:eastAsia="黑体" w:cs="TimesNewRoman"/>
          <w:bCs/>
          <w:sz w:val="32"/>
          <w:szCs w:val="32"/>
        </w:rPr>
      </w:pPr>
    </w:p>
    <w:p>
      <w:pPr>
        <w:pStyle w:val="4"/>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bCs/>
          <w:sz w:val="32"/>
          <w:szCs w:val="32"/>
        </w:rPr>
      </w:pPr>
      <w:r>
        <w:rPr>
          <w:rFonts w:hint="eastAsia" w:ascii="楷体_GB2312" w:hAnsi="TimesNewRoman" w:eastAsia="楷体_GB2312" w:cs="TimesNewRoman"/>
          <w:b/>
          <w:bCs/>
          <w:sz w:val="32"/>
          <w:szCs w:val="32"/>
        </w:rPr>
        <w:t>一、主要职责</w:t>
      </w:r>
    </w:p>
    <w:p>
      <w:pPr>
        <w:pStyle w:val="4"/>
        <w:adjustRightInd w:val="0"/>
        <w:snapToGrid w:val="0"/>
        <w:spacing w:before="0" w:beforeAutospacing="0" w:after="0" w:afterAutospacing="0" w:line="600" w:lineRule="exact"/>
        <w:ind w:firstLine="464" w:firstLineChars="145"/>
        <w:jc w:val="both"/>
        <w:rPr>
          <w:sz w:val="32"/>
          <w:szCs w:val="32"/>
        </w:rPr>
      </w:pPr>
      <w:r>
        <w:rPr>
          <w:rFonts w:hint="eastAsia" w:ascii="仿宋_GB2312" w:hAnsi="黑体" w:eastAsia="仿宋_GB2312"/>
          <w:bCs/>
          <w:sz w:val="32"/>
          <w:szCs w:val="32"/>
        </w:rPr>
        <w:t>（一）</w:t>
      </w:r>
      <w:r>
        <w:rPr>
          <w:rFonts w:hint="eastAsia" w:ascii="仿宋_GB2312" w:hAnsi="微软雅黑" w:eastAsia="仿宋_GB2312"/>
          <w:color w:val="454545"/>
          <w:sz w:val="32"/>
          <w:szCs w:val="32"/>
        </w:rPr>
        <w:t>贯彻执行党中央、国务院的路线、方针、政策和法律法规；执行省、市、县相关条例、规章制度、实施意见等。</w:t>
      </w:r>
    </w:p>
    <w:p>
      <w:pPr>
        <w:widowControl/>
        <w:spacing w:line="450" w:lineRule="atLeast"/>
        <w:ind w:firstLine="320" w:firstLineChars="100"/>
        <w:jc w:val="left"/>
        <w:rPr>
          <w:rFonts w:ascii="仿宋_GB2312" w:hAnsi="微软雅黑" w:eastAsia="仿宋_GB2312" w:cs="宋体"/>
          <w:color w:val="454545"/>
          <w:kern w:val="0"/>
          <w:sz w:val="32"/>
          <w:szCs w:val="32"/>
        </w:rPr>
      </w:pPr>
      <w:r>
        <w:rPr>
          <w:rFonts w:hint="eastAsia" w:ascii="仿宋_GB2312" w:hAnsi="微软雅黑" w:eastAsia="仿宋_GB2312" w:cs="宋体"/>
          <w:color w:val="454545"/>
          <w:kern w:val="0"/>
          <w:sz w:val="32"/>
          <w:szCs w:val="32"/>
        </w:rPr>
        <w:t>（二）根据全县经济社会发展规划和年度计划，编制和修改工业园区的经济发展规划及年度计划，并组织实施。</w:t>
      </w:r>
    </w:p>
    <w:p>
      <w:pPr>
        <w:widowControl/>
        <w:spacing w:line="450" w:lineRule="atLeast"/>
        <w:ind w:firstLine="320" w:firstLineChars="100"/>
        <w:jc w:val="left"/>
        <w:rPr>
          <w:rFonts w:ascii="仿宋_GB2312" w:hAnsi="微软雅黑" w:eastAsia="仿宋_GB2312" w:cs="宋体"/>
          <w:color w:val="454545"/>
          <w:kern w:val="0"/>
          <w:sz w:val="32"/>
          <w:szCs w:val="32"/>
        </w:rPr>
      </w:pPr>
      <w:r>
        <w:rPr>
          <w:rFonts w:hint="eastAsia" w:ascii="仿宋_GB2312" w:hAnsi="微软雅黑" w:eastAsia="仿宋_GB2312" w:cs="宋体"/>
          <w:color w:val="454545"/>
          <w:kern w:val="0"/>
          <w:sz w:val="32"/>
          <w:szCs w:val="32"/>
        </w:rPr>
        <w:t>（三）根据城市总体规划，编制工业园区建设规划和控制性详细规划意见，报经批准后具体组织实施。</w:t>
      </w:r>
    </w:p>
    <w:p>
      <w:pPr>
        <w:widowControl/>
        <w:spacing w:line="450" w:lineRule="atLeast"/>
        <w:ind w:firstLine="320" w:firstLineChars="100"/>
        <w:jc w:val="left"/>
        <w:rPr>
          <w:rFonts w:ascii="仿宋_GB2312" w:hAnsi="微软雅黑" w:eastAsia="仿宋_GB2312" w:cs="宋体"/>
          <w:color w:val="454545"/>
          <w:kern w:val="0"/>
          <w:sz w:val="32"/>
          <w:szCs w:val="32"/>
        </w:rPr>
      </w:pPr>
      <w:r>
        <w:rPr>
          <w:rFonts w:hint="eastAsia" w:ascii="仿宋_GB2312" w:hAnsi="微软雅黑" w:eastAsia="仿宋_GB2312" w:cs="宋体"/>
          <w:color w:val="454545"/>
          <w:kern w:val="0"/>
          <w:sz w:val="32"/>
          <w:szCs w:val="32"/>
        </w:rPr>
        <w:t>（四）制定工业园区有关管理制度并监督执行。</w:t>
      </w:r>
    </w:p>
    <w:p>
      <w:pPr>
        <w:widowControl/>
        <w:spacing w:line="450" w:lineRule="atLeast"/>
        <w:ind w:firstLine="320" w:firstLineChars="100"/>
        <w:jc w:val="left"/>
        <w:rPr>
          <w:rFonts w:ascii="仿宋_GB2312" w:hAnsi="微软雅黑" w:eastAsia="仿宋_GB2312" w:cs="宋体"/>
          <w:color w:val="454545"/>
          <w:kern w:val="0"/>
          <w:sz w:val="32"/>
          <w:szCs w:val="32"/>
        </w:rPr>
      </w:pPr>
      <w:r>
        <w:rPr>
          <w:rFonts w:hint="eastAsia" w:ascii="仿宋_GB2312" w:hAnsi="微软雅黑" w:eastAsia="仿宋_GB2312" w:cs="宋体"/>
          <w:color w:val="454545"/>
          <w:kern w:val="0"/>
          <w:sz w:val="32"/>
          <w:szCs w:val="32"/>
        </w:rPr>
        <w:t>（五）协调与各有关部门的工作联系；监督、检查、协调与相关部门在园区内派出机构、分支机构的工作。</w:t>
      </w:r>
    </w:p>
    <w:p>
      <w:pPr>
        <w:widowControl/>
        <w:spacing w:line="450" w:lineRule="atLeast"/>
        <w:ind w:firstLine="320" w:firstLineChars="100"/>
        <w:jc w:val="left"/>
        <w:rPr>
          <w:rFonts w:ascii="仿宋_GB2312" w:hAnsi="微软雅黑" w:eastAsia="仿宋_GB2312" w:cs="宋体"/>
          <w:color w:val="454545"/>
          <w:kern w:val="0"/>
          <w:sz w:val="32"/>
          <w:szCs w:val="32"/>
        </w:rPr>
      </w:pPr>
      <w:r>
        <w:rPr>
          <w:rFonts w:hint="eastAsia" w:ascii="仿宋_GB2312" w:hAnsi="微软雅黑" w:eastAsia="仿宋_GB2312" w:cs="宋体"/>
          <w:color w:val="454545"/>
          <w:kern w:val="0"/>
          <w:sz w:val="32"/>
          <w:szCs w:val="32"/>
        </w:rPr>
        <w:t>（六）负责工业园区土地开发、基础设施和公共设施的建设和管理。</w:t>
      </w:r>
    </w:p>
    <w:p>
      <w:pPr>
        <w:widowControl/>
        <w:spacing w:line="450" w:lineRule="atLeast"/>
        <w:ind w:firstLine="320" w:firstLineChars="100"/>
        <w:jc w:val="left"/>
        <w:rPr>
          <w:rFonts w:ascii="仿宋_GB2312" w:hAnsi="微软雅黑" w:eastAsia="仿宋_GB2312" w:cs="宋体"/>
          <w:color w:val="454545"/>
          <w:kern w:val="0"/>
          <w:sz w:val="32"/>
          <w:szCs w:val="32"/>
        </w:rPr>
      </w:pPr>
      <w:r>
        <w:rPr>
          <w:rFonts w:hint="eastAsia" w:ascii="仿宋_GB2312" w:hAnsi="微软雅黑" w:eastAsia="仿宋_GB2312" w:cs="宋体"/>
          <w:color w:val="454545"/>
          <w:kern w:val="0"/>
          <w:sz w:val="32"/>
          <w:szCs w:val="32"/>
        </w:rPr>
        <w:t>（七）研究对外招商引资政策，并组织实施；帮助入园企业审批投资项目，对外开展多向性的经济合作交流。</w:t>
      </w:r>
    </w:p>
    <w:p>
      <w:pPr>
        <w:widowControl/>
        <w:spacing w:line="450" w:lineRule="atLeast"/>
        <w:ind w:firstLine="320" w:firstLineChars="100"/>
        <w:jc w:val="left"/>
        <w:rPr>
          <w:rFonts w:ascii="仿宋_GB2312" w:hAnsi="微软雅黑" w:eastAsia="仿宋_GB2312" w:cs="宋体"/>
          <w:color w:val="454545"/>
          <w:kern w:val="0"/>
          <w:sz w:val="32"/>
          <w:szCs w:val="32"/>
        </w:rPr>
      </w:pPr>
      <w:r>
        <w:rPr>
          <w:rFonts w:hint="eastAsia" w:ascii="仿宋_GB2312" w:hAnsi="微软雅黑" w:eastAsia="仿宋_GB2312" w:cs="宋体"/>
          <w:color w:val="454545"/>
          <w:kern w:val="0"/>
          <w:sz w:val="32"/>
          <w:szCs w:val="32"/>
        </w:rPr>
        <w:t>（八）对工业园区内企事业单位进行指导监督，保护投资者和企业的合法权益。</w:t>
      </w:r>
    </w:p>
    <w:p>
      <w:pPr>
        <w:widowControl/>
        <w:spacing w:line="450" w:lineRule="atLeast"/>
        <w:ind w:firstLine="320" w:firstLineChars="100"/>
        <w:jc w:val="left"/>
        <w:rPr>
          <w:rFonts w:ascii="仿宋_GB2312" w:hAnsi="微软雅黑" w:eastAsia="仿宋_GB2312" w:cs="宋体"/>
          <w:color w:val="454545"/>
          <w:kern w:val="0"/>
          <w:sz w:val="32"/>
          <w:szCs w:val="32"/>
        </w:rPr>
      </w:pPr>
      <w:r>
        <w:rPr>
          <w:rFonts w:hint="eastAsia" w:ascii="仿宋_GB2312" w:hAnsi="微软雅黑" w:eastAsia="仿宋_GB2312" w:cs="宋体"/>
          <w:color w:val="454545"/>
          <w:kern w:val="0"/>
          <w:sz w:val="32"/>
          <w:szCs w:val="32"/>
        </w:rPr>
        <w:t>（九）负责工业园区内企业的各项服务工作，做好园区内企业的党组织、共青团、工会、妇联、社会治安综合管理工作。</w:t>
      </w:r>
    </w:p>
    <w:p>
      <w:pPr>
        <w:widowControl/>
        <w:spacing w:line="450" w:lineRule="atLeast"/>
        <w:ind w:firstLine="320" w:firstLineChars="100"/>
        <w:jc w:val="left"/>
        <w:rPr>
          <w:rFonts w:ascii="仿宋_GB2312" w:hAnsi="微软雅黑" w:eastAsia="仿宋_GB2312" w:cs="宋体"/>
          <w:color w:val="454545"/>
          <w:kern w:val="0"/>
          <w:sz w:val="32"/>
          <w:szCs w:val="32"/>
        </w:rPr>
      </w:pPr>
      <w:r>
        <w:rPr>
          <w:rFonts w:hint="eastAsia" w:ascii="仿宋_GB2312" w:hAnsi="微软雅黑" w:eastAsia="仿宋_GB2312" w:cs="宋体"/>
          <w:color w:val="454545"/>
          <w:kern w:val="0"/>
          <w:sz w:val="32"/>
          <w:szCs w:val="32"/>
        </w:rPr>
        <w:t>（十）兴办、管理工业园区内教育、文化、卫生、体育等社会公益事业。</w:t>
      </w:r>
    </w:p>
    <w:p>
      <w:pPr>
        <w:widowControl/>
        <w:spacing w:line="450" w:lineRule="atLeast"/>
        <w:ind w:firstLine="320" w:firstLineChars="100"/>
        <w:jc w:val="left"/>
        <w:rPr>
          <w:rFonts w:hint="eastAsia" w:ascii="仿宋_GB2312" w:hAnsi="微软雅黑" w:eastAsia="仿宋_GB2312" w:cs="宋体"/>
          <w:color w:val="454545"/>
          <w:kern w:val="0"/>
          <w:sz w:val="32"/>
          <w:szCs w:val="32"/>
          <w:lang w:eastAsia="zh-CN"/>
        </w:rPr>
      </w:pPr>
      <w:r>
        <w:rPr>
          <w:rFonts w:hint="eastAsia" w:ascii="仿宋_GB2312" w:hAnsi="微软雅黑" w:eastAsia="仿宋_GB2312" w:cs="宋体"/>
          <w:color w:val="454545"/>
          <w:kern w:val="0"/>
          <w:sz w:val="32"/>
          <w:szCs w:val="32"/>
        </w:rPr>
        <w:t>（十一）加强企业管理，建设现代企业制度；组织企业员工培训，提高科技含量</w:t>
      </w:r>
      <w:r>
        <w:rPr>
          <w:rFonts w:hint="eastAsia" w:ascii="仿宋_GB2312" w:hAnsi="微软雅黑" w:eastAsia="仿宋_GB2312" w:cs="宋体"/>
          <w:color w:val="454545"/>
          <w:kern w:val="0"/>
          <w:sz w:val="32"/>
          <w:szCs w:val="32"/>
          <w:lang w:eastAsia="zh-CN"/>
        </w:rPr>
        <w:t>。</w:t>
      </w:r>
    </w:p>
    <w:p>
      <w:pPr>
        <w:widowControl/>
        <w:spacing w:line="450" w:lineRule="atLeast"/>
        <w:ind w:firstLine="480" w:firstLineChars="150"/>
        <w:jc w:val="left"/>
        <w:rPr>
          <w:rFonts w:ascii="仿宋_GB2312" w:hAnsi="微软雅黑" w:eastAsia="仿宋_GB2312" w:cs="宋体"/>
          <w:color w:val="454545"/>
          <w:kern w:val="0"/>
          <w:sz w:val="32"/>
          <w:szCs w:val="32"/>
        </w:rPr>
      </w:pPr>
      <w:r>
        <w:rPr>
          <w:rFonts w:hint="eastAsia" w:ascii="仿宋_GB2312" w:hAnsi="微软雅黑" w:eastAsia="仿宋_GB2312" w:cs="宋体"/>
          <w:color w:val="454545"/>
          <w:kern w:val="0"/>
          <w:sz w:val="32"/>
          <w:szCs w:val="32"/>
        </w:rPr>
        <w:t>（十二）指导全县乡镇工业园区的工作。</w:t>
      </w:r>
    </w:p>
    <w:p>
      <w:pPr>
        <w:widowControl/>
        <w:spacing w:line="450" w:lineRule="atLeast"/>
        <w:ind w:firstLine="480" w:firstLineChars="150"/>
        <w:jc w:val="left"/>
        <w:rPr>
          <w:rFonts w:ascii="仿宋_GB2312" w:hAnsi="微软雅黑" w:eastAsia="仿宋_GB2312" w:cs="宋体"/>
          <w:color w:val="454545"/>
          <w:kern w:val="0"/>
          <w:sz w:val="32"/>
          <w:szCs w:val="32"/>
        </w:rPr>
      </w:pPr>
      <w:r>
        <w:rPr>
          <w:rFonts w:hint="eastAsia" w:ascii="仿宋_GB2312" w:hAnsi="微软雅黑" w:eastAsia="仿宋_GB2312" w:cs="宋体"/>
          <w:color w:val="454545"/>
          <w:kern w:val="0"/>
          <w:sz w:val="32"/>
          <w:szCs w:val="32"/>
        </w:rPr>
        <w:t>（十三）承办县委、县政府交办的其他事项。</w:t>
      </w:r>
    </w:p>
    <w:p>
      <w:pPr>
        <w:pStyle w:val="4"/>
        <w:adjustRightInd w:val="0"/>
        <w:snapToGrid w:val="0"/>
        <w:spacing w:before="0" w:beforeAutospacing="0" w:after="0" w:afterAutospacing="0" w:line="600" w:lineRule="exact"/>
        <w:ind w:firstLine="627" w:firstLineChars="196"/>
        <w:jc w:val="both"/>
        <w:rPr>
          <w:rFonts w:ascii="TimesNewRoman" w:hAnsi="TimesNewRoman" w:eastAsia="仿宋_GB2312" w:cs="TimesNewRoman"/>
          <w:bCs/>
          <w:sz w:val="32"/>
          <w:szCs w:val="32"/>
        </w:rPr>
      </w:pPr>
      <w:r>
        <w:rPr>
          <w:rFonts w:hint="eastAsia" w:ascii="仿宋_GB2312" w:hAnsi="黑体" w:eastAsia="仿宋_GB2312"/>
          <w:bCs/>
          <w:sz w:val="32"/>
          <w:szCs w:val="32"/>
        </w:rPr>
        <w:t>2020年11月寿县工业园区管理委员会更名为寿县新桥国际产业园管委会北区管理服务中心，隶属关系由县政府直属事业单位调整为寿县新桥国际产业园管委会所属事业单位。</w:t>
      </w:r>
    </w:p>
    <w:p>
      <w:pPr>
        <w:pStyle w:val="4"/>
        <w:topLinePunct/>
        <w:adjustRightInd w:val="0"/>
        <w:snapToGrid w:val="0"/>
        <w:spacing w:beforeAutospacing="0" w:afterAutospacing="0" w:line="580" w:lineRule="exact"/>
        <w:ind w:firstLine="643" w:firstLineChars="200"/>
        <w:jc w:val="both"/>
        <w:rPr>
          <w:rFonts w:ascii="楷体_GB2312" w:hAnsi="TimesNewRoman" w:eastAsia="楷体_GB2312" w:cs="TimesNewRoman"/>
          <w:b/>
          <w:bCs/>
          <w:sz w:val="32"/>
          <w:szCs w:val="32"/>
        </w:rPr>
      </w:pPr>
      <w:r>
        <w:rPr>
          <w:rFonts w:hint="eastAsia" w:ascii="楷体_GB2312" w:hAnsi="TimesNewRoman" w:eastAsia="楷体_GB2312" w:cs="TimesNewRoman"/>
          <w:b/>
          <w:bCs/>
          <w:sz w:val="32"/>
          <w:szCs w:val="32"/>
        </w:rPr>
        <w:t>二、</w:t>
      </w:r>
      <w:r>
        <w:rPr>
          <w:rFonts w:ascii="楷体_GB2312" w:hAnsi="TimesNewRoman" w:eastAsia="楷体_GB2312" w:cs="TimesNewRoman"/>
          <w:b/>
          <w:bCs/>
          <w:sz w:val="32"/>
          <w:szCs w:val="32"/>
        </w:rPr>
        <w:t>部门（单位）预算构成</w:t>
      </w:r>
    </w:p>
    <w:p>
      <w:pPr>
        <w:pStyle w:val="4"/>
        <w:topLinePunct/>
        <w:adjustRightInd w:val="0"/>
        <w:snapToGrid w:val="0"/>
        <w:spacing w:beforeAutospacing="0" w:afterAutospacing="0" w:line="580" w:lineRule="exact"/>
        <w:ind w:firstLine="640" w:firstLineChars="200"/>
        <w:jc w:val="both"/>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从预算单位构成看，</w:t>
      </w:r>
      <w:r>
        <w:rPr>
          <w:rFonts w:hint="eastAsia" w:ascii="仿宋_GB2312" w:hAnsi="TimesNewRoman" w:eastAsia="仿宋_GB2312" w:cs="TimesNewRoman"/>
          <w:bCs/>
          <w:sz w:val="32"/>
          <w:szCs w:val="32"/>
        </w:rPr>
        <w:t>寿县</w:t>
      </w:r>
      <w:r>
        <w:rPr>
          <w:rFonts w:hint="eastAsia" w:ascii="仿宋_GB2312" w:hAnsi="TimesNewRoman" w:eastAsia="仿宋_GB2312" w:cs="TimesNewRoman"/>
          <w:bCs/>
          <w:sz w:val="32"/>
          <w:szCs w:val="32"/>
          <w:lang w:eastAsia="zh-CN"/>
        </w:rPr>
        <w:t>新桥北区</w:t>
      </w:r>
      <w:r>
        <w:rPr>
          <w:rFonts w:hint="eastAsia" w:ascii="仿宋_GB2312" w:hAnsi="TimesNewRoman" w:eastAsia="仿宋_GB2312" w:cs="TimesNewRoman"/>
          <w:sz w:val="32"/>
          <w:szCs w:val="32"/>
        </w:rPr>
        <w:t>2024年度部门预算仅包括本级预算，无其他下属单位预算。</w:t>
      </w:r>
    </w:p>
    <w:p>
      <w:pPr>
        <w:pStyle w:val="4"/>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bCs/>
          <w:sz w:val="32"/>
          <w:szCs w:val="32"/>
        </w:rPr>
      </w:pPr>
      <w:r>
        <w:rPr>
          <w:rFonts w:hint="eastAsia" w:ascii="楷体_GB2312" w:hAnsi="TimesNewRoman" w:eastAsia="楷体_GB2312" w:cs="TimesNewRoman"/>
          <w:b/>
          <w:bCs/>
          <w:sz w:val="32"/>
          <w:szCs w:val="32"/>
        </w:rPr>
        <w:t>三、2024年度主要工作任务</w:t>
      </w:r>
    </w:p>
    <w:p>
      <w:pPr>
        <w:spacing w:line="58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val="0"/>
          <w:bCs w:val="0"/>
          <w:sz w:val="32"/>
          <w:szCs w:val="32"/>
        </w:rPr>
        <w:t>总体思路：</w:t>
      </w:r>
      <w:r>
        <w:rPr>
          <w:rFonts w:hint="eastAsia" w:ascii="仿宋_GB2312" w:hAnsi="仿宋_GB2312" w:eastAsia="仿宋_GB2312" w:cs="仿宋_GB2312"/>
          <w:bCs/>
          <w:sz w:val="32"/>
          <w:szCs w:val="32"/>
        </w:rPr>
        <w:t>按照“整治提升老区，建设发展新区”工作思路，坚持以产促城，以城兴产，</w:t>
      </w:r>
      <w:r>
        <w:rPr>
          <w:rFonts w:hint="eastAsia" w:ascii="仿宋_GB2312" w:hAnsi="仿宋_GB2312" w:eastAsia="仿宋_GB2312" w:cs="仿宋_GB2312"/>
          <w:color w:val="000000" w:themeColor="text1"/>
          <w:sz w:val="32"/>
          <w:szCs w:val="32"/>
          <w14:textFill>
            <w14:solidFill>
              <w14:schemeClr w14:val="tx1"/>
            </w14:solidFill>
          </w14:textFill>
        </w:rPr>
        <w:t>加大承接产业转移，加快</w:t>
      </w:r>
      <w:r>
        <w:rPr>
          <w:rFonts w:hint="eastAsia" w:ascii="仿宋_GB2312" w:hAnsi="仿宋_GB2312" w:eastAsia="仿宋_GB2312" w:cs="仿宋_GB2312"/>
          <w:bCs/>
          <w:sz w:val="32"/>
          <w:szCs w:val="32"/>
        </w:rPr>
        <w:t>推进产城融合，努力</w:t>
      </w:r>
      <w:r>
        <w:rPr>
          <w:rFonts w:hint="eastAsia" w:ascii="仿宋_GB2312" w:hAnsi="仿宋_GB2312" w:eastAsia="仿宋_GB2312" w:cs="仿宋_GB2312"/>
          <w:color w:val="000000" w:themeColor="text1"/>
          <w:sz w:val="32"/>
          <w:szCs w:val="32"/>
          <w14:textFill>
            <w14:solidFill>
              <w14:schemeClr w14:val="tx1"/>
            </w14:solidFill>
          </w14:textFill>
        </w:rPr>
        <w:t>把园区打造成为寿县北部工业发展的增长极，</w:t>
      </w:r>
      <w:r>
        <w:rPr>
          <w:rFonts w:hint="eastAsia" w:ascii="仿宋_GB2312" w:hAnsi="仿宋_GB2312" w:eastAsia="仿宋_GB2312" w:cs="仿宋_GB2312"/>
          <w:sz w:val="32"/>
          <w:szCs w:val="32"/>
        </w:rPr>
        <w:t>解决</w:t>
      </w:r>
      <w:r>
        <w:rPr>
          <w:rFonts w:hint="eastAsia" w:ascii="仿宋_GB2312" w:hAnsi="仿宋_GB2312" w:eastAsia="仿宋_GB2312" w:cs="仿宋_GB2312"/>
          <w:bCs/>
          <w:sz w:val="32"/>
          <w:szCs w:val="32"/>
        </w:rPr>
        <w:t>城区劳动就业的新平台，出口创汇的新高地,</w:t>
      </w:r>
      <w:r>
        <w:rPr>
          <w:rFonts w:hint="eastAsia" w:ascii="仿宋_GB2312" w:hAnsi="仿宋_GB2312" w:eastAsia="仿宋_GB2312" w:cs="仿宋_GB2312"/>
          <w:bCs/>
          <w:color w:val="000000" w:themeColor="text1"/>
          <w:sz w:val="32"/>
          <w:szCs w:val="32"/>
          <w14:textFill>
            <w14:solidFill>
              <w14:schemeClr w14:val="tx1"/>
            </w14:solidFill>
          </w14:textFill>
        </w:rPr>
        <w:t xml:space="preserve"> 产城一体的新市区</w:t>
      </w:r>
      <w:r>
        <w:rPr>
          <w:rFonts w:hint="eastAsia" w:ascii="仿宋_GB2312" w:hAnsi="仿宋_GB2312" w:eastAsia="仿宋_GB2312" w:cs="仿宋_GB2312"/>
          <w:color w:val="000000" w:themeColor="text1"/>
          <w:sz w:val="32"/>
          <w:szCs w:val="32"/>
          <w14:textFill>
            <w14:solidFill>
              <w14:schemeClr w14:val="tx1"/>
            </w14:solidFill>
          </w14:textFill>
        </w:rPr>
        <w:t>。</w:t>
      </w:r>
    </w:p>
    <w:p>
      <w:pPr>
        <w:spacing w:line="580" w:lineRule="exact"/>
        <w:ind w:firstLine="627" w:firstLineChars="196"/>
        <w:rPr>
          <w:rFonts w:hint="eastAsia" w:ascii="仿宋_GB2312" w:hAnsi="仿宋_GB2312" w:eastAsia="仿宋_GB2312" w:cs="仿宋_GB2312"/>
        </w:rPr>
      </w:pPr>
      <w:r>
        <w:rPr>
          <w:rFonts w:hint="eastAsia" w:ascii="仿宋_GB2312" w:hAnsi="仿宋_GB2312" w:eastAsia="仿宋_GB2312" w:cs="仿宋_GB2312"/>
          <w:b w:val="0"/>
          <w:bCs/>
          <w:sz w:val="32"/>
          <w:szCs w:val="32"/>
        </w:rPr>
        <w:t>目标任务：</w:t>
      </w:r>
      <w:r>
        <w:rPr>
          <w:rFonts w:hint="eastAsia" w:ascii="仿宋_GB2312" w:hAnsi="仿宋_GB2312" w:eastAsia="仿宋_GB2312" w:cs="仿宋_GB2312"/>
          <w:sz w:val="32"/>
          <w:szCs w:val="32"/>
        </w:rPr>
        <w:t>谋划项目 60个 计划总投资140亿元，实现新开工项目15个，计划总投资30亿元；出让划拨土地约600亩（含基础设施）；实现工业产值11亿元，同比增长20%；实现固定资产投资15亿元，同比增加20%；新进规模企业8家。</w:t>
      </w:r>
    </w:p>
    <w:p>
      <w:pPr>
        <w:spacing w:line="580" w:lineRule="exact"/>
        <w:ind w:firstLine="480" w:firstLineChars="150"/>
        <w:rPr>
          <w:rFonts w:hint="eastAsia" w:ascii="仿宋_GB2312" w:hAnsi="仿宋_GB2312" w:eastAsia="仿宋_GB2312" w:cs="仿宋_GB2312"/>
          <w:bCs/>
          <w:color w:val="000000"/>
          <w:sz w:val="32"/>
          <w:szCs w:val="32"/>
        </w:rPr>
      </w:pP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rPr>
        <w:t>一</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rPr>
        <w:t>千方百计稳运行</w:t>
      </w:r>
      <w:r>
        <w:rPr>
          <w:rFonts w:hint="eastAsia" w:ascii="仿宋_GB2312" w:hAnsi="仿宋_GB2312" w:eastAsia="仿宋_GB2312" w:cs="仿宋_GB2312"/>
          <w:sz w:val="32"/>
          <w:szCs w:val="32"/>
        </w:rPr>
        <w:t>。围绕年度经济目标任务，积极会同有关部门，有效破解经济指标增长瓶颈问题，对指标数据起伏不稳的企业，特别是负增长的企业进行解剖分析，精准施策，做好帮扶提升</w:t>
      </w:r>
      <w:r>
        <w:rPr>
          <w:rFonts w:hint="eastAsia" w:ascii="仿宋_GB2312" w:hAnsi="仿宋_GB2312" w:eastAsia="仿宋_GB2312" w:cs="仿宋_GB2312"/>
          <w:color w:val="333333"/>
          <w:sz w:val="32"/>
          <w:szCs w:val="32"/>
          <w:shd w:val="clear" w:color="auto" w:fill="FFFFFF"/>
        </w:rPr>
        <w:t>。</w:t>
      </w:r>
      <w:r>
        <w:rPr>
          <w:rFonts w:hint="eastAsia" w:ascii="仿宋_GB2312" w:hAnsi="仿宋_GB2312" w:eastAsia="仿宋_GB2312" w:cs="仿宋_GB2312"/>
          <w:bCs/>
          <w:color w:val="000000"/>
          <w:sz w:val="32"/>
          <w:szCs w:val="32"/>
        </w:rPr>
        <w:t>强化拟升规企业培育和调度，培育新的增长点，稳住经济运行预期。</w:t>
      </w:r>
    </w:p>
    <w:p>
      <w:pPr>
        <w:spacing w:line="580" w:lineRule="exact"/>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rPr>
        <w:t>二</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rPr>
        <w:t>集中精力攻项目</w:t>
      </w:r>
      <w:r>
        <w:rPr>
          <w:rFonts w:hint="eastAsia" w:ascii="仿宋_GB2312" w:hAnsi="仿宋_GB2312" w:eastAsia="仿宋_GB2312" w:cs="仿宋_GB2312"/>
          <w:sz w:val="32"/>
          <w:szCs w:val="32"/>
        </w:rPr>
        <w:t>。继续对项目建设实行清单化管理、专班化服务、持续化跟进。把项目谋划工作做实做细，形成落地转化、开工建设及建成投产可持续。重点抓好今年新开工和拟开工12个项目建设进度，形成更多投资和实物工程量。同时督促即将建成项目做好竣工验收和投产达效，形成效益。</w:t>
      </w:r>
    </w:p>
    <w:p>
      <w:pPr>
        <w:spacing w:line="580" w:lineRule="exact"/>
        <w:ind w:firstLine="480" w:firstLineChars="150"/>
        <w:rPr>
          <w:rFonts w:hint="eastAsia" w:ascii="仿宋_GB2312" w:hAnsi="仿宋_GB2312" w:eastAsia="仿宋_GB2312" w:cs="仿宋_GB2312"/>
          <w:color w:val="000000"/>
          <w:kern w:val="16"/>
          <w:sz w:val="32"/>
          <w:szCs w:val="32"/>
        </w:rPr>
      </w:pP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rPr>
        <w:t>三</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rPr>
        <w:t>全力以赴抓招商。</w:t>
      </w:r>
      <w:r>
        <w:rPr>
          <w:rFonts w:hint="eastAsia" w:ascii="仿宋_GB2312" w:hAnsi="仿宋_GB2312" w:eastAsia="仿宋_GB2312" w:cs="仿宋_GB2312"/>
          <w:color w:val="000000"/>
          <w:sz w:val="32"/>
          <w:szCs w:val="32"/>
        </w:rPr>
        <w:t>围绕园区主导产业</w:t>
      </w:r>
      <w:r>
        <w:rPr>
          <w:rFonts w:hint="eastAsia" w:ascii="仿宋_GB2312" w:hAnsi="仿宋_GB2312" w:eastAsia="仿宋_GB2312" w:cs="仿宋_GB2312"/>
          <w:sz w:val="32"/>
          <w:szCs w:val="32"/>
        </w:rPr>
        <w:t>，依托即将建成的</w:t>
      </w:r>
      <w:r>
        <w:rPr>
          <w:rFonts w:hint="eastAsia" w:ascii="仿宋_GB2312" w:hAnsi="仿宋_GB2312" w:eastAsia="仿宋_GB2312" w:cs="仿宋_GB2312"/>
          <w:color w:val="000000"/>
          <w:kern w:val="16"/>
          <w:sz w:val="32"/>
          <w:szCs w:val="32"/>
        </w:rPr>
        <w:t>中小企业创业园等产业载体加大项目招引力度，着力</w:t>
      </w:r>
      <w:r>
        <w:rPr>
          <w:rFonts w:hint="eastAsia" w:ascii="仿宋_GB2312" w:hAnsi="仿宋_GB2312" w:eastAsia="仿宋_GB2312" w:cs="仿宋_GB2312"/>
          <w:color w:val="000000"/>
          <w:spacing w:val="2"/>
          <w:sz w:val="32"/>
          <w:szCs w:val="32"/>
          <w:shd w:val="clear" w:color="auto" w:fill="FFFFFF"/>
        </w:rPr>
        <w:t>做大增量，</w:t>
      </w:r>
      <w:r>
        <w:rPr>
          <w:rFonts w:hint="eastAsia" w:ascii="仿宋_GB2312" w:hAnsi="仿宋_GB2312" w:eastAsia="仿宋_GB2312" w:cs="仿宋_GB2312"/>
          <w:color w:val="000000"/>
          <w:kern w:val="16"/>
          <w:sz w:val="32"/>
          <w:szCs w:val="32"/>
        </w:rPr>
        <w:t>为后续投资和经济运行提供有力支撑。</w:t>
      </w:r>
    </w:p>
    <w:p>
      <w:pPr>
        <w:spacing w:line="580" w:lineRule="exact"/>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b w:val="0"/>
          <w:bCs/>
          <w:color w:val="000000"/>
          <w:kern w:val="16"/>
          <w:sz w:val="32"/>
          <w:szCs w:val="32"/>
          <w:lang w:eastAsia="zh-CN"/>
        </w:rPr>
        <w:t>（</w:t>
      </w:r>
      <w:r>
        <w:rPr>
          <w:rFonts w:hint="eastAsia" w:ascii="仿宋_GB2312" w:hAnsi="仿宋_GB2312" w:eastAsia="仿宋_GB2312" w:cs="仿宋_GB2312"/>
          <w:b w:val="0"/>
          <w:bCs/>
          <w:color w:val="000000"/>
          <w:kern w:val="16"/>
          <w:sz w:val="32"/>
          <w:szCs w:val="32"/>
        </w:rPr>
        <w:t>四</w:t>
      </w:r>
      <w:r>
        <w:rPr>
          <w:rFonts w:hint="eastAsia" w:ascii="仿宋_GB2312" w:hAnsi="仿宋_GB2312" w:eastAsia="仿宋_GB2312" w:cs="仿宋_GB2312"/>
          <w:b w:val="0"/>
          <w:bCs/>
          <w:color w:val="000000"/>
          <w:kern w:val="16"/>
          <w:sz w:val="32"/>
          <w:szCs w:val="32"/>
          <w:lang w:eastAsia="zh-CN"/>
        </w:rPr>
        <w:t>）</w:t>
      </w:r>
      <w:r>
        <w:rPr>
          <w:rFonts w:hint="eastAsia" w:ascii="仿宋_GB2312" w:hAnsi="仿宋_GB2312" w:eastAsia="仿宋_GB2312" w:cs="仿宋_GB2312"/>
          <w:b w:val="0"/>
          <w:bCs/>
          <w:color w:val="000000"/>
          <w:kern w:val="16"/>
          <w:sz w:val="32"/>
          <w:szCs w:val="32"/>
        </w:rPr>
        <w:t>积极争取强保障。</w:t>
      </w:r>
      <w:r>
        <w:rPr>
          <w:rFonts w:hint="eastAsia" w:ascii="仿宋_GB2312" w:hAnsi="仿宋_GB2312" w:eastAsia="仿宋_GB2312" w:cs="仿宋_GB2312"/>
          <w:sz w:val="32"/>
          <w:szCs w:val="32"/>
        </w:rPr>
        <w:t>加快推进园区5条道路用地报批速度，目前土地报批组卷已完成，力争早日获批。加强与寿春镇、县国投公司对接，多方筹措资金，及时启动有关产业地块土地征迁工作，特别是针对华黍食品、华斌科技等6个土地即将挂牌的项目，加快做好局部土地征收和附属物清理，保障项目及时落地。</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rPr>
        <w:t>五</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rPr>
        <w:t>精准帮扶优环境。</w:t>
      </w:r>
      <w:r>
        <w:rPr>
          <w:rFonts w:hint="eastAsia" w:ascii="仿宋_GB2312" w:hAnsi="仿宋_GB2312" w:eastAsia="仿宋_GB2312" w:cs="仿宋_GB2312"/>
          <w:color w:val="000000"/>
          <w:sz w:val="32"/>
          <w:szCs w:val="32"/>
          <w:shd w:val="clear" w:color="auto" w:fill="FFFFFF"/>
        </w:rPr>
        <w:t>推深做实“一改两为”，为企业纾困解难，提供优质服务。</w:t>
      </w:r>
      <w:r>
        <w:rPr>
          <w:rFonts w:hint="eastAsia" w:ascii="仿宋_GB2312" w:hAnsi="仿宋_GB2312" w:eastAsia="仿宋_GB2312" w:cs="仿宋_GB2312"/>
          <w:sz w:val="32"/>
          <w:szCs w:val="32"/>
        </w:rPr>
        <w:t>建立网格化包保联系服务企业制度，定期常态化进行走访企业收集问题，实行清单化管理，限期进行回应和解决。重点会同有关部门协调解决招工、融资、产业链供应及地产品采购等企业反映较为集中的具体问题，营造优质的营商环境。</w:t>
      </w:r>
    </w:p>
    <w:p>
      <w:pPr>
        <w:pStyle w:val="4"/>
        <w:topLinePunct/>
        <w:adjustRightInd w:val="0"/>
        <w:snapToGrid w:val="0"/>
        <w:spacing w:beforeAutospacing="0" w:afterAutospacing="0" w:line="580" w:lineRule="exact"/>
        <w:jc w:val="both"/>
        <w:rPr>
          <w:rFonts w:hint="eastAsia" w:ascii="仿宋_GB2312" w:hAnsi="仿宋_GB2312" w:eastAsia="仿宋_GB2312" w:cs="仿宋_GB2312"/>
          <w:bCs/>
          <w:sz w:val="32"/>
          <w:szCs w:val="32"/>
        </w:rPr>
      </w:pPr>
    </w:p>
    <w:p>
      <w:pPr>
        <w:pStyle w:val="4"/>
        <w:adjustRightInd w:val="0"/>
        <w:snapToGrid w:val="0"/>
        <w:spacing w:line="560" w:lineRule="exact"/>
        <w:rPr>
          <w:rFonts w:hint="eastAsia" w:ascii="仿宋_GB2312" w:hAnsi="仿宋_GB2312" w:eastAsia="仿宋_GB2312" w:cs="仿宋_GB2312"/>
          <w:bCs/>
          <w:sz w:val="36"/>
          <w:szCs w:val="36"/>
        </w:rPr>
      </w:pPr>
    </w:p>
    <w:p>
      <w:pPr>
        <w:pStyle w:val="4"/>
        <w:adjustRightInd w:val="0"/>
        <w:snapToGrid w:val="0"/>
        <w:spacing w:line="560" w:lineRule="exact"/>
        <w:rPr>
          <w:rFonts w:hint="eastAsia" w:ascii="仿宋_GB2312" w:hAnsi="仿宋_GB2312" w:eastAsia="仿宋_GB2312" w:cs="仿宋_GB2312"/>
          <w:bCs/>
          <w:sz w:val="36"/>
          <w:szCs w:val="36"/>
        </w:rPr>
      </w:pPr>
    </w:p>
    <w:p>
      <w:pPr>
        <w:pStyle w:val="4"/>
        <w:adjustRightInd w:val="0"/>
        <w:snapToGrid w:val="0"/>
        <w:spacing w:line="560" w:lineRule="exact"/>
        <w:rPr>
          <w:rFonts w:hint="eastAsia" w:ascii="仿宋_GB2312" w:hAnsi="仿宋_GB2312" w:eastAsia="仿宋_GB2312" w:cs="仿宋_GB2312"/>
          <w:bCs/>
          <w:sz w:val="36"/>
          <w:szCs w:val="36"/>
        </w:rPr>
      </w:pPr>
    </w:p>
    <w:p>
      <w:pPr>
        <w:pStyle w:val="4"/>
        <w:adjustRightInd w:val="0"/>
        <w:snapToGrid w:val="0"/>
        <w:spacing w:line="560" w:lineRule="exact"/>
        <w:rPr>
          <w:rFonts w:ascii="TimesNewRoman" w:hAnsi="TimesNewRoman" w:eastAsia="黑体" w:cs="TimesNewRoman"/>
          <w:bCs/>
          <w:sz w:val="36"/>
          <w:szCs w:val="36"/>
        </w:rPr>
      </w:pPr>
    </w:p>
    <w:p>
      <w:pPr>
        <w:pStyle w:val="4"/>
        <w:adjustRightInd w:val="0"/>
        <w:snapToGrid w:val="0"/>
        <w:spacing w:line="560" w:lineRule="exact"/>
        <w:rPr>
          <w:rFonts w:ascii="TimesNewRoman" w:hAnsi="TimesNewRoman" w:eastAsia="黑体" w:cs="TimesNewRoman"/>
          <w:bCs/>
          <w:sz w:val="36"/>
          <w:szCs w:val="36"/>
        </w:rPr>
      </w:pPr>
    </w:p>
    <w:p>
      <w:pPr>
        <w:pStyle w:val="4"/>
        <w:topLinePunct/>
        <w:adjustRightInd w:val="0"/>
        <w:snapToGrid w:val="0"/>
        <w:spacing w:beforeAutospacing="0" w:afterAutospacing="0" w:line="560" w:lineRule="exact"/>
        <w:jc w:val="center"/>
        <w:rPr>
          <w:rFonts w:ascii="TimesNewRoman" w:hAnsi="TimesNewRoman" w:eastAsia="黑体" w:cs="TimesNewRoman"/>
          <w:bCs/>
          <w:sz w:val="36"/>
          <w:szCs w:val="36"/>
        </w:rPr>
      </w:pPr>
      <w:r>
        <w:rPr>
          <w:rFonts w:ascii="TimesNewRoman" w:hAnsi="TimesNewRoman" w:eastAsia="黑体" w:cs="TimesNewRoman"/>
          <w:bCs/>
          <w:sz w:val="36"/>
          <w:szCs w:val="36"/>
        </w:rPr>
        <w:t xml:space="preserve">第二部分 </w:t>
      </w:r>
      <w:r>
        <w:rPr>
          <w:rFonts w:hint="eastAsia" w:ascii="TimesNewRoman" w:hAnsi="TimesNewRoman" w:eastAsia="黑体" w:cs="TimesNewRoman"/>
          <w:bCs/>
          <w:sz w:val="36"/>
          <w:szCs w:val="36"/>
        </w:rPr>
        <w:t>2024</w:t>
      </w:r>
      <w:r>
        <w:rPr>
          <w:rFonts w:ascii="TimesNewRoman" w:hAnsi="TimesNewRoman" w:eastAsia="黑体" w:cs="TimesNewRoman"/>
          <w:bCs/>
          <w:sz w:val="36"/>
          <w:szCs w:val="36"/>
        </w:rPr>
        <w:t>年部门预算表</w:t>
      </w:r>
    </w:p>
    <w:p>
      <w:pPr>
        <w:pStyle w:val="4"/>
        <w:topLinePunct/>
        <w:adjustRightInd w:val="0"/>
        <w:snapToGrid w:val="0"/>
        <w:spacing w:beforeAutospacing="0" w:afterAutospacing="0" w:line="560" w:lineRule="exact"/>
        <w:jc w:val="center"/>
        <w:rPr>
          <w:rFonts w:ascii="TimesNewRoman" w:hAnsi="TimesNewRoman" w:eastAsia="黑体" w:cs="TimesNewRoman"/>
          <w:bCs/>
          <w:sz w:val="36"/>
          <w:szCs w:val="36"/>
        </w:rPr>
      </w:pPr>
    </w:p>
    <w:p>
      <w:pPr>
        <w:spacing w:line="560" w:lineRule="exact"/>
        <w:ind w:firstLine="640" w:firstLineChars="200"/>
        <w:jc w:val="left"/>
        <w:rPr>
          <w:rFonts w:hint="eastAsia" w:ascii="仿宋_GB2312" w:hAnsi="仿宋_GB2312" w:eastAsia="仿宋_GB2312" w:cs="仿宋_GB2312"/>
          <w:b w:val="0"/>
          <w:bCs w:val="0"/>
          <w:kern w:val="0"/>
          <w:sz w:val="32"/>
          <w:szCs w:val="32"/>
        </w:rPr>
      </w:pPr>
      <w:r>
        <w:rPr>
          <w:rFonts w:hint="eastAsia" w:ascii="仿宋_GB2312" w:hAnsi="仿宋_GB2312" w:eastAsia="仿宋_GB2312" w:cs="仿宋_GB2312"/>
          <w:b w:val="0"/>
          <w:bCs w:val="0"/>
          <w:kern w:val="0"/>
          <w:sz w:val="32"/>
          <w:szCs w:val="32"/>
          <w:lang w:val="en-US" w:eastAsia="zh-CN"/>
        </w:rPr>
        <w:t>2024年部门预算公开表共12张，具体表格内容见《寿县新桥北区2024年度部门预算公开表》</w:t>
      </w:r>
    </w:p>
    <w:p>
      <w:pPr>
        <w:spacing w:line="560" w:lineRule="exact"/>
        <w:jc w:val="center"/>
        <w:rPr>
          <w:rFonts w:ascii="宋体" w:hAnsi="宋体" w:cs="TimesNewRoman"/>
          <w:b/>
          <w:bCs/>
          <w:kern w:val="0"/>
          <w:sz w:val="28"/>
          <w:szCs w:val="32"/>
        </w:rPr>
      </w:pPr>
    </w:p>
    <w:p>
      <w:pPr>
        <w:pStyle w:val="4"/>
        <w:topLinePunct/>
        <w:adjustRightInd w:val="0"/>
        <w:snapToGrid w:val="0"/>
        <w:spacing w:beforeAutospacing="0" w:afterAutospacing="0" w:line="560" w:lineRule="exact"/>
        <w:jc w:val="center"/>
        <w:rPr>
          <w:rFonts w:hint="eastAsia" w:ascii="TimesNewRoman" w:hAnsi="TimesNewRoman" w:eastAsia="黑体" w:cs="TimesNewRoman"/>
          <w:bCs/>
          <w:sz w:val="36"/>
          <w:szCs w:val="36"/>
        </w:rPr>
      </w:pPr>
    </w:p>
    <w:p>
      <w:pPr>
        <w:pStyle w:val="4"/>
        <w:topLinePunct/>
        <w:adjustRightInd w:val="0"/>
        <w:snapToGrid w:val="0"/>
        <w:spacing w:beforeAutospacing="0" w:afterAutospacing="0" w:line="560" w:lineRule="exact"/>
        <w:jc w:val="center"/>
        <w:rPr>
          <w:rFonts w:hint="eastAsia" w:ascii="TimesNewRoman" w:hAnsi="TimesNewRoman" w:eastAsia="黑体" w:cs="TimesNewRoman"/>
          <w:bCs/>
          <w:sz w:val="36"/>
          <w:szCs w:val="36"/>
        </w:rPr>
      </w:pPr>
    </w:p>
    <w:p>
      <w:pPr>
        <w:pStyle w:val="4"/>
        <w:topLinePunct/>
        <w:adjustRightInd w:val="0"/>
        <w:snapToGrid w:val="0"/>
        <w:spacing w:beforeAutospacing="0" w:afterAutospacing="0" w:line="560" w:lineRule="exact"/>
        <w:jc w:val="center"/>
        <w:rPr>
          <w:rFonts w:hint="eastAsia" w:ascii="TimesNewRoman" w:hAnsi="TimesNewRoman" w:eastAsia="黑体" w:cs="TimesNewRoman"/>
          <w:bCs/>
          <w:sz w:val="36"/>
          <w:szCs w:val="36"/>
        </w:rPr>
      </w:pPr>
    </w:p>
    <w:p>
      <w:pPr>
        <w:pStyle w:val="4"/>
        <w:topLinePunct/>
        <w:adjustRightInd w:val="0"/>
        <w:snapToGrid w:val="0"/>
        <w:spacing w:beforeAutospacing="0" w:afterAutospacing="0" w:line="560" w:lineRule="exact"/>
        <w:jc w:val="center"/>
        <w:rPr>
          <w:rFonts w:hint="eastAsia" w:ascii="TimesNewRoman" w:hAnsi="TimesNewRoman" w:eastAsia="黑体" w:cs="TimesNewRoman"/>
          <w:bCs/>
          <w:sz w:val="36"/>
          <w:szCs w:val="36"/>
        </w:rPr>
      </w:pPr>
    </w:p>
    <w:p>
      <w:pPr>
        <w:pStyle w:val="4"/>
        <w:topLinePunct/>
        <w:adjustRightInd w:val="0"/>
        <w:snapToGrid w:val="0"/>
        <w:spacing w:beforeAutospacing="0" w:afterAutospacing="0" w:line="560" w:lineRule="exact"/>
        <w:jc w:val="center"/>
        <w:rPr>
          <w:rFonts w:hint="eastAsia" w:ascii="TimesNewRoman" w:hAnsi="TimesNewRoman" w:eastAsia="黑体" w:cs="TimesNewRoman"/>
          <w:bCs/>
          <w:sz w:val="36"/>
          <w:szCs w:val="36"/>
        </w:rPr>
      </w:pPr>
    </w:p>
    <w:p>
      <w:pPr>
        <w:pStyle w:val="4"/>
        <w:topLinePunct/>
        <w:adjustRightInd w:val="0"/>
        <w:snapToGrid w:val="0"/>
        <w:spacing w:beforeAutospacing="0" w:afterAutospacing="0" w:line="560" w:lineRule="exact"/>
        <w:jc w:val="center"/>
        <w:rPr>
          <w:rFonts w:hint="eastAsia" w:ascii="TimesNewRoman" w:hAnsi="TimesNewRoman" w:eastAsia="黑体" w:cs="TimesNewRoman"/>
          <w:bCs/>
          <w:sz w:val="36"/>
          <w:szCs w:val="36"/>
        </w:rPr>
      </w:pPr>
    </w:p>
    <w:p>
      <w:pPr>
        <w:pStyle w:val="4"/>
        <w:topLinePunct/>
        <w:adjustRightInd w:val="0"/>
        <w:snapToGrid w:val="0"/>
        <w:spacing w:beforeAutospacing="0" w:afterAutospacing="0" w:line="560" w:lineRule="exact"/>
        <w:jc w:val="center"/>
        <w:rPr>
          <w:rFonts w:ascii="TimesNewRoman" w:hAnsi="TimesNewRoman" w:eastAsia="黑体" w:cs="TimesNewRoman"/>
          <w:bCs/>
          <w:sz w:val="36"/>
          <w:szCs w:val="36"/>
        </w:rPr>
      </w:pPr>
      <w:r>
        <w:rPr>
          <w:rFonts w:ascii="TimesNewRoman" w:hAnsi="TimesNewRoman" w:eastAsia="黑体" w:cs="TimesNewRoman"/>
          <w:bCs/>
          <w:sz w:val="36"/>
          <w:szCs w:val="36"/>
        </w:rPr>
        <w:t xml:space="preserve">第三部分 </w:t>
      </w:r>
      <w:r>
        <w:rPr>
          <w:rFonts w:hint="eastAsia" w:ascii="TimesNewRoman" w:hAnsi="TimesNewRoman" w:eastAsia="黑体" w:cs="TimesNewRoman"/>
          <w:bCs/>
          <w:sz w:val="36"/>
          <w:szCs w:val="36"/>
        </w:rPr>
        <w:t>2024</w:t>
      </w:r>
      <w:r>
        <w:rPr>
          <w:rFonts w:ascii="TimesNewRoman" w:hAnsi="TimesNewRoman" w:eastAsia="黑体" w:cs="TimesNewRoman"/>
          <w:bCs/>
          <w:sz w:val="36"/>
          <w:szCs w:val="36"/>
        </w:rPr>
        <w:t>年部门预算情况说明</w:t>
      </w:r>
    </w:p>
    <w:p>
      <w:pPr>
        <w:pStyle w:val="4"/>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sz w:val="32"/>
          <w:szCs w:val="32"/>
        </w:rPr>
      </w:pPr>
    </w:p>
    <w:p>
      <w:pPr>
        <w:pStyle w:val="4"/>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一、关于2024年收支总表的说明</w:t>
      </w:r>
    </w:p>
    <w:p>
      <w:pPr>
        <w:pStyle w:val="4"/>
        <w:topLinePunct/>
        <w:adjustRightInd w:val="0"/>
        <w:snapToGrid w:val="0"/>
        <w:spacing w:beforeAutospacing="0" w:afterAutospacing="0" w:line="580" w:lineRule="exact"/>
        <w:ind w:firstLine="627" w:firstLineChars="196"/>
        <w:jc w:val="both"/>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按照综合预算的原则，寿县</w:t>
      </w:r>
      <w:r>
        <w:rPr>
          <w:rFonts w:hint="eastAsia" w:ascii="仿宋_GB2312" w:hAnsi="TimesNewRoman" w:eastAsia="仿宋_GB2312" w:cs="TimesNewRoman"/>
          <w:sz w:val="32"/>
          <w:szCs w:val="32"/>
          <w:lang w:eastAsia="zh-CN"/>
        </w:rPr>
        <w:t>新桥北区</w:t>
      </w:r>
      <w:r>
        <w:rPr>
          <w:rFonts w:hint="eastAsia" w:ascii="仿宋_GB2312" w:hAnsi="TimesNewRoman" w:eastAsia="仿宋_GB2312" w:cs="TimesNewRoman"/>
          <w:sz w:val="32"/>
          <w:szCs w:val="32"/>
        </w:rPr>
        <w:t>所有收入和支出均纳入部门预算管理。寿县</w:t>
      </w:r>
      <w:r>
        <w:rPr>
          <w:rFonts w:hint="eastAsia" w:ascii="仿宋_GB2312" w:hAnsi="TimesNewRoman" w:eastAsia="仿宋_GB2312" w:cs="TimesNewRoman"/>
          <w:sz w:val="32"/>
          <w:szCs w:val="32"/>
          <w:lang w:eastAsia="zh-CN"/>
        </w:rPr>
        <w:t>新桥北区</w:t>
      </w:r>
      <w:r>
        <w:rPr>
          <w:rFonts w:hint="eastAsia" w:ascii="仿宋_GB2312" w:hAnsi="TimesNewRoman" w:eastAsia="仿宋_GB2312" w:cs="TimesNewRoman"/>
          <w:sz w:val="32"/>
          <w:szCs w:val="32"/>
        </w:rPr>
        <w:t>2024年收支总预算</w:t>
      </w:r>
      <w:r>
        <w:rPr>
          <w:rFonts w:hint="eastAsia" w:ascii="仿宋_GB2312" w:hAnsi="TimesNewRoman" w:eastAsia="仿宋_GB2312" w:cs="TimesNewRoman"/>
          <w:sz w:val="32"/>
          <w:szCs w:val="32"/>
          <w:lang w:val="en-US" w:eastAsia="zh-CN"/>
        </w:rPr>
        <w:t>133.56</w:t>
      </w:r>
      <w:r>
        <w:rPr>
          <w:rFonts w:hint="eastAsia" w:ascii="仿宋_GB2312" w:hAnsi="TimesNewRoman" w:eastAsia="仿宋_GB2312" w:cs="TimesNewRoman"/>
          <w:sz w:val="32"/>
          <w:szCs w:val="32"/>
        </w:rPr>
        <w:t>万元，收入全部是一般公共预算拨款</w:t>
      </w:r>
      <w:r>
        <w:rPr>
          <w:rFonts w:hint="eastAsia" w:ascii="仿宋_GB2312" w:hAnsi="TimesNewRoman" w:eastAsia="仿宋_GB2312" w:cs="TimesNewRoman"/>
          <w:sz w:val="32"/>
          <w:szCs w:val="32"/>
          <w:lang w:eastAsia="zh-CN"/>
        </w:rPr>
        <w:t>，</w:t>
      </w:r>
      <w:r>
        <w:rPr>
          <w:rFonts w:hint="eastAsia" w:ascii="仿宋_GB2312" w:hAnsi="TimesNewRoman" w:eastAsia="仿宋_GB2312" w:cs="TimesNewRoman"/>
          <w:sz w:val="32"/>
          <w:szCs w:val="32"/>
        </w:rPr>
        <w:t>支出包括：一般公共服务支出</w:t>
      </w:r>
      <w:r>
        <w:rPr>
          <w:rFonts w:hint="eastAsia" w:ascii="仿宋_GB2312" w:hAnsi="TimesNewRoman" w:eastAsia="仿宋_GB2312" w:cs="TimesNewRoman"/>
          <w:sz w:val="32"/>
          <w:szCs w:val="32"/>
          <w:lang w:val="en-US" w:eastAsia="zh-CN"/>
        </w:rPr>
        <w:t>96.81万元</w:t>
      </w:r>
      <w:r>
        <w:rPr>
          <w:rFonts w:hint="eastAsia" w:ascii="仿宋_GB2312" w:hAnsi="TimesNewRoman" w:eastAsia="仿宋_GB2312" w:cs="TimesNewRoman"/>
          <w:sz w:val="32"/>
          <w:szCs w:val="32"/>
        </w:rPr>
        <w:t>、社会保障和就业支出</w:t>
      </w:r>
      <w:r>
        <w:rPr>
          <w:rFonts w:hint="eastAsia" w:ascii="仿宋_GB2312" w:hAnsi="TimesNewRoman" w:eastAsia="仿宋_GB2312" w:cs="TimesNewRoman"/>
          <w:sz w:val="32"/>
          <w:szCs w:val="32"/>
          <w:lang w:val="en-US" w:eastAsia="zh-CN"/>
        </w:rPr>
        <w:t>22.03万元</w:t>
      </w:r>
      <w:r>
        <w:rPr>
          <w:rFonts w:hint="eastAsia" w:ascii="仿宋_GB2312" w:hAnsi="TimesNewRoman" w:eastAsia="仿宋_GB2312" w:cs="TimesNewRoman"/>
          <w:sz w:val="32"/>
          <w:szCs w:val="32"/>
        </w:rPr>
        <w:t>、卫生健康支出</w:t>
      </w:r>
      <w:r>
        <w:rPr>
          <w:rFonts w:hint="eastAsia" w:ascii="仿宋_GB2312" w:hAnsi="TimesNewRoman" w:eastAsia="仿宋_GB2312" w:cs="TimesNewRoman"/>
          <w:sz w:val="32"/>
          <w:szCs w:val="32"/>
          <w:lang w:val="en-US" w:eastAsia="zh-CN"/>
        </w:rPr>
        <w:t>4.71万元</w:t>
      </w:r>
      <w:r>
        <w:rPr>
          <w:rFonts w:hint="eastAsia" w:ascii="仿宋_GB2312" w:hAnsi="TimesNewRoman" w:eastAsia="仿宋_GB2312" w:cs="TimesNewRoman"/>
          <w:sz w:val="32"/>
          <w:szCs w:val="32"/>
        </w:rPr>
        <w:t>、住房保障支出</w:t>
      </w:r>
      <w:r>
        <w:rPr>
          <w:rFonts w:hint="eastAsia" w:ascii="仿宋_GB2312" w:hAnsi="TimesNewRoman" w:eastAsia="仿宋_GB2312" w:cs="TimesNewRoman"/>
          <w:sz w:val="32"/>
          <w:szCs w:val="32"/>
          <w:lang w:val="en-US" w:eastAsia="zh-CN"/>
        </w:rPr>
        <w:t>10.01万元</w:t>
      </w:r>
      <w:r>
        <w:rPr>
          <w:rFonts w:hint="eastAsia" w:ascii="仿宋_GB2312" w:hAnsi="TimesNewRoman" w:eastAsia="仿宋_GB2312" w:cs="TimesNewRoman"/>
          <w:sz w:val="32"/>
          <w:szCs w:val="32"/>
        </w:rPr>
        <w:t>。</w:t>
      </w:r>
    </w:p>
    <w:p>
      <w:pPr>
        <w:pStyle w:val="4"/>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二、关于2024年收入总表的说明</w:t>
      </w:r>
    </w:p>
    <w:p>
      <w:pPr>
        <w:topLinePunct/>
        <w:adjustRightInd w:val="0"/>
        <w:snapToGrid w:val="0"/>
        <w:spacing w:line="58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kern w:val="0"/>
          <w:sz w:val="32"/>
          <w:szCs w:val="32"/>
        </w:rPr>
        <w:t>寿县</w:t>
      </w:r>
      <w:r>
        <w:rPr>
          <w:rFonts w:hint="eastAsia" w:ascii="仿宋_GB2312" w:hAnsi="TimesNewRoman" w:eastAsia="仿宋_GB2312" w:cs="TimesNewRoman"/>
          <w:kern w:val="0"/>
          <w:sz w:val="32"/>
          <w:szCs w:val="32"/>
          <w:lang w:eastAsia="zh-CN"/>
        </w:rPr>
        <w:t>新桥北区</w:t>
      </w:r>
      <w:r>
        <w:rPr>
          <w:rFonts w:hint="eastAsia" w:ascii="仿宋_GB2312" w:hAnsi="TimesNewRoman" w:eastAsia="仿宋_GB2312" w:cs="TimesNewRoman"/>
          <w:sz w:val="32"/>
          <w:szCs w:val="32"/>
        </w:rPr>
        <w:t>2024年收入预算</w:t>
      </w:r>
      <w:r>
        <w:rPr>
          <w:rFonts w:hint="eastAsia" w:ascii="仿宋_GB2312" w:hAnsi="TimesNewRoman" w:eastAsia="仿宋_GB2312" w:cs="TimesNewRoman"/>
          <w:sz w:val="32"/>
          <w:szCs w:val="32"/>
          <w:lang w:val="en-US" w:eastAsia="zh-CN"/>
        </w:rPr>
        <w:t>133.56</w:t>
      </w:r>
      <w:r>
        <w:rPr>
          <w:rFonts w:hint="eastAsia" w:ascii="仿宋_GB2312" w:hAnsi="TimesNewRoman" w:eastAsia="仿宋_GB2312" w:cs="TimesNewRoman"/>
          <w:sz w:val="32"/>
          <w:szCs w:val="32"/>
        </w:rPr>
        <w:t>万元，其中，本年收入</w:t>
      </w:r>
      <w:r>
        <w:rPr>
          <w:rFonts w:hint="eastAsia" w:ascii="仿宋_GB2312" w:hAnsi="TimesNewRoman" w:eastAsia="仿宋_GB2312" w:cs="TimesNewRoman"/>
          <w:sz w:val="32"/>
          <w:szCs w:val="32"/>
          <w:lang w:val="en-US" w:eastAsia="zh-CN"/>
        </w:rPr>
        <w:t>133.56</w:t>
      </w:r>
      <w:r>
        <w:rPr>
          <w:rFonts w:hint="eastAsia" w:ascii="仿宋_GB2312" w:hAnsi="TimesNewRoman" w:eastAsia="仿宋_GB2312" w:cs="TimesNewRoman"/>
          <w:sz w:val="32"/>
          <w:szCs w:val="32"/>
        </w:rPr>
        <w:t>万元，上年结转收入</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万元。</w:t>
      </w:r>
    </w:p>
    <w:p>
      <w:pPr>
        <w:numPr>
          <w:ilvl w:val="0"/>
          <w:numId w:val="1"/>
        </w:numPr>
        <w:topLinePunct/>
        <w:adjustRightInd w:val="0"/>
        <w:snapToGrid w:val="0"/>
        <w:spacing w:line="58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本年收入</w:t>
      </w:r>
      <w:r>
        <w:rPr>
          <w:rFonts w:hint="eastAsia" w:ascii="仿宋_GB2312" w:hAnsi="TimesNewRoman" w:eastAsia="仿宋_GB2312" w:cs="TimesNewRoman"/>
          <w:sz w:val="32"/>
          <w:szCs w:val="32"/>
          <w:lang w:val="en-US" w:eastAsia="zh-CN"/>
        </w:rPr>
        <w:t>133.56</w:t>
      </w:r>
      <w:r>
        <w:rPr>
          <w:rFonts w:hint="eastAsia" w:ascii="仿宋_GB2312" w:hAnsi="TimesNewRoman" w:eastAsia="仿宋_GB2312" w:cs="TimesNewRoman"/>
          <w:sz w:val="32"/>
          <w:szCs w:val="32"/>
        </w:rPr>
        <w:t>万元，收入全部为一般公共预算拨款收入</w:t>
      </w:r>
      <w:r>
        <w:rPr>
          <w:rFonts w:hint="eastAsia" w:ascii="仿宋_GB2312" w:hAnsi="TimesNewRoman" w:eastAsia="仿宋_GB2312" w:cs="TimesNewRoman"/>
          <w:sz w:val="32"/>
          <w:szCs w:val="32"/>
          <w:lang w:eastAsia="zh-CN"/>
        </w:rPr>
        <w:t>，</w:t>
      </w:r>
      <w:r>
        <w:rPr>
          <w:rFonts w:hint="eastAsia" w:ascii="仿宋_GB2312" w:hAnsi="TimesNewRoman" w:eastAsia="仿宋_GB2312" w:cs="TimesNewRoman"/>
          <w:sz w:val="32"/>
          <w:szCs w:val="32"/>
        </w:rPr>
        <w:t>比2023年预算减少</w:t>
      </w:r>
      <w:r>
        <w:rPr>
          <w:rFonts w:hint="eastAsia" w:ascii="仿宋_GB2312" w:hAnsi="TimesNewRoman" w:eastAsia="仿宋_GB2312" w:cs="TimesNewRoman"/>
          <w:sz w:val="32"/>
          <w:szCs w:val="32"/>
          <w:lang w:val="en-US" w:eastAsia="zh-CN"/>
        </w:rPr>
        <w:t>111.14</w:t>
      </w:r>
      <w:r>
        <w:rPr>
          <w:rFonts w:hint="eastAsia" w:ascii="仿宋_GB2312" w:hAnsi="TimesNewRoman" w:eastAsia="仿宋_GB2312" w:cs="TimesNewRoman"/>
          <w:sz w:val="32"/>
          <w:szCs w:val="32"/>
        </w:rPr>
        <w:t>万元，下降</w:t>
      </w:r>
      <w:r>
        <w:rPr>
          <w:rFonts w:hint="eastAsia" w:ascii="仿宋_GB2312" w:hAnsi="TimesNewRoman" w:eastAsia="仿宋_GB2312" w:cs="TimesNewRoman"/>
          <w:sz w:val="32"/>
          <w:szCs w:val="32"/>
          <w:lang w:val="en-US" w:eastAsia="zh-CN"/>
        </w:rPr>
        <w:t>45.42</w:t>
      </w:r>
      <w:r>
        <w:rPr>
          <w:rFonts w:hint="eastAsia" w:ascii="仿宋_GB2312" w:hAnsi="TimesNewRoman" w:eastAsia="仿宋_GB2312" w:cs="TimesNewRoman"/>
          <w:sz w:val="32"/>
          <w:szCs w:val="32"/>
        </w:rPr>
        <w:t>%，下降原因主要是</w:t>
      </w:r>
      <w:r>
        <w:rPr>
          <w:rFonts w:hint="eastAsia" w:ascii="仿宋_GB2312" w:hAnsi="TimesNewRoman" w:eastAsia="仿宋_GB2312" w:cs="TimesNewRoman"/>
          <w:sz w:val="32"/>
          <w:szCs w:val="32"/>
          <w:lang w:eastAsia="zh-CN"/>
        </w:rPr>
        <w:t>取消了园区专项业务费预算。</w:t>
      </w:r>
      <w:r>
        <w:rPr>
          <w:rFonts w:hint="eastAsia" w:ascii="仿宋_GB2312" w:hAnsi="TimesNewRoman" w:eastAsia="仿宋_GB2312" w:cs="TimesNewRoman"/>
          <w:sz w:val="32"/>
          <w:szCs w:val="32"/>
          <w:lang w:val="en-US" w:eastAsia="zh-CN"/>
        </w:rPr>
        <w:t xml:space="preserve">      </w:t>
      </w:r>
    </w:p>
    <w:p>
      <w:pPr>
        <w:topLinePunct/>
        <w:adjustRightInd w:val="0"/>
        <w:snapToGrid w:val="0"/>
        <w:spacing w:line="58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（二）上年结转收入</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万元</w:t>
      </w:r>
    </w:p>
    <w:p>
      <w:pPr>
        <w:pStyle w:val="4"/>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三、关于2024年支出总表的说明</w:t>
      </w:r>
    </w:p>
    <w:p>
      <w:pPr>
        <w:topLinePunct/>
        <w:adjustRightInd w:val="0"/>
        <w:snapToGrid w:val="0"/>
        <w:spacing w:line="58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寿县</w:t>
      </w:r>
      <w:r>
        <w:rPr>
          <w:rFonts w:hint="eastAsia" w:ascii="仿宋_GB2312" w:hAnsi="TimesNewRoman" w:eastAsia="仿宋_GB2312" w:cs="TimesNewRoman"/>
          <w:sz w:val="32"/>
          <w:szCs w:val="32"/>
          <w:lang w:eastAsia="zh-CN"/>
        </w:rPr>
        <w:t>新桥北区</w:t>
      </w:r>
      <w:r>
        <w:rPr>
          <w:rFonts w:hint="eastAsia" w:ascii="仿宋_GB2312" w:hAnsi="TimesNewRoman" w:eastAsia="仿宋_GB2312" w:cs="TimesNewRoman"/>
          <w:sz w:val="32"/>
          <w:szCs w:val="32"/>
        </w:rPr>
        <w:t>2024年支出预算</w:t>
      </w:r>
      <w:r>
        <w:rPr>
          <w:rFonts w:hint="eastAsia" w:ascii="仿宋_GB2312" w:hAnsi="TimesNewRoman" w:eastAsia="仿宋_GB2312" w:cs="TimesNewRoman"/>
          <w:sz w:val="32"/>
          <w:szCs w:val="32"/>
          <w:lang w:val="en-US" w:eastAsia="zh-CN"/>
        </w:rPr>
        <w:t>133.56</w:t>
      </w:r>
      <w:r>
        <w:rPr>
          <w:rFonts w:hint="eastAsia" w:ascii="仿宋_GB2312" w:hAnsi="TimesNewRoman" w:eastAsia="仿宋_GB2312" w:cs="TimesNewRoman"/>
          <w:sz w:val="32"/>
          <w:szCs w:val="32"/>
        </w:rPr>
        <w:t>万元，比2023年预算减少</w:t>
      </w:r>
      <w:r>
        <w:rPr>
          <w:rFonts w:hint="eastAsia" w:ascii="仿宋_GB2312" w:hAnsi="TimesNewRoman" w:eastAsia="仿宋_GB2312" w:cs="TimesNewRoman"/>
          <w:sz w:val="32"/>
          <w:szCs w:val="32"/>
          <w:lang w:val="en-US" w:eastAsia="zh-CN"/>
        </w:rPr>
        <w:t>111.14</w:t>
      </w:r>
      <w:r>
        <w:rPr>
          <w:rFonts w:hint="eastAsia" w:ascii="仿宋_GB2312" w:hAnsi="TimesNewRoman" w:eastAsia="仿宋_GB2312" w:cs="TimesNewRoman"/>
          <w:sz w:val="32"/>
          <w:szCs w:val="32"/>
        </w:rPr>
        <w:t>万元，下降</w:t>
      </w:r>
      <w:r>
        <w:rPr>
          <w:rFonts w:hint="eastAsia" w:ascii="仿宋_GB2312" w:hAnsi="TimesNewRoman" w:eastAsia="仿宋_GB2312" w:cs="TimesNewRoman"/>
          <w:sz w:val="32"/>
          <w:szCs w:val="32"/>
          <w:lang w:val="en-US" w:eastAsia="zh-CN"/>
        </w:rPr>
        <w:t>45.42</w:t>
      </w:r>
      <w:r>
        <w:rPr>
          <w:rFonts w:hint="eastAsia" w:ascii="仿宋_GB2312" w:hAnsi="TimesNewRoman" w:eastAsia="仿宋_GB2312" w:cs="TimesNewRoman"/>
          <w:sz w:val="32"/>
          <w:szCs w:val="32"/>
        </w:rPr>
        <w:t>%，下降原因是</w:t>
      </w:r>
      <w:r>
        <w:rPr>
          <w:rFonts w:hint="eastAsia" w:ascii="仿宋_GB2312" w:hAnsi="TimesNewRoman" w:eastAsia="仿宋_GB2312" w:cs="TimesNewRoman"/>
          <w:sz w:val="32"/>
          <w:szCs w:val="32"/>
          <w:lang w:eastAsia="zh-CN"/>
        </w:rPr>
        <w:t>取消了园区专项业务费预算</w:t>
      </w:r>
      <w:r>
        <w:rPr>
          <w:rFonts w:hint="eastAsia" w:ascii="仿宋_GB2312" w:hAnsi="TimesNewRoman" w:eastAsia="仿宋_GB2312" w:cs="TimesNewRoman"/>
          <w:sz w:val="32"/>
          <w:szCs w:val="32"/>
        </w:rPr>
        <w:t>。其中，基本支出</w:t>
      </w:r>
      <w:r>
        <w:rPr>
          <w:rFonts w:hint="eastAsia" w:ascii="仿宋_GB2312" w:hAnsi="TimesNewRoman" w:eastAsia="仿宋_GB2312" w:cs="TimesNewRoman"/>
          <w:sz w:val="32"/>
          <w:szCs w:val="32"/>
          <w:lang w:val="en-US" w:eastAsia="zh-CN"/>
        </w:rPr>
        <w:t>132.24</w:t>
      </w:r>
      <w:r>
        <w:rPr>
          <w:rFonts w:hint="eastAsia" w:ascii="仿宋_GB2312" w:hAnsi="TimesNewRoman" w:eastAsia="仿宋_GB2312" w:cs="TimesNewRoman"/>
          <w:sz w:val="32"/>
          <w:szCs w:val="32"/>
        </w:rPr>
        <w:t>万元，占</w:t>
      </w:r>
      <w:r>
        <w:rPr>
          <w:rFonts w:hint="eastAsia" w:ascii="仿宋_GB2312" w:hAnsi="TimesNewRoman" w:eastAsia="仿宋_GB2312" w:cs="TimesNewRoman"/>
          <w:sz w:val="32"/>
          <w:szCs w:val="32"/>
          <w:lang w:val="en-US" w:eastAsia="zh-CN"/>
        </w:rPr>
        <w:t>99.01</w:t>
      </w:r>
      <w:r>
        <w:rPr>
          <w:rFonts w:hint="eastAsia" w:ascii="仿宋_GB2312" w:hAnsi="TimesNewRoman" w:eastAsia="仿宋_GB2312" w:cs="TimesNewRoman"/>
          <w:sz w:val="32"/>
          <w:szCs w:val="32"/>
        </w:rPr>
        <w:t>%，主要用于保障机构日常运转、完成日常工作任务</w:t>
      </w:r>
      <w:r>
        <w:rPr>
          <w:rFonts w:hint="eastAsia" w:ascii="仿宋_GB2312" w:hAnsi="TimesNewRoman" w:eastAsia="仿宋_GB2312" w:cs="TimesNewRoman"/>
          <w:sz w:val="32"/>
          <w:szCs w:val="32"/>
          <w:lang w:eastAsia="zh-CN"/>
        </w:rPr>
        <w:t>、发放人员工资福利</w:t>
      </w:r>
      <w:r>
        <w:rPr>
          <w:rFonts w:hint="eastAsia" w:ascii="仿宋_GB2312" w:hAnsi="TimesNewRoman" w:eastAsia="仿宋_GB2312" w:cs="TimesNewRoman"/>
          <w:sz w:val="32"/>
          <w:szCs w:val="32"/>
        </w:rPr>
        <w:t>；项目支出</w:t>
      </w:r>
      <w:r>
        <w:rPr>
          <w:rFonts w:hint="eastAsia" w:ascii="仿宋_GB2312" w:hAnsi="TimesNewRoman" w:eastAsia="仿宋_GB2312" w:cs="TimesNewRoman"/>
          <w:sz w:val="32"/>
          <w:szCs w:val="32"/>
          <w:lang w:val="en-US" w:eastAsia="zh-CN"/>
        </w:rPr>
        <w:t>1.32</w:t>
      </w:r>
      <w:r>
        <w:rPr>
          <w:rFonts w:hint="eastAsia" w:ascii="仿宋_GB2312" w:hAnsi="TimesNewRoman" w:eastAsia="仿宋_GB2312" w:cs="TimesNewRoman"/>
          <w:sz w:val="32"/>
          <w:szCs w:val="32"/>
        </w:rPr>
        <w:t>万元，占</w:t>
      </w:r>
      <w:r>
        <w:rPr>
          <w:rFonts w:hint="eastAsia" w:ascii="仿宋_GB2312" w:hAnsi="TimesNewRoman" w:eastAsia="仿宋_GB2312" w:cs="TimesNewRoman"/>
          <w:sz w:val="32"/>
          <w:szCs w:val="32"/>
          <w:lang w:val="en-US" w:eastAsia="zh-CN"/>
        </w:rPr>
        <w:t>0.09</w:t>
      </w:r>
      <w:r>
        <w:rPr>
          <w:rFonts w:hint="eastAsia" w:ascii="仿宋_GB2312" w:hAnsi="TimesNewRoman" w:eastAsia="仿宋_GB2312" w:cs="TimesNewRoman"/>
          <w:sz w:val="32"/>
          <w:szCs w:val="32"/>
        </w:rPr>
        <w:t>%，主要用于</w:t>
      </w:r>
      <w:r>
        <w:rPr>
          <w:rFonts w:hint="eastAsia" w:ascii="仿宋_GB2312" w:hAnsi="TimesNewRoman" w:eastAsia="仿宋_GB2312" w:cs="TimesNewRoman"/>
          <w:sz w:val="32"/>
          <w:szCs w:val="32"/>
          <w:lang w:eastAsia="zh-CN"/>
        </w:rPr>
        <w:t>发放公车驾驶员工资。</w:t>
      </w:r>
    </w:p>
    <w:p>
      <w:pPr>
        <w:pStyle w:val="4"/>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四、关于2024年财政拨款收支总表的说明</w:t>
      </w:r>
    </w:p>
    <w:p>
      <w:pPr>
        <w:pStyle w:val="4"/>
        <w:topLinePunct/>
        <w:adjustRightInd w:val="0"/>
        <w:snapToGrid w:val="0"/>
        <w:spacing w:beforeAutospacing="0" w:afterAutospacing="0" w:line="580" w:lineRule="exact"/>
        <w:ind w:firstLine="640" w:firstLineChars="200"/>
        <w:jc w:val="both"/>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寿县</w:t>
      </w:r>
      <w:r>
        <w:rPr>
          <w:rFonts w:hint="eastAsia" w:ascii="仿宋_GB2312" w:hAnsi="TimesNewRoman" w:eastAsia="仿宋_GB2312" w:cs="TimesNewRoman"/>
          <w:sz w:val="32"/>
          <w:szCs w:val="32"/>
          <w:lang w:eastAsia="zh-CN"/>
        </w:rPr>
        <w:t>新桥北区</w:t>
      </w:r>
      <w:r>
        <w:rPr>
          <w:rFonts w:hint="eastAsia" w:ascii="仿宋_GB2312" w:hAnsi="TimesNewRoman" w:eastAsia="仿宋_GB2312" w:cs="TimesNewRoman"/>
          <w:sz w:val="32"/>
          <w:szCs w:val="32"/>
        </w:rPr>
        <w:t>2024年财政拨款收支预算</w:t>
      </w:r>
      <w:r>
        <w:rPr>
          <w:rFonts w:hint="eastAsia" w:ascii="仿宋_GB2312" w:hAnsi="TimesNewRoman" w:eastAsia="仿宋_GB2312" w:cs="TimesNewRoman"/>
          <w:sz w:val="32"/>
          <w:szCs w:val="32"/>
          <w:lang w:val="en-US" w:eastAsia="zh-CN"/>
        </w:rPr>
        <w:t>133.56</w:t>
      </w:r>
      <w:r>
        <w:rPr>
          <w:rFonts w:hint="eastAsia" w:ascii="仿宋_GB2312" w:hAnsi="TimesNewRoman" w:eastAsia="仿宋_GB2312" w:cs="TimesNewRoman"/>
          <w:sz w:val="32"/>
          <w:szCs w:val="32"/>
        </w:rPr>
        <w:t>万元。收入按资金来源分全部为一般公共预算拨款为</w:t>
      </w:r>
      <w:r>
        <w:rPr>
          <w:rFonts w:hint="eastAsia" w:ascii="仿宋_GB2312" w:hAnsi="TimesNewRoman" w:eastAsia="仿宋_GB2312" w:cs="TimesNewRoman"/>
          <w:sz w:val="32"/>
          <w:szCs w:val="32"/>
          <w:lang w:eastAsia="zh-CN"/>
        </w:rPr>
        <w:t>，</w:t>
      </w:r>
      <w:r>
        <w:rPr>
          <w:rFonts w:hint="eastAsia" w:ascii="仿宋_GB2312" w:hAnsi="TimesNewRoman" w:eastAsia="仿宋_GB2312" w:cs="TimesNewRoman"/>
          <w:sz w:val="32"/>
          <w:szCs w:val="32"/>
        </w:rPr>
        <w:t>按资金年度分全部为当年财政拨款收入。支出按功能分类分为：一般公共服务支出</w:t>
      </w:r>
      <w:r>
        <w:rPr>
          <w:rFonts w:hint="eastAsia" w:ascii="仿宋_GB2312" w:hAnsi="TimesNewRoman" w:eastAsia="仿宋_GB2312" w:cs="TimesNewRoman"/>
          <w:sz w:val="32"/>
          <w:szCs w:val="32"/>
          <w:lang w:val="en-US" w:eastAsia="zh-CN"/>
        </w:rPr>
        <w:t>96.81</w:t>
      </w:r>
      <w:r>
        <w:rPr>
          <w:rFonts w:hint="eastAsia" w:ascii="仿宋_GB2312" w:hAnsi="TimesNewRoman" w:eastAsia="仿宋_GB2312" w:cs="TimesNewRoman"/>
          <w:sz w:val="32"/>
          <w:szCs w:val="32"/>
        </w:rPr>
        <w:t>万元，占</w:t>
      </w:r>
      <w:r>
        <w:rPr>
          <w:rFonts w:hint="eastAsia" w:ascii="仿宋_GB2312" w:hAnsi="TimesNewRoman" w:eastAsia="仿宋_GB2312" w:cs="TimesNewRoman"/>
          <w:sz w:val="32"/>
          <w:szCs w:val="32"/>
          <w:lang w:val="en-US" w:eastAsia="zh-CN"/>
        </w:rPr>
        <w:t>72.48</w:t>
      </w:r>
      <w:r>
        <w:rPr>
          <w:rFonts w:hint="eastAsia" w:ascii="仿宋_GB2312" w:hAnsi="TimesNewRoman" w:eastAsia="仿宋_GB2312" w:cs="TimesNewRoman"/>
          <w:sz w:val="32"/>
          <w:szCs w:val="32"/>
        </w:rPr>
        <w:t>%；社会保障和就业支出</w:t>
      </w:r>
      <w:r>
        <w:rPr>
          <w:rFonts w:hint="eastAsia" w:ascii="仿宋_GB2312" w:hAnsi="TimesNewRoman" w:eastAsia="仿宋_GB2312" w:cs="TimesNewRoman"/>
          <w:sz w:val="32"/>
          <w:szCs w:val="32"/>
          <w:lang w:val="en-US" w:eastAsia="zh-CN"/>
        </w:rPr>
        <w:t>22.03</w:t>
      </w:r>
      <w:r>
        <w:rPr>
          <w:rFonts w:hint="eastAsia" w:ascii="仿宋_GB2312" w:hAnsi="TimesNewRoman" w:eastAsia="仿宋_GB2312" w:cs="TimesNewRoman"/>
          <w:sz w:val="32"/>
          <w:szCs w:val="32"/>
        </w:rPr>
        <w:t>万元，占</w:t>
      </w:r>
      <w:r>
        <w:rPr>
          <w:rFonts w:hint="eastAsia" w:ascii="仿宋_GB2312" w:hAnsi="TimesNewRoman" w:eastAsia="仿宋_GB2312" w:cs="TimesNewRoman"/>
          <w:sz w:val="32"/>
          <w:szCs w:val="32"/>
          <w:lang w:val="en-US" w:eastAsia="zh-CN"/>
        </w:rPr>
        <w:t>16.49</w:t>
      </w:r>
      <w:r>
        <w:rPr>
          <w:rFonts w:hint="eastAsia" w:ascii="仿宋_GB2312" w:hAnsi="TimesNewRoman" w:eastAsia="仿宋_GB2312" w:cs="TimesNewRoman"/>
          <w:sz w:val="32"/>
          <w:szCs w:val="32"/>
        </w:rPr>
        <w:t>%；卫生健康支出</w:t>
      </w:r>
      <w:r>
        <w:rPr>
          <w:rFonts w:hint="eastAsia" w:ascii="仿宋_GB2312" w:hAnsi="TimesNewRoman" w:eastAsia="仿宋_GB2312" w:cs="TimesNewRoman"/>
          <w:sz w:val="32"/>
          <w:szCs w:val="32"/>
          <w:lang w:val="en-US" w:eastAsia="zh-CN"/>
        </w:rPr>
        <w:t>4.71</w:t>
      </w:r>
      <w:r>
        <w:rPr>
          <w:rFonts w:hint="eastAsia" w:ascii="仿宋_GB2312" w:hAnsi="TimesNewRoman" w:eastAsia="仿宋_GB2312" w:cs="TimesNewRoman"/>
          <w:sz w:val="32"/>
          <w:szCs w:val="32"/>
        </w:rPr>
        <w:t>万元，占</w:t>
      </w:r>
      <w:r>
        <w:rPr>
          <w:rFonts w:hint="eastAsia" w:ascii="仿宋_GB2312" w:hAnsi="TimesNewRoman" w:eastAsia="仿宋_GB2312" w:cs="TimesNewRoman"/>
          <w:sz w:val="32"/>
          <w:szCs w:val="32"/>
          <w:lang w:val="en-US" w:eastAsia="zh-CN"/>
        </w:rPr>
        <w:t>3.53</w:t>
      </w:r>
      <w:r>
        <w:rPr>
          <w:rFonts w:hint="eastAsia" w:ascii="仿宋_GB2312" w:hAnsi="TimesNewRoman" w:eastAsia="仿宋_GB2312" w:cs="TimesNewRoman"/>
          <w:sz w:val="32"/>
          <w:szCs w:val="32"/>
        </w:rPr>
        <w:t>%；住房保障支出</w:t>
      </w:r>
      <w:r>
        <w:rPr>
          <w:rFonts w:hint="eastAsia" w:ascii="仿宋_GB2312" w:hAnsi="TimesNewRoman" w:eastAsia="仿宋_GB2312" w:cs="TimesNewRoman"/>
          <w:sz w:val="32"/>
          <w:szCs w:val="32"/>
          <w:lang w:val="en-US" w:eastAsia="zh-CN"/>
        </w:rPr>
        <w:t>10.01</w:t>
      </w:r>
      <w:r>
        <w:rPr>
          <w:rFonts w:hint="eastAsia" w:ascii="仿宋_GB2312" w:hAnsi="TimesNewRoman" w:eastAsia="仿宋_GB2312" w:cs="TimesNewRoman"/>
          <w:sz w:val="32"/>
          <w:szCs w:val="32"/>
        </w:rPr>
        <w:t>万元，占</w:t>
      </w:r>
      <w:r>
        <w:rPr>
          <w:rFonts w:hint="eastAsia" w:ascii="仿宋_GB2312" w:hAnsi="TimesNewRoman" w:eastAsia="仿宋_GB2312" w:cs="TimesNewRoman"/>
          <w:sz w:val="32"/>
          <w:szCs w:val="32"/>
          <w:lang w:val="en-US" w:eastAsia="zh-CN"/>
        </w:rPr>
        <w:t>7.5</w:t>
      </w:r>
      <w:r>
        <w:rPr>
          <w:rFonts w:hint="eastAsia" w:ascii="仿宋_GB2312" w:hAnsi="TimesNewRoman" w:eastAsia="仿宋_GB2312" w:cs="TimesNewRoman"/>
          <w:sz w:val="32"/>
          <w:szCs w:val="32"/>
        </w:rPr>
        <w:t>%。</w:t>
      </w:r>
    </w:p>
    <w:p>
      <w:pPr>
        <w:pStyle w:val="4"/>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五、关于2024年一般公共预算支出表的说明</w:t>
      </w:r>
    </w:p>
    <w:p>
      <w:pPr>
        <w:pStyle w:val="4"/>
        <w:topLinePunct/>
        <w:adjustRightInd w:val="0"/>
        <w:snapToGrid w:val="0"/>
        <w:spacing w:beforeAutospacing="0" w:afterAutospacing="0" w:line="580" w:lineRule="exact"/>
        <w:ind w:firstLine="630" w:firstLineChars="196"/>
        <w:jc w:val="both"/>
        <w:rPr>
          <w:rFonts w:hint="eastAsia" w:ascii="仿宋_GB2312" w:hAnsi="TimesNewRoman" w:eastAsia="仿宋_GB2312" w:cs="TimesNewRoman"/>
          <w:b/>
          <w:sz w:val="32"/>
          <w:szCs w:val="32"/>
        </w:rPr>
      </w:pPr>
      <w:r>
        <w:rPr>
          <w:rFonts w:hint="eastAsia" w:ascii="仿宋_GB2312" w:hAnsi="TimesNewRoman" w:eastAsia="仿宋_GB2312" w:cs="TimesNewRoman"/>
          <w:b/>
          <w:sz w:val="32"/>
          <w:szCs w:val="32"/>
        </w:rPr>
        <w:t>（一）一般公共预算支出规模变化情况。</w:t>
      </w:r>
    </w:p>
    <w:p>
      <w:pPr>
        <w:pStyle w:val="4"/>
        <w:topLinePunct/>
        <w:adjustRightInd w:val="0"/>
        <w:snapToGrid w:val="0"/>
        <w:spacing w:beforeAutospacing="0" w:afterAutospacing="0" w:line="580" w:lineRule="exact"/>
        <w:ind w:firstLine="627" w:firstLineChars="196"/>
        <w:jc w:val="both"/>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寿县</w:t>
      </w:r>
      <w:r>
        <w:rPr>
          <w:rFonts w:hint="eastAsia" w:ascii="仿宋_GB2312" w:hAnsi="TimesNewRoman" w:eastAsia="仿宋_GB2312" w:cs="TimesNewRoman"/>
          <w:sz w:val="32"/>
          <w:szCs w:val="32"/>
          <w:lang w:eastAsia="zh-CN"/>
        </w:rPr>
        <w:t>新桥北区</w:t>
      </w:r>
      <w:r>
        <w:rPr>
          <w:rFonts w:hint="eastAsia" w:ascii="仿宋_GB2312" w:hAnsi="TimesNewRoman" w:eastAsia="仿宋_GB2312" w:cs="TimesNewRoman"/>
          <w:sz w:val="32"/>
          <w:szCs w:val="32"/>
        </w:rPr>
        <w:t>2024年一般公共预算支出</w:t>
      </w:r>
      <w:r>
        <w:rPr>
          <w:rFonts w:hint="eastAsia" w:ascii="仿宋_GB2312" w:hAnsi="TimesNewRoman" w:eastAsia="仿宋_GB2312" w:cs="TimesNewRoman"/>
          <w:sz w:val="32"/>
          <w:szCs w:val="32"/>
          <w:lang w:val="en-US" w:eastAsia="zh-CN"/>
        </w:rPr>
        <w:t>133.56</w:t>
      </w:r>
      <w:r>
        <w:rPr>
          <w:rFonts w:hint="eastAsia" w:ascii="仿宋_GB2312" w:hAnsi="TimesNewRoman" w:eastAsia="仿宋_GB2312" w:cs="TimesNewRoman"/>
          <w:sz w:val="32"/>
          <w:szCs w:val="32"/>
        </w:rPr>
        <w:t>万元，比2023年预算减少</w:t>
      </w:r>
      <w:r>
        <w:rPr>
          <w:rFonts w:hint="eastAsia" w:ascii="仿宋_GB2312" w:hAnsi="TimesNewRoman" w:eastAsia="仿宋_GB2312" w:cs="TimesNewRoman"/>
          <w:sz w:val="32"/>
          <w:szCs w:val="32"/>
          <w:lang w:val="en-US" w:eastAsia="zh-CN"/>
        </w:rPr>
        <w:t>111.14</w:t>
      </w:r>
      <w:r>
        <w:rPr>
          <w:rFonts w:hint="eastAsia" w:ascii="仿宋_GB2312" w:hAnsi="TimesNewRoman" w:eastAsia="仿宋_GB2312" w:cs="TimesNewRoman"/>
          <w:sz w:val="32"/>
          <w:szCs w:val="32"/>
        </w:rPr>
        <w:t>万元，下降</w:t>
      </w:r>
      <w:r>
        <w:rPr>
          <w:rFonts w:hint="eastAsia" w:ascii="仿宋_GB2312" w:hAnsi="TimesNewRoman" w:eastAsia="仿宋_GB2312" w:cs="TimesNewRoman"/>
          <w:sz w:val="32"/>
          <w:szCs w:val="32"/>
          <w:lang w:val="en-US" w:eastAsia="zh-CN"/>
        </w:rPr>
        <w:t>45.42</w:t>
      </w:r>
      <w:r>
        <w:rPr>
          <w:rFonts w:hint="eastAsia" w:ascii="仿宋_GB2312" w:hAnsi="TimesNewRoman" w:eastAsia="仿宋_GB2312" w:cs="TimesNewRoman"/>
          <w:sz w:val="32"/>
          <w:szCs w:val="32"/>
        </w:rPr>
        <w:t>%，主要</w:t>
      </w:r>
      <w:r>
        <w:rPr>
          <w:rFonts w:hint="eastAsia" w:ascii="仿宋_GB2312" w:hAnsi="TimesNewRoman" w:eastAsia="仿宋_GB2312" w:cs="TimesNewRoman"/>
          <w:sz w:val="32"/>
          <w:szCs w:val="32"/>
          <w:lang w:eastAsia="zh-CN"/>
        </w:rPr>
        <w:t>原因是取消了园区专项业务费年度预算</w:t>
      </w:r>
      <w:r>
        <w:rPr>
          <w:rFonts w:hint="eastAsia" w:ascii="仿宋_GB2312" w:hAnsi="TimesNewRoman" w:eastAsia="仿宋_GB2312" w:cs="TimesNewRoman"/>
          <w:sz w:val="32"/>
          <w:szCs w:val="32"/>
        </w:rPr>
        <w:t>。</w:t>
      </w:r>
    </w:p>
    <w:p>
      <w:pPr>
        <w:pStyle w:val="4"/>
        <w:topLinePunct/>
        <w:adjustRightInd w:val="0"/>
        <w:snapToGrid w:val="0"/>
        <w:spacing w:beforeAutospacing="0" w:afterAutospacing="0" w:line="580" w:lineRule="exact"/>
        <w:ind w:firstLine="630" w:firstLineChars="196"/>
        <w:jc w:val="both"/>
        <w:rPr>
          <w:rFonts w:hint="eastAsia" w:ascii="仿宋_GB2312" w:hAnsi="TimesNewRoman" w:eastAsia="仿宋_GB2312" w:cs="TimesNewRoman"/>
          <w:b/>
          <w:sz w:val="32"/>
          <w:szCs w:val="32"/>
        </w:rPr>
      </w:pPr>
      <w:r>
        <w:rPr>
          <w:rFonts w:hint="eastAsia" w:ascii="仿宋_GB2312" w:hAnsi="TimesNewRoman" w:eastAsia="仿宋_GB2312" w:cs="TimesNewRoman"/>
          <w:b/>
          <w:sz w:val="32"/>
          <w:szCs w:val="32"/>
        </w:rPr>
        <w:t>（二）一般公共预算支出结构情况。</w:t>
      </w:r>
    </w:p>
    <w:p>
      <w:pPr>
        <w:pStyle w:val="4"/>
        <w:topLinePunct/>
        <w:adjustRightInd w:val="0"/>
        <w:snapToGrid w:val="0"/>
        <w:spacing w:beforeAutospacing="0" w:afterAutospacing="0" w:line="580" w:lineRule="exact"/>
        <w:ind w:firstLine="627" w:firstLineChars="196"/>
        <w:jc w:val="both"/>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一般公共服务支出</w:t>
      </w:r>
      <w:r>
        <w:rPr>
          <w:rFonts w:hint="eastAsia" w:ascii="仿宋_GB2312" w:hAnsi="TimesNewRoman" w:eastAsia="仿宋_GB2312" w:cs="TimesNewRoman"/>
          <w:sz w:val="32"/>
          <w:szCs w:val="32"/>
          <w:lang w:val="en-US" w:eastAsia="zh-CN"/>
        </w:rPr>
        <w:t>96.81</w:t>
      </w:r>
      <w:r>
        <w:rPr>
          <w:rFonts w:hint="eastAsia" w:ascii="仿宋_GB2312" w:hAnsi="TimesNewRoman" w:eastAsia="仿宋_GB2312" w:cs="TimesNewRoman"/>
          <w:sz w:val="32"/>
          <w:szCs w:val="32"/>
        </w:rPr>
        <w:t>万元，占</w:t>
      </w:r>
      <w:r>
        <w:rPr>
          <w:rFonts w:hint="eastAsia" w:ascii="仿宋_GB2312" w:hAnsi="TimesNewRoman" w:eastAsia="仿宋_GB2312" w:cs="TimesNewRoman"/>
          <w:sz w:val="32"/>
          <w:szCs w:val="32"/>
          <w:lang w:val="en-US" w:eastAsia="zh-CN"/>
        </w:rPr>
        <w:t>72.48</w:t>
      </w:r>
      <w:r>
        <w:rPr>
          <w:rFonts w:hint="eastAsia" w:ascii="仿宋_GB2312" w:hAnsi="TimesNewRoman" w:eastAsia="仿宋_GB2312" w:cs="TimesNewRoman"/>
          <w:sz w:val="32"/>
          <w:szCs w:val="32"/>
        </w:rPr>
        <w:t>%；社会保障和就业支出</w:t>
      </w:r>
      <w:r>
        <w:rPr>
          <w:rFonts w:hint="eastAsia" w:ascii="仿宋_GB2312" w:hAnsi="TimesNewRoman" w:eastAsia="仿宋_GB2312" w:cs="TimesNewRoman"/>
          <w:sz w:val="32"/>
          <w:szCs w:val="32"/>
          <w:lang w:val="en-US" w:eastAsia="zh-CN"/>
        </w:rPr>
        <w:t>22.03</w:t>
      </w:r>
      <w:r>
        <w:rPr>
          <w:rFonts w:hint="eastAsia" w:ascii="仿宋_GB2312" w:hAnsi="TimesNewRoman" w:eastAsia="仿宋_GB2312" w:cs="TimesNewRoman"/>
          <w:sz w:val="32"/>
          <w:szCs w:val="32"/>
        </w:rPr>
        <w:t>万元，占</w:t>
      </w:r>
      <w:r>
        <w:rPr>
          <w:rFonts w:hint="eastAsia" w:ascii="仿宋_GB2312" w:hAnsi="TimesNewRoman" w:eastAsia="仿宋_GB2312" w:cs="TimesNewRoman"/>
          <w:sz w:val="32"/>
          <w:szCs w:val="32"/>
          <w:lang w:val="en-US" w:eastAsia="zh-CN"/>
        </w:rPr>
        <w:t>16.49</w:t>
      </w:r>
      <w:r>
        <w:rPr>
          <w:rFonts w:hint="eastAsia" w:ascii="仿宋_GB2312" w:hAnsi="TimesNewRoman" w:eastAsia="仿宋_GB2312" w:cs="TimesNewRoman"/>
          <w:sz w:val="32"/>
          <w:szCs w:val="32"/>
        </w:rPr>
        <w:t>%；卫生健康支出</w:t>
      </w:r>
      <w:r>
        <w:rPr>
          <w:rFonts w:hint="eastAsia" w:ascii="仿宋_GB2312" w:hAnsi="TimesNewRoman" w:eastAsia="仿宋_GB2312" w:cs="TimesNewRoman"/>
          <w:sz w:val="32"/>
          <w:szCs w:val="32"/>
          <w:lang w:val="en-US" w:eastAsia="zh-CN"/>
        </w:rPr>
        <w:t>4.71</w:t>
      </w:r>
      <w:r>
        <w:rPr>
          <w:rFonts w:hint="eastAsia" w:ascii="仿宋_GB2312" w:hAnsi="TimesNewRoman" w:eastAsia="仿宋_GB2312" w:cs="TimesNewRoman"/>
          <w:sz w:val="32"/>
          <w:szCs w:val="32"/>
        </w:rPr>
        <w:t>万元，占</w:t>
      </w:r>
      <w:r>
        <w:rPr>
          <w:rFonts w:hint="eastAsia" w:ascii="仿宋_GB2312" w:hAnsi="TimesNewRoman" w:eastAsia="仿宋_GB2312" w:cs="TimesNewRoman"/>
          <w:sz w:val="32"/>
          <w:szCs w:val="32"/>
          <w:lang w:val="en-US" w:eastAsia="zh-CN"/>
        </w:rPr>
        <w:t>3.53</w:t>
      </w:r>
      <w:r>
        <w:rPr>
          <w:rFonts w:hint="eastAsia" w:ascii="仿宋_GB2312" w:hAnsi="TimesNewRoman" w:eastAsia="仿宋_GB2312" w:cs="TimesNewRoman"/>
          <w:sz w:val="32"/>
          <w:szCs w:val="32"/>
        </w:rPr>
        <w:t>%；住房保障支出</w:t>
      </w:r>
      <w:r>
        <w:rPr>
          <w:rFonts w:hint="eastAsia" w:ascii="仿宋_GB2312" w:hAnsi="TimesNewRoman" w:eastAsia="仿宋_GB2312" w:cs="TimesNewRoman"/>
          <w:sz w:val="32"/>
          <w:szCs w:val="32"/>
          <w:lang w:val="en-US" w:eastAsia="zh-CN"/>
        </w:rPr>
        <w:t>10.01</w:t>
      </w:r>
      <w:r>
        <w:rPr>
          <w:rFonts w:hint="eastAsia" w:ascii="仿宋_GB2312" w:hAnsi="TimesNewRoman" w:eastAsia="仿宋_GB2312" w:cs="TimesNewRoman"/>
          <w:sz w:val="32"/>
          <w:szCs w:val="32"/>
        </w:rPr>
        <w:t>万元，占</w:t>
      </w:r>
      <w:r>
        <w:rPr>
          <w:rFonts w:hint="eastAsia" w:ascii="仿宋_GB2312" w:hAnsi="TimesNewRoman" w:eastAsia="仿宋_GB2312" w:cs="TimesNewRoman"/>
          <w:sz w:val="32"/>
          <w:szCs w:val="32"/>
          <w:lang w:val="en-US" w:eastAsia="zh-CN"/>
        </w:rPr>
        <w:t>7.5</w:t>
      </w:r>
      <w:r>
        <w:rPr>
          <w:rFonts w:hint="eastAsia" w:ascii="仿宋_GB2312" w:hAnsi="TimesNewRoman" w:eastAsia="仿宋_GB2312" w:cs="TimesNewRoman"/>
          <w:sz w:val="32"/>
          <w:szCs w:val="32"/>
        </w:rPr>
        <w:t>%。</w:t>
      </w:r>
    </w:p>
    <w:p>
      <w:pPr>
        <w:topLinePunct/>
        <w:adjustRightInd w:val="0"/>
        <w:snapToGrid w:val="0"/>
        <w:spacing w:line="580" w:lineRule="exact"/>
        <w:ind w:firstLine="643" w:firstLineChars="200"/>
        <w:rPr>
          <w:rFonts w:hint="eastAsia" w:ascii="仿宋_GB2312" w:hAnsi="TimesNewRoman" w:eastAsia="仿宋_GB2312" w:cs="TimesNewRoman"/>
          <w:b/>
          <w:sz w:val="32"/>
          <w:szCs w:val="32"/>
        </w:rPr>
      </w:pPr>
      <w:r>
        <w:rPr>
          <w:rFonts w:hint="eastAsia" w:ascii="仿宋_GB2312" w:hAnsi="TimesNewRoman" w:eastAsia="仿宋_GB2312" w:cs="TimesNewRoman"/>
          <w:b/>
          <w:sz w:val="32"/>
          <w:szCs w:val="32"/>
        </w:rPr>
        <w:t>（三）一般公共预算支出具体使用情况。</w:t>
      </w:r>
    </w:p>
    <w:p>
      <w:pPr>
        <w:pStyle w:val="4"/>
        <w:topLinePunct/>
        <w:adjustRightInd w:val="0"/>
        <w:snapToGrid w:val="0"/>
        <w:spacing w:beforeAutospacing="0" w:afterAutospacing="0" w:line="580" w:lineRule="exact"/>
        <w:ind w:firstLine="630" w:firstLineChars="196"/>
        <w:jc w:val="both"/>
        <w:rPr>
          <w:rFonts w:hint="eastAsia" w:ascii="仿宋_GB2312" w:hAnsi="TimesNewRoman" w:eastAsia="仿宋_GB2312" w:cs="TimesNewRoman"/>
          <w:sz w:val="32"/>
          <w:szCs w:val="32"/>
        </w:rPr>
      </w:pPr>
      <w:r>
        <w:rPr>
          <w:rFonts w:hint="eastAsia" w:ascii="仿宋_GB2312" w:hAnsi="TimesNewRoman" w:eastAsia="仿宋_GB2312" w:cs="TimesNewRoman"/>
          <w:b/>
          <w:sz w:val="32"/>
          <w:szCs w:val="32"/>
        </w:rPr>
        <w:t>1.一般公共服务支出（类）</w:t>
      </w:r>
      <w:r>
        <w:rPr>
          <w:rFonts w:hint="eastAsia" w:ascii="仿宋_GB2312" w:hAnsi="TimesNewRoman" w:eastAsia="仿宋_GB2312" w:cs="TimesNewRoman"/>
          <w:b/>
          <w:sz w:val="32"/>
          <w:szCs w:val="32"/>
          <w:lang w:eastAsia="zh-CN"/>
        </w:rPr>
        <w:t>政府办公厅（室）及相关机构事务</w:t>
      </w:r>
      <w:r>
        <w:rPr>
          <w:rFonts w:hint="eastAsia" w:ascii="仿宋_GB2312" w:hAnsi="TimesNewRoman" w:eastAsia="仿宋_GB2312" w:cs="TimesNewRoman"/>
          <w:b/>
          <w:sz w:val="32"/>
          <w:szCs w:val="32"/>
        </w:rPr>
        <w:t>（款）行政运行（项）</w:t>
      </w:r>
      <w:r>
        <w:rPr>
          <w:rFonts w:hint="eastAsia" w:ascii="仿宋_GB2312" w:hAnsi="TimesNewRoman" w:eastAsia="仿宋_GB2312" w:cs="TimesNewRoman"/>
          <w:sz w:val="32"/>
          <w:szCs w:val="32"/>
        </w:rPr>
        <w:t>2024年预算</w:t>
      </w:r>
      <w:r>
        <w:rPr>
          <w:rFonts w:hint="eastAsia" w:ascii="仿宋_GB2312" w:hAnsi="TimesNewRoman" w:eastAsia="仿宋_GB2312" w:cs="TimesNewRoman"/>
          <w:sz w:val="32"/>
          <w:szCs w:val="32"/>
          <w:lang w:val="en-US" w:eastAsia="zh-CN"/>
        </w:rPr>
        <w:t>96.81</w:t>
      </w:r>
      <w:r>
        <w:rPr>
          <w:rFonts w:hint="eastAsia" w:ascii="仿宋_GB2312" w:hAnsi="TimesNewRoman" w:eastAsia="仿宋_GB2312" w:cs="TimesNewRoman"/>
          <w:sz w:val="32"/>
          <w:szCs w:val="32"/>
        </w:rPr>
        <w:t>万元，比2023年预减少</w:t>
      </w:r>
      <w:r>
        <w:rPr>
          <w:rFonts w:hint="eastAsia" w:ascii="仿宋_GB2312" w:hAnsi="TimesNewRoman" w:eastAsia="仿宋_GB2312" w:cs="TimesNewRoman"/>
          <w:sz w:val="32"/>
          <w:szCs w:val="32"/>
          <w:lang w:val="en-US" w:eastAsia="zh-CN"/>
        </w:rPr>
        <w:t>109.17</w:t>
      </w:r>
      <w:r>
        <w:rPr>
          <w:rFonts w:hint="eastAsia" w:ascii="仿宋_GB2312" w:hAnsi="TimesNewRoman" w:eastAsia="仿宋_GB2312" w:cs="TimesNewRoman"/>
          <w:sz w:val="32"/>
          <w:szCs w:val="32"/>
        </w:rPr>
        <w:t>万元，下降</w:t>
      </w:r>
      <w:r>
        <w:rPr>
          <w:rFonts w:hint="eastAsia" w:ascii="仿宋_GB2312" w:hAnsi="TimesNewRoman" w:eastAsia="仿宋_GB2312" w:cs="TimesNewRoman"/>
          <w:sz w:val="32"/>
          <w:szCs w:val="32"/>
          <w:lang w:val="en-US" w:eastAsia="zh-CN"/>
        </w:rPr>
        <w:t>53.00</w:t>
      </w:r>
      <w:r>
        <w:rPr>
          <w:rFonts w:hint="eastAsia" w:ascii="仿宋_GB2312" w:hAnsi="TimesNewRoman" w:eastAsia="仿宋_GB2312" w:cs="TimesNewRoman"/>
          <w:sz w:val="32"/>
          <w:szCs w:val="32"/>
        </w:rPr>
        <w:t>%，下降原因主要是</w:t>
      </w:r>
      <w:r>
        <w:rPr>
          <w:rFonts w:hint="eastAsia" w:ascii="仿宋_GB2312" w:hAnsi="TimesNewRoman" w:eastAsia="仿宋_GB2312" w:cs="TimesNewRoman"/>
          <w:sz w:val="32"/>
          <w:szCs w:val="32"/>
          <w:lang w:eastAsia="zh-CN"/>
        </w:rPr>
        <w:t>取消了园区专项业务费年度预算</w:t>
      </w:r>
      <w:r>
        <w:rPr>
          <w:rFonts w:hint="eastAsia" w:ascii="仿宋_GB2312" w:hAnsi="TimesNewRoman" w:eastAsia="仿宋_GB2312" w:cs="TimesNewRoman"/>
          <w:sz w:val="32"/>
          <w:szCs w:val="32"/>
        </w:rPr>
        <w:t>。</w:t>
      </w:r>
    </w:p>
    <w:p>
      <w:pPr>
        <w:topLinePunct/>
        <w:adjustRightInd w:val="0"/>
        <w:snapToGrid w:val="0"/>
        <w:spacing w:line="580" w:lineRule="exact"/>
        <w:ind w:firstLine="643" w:firstLineChars="200"/>
        <w:rPr>
          <w:rFonts w:hint="eastAsia" w:ascii="仿宋_GB2312" w:hAnsi="TimesNewRoman" w:eastAsia="仿宋_GB2312" w:cs="TimesNewRoman"/>
          <w:sz w:val="32"/>
          <w:szCs w:val="32"/>
        </w:rPr>
      </w:pPr>
      <w:r>
        <w:rPr>
          <w:rFonts w:hint="eastAsia" w:ascii="仿宋_GB2312" w:hAnsi="TimesNewRoman" w:eastAsia="仿宋_GB2312" w:cs="TimesNewRoman"/>
          <w:b/>
          <w:sz w:val="32"/>
          <w:szCs w:val="32"/>
          <w:lang w:val="en-US" w:eastAsia="zh-CN"/>
        </w:rPr>
        <w:t>2</w:t>
      </w:r>
      <w:r>
        <w:rPr>
          <w:rFonts w:hint="eastAsia" w:ascii="仿宋_GB2312" w:hAnsi="TimesNewRoman" w:eastAsia="仿宋_GB2312" w:cs="TimesNewRoman"/>
          <w:b/>
          <w:sz w:val="32"/>
          <w:szCs w:val="32"/>
        </w:rPr>
        <w:t>.社会保障和就业支出（类）行政事业单位</w:t>
      </w:r>
      <w:r>
        <w:rPr>
          <w:rFonts w:hint="eastAsia" w:ascii="仿宋_GB2312" w:hAnsi="TimesNewRoman" w:eastAsia="仿宋_GB2312" w:cs="TimesNewRoman"/>
          <w:b/>
          <w:sz w:val="32"/>
          <w:szCs w:val="32"/>
          <w:lang w:eastAsia="zh-CN"/>
        </w:rPr>
        <w:t>养老支出</w:t>
      </w:r>
      <w:r>
        <w:rPr>
          <w:rFonts w:hint="eastAsia" w:ascii="仿宋_GB2312" w:hAnsi="TimesNewRoman" w:eastAsia="仿宋_GB2312" w:cs="TimesNewRoman"/>
          <w:b/>
          <w:sz w:val="32"/>
          <w:szCs w:val="32"/>
        </w:rPr>
        <w:t>（款）行政单位离退休（项）</w:t>
      </w:r>
      <w:r>
        <w:rPr>
          <w:rFonts w:hint="eastAsia" w:ascii="仿宋_GB2312" w:hAnsi="TimesNewRoman" w:eastAsia="仿宋_GB2312" w:cs="TimesNewRoman"/>
          <w:sz w:val="32"/>
          <w:szCs w:val="32"/>
        </w:rPr>
        <w:t>2024年预算</w:t>
      </w:r>
      <w:r>
        <w:rPr>
          <w:rFonts w:hint="eastAsia" w:ascii="仿宋_GB2312" w:hAnsi="TimesNewRoman" w:eastAsia="仿宋_GB2312" w:cs="TimesNewRoman"/>
          <w:sz w:val="32"/>
          <w:szCs w:val="32"/>
          <w:lang w:val="en-US" w:eastAsia="zh-CN"/>
        </w:rPr>
        <w:t>1.57</w:t>
      </w:r>
      <w:r>
        <w:rPr>
          <w:rFonts w:hint="eastAsia" w:ascii="仿宋_GB2312" w:hAnsi="TimesNewRoman" w:eastAsia="仿宋_GB2312" w:cs="TimesNewRoman"/>
          <w:sz w:val="32"/>
          <w:szCs w:val="32"/>
        </w:rPr>
        <w:t>万元，比2023年预算增加</w:t>
      </w:r>
      <w:r>
        <w:rPr>
          <w:rFonts w:hint="eastAsia" w:ascii="仿宋_GB2312" w:hAnsi="TimesNewRoman" w:eastAsia="仿宋_GB2312" w:cs="TimesNewRoman"/>
          <w:sz w:val="32"/>
          <w:szCs w:val="32"/>
          <w:lang w:val="en-US" w:eastAsia="zh-CN"/>
        </w:rPr>
        <w:t>1.57</w:t>
      </w:r>
      <w:r>
        <w:rPr>
          <w:rFonts w:hint="eastAsia" w:ascii="仿宋_GB2312" w:hAnsi="TimesNewRoman" w:eastAsia="仿宋_GB2312" w:cs="TimesNewRoman"/>
          <w:sz w:val="32"/>
          <w:szCs w:val="32"/>
        </w:rPr>
        <w:t>万元，增长</w:t>
      </w:r>
      <w:r>
        <w:rPr>
          <w:rFonts w:hint="eastAsia" w:ascii="仿宋_GB2312" w:hAnsi="TimesNewRoman" w:eastAsia="仿宋_GB2312" w:cs="TimesNewRoman"/>
          <w:sz w:val="32"/>
          <w:szCs w:val="32"/>
          <w:lang w:val="en-US" w:eastAsia="zh-CN"/>
        </w:rPr>
        <w:t>100</w:t>
      </w:r>
      <w:r>
        <w:rPr>
          <w:rFonts w:hint="eastAsia" w:ascii="仿宋_GB2312" w:hAnsi="TimesNewRoman" w:eastAsia="仿宋_GB2312" w:cs="TimesNewRoman"/>
          <w:sz w:val="32"/>
          <w:szCs w:val="32"/>
        </w:rPr>
        <w:t>%，增长原因是</w:t>
      </w:r>
      <w:r>
        <w:rPr>
          <w:rFonts w:hint="eastAsia" w:ascii="仿宋_GB2312" w:hAnsi="TimesNewRoman" w:eastAsia="仿宋_GB2312" w:cs="TimesNewRoman"/>
          <w:sz w:val="32"/>
          <w:szCs w:val="32"/>
          <w:lang w:eastAsia="zh-CN"/>
        </w:rPr>
        <w:t>上年没有退休人员，本年新增</w:t>
      </w:r>
      <w:r>
        <w:rPr>
          <w:rFonts w:hint="eastAsia" w:ascii="仿宋_GB2312" w:hAnsi="TimesNewRoman" w:eastAsia="仿宋_GB2312" w:cs="TimesNewRoman"/>
          <w:sz w:val="32"/>
          <w:szCs w:val="32"/>
          <w:lang w:val="en-US" w:eastAsia="zh-CN"/>
        </w:rPr>
        <w:t>1名退休人员</w:t>
      </w:r>
      <w:r>
        <w:rPr>
          <w:rFonts w:hint="eastAsia" w:ascii="仿宋_GB2312" w:hAnsi="TimesNewRoman" w:eastAsia="仿宋_GB2312" w:cs="TimesNewRoman"/>
          <w:sz w:val="32"/>
          <w:szCs w:val="32"/>
        </w:rPr>
        <w:t>。</w:t>
      </w:r>
    </w:p>
    <w:p>
      <w:pPr>
        <w:topLinePunct/>
        <w:adjustRightInd w:val="0"/>
        <w:snapToGrid w:val="0"/>
        <w:spacing w:line="580" w:lineRule="exact"/>
        <w:ind w:firstLine="643" w:firstLineChars="200"/>
        <w:rPr>
          <w:rFonts w:hint="eastAsia" w:ascii="仿宋_GB2312" w:hAnsi="TimesNewRoman" w:eastAsia="仿宋_GB2312" w:cs="TimesNewRoman"/>
          <w:sz w:val="32"/>
          <w:szCs w:val="32"/>
        </w:rPr>
      </w:pPr>
      <w:r>
        <w:rPr>
          <w:rFonts w:hint="eastAsia" w:ascii="仿宋_GB2312" w:hAnsi="TimesNewRoman" w:eastAsia="仿宋_GB2312" w:cs="TimesNewRoman"/>
          <w:b/>
          <w:sz w:val="32"/>
          <w:szCs w:val="32"/>
          <w:lang w:val="en-US" w:eastAsia="zh-CN"/>
        </w:rPr>
        <w:t>3</w:t>
      </w:r>
      <w:r>
        <w:rPr>
          <w:rFonts w:hint="eastAsia" w:ascii="仿宋_GB2312" w:hAnsi="TimesNewRoman" w:eastAsia="仿宋_GB2312" w:cs="TimesNewRoman"/>
          <w:b/>
          <w:sz w:val="32"/>
          <w:szCs w:val="32"/>
        </w:rPr>
        <w:t>.社会保障和就业支出（类）行政事业单位</w:t>
      </w:r>
      <w:r>
        <w:rPr>
          <w:rFonts w:hint="eastAsia" w:ascii="仿宋_GB2312" w:hAnsi="TimesNewRoman" w:eastAsia="仿宋_GB2312" w:cs="TimesNewRoman"/>
          <w:b/>
          <w:sz w:val="32"/>
          <w:szCs w:val="32"/>
          <w:lang w:eastAsia="zh-CN"/>
        </w:rPr>
        <w:t>养老支出</w:t>
      </w:r>
      <w:r>
        <w:rPr>
          <w:rFonts w:hint="eastAsia" w:ascii="仿宋_GB2312" w:hAnsi="TimesNewRoman" w:eastAsia="仿宋_GB2312" w:cs="TimesNewRoman"/>
          <w:b/>
          <w:sz w:val="32"/>
          <w:szCs w:val="32"/>
        </w:rPr>
        <w:t>（款）</w:t>
      </w:r>
      <w:r>
        <w:rPr>
          <w:rFonts w:hint="eastAsia" w:ascii="仿宋_GB2312" w:hAnsi="TimesNewRoman" w:eastAsia="仿宋_GB2312" w:cs="TimesNewRoman"/>
          <w:b/>
          <w:sz w:val="32"/>
          <w:szCs w:val="32"/>
          <w:lang w:eastAsia="zh-CN"/>
        </w:rPr>
        <w:t>机关事业单位基本养老保险缴费支出</w:t>
      </w:r>
      <w:r>
        <w:rPr>
          <w:rFonts w:hint="eastAsia" w:ascii="仿宋_GB2312" w:hAnsi="TimesNewRoman" w:eastAsia="仿宋_GB2312" w:cs="TimesNewRoman"/>
          <w:b/>
          <w:sz w:val="32"/>
          <w:szCs w:val="32"/>
        </w:rPr>
        <w:t>（项）</w:t>
      </w:r>
      <w:r>
        <w:rPr>
          <w:rFonts w:hint="eastAsia" w:ascii="仿宋_GB2312" w:hAnsi="TimesNewRoman" w:eastAsia="仿宋_GB2312" w:cs="TimesNewRoman"/>
          <w:sz w:val="32"/>
          <w:szCs w:val="32"/>
        </w:rPr>
        <w:t>2024年预算</w:t>
      </w:r>
      <w:r>
        <w:rPr>
          <w:rFonts w:hint="eastAsia" w:ascii="仿宋_GB2312" w:hAnsi="TimesNewRoman" w:eastAsia="仿宋_GB2312" w:cs="TimesNewRoman"/>
          <w:sz w:val="32"/>
          <w:szCs w:val="32"/>
          <w:lang w:val="en-US" w:eastAsia="zh-CN"/>
        </w:rPr>
        <w:t>13.35</w:t>
      </w:r>
      <w:r>
        <w:rPr>
          <w:rFonts w:hint="eastAsia" w:ascii="仿宋_GB2312" w:hAnsi="TimesNewRoman" w:eastAsia="仿宋_GB2312" w:cs="TimesNewRoman"/>
          <w:sz w:val="32"/>
          <w:szCs w:val="32"/>
        </w:rPr>
        <w:t>万元，比2023年预算</w:t>
      </w:r>
      <w:r>
        <w:rPr>
          <w:rFonts w:hint="eastAsia" w:ascii="仿宋_GB2312" w:hAnsi="TimesNewRoman" w:eastAsia="仿宋_GB2312" w:cs="TimesNewRoman"/>
          <w:sz w:val="32"/>
          <w:szCs w:val="32"/>
          <w:lang w:eastAsia="zh-CN"/>
        </w:rPr>
        <w:t>减少</w:t>
      </w:r>
      <w:r>
        <w:rPr>
          <w:rFonts w:hint="eastAsia" w:ascii="仿宋_GB2312" w:hAnsi="TimesNewRoman" w:eastAsia="仿宋_GB2312" w:cs="TimesNewRoman"/>
          <w:sz w:val="32"/>
          <w:szCs w:val="32"/>
          <w:lang w:val="en-US" w:eastAsia="zh-CN"/>
        </w:rPr>
        <w:t>0.9</w:t>
      </w:r>
      <w:r>
        <w:rPr>
          <w:rFonts w:hint="eastAsia" w:ascii="仿宋_GB2312" w:hAnsi="TimesNewRoman" w:eastAsia="仿宋_GB2312" w:cs="TimesNewRoman"/>
          <w:sz w:val="32"/>
          <w:szCs w:val="32"/>
        </w:rPr>
        <w:t>万元，</w:t>
      </w:r>
      <w:r>
        <w:rPr>
          <w:rFonts w:hint="eastAsia" w:ascii="仿宋_GB2312" w:hAnsi="TimesNewRoman" w:eastAsia="仿宋_GB2312" w:cs="TimesNewRoman"/>
          <w:sz w:val="32"/>
          <w:szCs w:val="32"/>
          <w:lang w:eastAsia="zh-CN"/>
        </w:rPr>
        <w:t>下降</w:t>
      </w:r>
      <w:r>
        <w:rPr>
          <w:rFonts w:hint="eastAsia" w:ascii="仿宋_GB2312" w:hAnsi="TimesNewRoman" w:eastAsia="仿宋_GB2312" w:cs="TimesNewRoman"/>
          <w:sz w:val="32"/>
          <w:szCs w:val="32"/>
          <w:lang w:val="en-US" w:eastAsia="zh-CN"/>
        </w:rPr>
        <w:t>6.32</w:t>
      </w:r>
      <w:r>
        <w:rPr>
          <w:rFonts w:hint="eastAsia" w:ascii="仿宋_GB2312" w:hAnsi="TimesNewRoman" w:eastAsia="仿宋_GB2312" w:cs="TimesNewRoman"/>
          <w:sz w:val="32"/>
          <w:szCs w:val="32"/>
        </w:rPr>
        <w:t>%，</w:t>
      </w:r>
      <w:r>
        <w:rPr>
          <w:rFonts w:hint="eastAsia" w:ascii="仿宋_GB2312" w:hAnsi="TimesNewRoman" w:eastAsia="仿宋_GB2312" w:cs="TimesNewRoman"/>
          <w:sz w:val="32"/>
          <w:szCs w:val="32"/>
          <w:lang w:eastAsia="zh-CN"/>
        </w:rPr>
        <w:t>下降</w:t>
      </w:r>
      <w:r>
        <w:rPr>
          <w:rFonts w:hint="eastAsia" w:ascii="仿宋_GB2312" w:hAnsi="TimesNewRoman" w:eastAsia="仿宋_GB2312" w:cs="TimesNewRoman"/>
          <w:sz w:val="32"/>
          <w:szCs w:val="32"/>
        </w:rPr>
        <w:t>原因是</w:t>
      </w:r>
      <w:r>
        <w:rPr>
          <w:rFonts w:hint="eastAsia" w:ascii="仿宋_GB2312" w:hAnsi="TimesNewRoman" w:eastAsia="仿宋_GB2312" w:cs="TimesNewRoman"/>
          <w:sz w:val="32"/>
          <w:szCs w:val="32"/>
          <w:lang w:eastAsia="zh-CN"/>
        </w:rPr>
        <w:t>新招聘人员工资比退休人员工资略低</w:t>
      </w:r>
      <w:r>
        <w:rPr>
          <w:rFonts w:hint="eastAsia" w:ascii="仿宋_GB2312" w:hAnsi="TimesNewRoman" w:eastAsia="仿宋_GB2312" w:cs="TimesNewRoman"/>
          <w:sz w:val="32"/>
          <w:szCs w:val="32"/>
        </w:rPr>
        <w:t>。</w:t>
      </w:r>
    </w:p>
    <w:p>
      <w:pPr>
        <w:topLinePunct/>
        <w:adjustRightInd w:val="0"/>
        <w:snapToGrid w:val="0"/>
        <w:spacing w:line="580" w:lineRule="exact"/>
        <w:ind w:firstLine="643" w:firstLineChars="200"/>
        <w:rPr>
          <w:rFonts w:hint="eastAsia" w:ascii="仿宋_GB2312" w:hAnsi="TimesNewRoman" w:eastAsia="仿宋_GB2312" w:cs="TimesNewRoman"/>
          <w:sz w:val="32"/>
          <w:szCs w:val="32"/>
        </w:rPr>
      </w:pPr>
      <w:r>
        <w:rPr>
          <w:rFonts w:hint="eastAsia" w:ascii="仿宋_GB2312" w:hAnsi="TimesNewRoman" w:eastAsia="仿宋_GB2312" w:cs="TimesNewRoman"/>
          <w:b/>
          <w:sz w:val="32"/>
          <w:szCs w:val="32"/>
          <w:lang w:val="en-US" w:eastAsia="zh-CN"/>
        </w:rPr>
        <w:t>4</w:t>
      </w:r>
      <w:r>
        <w:rPr>
          <w:rFonts w:hint="eastAsia" w:ascii="仿宋_GB2312" w:hAnsi="TimesNewRoman" w:eastAsia="仿宋_GB2312" w:cs="TimesNewRoman"/>
          <w:b/>
          <w:sz w:val="32"/>
          <w:szCs w:val="32"/>
        </w:rPr>
        <w:t>.社会保障和就业支出（类）行政事业单位</w:t>
      </w:r>
      <w:r>
        <w:rPr>
          <w:rFonts w:hint="eastAsia" w:ascii="仿宋_GB2312" w:hAnsi="TimesNewRoman" w:eastAsia="仿宋_GB2312" w:cs="TimesNewRoman"/>
          <w:b/>
          <w:sz w:val="32"/>
          <w:szCs w:val="32"/>
          <w:lang w:eastAsia="zh-CN"/>
        </w:rPr>
        <w:t>养老支出</w:t>
      </w:r>
      <w:r>
        <w:rPr>
          <w:rFonts w:hint="eastAsia" w:ascii="仿宋_GB2312" w:hAnsi="TimesNewRoman" w:eastAsia="仿宋_GB2312" w:cs="TimesNewRoman"/>
          <w:b/>
          <w:sz w:val="32"/>
          <w:szCs w:val="32"/>
        </w:rPr>
        <w:t>（款）</w:t>
      </w:r>
      <w:r>
        <w:rPr>
          <w:rFonts w:hint="eastAsia" w:ascii="仿宋_GB2312" w:hAnsi="TimesNewRoman" w:eastAsia="仿宋_GB2312" w:cs="TimesNewRoman"/>
          <w:b/>
          <w:sz w:val="32"/>
          <w:szCs w:val="32"/>
          <w:lang w:eastAsia="zh-CN"/>
        </w:rPr>
        <w:t>机关事业单位职业年金缴费支出</w:t>
      </w:r>
      <w:r>
        <w:rPr>
          <w:rFonts w:hint="eastAsia" w:ascii="仿宋_GB2312" w:hAnsi="TimesNewRoman" w:eastAsia="仿宋_GB2312" w:cs="TimesNewRoman"/>
          <w:b/>
          <w:sz w:val="32"/>
          <w:szCs w:val="32"/>
        </w:rPr>
        <w:t>（项）</w:t>
      </w:r>
      <w:r>
        <w:rPr>
          <w:rFonts w:hint="eastAsia" w:ascii="仿宋_GB2312" w:hAnsi="TimesNewRoman" w:eastAsia="仿宋_GB2312" w:cs="TimesNewRoman"/>
          <w:sz w:val="32"/>
          <w:szCs w:val="32"/>
        </w:rPr>
        <w:t>2024年预算</w:t>
      </w:r>
      <w:r>
        <w:rPr>
          <w:rFonts w:hint="eastAsia" w:ascii="仿宋_GB2312" w:hAnsi="TimesNewRoman" w:eastAsia="仿宋_GB2312" w:cs="TimesNewRoman"/>
          <w:sz w:val="32"/>
          <w:szCs w:val="32"/>
          <w:lang w:val="en-US" w:eastAsia="zh-CN"/>
        </w:rPr>
        <w:t>6.67</w:t>
      </w:r>
      <w:r>
        <w:rPr>
          <w:rFonts w:hint="eastAsia" w:ascii="仿宋_GB2312" w:hAnsi="TimesNewRoman" w:eastAsia="仿宋_GB2312" w:cs="TimesNewRoman"/>
          <w:sz w:val="32"/>
          <w:szCs w:val="32"/>
        </w:rPr>
        <w:t>万元，比2023年预算</w:t>
      </w:r>
      <w:r>
        <w:rPr>
          <w:rFonts w:hint="eastAsia" w:ascii="仿宋_GB2312" w:hAnsi="TimesNewRoman" w:eastAsia="仿宋_GB2312" w:cs="TimesNewRoman"/>
          <w:sz w:val="32"/>
          <w:szCs w:val="32"/>
          <w:lang w:eastAsia="zh-CN"/>
        </w:rPr>
        <w:t>下降</w:t>
      </w:r>
      <w:r>
        <w:rPr>
          <w:rFonts w:hint="eastAsia" w:ascii="仿宋_GB2312" w:hAnsi="TimesNewRoman" w:eastAsia="仿宋_GB2312" w:cs="TimesNewRoman"/>
          <w:sz w:val="32"/>
          <w:szCs w:val="32"/>
          <w:lang w:val="en-US" w:eastAsia="zh-CN"/>
        </w:rPr>
        <w:t>0.46</w:t>
      </w:r>
      <w:r>
        <w:rPr>
          <w:rFonts w:hint="eastAsia" w:ascii="仿宋_GB2312" w:hAnsi="TimesNewRoman" w:eastAsia="仿宋_GB2312" w:cs="TimesNewRoman"/>
          <w:sz w:val="32"/>
          <w:szCs w:val="32"/>
        </w:rPr>
        <w:t>万元，</w:t>
      </w:r>
      <w:r>
        <w:rPr>
          <w:rFonts w:hint="eastAsia" w:ascii="仿宋_GB2312" w:hAnsi="TimesNewRoman" w:eastAsia="仿宋_GB2312" w:cs="TimesNewRoman"/>
          <w:sz w:val="32"/>
          <w:szCs w:val="32"/>
          <w:lang w:eastAsia="zh-CN"/>
        </w:rPr>
        <w:t>下降</w:t>
      </w:r>
      <w:r>
        <w:rPr>
          <w:rFonts w:hint="eastAsia" w:ascii="仿宋_GB2312" w:hAnsi="TimesNewRoman" w:eastAsia="仿宋_GB2312" w:cs="TimesNewRoman"/>
          <w:sz w:val="32"/>
          <w:szCs w:val="32"/>
          <w:lang w:val="en-US" w:eastAsia="zh-CN"/>
        </w:rPr>
        <w:t>6.45</w:t>
      </w:r>
      <w:r>
        <w:rPr>
          <w:rFonts w:hint="eastAsia" w:ascii="仿宋_GB2312" w:hAnsi="TimesNewRoman" w:eastAsia="仿宋_GB2312" w:cs="TimesNewRoman"/>
          <w:sz w:val="32"/>
          <w:szCs w:val="32"/>
        </w:rPr>
        <w:t>%，</w:t>
      </w:r>
      <w:r>
        <w:rPr>
          <w:rFonts w:hint="eastAsia" w:ascii="仿宋_GB2312" w:hAnsi="TimesNewRoman" w:eastAsia="仿宋_GB2312" w:cs="TimesNewRoman"/>
          <w:sz w:val="32"/>
          <w:szCs w:val="32"/>
          <w:lang w:eastAsia="zh-CN"/>
        </w:rPr>
        <w:t>下降</w:t>
      </w:r>
      <w:r>
        <w:rPr>
          <w:rFonts w:hint="eastAsia" w:ascii="仿宋_GB2312" w:hAnsi="TimesNewRoman" w:eastAsia="仿宋_GB2312" w:cs="TimesNewRoman"/>
          <w:sz w:val="32"/>
          <w:szCs w:val="32"/>
        </w:rPr>
        <w:t>原因是</w:t>
      </w:r>
      <w:r>
        <w:rPr>
          <w:rFonts w:hint="eastAsia" w:ascii="仿宋_GB2312" w:hAnsi="TimesNewRoman" w:eastAsia="仿宋_GB2312" w:cs="TimesNewRoman"/>
          <w:sz w:val="32"/>
          <w:szCs w:val="32"/>
          <w:lang w:eastAsia="zh-CN"/>
        </w:rPr>
        <w:t>新招聘人员工资比退休人员工资略低</w:t>
      </w:r>
      <w:r>
        <w:rPr>
          <w:rFonts w:hint="eastAsia" w:ascii="仿宋_GB2312" w:hAnsi="TimesNewRoman" w:eastAsia="仿宋_GB2312" w:cs="TimesNewRoman"/>
          <w:sz w:val="32"/>
          <w:szCs w:val="32"/>
        </w:rPr>
        <w:t>。</w:t>
      </w:r>
    </w:p>
    <w:p>
      <w:pPr>
        <w:topLinePunct/>
        <w:adjustRightInd w:val="0"/>
        <w:snapToGrid w:val="0"/>
        <w:spacing w:line="580" w:lineRule="exact"/>
        <w:ind w:firstLine="643" w:firstLineChars="200"/>
        <w:rPr>
          <w:rFonts w:hint="eastAsia" w:ascii="仿宋_GB2312" w:hAnsi="TimesNewRoman" w:eastAsia="仿宋_GB2312" w:cs="TimesNewRoman"/>
          <w:sz w:val="32"/>
          <w:szCs w:val="32"/>
          <w:lang w:val="en-US" w:eastAsia="zh-CN"/>
        </w:rPr>
      </w:pPr>
      <w:r>
        <w:rPr>
          <w:rFonts w:hint="eastAsia" w:ascii="仿宋_GB2312" w:hAnsi="TimesNewRoman" w:eastAsia="仿宋_GB2312" w:cs="TimesNewRoman"/>
          <w:b/>
          <w:sz w:val="32"/>
          <w:szCs w:val="32"/>
          <w:lang w:val="en-US" w:eastAsia="zh-CN"/>
        </w:rPr>
        <w:t>5</w:t>
      </w:r>
      <w:r>
        <w:rPr>
          <w:rFonts w:hint="eastAsia" w:ascii="仿宋_GB2312" w:hAnsi="TimesNewRoman" w:eastAsia="仿宋_GB2312" w:cs="TimesNewRoman"/>
          <w:b/>
          <w:sz w:val="32"/>
          <w:szCs w:val="32"/>
        </w:rPr>
        <w:t>.社会保障和就业支出（类）</w:t>
      </w:r>
      <w:r>
        <w:rPr>
          <w:rFonts w:hint="eastAsia" w:ascii="仿宋_GB2312" w:hAnsi="TimesNewRoman" w:eastAsia="仿宋_GB2312" w:cs="TimesNewRoman"/>
          <w:b/>
          <w:sz w:val="32"/>
          <w:szCs w:val="32"/>
          <w:lang w:eastAsia="zh-CN"/>
        </w:rPr>
        <w:t>其他社会保障和就业支出</w:t>
      </w:r>
      <w:r>
        <w:rPr>
          <w:rFonts w:hint="eastAsia" w:ascii="仿宋_GB2312" w:hAnsi="TimesNewRoman" w:eastAsia="仿宋_GB2312" w:cs="TimesNewRoman"/>
          <w:b/>
          <w:sz w:val="32"/>
          <w:szCs w:val="32"/>
        </w:rPr>
        <w:t>（款）</w:t>
      </w:r>
      <w:r>
        <w:rPr>
          <w:rFonts w:hint="eastAsia" w:ascii="仿宋_GB2312" w:hAnsi="TimesNewRoman" w:eastAsia="仿宋_GB2312" w:cs="TimesNewRoman"/>
          <w:b/>
          <w:sz w:val="32"/>
          <w:szCs w:val="32"/>
          <w:lang w:eastAsia="zh-CN"/>
        </w:rPr>
        <w:t>其他社会保障和就业支出</w:t>
      </w:r>
      <w:r>
        <w:rPr>
          <w:rFonts w:hint="eastAsia" w:ascii="仿宋_GB2312" w:hAnsi="TimesNewRoman" w:eastAsia="仿宋_GB2312" w:cs="TimesNewRoman"/>
          <w:b/>
          <w:sz w:val="32"/>
          <w:szCs w:val="32"/>
        </w:rPr>
        <w:t>（项）</w:t>
      </w:r>
      <w:r>
        <w:rPr>
          <w:rFonts w:hint="eastAsia" w:ascii="仿宋_GB2312" w:hAnsi="TimesNewRoman" w:eastAsia="仿宋_GB2312" w:cs="TimesNewRoman"/>
          <w:sz w:val="32"/>
          <w:szCs w:val="32"/>
        </w:rPr>
        <w:t>2024年预算</w:t>
      </w:r>
      <w:r>
        <w:rPr>
          <w:rFonts w:hint="eastAsia" w:ascii="仿宋_GB2312" w:hAnsi="TimesNewRoman" w:eastAsia="仿宋_GB2312" w:cs="TimesNewRoman"/>
          <w:sz w:val="32"/>
          <w:szCs w:val="32"/>
          <w:lang w:val="en-US" w:eastAsia="zh-CN"/>
        </w:rPr>
        <w:t>0.44</w:t>
      </w:r>
      <w:r>
        <w:rPr>
          <w:rFonts w:hint="eastAsia" w:ascii="仿宋_GB2312" w:hAnsi="TimesNewRoman" w:eastAsia="仿宋_GB2312" w:cs="TimesNewRoman"/>
          <w:sz w:val="32"/>
          <w:szCs w:val="32"/>
        </w:rPr>
        <w:t>万元，比2023年预算增加</w:t>
      </w:r>
      <w:r>
        <w:rPr>
          <w:rFonts w:hint="eastAsia" w:ascii="仿宋_GB2312" w:hAnsi="TimesNewRoman" w:eastAsia="仿宋_GB2312" w:cs="TimesNewRoman"/>
          <w:sz w:val="32"/>
          <w:szCs w:val="32"/>
          <w:lang w:val="en-US" w:eastAsia="zh-CN"/>
        </w:rPr>
        <w:t>0.02</w:t>
      </w:r>
      <w:r>
        <w:rPr>
          <w:rFonts w:hint="eastAsia" w:ascii="仿宋_GB2312" w:hAnsi="TimesNewRoman" w:eastAsia="仿宋_GB2312" w:cs="TimesNewRoman"/>
          <w:sz w:val="32"/>
          <w:szCs w:val="32"/>
        </w:rPr>
        <w:t>万元，增长</w:t>
      </w:r>
      <w:r>
        <w:rPr>
          <w:rFonts w:hint="eastAsia" w:ascii="仿宋_GB2312" w:hAnsi="TimesNewRoman" w:eastAsia="仿宋_GB2312" w:cs="TimesNewRoman"/>
          <w:sz w:val="32"/>
          <w:szCs w:val="32"/>
          <w:lang w:val="en-US" w:eastAsia="zh-CN"/>
        </w:rPr>
        <w:t>4.76</w:t>
      </w:r>
      <w:r>
        <w:rPr>
          <w:rFonts w:hint="eastAsia" w:ascii="仿宋_GB2312" w:hAnsi="TimesNewRoman" w:eastAsia="仿宋_GB2312" w:cs="TimesNewRoman"/>
          <w:sz w:val="32"/>
          <w:szCs w:val="32"/>
        </w:rPr>
        <w:t>%，</w:t>
      </w:r>
      <w:r>
        <w:rPr>
          <w:rFonts w:hint="eastAsia" w:ascii="仿宋_GB2312" w:hAnsi="TimesNewRoman" w:eastAsia="仿宋_GB2312" w:cs="TimesNewRoman"/>
          <w:sz w:val="32"/>
          <w:szCs w:val="32"/>
          <w:lang w:eastAsia="zh-CN"/>
        </w:rPr>
        <w:t>与上年基本持平。</w:t>
      </w:r>
    </w:p>
    <w:p>
      <w:pPr>
        <w:topLinePunct/>
        <w:adjustRightInd w:val="0"/>
        <w:snapToGrid w:val="0"/>
        <w:spacing w:line="580" w:lineRule="exact"/>
        <w:ind w:firstLine="643" w:firstLineChars="200"/>
        <w:rPr>
          <w:rFonts w:hint="eastAsia" w:ascii="仿宋_GB2312" w:hAnsi="TimesNewRoman" w:eastAsia="仿宋_GB2312" w:cs="TimesNewRoman"/>
          <w:sz w:val="32"/>
          <w:szCs w:val="32"/>
          <w:lang w:val="en-US" w:eastAsia="zh-CN"/>
        </w:rPr>
      </w:pPr>
      <w:r>
        <w:rPr>
          <w:rFonts w:hint="eastAsia" w:ascii="仿宋_GB2312" w:hAnsi="TimesNewRoman" w:eastAsia="仿宋_GB2312" w:cs="TimesNewRoman"/>
          <w:b/>
          <w:sz w:val="32"/>
          <w:szCs w:val="32"/>
          <w:lang w:val="en-US" w:eastAsia="zh-CN"/>
        </w:rPr>
        <w:t>6</w:t>
      </w:r>
      <w:r>
        <w:rPr>
          <w:rFonts w:hint="eastAsia" w:ascii="仿宋_GB2312" w:hAnsi="TimesNewRoman" w:eastAsia="仿宋_GB2312" w:cs="TimesNewRoman"/>
          <w:b/>
          <w:sz w:val="32"/>
          <w:szCs w:val="32"/>
        </w:rPr>
        <w:t>.</w:t>
      </w:r>
      <w:r>
        <w:rPr>
          <w:rFonts w:hint="eastAsia" w:ascii="仿宋_GB2312" w:hAnsi="TimesNewRoman" w:eastAsia="仿宋_GB2312" w:cs="TimesNewRoman"/>
          <w:b/>
          <w:sz w:val="32"/>
          <w:szCs w:val="32"/>
          <w:lang w:eastAsia="zh-CN"/>
        </w:rPr>
        <w:t>卫生健康</w:t>
      </w:r>
      <w:r>
        <w:rPr>
          <w:rFonts w:hint="eastAsia" w:ascii="仿宋_GB2312" w:hAnsi="TimesNewRoman" w:eastAsia="仿宋_GB2312" w:cs="TimesNewRoman"/>
          <w:b/>
          <w:sz w:val="32"/>
          <w:szCs w:val="32"/>
        </w:rPr>
        <w:t>支出（类）</w:t>
      </w:r>
      <w:r>
        <w:rPr>
          <w:rFonts w:hint="eastAsia" w:ascii="仿宋_GB2312" w:hAnsi="TimesNewRoman" w:eastAsia="仿宋_GB2312" w:cs="TimesNewRoman"/>
          <w:b/>
          <w:sz w:val="32"/>
          <w:szCs w:val="32"/>
          <w:lang w:eastAsia="zh-CN"/>
        </w:rPr>
        <w:t>行政事业单位医疗</w:t>
      </w:r>
      <w:r>
        <w:rPr>
          <w:rFonts w:hint="eastAsia" w:ascii="仿宋_GB2312" w:hAnsi="TimesNewRoman" w:eastAsia="仿宋_GB2312" w:cs="TimesNewRoman"/>
          <w:b/>
          <w:sz w:val="32"/>
          <w:szCs w:val="32"/>
        </w:rPr>
        <w:t>（款）</w:t>
      </w:r>
      <w:r>
        <w:rPr>
          <w:rFonts w:hint="eastAsia" w:ascii="仿宋_GB2312" w:hAnsi="TimesNewRoman" w:eastAsia="仿宋_GB2312" w:cs="TimesNewRoman"/>
          <w:b/>
          <w:sz w:val="32"/>
          <w:szCs w:val="32"/>
          <w:lang w:eastAsia="zh-CN"/>
        </w:rPr>
        <w:t>事业单位医疗</w:t>
      </w:r>
      <w:r>
        <w:rPr>
          <w:rFonts w:hint="eastAsia" w:ascii="仿宋_GB2312" w:hAnsi="TimesNewRoman" w:eastAsia="仿宋_GB2312" w:cs="TimesNewRoman"/>
          <w:b/>
          <w:sz w:val="32"/>
          <w:szCs w:val="32"/>
        </w:rPr>
        <w:t>（项）</w:t>
      </w:r>
      <w:r>
        <w:rPr>
          <w:rFonts w:hint="eastAsia" w:ascii="仿宋_GB2312" w:hAnsi="TimesNewRoman" w:eastAsia="仿宋_GB2312" w:cs="TimesNewRoman"/>
          <w:sz w:val="32"/>
          <w:szCs w:val="32"/>
        </w:rPr>
        <w:t>2024年预算</w:t>
      </w:r>
      <w:r>
        <w:rPr>
          <w:rFonts w:hint="eastAsia" w:ascii="仿宋_GB2312" w:hAnsi="TimesNewRoman" w:eastAsia="仿宋_GB2312" w:cs="TimesNewRoman"/>
          <w:sz w:val="32"/>
          <w:szCs w:val="32"/>
          <w:lang w:val="en-US" w:eastAsia="zh-CN"/>
        </w:rPr>
        <w:t>4.36</w:t>
      </w:r>
      <w:r>
        <w:rPr>
          <w:rFonts w:hint="eastAsia" w:ascii="仿宋_GB2312" w:hAnsi="TimesNewRoman" w:eastAsia="仿宋_GB2312" w:cs="TimesNewRoman"/>
          <w:sz w:val="32"/>
          <w:szCs w:val="32"/>
        </w:rPr>
        <w:t>万元，比2023年预算增加</w:t>
      </w:r>
      <w:r>
        <w:rPr>
          <w:rFonts w:hint="eastAsia" w:ascii="仿宋_GB2312" w:hAnsi="TimesNewRoman" w:eastAsia="仿宋_GB2312" w:cs="TimesNewRoman"/>
          <w:sz w:val="32"/>
          <w:szCs w:val="32"/>
          <w:lang w:val="en-US" w:eastAsia="zh-CN"/>
        </w:rPr>
        <w:t>0.74</w:t>
      </w:r>
      <w:r>
        <w:rPr>
          <w:rFonts w:hint="eastAsia" w:ascii="仿宋_GB2312" w:hAnsi="TimesNewRoman" w:eastAsia="仿宋_GB2312" w:cs="TimesNewRoman"/>
          <w:sz w:val="32"/>
          <w:szCs w:val="32"/>
        </w:rPr>
        <w:t>万元，增长</w:t>
      </w:r>
      <w:r>
        <w:rPr>
          <w:rFonts w:hint="eastAsia" w:ascii="仿宋_GB2312" w:hAnsi="TimesNewRoman" w:eastAsia="仿宋_GB2312" w:cs="TimesNewRoman"/>
          <w:sz w:val="32"/>
          <w:szCs w:val="32"/>
          <w:lang w:val="en-US" w:eastAsia="zh-CN"/>
        </w:rPr>
        <w:t>18.64</w:t>
      </w:r>
      <w:r>
        <w:rPr>
          <w:rFonts w:hint="eastAsia" w:ascii="仿宋_GB2312" w:hAnsi="TimesNewRoman" w:eastAsia="仿宋_GB2312" w:cs="TimesNewRoman"/>
          <w:sz w:val="32"/>
          <w:szCs w:val="32"/>
        </w:rPr>
        <w:t>%，</w:t>
      </w:r>
      <w:r>
        <w:rPr>
          <w:rFonts w:hint="eastAsia" w:ascii="仿宋_GB2312" w:hAnsi="TimesNewRoman" w:eastAsia="仿宋_GB2312" w:cs="TimesNewRoman"/>
          <w:sz w:val="32"/>
          <w:szCs w:val="32"/>
          <w:lang w:eastAsia="zh-CN"/>
        </w:rPr>
        <w:t>增长主要原因是工资基数调整。</w:t>
      </w:r>
    </w:p>
    <w:p>
      <w:pPr>
        <w:topLinePunct/>
        <w:adjustRightInd w:val="0"/>
        <w:snapToGrid w:val="0"/>
        <w:spacing w:line="580" w:lineRule="exact"/>
        <w:ind w:firstLine="643" w:firstLineChars="200"/>
        <w:rPr>
          <w:rFonts w:hint="eastAsia" w:ascii="仿宋_GB2312" w:hAnsi="TimesNewRoman" w:eastAsia="仿宋_GB2312" w:cs="TimesNewRoman"/>
          <w:sz w:val="32"/>
          <w:szCs w:val="32"/>
          <w:lang w:val="en-US" w:eastAsia="zh-CN"/>
        </w:rPr>
      </w:pPr>
      <w:r>
        <w:rPr>
          <w:rFonts w:hint="eastAsia" w:ascii="仿宋_GB2312" w:hAnsi="TimesNewRoman" w:eastAsia="仿宋_GB2312" w:cs="TimesNewRoman"/>
          <w:b/>
          <w:sz w:val="32"/>
          <w:szCs w:val="32"/>
          <w:lang w:val="en-US" w:eastAsia="zh-CN"/>
        </w:rPr>
        <w:t>7</w:t>
      </w:r>
      <w:r>
        <w:rPr>
          <w:rFonts w:hint="eastAsia" w:ascii="仿宋_GB2312" w:hAnsi="TimesNewRoman" w:eastAsia="仿宋_GB2312" w:cs="TimesNewRoman"/>
          <w:b/>
          <w:sz w:val="32"/>
          <w:szCs w:val="32"/>
        </w:rPr>
        <w:t>.</w:t>
      </w:r>
      <w:r>
        <w:rPr>
          <w:rFonts w:hint="eastAsia" w:ascii="仿宋_GB2312" w:hAnsi="TimesNewRoman" w:eastAsia="仿宋_GB2312" w:cs="TimesNewRoman"/>
          <w:b/>
          <w:sz w:val="32"/>
          <w:szCs w:val="32"/>
          <w:lang w:eastAsia="zh-CN"/>
        </w:rPr>
        <w:t>卫生健康</w:t>
      </w:r>
      <w:r>
        <w:rPr>
          <w:rFonts w:hint="eastAsia" w:ascii="仿宋_GB2312" w:hAnsi="TimesNewRoman" w:eastAsia="仿宋_GB2312" w:cs="TimesNewRoman"/>
          <w:b/>
          <w:sz w:val="32"/>
          <w:szCs w:val="32"/>
        </w:rPr>
        <w:t>支出（类）</w:t>
      </w:r>
      <w:r>
        <w:rPr>
          <w:rFonts w:hint="eastAsia" w:ascii="仿宋_GB2312" w:hAnsi="TimesNewRoman" w:eastAsia="仿宋_GB2312" w:cs="TimesNewRoman"/>
          <w:b/>
          <w:sz w:val="32"/>
          <w:szCs w:val="32"/>
          <w:lang w:eastAsia="zh-CN"/>
        </w:rPr>
        <w:t>行政事业单位医疗</w:t>
      </w:r>
      <w:r>
        <w:rPr>
          <w:rFonts w:hint="eastAsia" w:ascii="仿宋_GB2312" w:hAnsi="TimesNewRoman" w:eastAsia="仿宋_GB2312" w:cs="TimesNewRoman"/>
          <w:b/>
          <w:sz w:val="32"/>
          <w:szCs w:val="32"/>
        </w:rPr>
        <w:t>（款）</w:t>
      </w:r>
      <w:r>
        <w:rPr>
          <w:rFonts w:hint="eastAsia" w:ascii="仿宋_GB2312" w:hAnsi="TimesNewRoman" w:eastAsia="仿宋_GB2312" w:cs="TimesNewRoman"/>
          <w:b/>
          <w:sz w:val="32"/>
          <w:szCs w:val="32"/>
          <w:lang w:eastAsia="zh-CN"/>
        </w:rPr>
        <w:t>公务员医疗补助</w:t>
      </w:r>
      <w:r>
        <w:rPr>
          <w:rFonts w:hint="eastAsia" w:ascii="仿宋_GB2312" w:hAnsi="TimesNewRoman" w:eastAsia="仿宋_GB2312" w:cs="TimesNewRoman"/>
          <w:b/>
          <w:sz w:val="32"/>
          <w:szCs w:val="32"/>
        </w:rPr>
        <w:t>（项）</w:t>
      </w:r>
      <w:r>
        <w:rPr>
          <w:rFonts w:hint="eastAsia" w:ascii="仿宋_GB2312" w:hAnsi="TimesNewRoman" w:eastAsia="仿宋_GB2312" w:cs="TimesNewRoman"/>
          <w:sz w:val="32"/>
          <w:szCs w:val="32"/>
        </w:rPr>
        <w:t>2024年预算</w:t>
      </w:r>
      <w:r>
        <w:rPr>
          <w:rFonts w:hint="eastAsia" w:ascii="仿宋_GB2312" w:hAnsi="TimesNewRoman" w:eastAsia="仿宋_GB2312" w:cs="TimesNewRoman"/>
          <w:sz w:val="32"/>
          <w:szCs w:val="32"/>
          <w:lang w:val="en-US" w:eastAsia="zh-CN"/>
        </w:rPr>
        <w:t>0.36</w:t>
      </w:r>
      <w:r>
        <w:rPr>
          <w:rFonts w:hint="eastAsia" w:ascii="仿宋_GB2312" w:hAnsi="TimesNewRoman" w:eastAsia="仿宋_GB2312" w:cs="TimesNewRoman"/>
          <w:sz w:val="32"/>
          <w:szCs w:val="32"/>
        </w:rPr>
        <w:t>万元，比2023年预算增加</w:t>
      </w:r>
      <w:r>
        <w:rPr>
          <w:rFonts w:hint="eastAsia" w:ascii="仿宋_GB2312" w:hAnsi="TimesNewRoman" w:eastAsia="仿宋_GB2312" w:cs="TimesNewRoman"/>
          <w:sz w:val="32"/>
          <w:szCs w:val="32"/>
          <w:lang w:val="en-US" w:eastAsia="zh-CN"/>
        </w:rPr>
        <w:t>0.11</w:t>
      </w:r>
      <w:r>
        <w:rPr>
          <w:rFonts w:hint="eastAsia" w:ascii="仿宋_GB2312" w:hAnsi="TimesNewRoman" w:eastAsia="仿宋_GB2312" w:cs="TimesNewRoman"/>
          <w:sz w:val="32"/>
          <w:szCs w:val="32"/>
        </w:rPr>
        <w:t>万元，增长</w:t>
      </w:r>
      <w:r>
        <w:rPr>
          <w:rFonts w:hint="eastAsia" w:ascii="仿宋_GB2312" w:hAnsi="TimesNewRoman" w:eastAsia="仿宋_GB2312" w:cs="TimesNewRoman"/>
          <w:sz w:val="32"/>
          <w:szCs w:val="32"/>
          <w:lang w:val="en-US" w:eastAsia="zh-CN"/>
        </w:rPr>
        <w:t>44</w:t>
      </w:r>
      <w:r>
        <w:rPr>
          <w:rFonts w:hint="eastAsia" w:ascii="仿宋_GB2312" w:hAnsi="TimesNewRoman" w:eastAsia="仿宋_GB2312" w:cs="TimesNewRoman"/>
          <w:sz w:val="32"/>
          <w:szCs w:val="32"/>
        </w:rPr>
        <w:t>%，</w:t>
      </w:r>
      <w:r>
        <w:rPr>
          <w:rFonts w:hint="eastAsia" w:ascii="仿宋_GB2312" w:hAnsi="TimesNewRoman" w:eastAsia="仿宋_GB2312" w:cs="TimesNewRoman"/>
          <w:sz w:val="32"/>
          <w:szCs w:val="32"/>
          <w:lang w:eastAsia="zh-CN"/>
        </w:rPr>
        <w:t>增长主要原因是行政工资基数调高。</w:t>
      </w:r>
    </w:p>
    <w:p>
      <w:pPr>
        <w:topLinePunct/>
        <w:adjustRightInd w:val="0"/>
        <w:snapToGrid w:val="0"/>
        <w:spacing w:line="580" w:lineRule="exact"/>
        <w:ind w:firstLine="643" w:firstLineChars="200"/>
        <w:rPr>
          <w:rFonts w:hint="eastAsia" w:ascii="仿宋_GB2312" w:hAnsi="TimesNewRoman" w:eastAsia="仿宋_GB2312" w:cs="TimesNewRoman"/>
          <w:sz w:val="32"/>
          <w:szCs w:val="32"/>
        </w:rPr>
      </w:pPr>
      <w:r>
        <w:rPr>
          <w:rFonts w:hint="eastAsia" w:ascii="仿宋_GB2312" w:hAnsi="TimesNewRoman" w:eastAsia="仿宋_GB2312" w:cs="TimesNewRoman"/>
          <w:b/>
          <w:sz w:val="32"/>
          <w:szCs w:val="32"/>
          <w:lang w:val="en-US" w:eastAsia="zh-CN"/>
        </w:rPr>
        <w:t>8</w:t>
      </w:r>
      <w:r>
        <w:rPr>
          <w:rFonts w:hint="eastAsia" w:ascii="仿宋_GB2312" w:hAnsi="TimesNewRoman" w:eastAsia="仿宋_GB2312" w:cs="TimesNewRoman"/>
          <w:b/>
          <w:sz w:val="32"/>
          <w:szCs w:val="32"/>
        </w:rPr>
        <w:t>.住房保障支出（类）住房改革支出（款）住房公积金（项）</w:t>
      </w:r>
      <w:r>
        <w:rPr>
          <w:rFonts w:hint="eastAsia" w:ascii="仿宋_GB2312" w:hAnsi="TimesNewRoman" w:eastAsia="仿宋_GB2312" w:cs="TimesNewRoman"/>
          <w:sz w:val="32"/>
          <w:szCs w:val="32"/>
        </w:rPr>
        <w:t>2024年预算</w:t>
      </w:r>
      <w:r>
        <w:rPr>
          <w:rFonts w:hint="eastAsia" w:ascii="仿宋_GB2312" w:hAnsi="TimesNewRoman" w:eastAsia="仿宋_GB2312" w:cs="TimesNewRoman"/>
          <w:sz w:val="32"/>
          <w:szCs w:val="32"/>
          <w:lang w:val="en-US" w:eastAsia="zh-CN"/>
        </w:rPr>
        <w:t>10.01</w:t>
      </w:r>
      <w:r>
        <w:rPr>
          <w:rFonts w:hint="eastAsia" w:ascii="仿宋_GB2312" w:hAnsi="TimesNewRoman" w:eastAsia="仿宋_GB2312" w:cs="TimesNewRoman"/>
          <w:sz w:val="32"/>
          <w:szCs w:val="32"/>
        </w:rPr>
        <w:t>万元，比2023年预算减少</w:t>
      </w:r>
      <w:r>
        <w:rPr>
          <w:rFonts w:hint="eastAsia" w:ascii="仿宋_GB2312" w:hAnsi="TimesNewRoman" w:eastAsia="仿宋_GB2312" w:cs="TimesNewRoman"/>
          <w:sz w:val="32"/>
          <w:szCs w:val="32"/>
          <w:lang w:val="en-US" w:eastAsia="zh-CN"/>
        </w:rPr>
        <w:t>0.68</w:t>
      </w:r>
      <w:r>
        <w:rPr>
          <w:rFonts w:hint="eastAsia" w:ascii="仿宋_GB2312" w:hAnsi="TimesNewRoman" w:eastAsia="仿宋_GB2312" w:cs="TimesNewRoman"/>
          <w:sz w:val="32"/>
          <w:szCs w:val="32"/>
        </w:rPr>
        <w:t>万元，增长下降</w:t>
      </w:r>
      <w:r>
        <w:rPr>
          <w:rFonts w:hint="eastAsia" w:ascii="仿宋_GB2312" w:hAnsi="TimesNewRoman" w:eastAsia="仿宋_GB2312" w:cs="TimesNewRoman"/>
          <w:sz w:val="32"/>
          <w:szCs w:val="32"/>
          <w:lang w:val="en-US" w:eastAsia="zh-CN"/>
        </w:rPr>
        <w:t>6.36</w:t>
      </w:r>
      <w:r>
        <w:rPr>
          <w:rFonts w:hint="eastAsia" w:ascii="仿宋_GB2312" w:hAnsi="TimesNewRoman" w:eastAsia="仿宋_GB2312" w:cs="TimesNewRoman"/>
          <w:sz w:val="32"/>
          <w:szCs w:val="32"/>
        </w:rPr>
        <w:t>%，下降原因主要是</w:t>
      </w:r>
      <w:r>
        <w:rPr>
          <w:rFonts w:hint="eastAsia" w:ascii="仿宋_GB2312" w:hAnsi="TimesNewRoman" w:eastAsia="仿宋_GB2312" w:cs="TimesNewRoman"/>
          <w:sz w:val="32"/>
          <w:szCs w:val="32"/>
          <w:lang w:eastAsia="zh-CN"/>
        </w:rPr>
        <w:t>新招聘人员工资比退休人员工资略低</w:t>
      </w:r>
      <w:r>
        <w:rPr>
          <w:rFonts w:hint="eastAsia" w:ascii="仿宋_GB2312" w:hAnsi="TimesNewRoman" w:eastAsia="仿宋_GB2312" w:cs="TimesNewRoman"/>
          <w:sz w:val="32"/>
          <w:szCs w:val="32"/>
        </w:rPr>
        <w:t>。</w:t>
      </w:r>
    </w:p>
    <w:p>
      <w:pPr>
        <w:pStyle w:val="4"/>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六、关于2024年一般公共预算基本支出表的说明</w:t>
      </w:r>
    </w:p>
    <w:p>
      <w:pPr>
        <w:topLinePunct/>
        <w:spacing w:line="58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寿县</w:t>
      </w:r>
      <w:r>
        <w:rPr>
          <w:rFonts w:hint="eastAsia" w:ascii="仿宋_GB2312" w:hAnsi="TimesNewRoman" w:eastAsia="仿宋_GB2312" w:cs="TimesNewRoman"/>
          <w:sz w:val="32"/>
          <w:szCs w:val="32"/>
          <w:lang w:eastAsia="zh-CN"/>
        </w:rPr>
        <w:t>新桥北区</w:t>
      </w:r>
      <w:r>
        <w:rPr>
          <w:rFonts w:hint="eastAsia" w:ascii="仿宋_GB2312" w:hAnsi="TimesNewRoman" w:eastAsia="仿宋_GB2312" w:cs="TimesNewRoman"/>
          <w:sz w:val="32"/>
          <w:szCs w:val="32"/>
        </w:rPr>
        <w:t>2024年一般公共预算基本支出</w:t>
      </w:r>
      <w:r>
        <w:rPr>
          <w:rFonts w:hint="eastAsia" w:ascii="仿宋_GB2312" w:hAnsi="TimesNewRoman" w:eastAsia="仿宋_GB2312" w:cs="TimesNewRoman"/>
          <w:sz w:val="32"/>
          <w:szCs w:val="32"/>
          <w:lang w:val="en-US" w:eastAsia="zh-CN"/>
        </w:rPr>
        <w:t>132.24</w:t>
      </w:r>
      <w:r>
        <w:rPr>
          <w:rFonts w:hint="eastAsia" w:ascii="仿宋_GB2312" w:hAnsi="TimesNewRoman" w:eastAsia="仿宋_GB2312" w:cs="TimesNewRoman"/>
          <w:sz w:val="32"/>
          <w:szCs w:val="32"/>
        </w:rPr>
        <w:t>万元，其中，人员经费</w:t>
      </w:r>
      <w:r>
        <w:rPr>
          <w:rFonts w:hint="eastAsia" w:ascii="仿宋_GB2312" w:hAnsi="TimesNewRoman" w:eastAsia="仿宋_GB2312" w:cs="TimesNewRoman"/>
          <w:sz w:val="32"/>
          <w:szCs w:val="32"/>
          <w:lang w:val="en-US" w:eastAsia="zh-CN"/>
        </w:rPr>
        <w:t>122.12</w:t>
      </w:r>
      <w:r>
        <w:rPr>
          <w:rFonts w:hint="eastAsia" w:ascii="仿宋_GB2312" w:hAnsi="TimesNewRoman" w:eastAsia="仿宋_GB2312" w:cs="TimesNewRoman"/>
          <w:sz w:val="32"/>
          <w:szCs w:val="32"/>
        </w:rPr>
        <w:t>万元，公用经费</w:t>
      </w:r>
      <w:r>
        <w:rPr>
          <w:rFonts w:hint="eastAsia" w:ascii="仿宋_GB2312" w:hAnsi="TimesNewRoman" w:eastAsia="仿宋_GB2312" w:cs="TimesNewRoman"/>
          <w:sz w:val="32"/>
          <w:szCs w:val="32"/>
          <w:lang w:val="en-US" w:eastAsia="zh-CN"/>
        </w:rPr>
        <w:t>10.12</w:t>
      </w:r>
      <w:r>
        <w:rPr>
          <w:rFonts w:hint="eastAsia" w:ascii="仿宋_GB2312" w:hAnsi="TimesNewRoman" w:eastAsia="仿宋_GB2312" w:cs="TimesNewRoman"/>
          <w:sz w:val="32"/>
          <w:szCs w:val="32"/>
        </w:rPr>
        <w:t>万元。</w:t>
      </w:r>
    </w:p>
    <w:p>
      <w:pPr>
        <w:topLinePunct/>
        <w:spacing w:line="580" w:lineRule="exact"/>
        <w:ind w:firstLine="640" w:firstLineChars="200"/>
        <w:rPr>
          <w:rFonts w:hint="eastAsia" w:ascii="仿宋_GB2312" w:hAnsi="TimesNewRoman" w:eastAsia="仿宋_GB2312" w:cs="TimesNewRoman"/>
          <w:sz w:val="32"/>
          <w:szCs w:val="32"/>
          <w:u w:val="none"/>
        </w:rPr>
      </w:pPr>
      <w:r>
        <w:rPr>
          <w:rFonts w:hint="eastAsia" w:ascii="仿宋_GB2312" w:hAnsi="TimesNewRoman" w:eastAsia="仿宋_GB2312" w:cs="TimesNewRoman"/>
          <w:sz w:val="32"/>
          <w:szCs w:val="32"/>
        </w:rPr>
        <w:t>（一）人员经费</w:t>
      </w:r>
      <w:r>
        <w:rPr>
          <w:rFonts w:hint="eastAsia" w:ascii="仿宋_GB2312" w:hAnsi="TimesNewRoman" w:eastAsia="仿宋_GB2312" w:cs="TimesNewRoman"/>
          <w:sz w:val="32"/>
          <w:szCs w:val="32"/>
          <w:lang w:val="en-US" w:eastAsia="zh-CN"/>
        </w:rPr>
        <w:t>122.12</w:t>
      </w:r>
      <w:r>
        <w:rPr>
          <w:rFonts w:hint="eastAsia" w:ascii="仿宋_GB2312" w:hAnsi="TimesNewRoman" w:eastAsia="仿宋_GB2312" w:cs="TimesNewRoman"/>
          <w:sz w:val="32"/>
          <w:szCs w:val="32"/>
        </w:rPr>
        <w:t>万元，主要包括:</w:t>
      </w:r>
      <w:r>
        <w:rPr>
          <w:rFonts w:hint="eastAsia" w:ascii="仿宋_GB2312" w:hAnsi="TimesNewRoman" w:eastAsia="仿宋_GB2312" w:cs="TimesNewRoman"/>
          <w:sz w:val="32"/>
          <w:szCs w:val="32"/>
          <w:u w:val="none"/>
        </w:rPr>
        <w:t>基本工资、奖金、绩效工资、机关事业单位基本养老保险费、职业年金缴费、职工基本医疗保险缴费、公务员医疗补助缴费、其他社会保障缴费、住房公积金、退休费、生活补助</w:t>
      </w:r>
      <w:r>
        <w:rPr>
          <w:rFonts w:hint="eastAsia" w:ascii="仿宋_GB2312" w:hAnsi="TimesNewRoman" w:eastAsia="仿宋_GB2312" w:cs="TimesNewRoman"/>
          <w:sz w:val="32"/>
          <w:szCs w:val="32"/>
          <w:u w:val="none"/>
          <w:lang w:eastAsia="zh-CN"/>
        </w:rPr>
        <w:t>。</w:t>
      </w:r>
      <w:r>
        <w:rPr>
          <w:rFonts w:hint="eastAsia" w:ascii="仿宋_GB2312" w:hAnsi="TimesNewRoman" w:eastAsia="仿宋_GB2312" w:cs="TimesNewRoman"/>
          <w:sz w:val="32"/>
          <w:szCs w:val="32"/>
          <w:u w:val="none"/>
        </w:rPr>
        <w:t>（二）公用经费</w:t>
      </w:r>
      <w:r>
        <w:rPr>
          <w:rFonts w:hint="eastAsia" w:ascii="仿宋_GB2312" w:hAnsi="TimesNewRoman" w:eastAsia="仿宋_GB2312" w:cs="TimesNewRoman"/>
          <w:sz w:val="32"/>
          <w:szCs w:val="32"/>
          <w:u w:val="none"/>
          <w:lang w:val="en-US" w:eastAsia="zh-CN"/>
        </w:rPr>
        <w:t>10.12</w:t>
      </w:r>
      <w:r>
        <w:rPr>
          <w:rFonts w:hint="eastAsia" w:ascii="仿宋_GB2312" w:hAnsi="TimesNewRoman" w:eastAsia="仿宋_GB2312" w:cs="TimesNewRoman"/>
          <w:sz w:val="32"/>
          <w:szCs w:val="32"/>
          <w:u w:val="none"/>
        </w:rPr>
        <w:t>万元，主要包括：会议费、公务接待费、工会经费、公务用车运行维护费、其他交通费用</w:t>
      </w:r>
      <w:r>
        <w:rPr>
          <w:rFonts w:hint="eastAsia" w:ascii="仿宋_GB2312" w:hAnsi="TimesNewRoman" w:eastAsia="仿宋_GB2312" w:cs="TimesNewRoman"/>
          <w:sz w:val="32"/>
          <w:szCs w:val="32"/>
          <w:u w:val="none"/>
          <w:lang w:eastAsia="zh-CN"/>
        </w:rPr>
        <w:t>。</w:t>
      </w:r>
    </w:p>
    <w:p>
      <w:pPr>
        <w:pStyle w:val="4"/>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七、关于2024年政府性基金预算支出表的说明</w:t>
      </w:r>
    </w:p>
    <w:p>
      <w:pPr>
        <w:pStyle w:val="4"/>
        <w:topLinePunct/>
        <w:adjustRightInd w:val="0"/>
        <w:snapToGrid w:val="0"/>
        <w:spacing w:beforeAutospacing="0" w:afterAutospacing="0" w:line="580" w:lineRule="exact"/>
        <w:ind w:firstLine="640" w:firstLineChars="200"/>
        <w:jc w:val="both"/>
        <w:rPr>
          <w:rFonts w:hint="eastAsia" w:ascii="楷体_GB2312" w:hAnsi="TimesNewRoman" w:eastAsia="楷体_GB2312" w:cs="TimesNewRoman"/>
          <w:b/>
          <w:sz w:val="32"/>
          <w:szCs w:val="32"/>
        </w:rPr>
      </w:pPr>
      <w:r>
        <w:rPr>
          <w:rFonts w:hint="eastAsia" w:ascii="仿宋_GB2312" w:hAnsi="TimesNewRoman" w:eastAsia="仿宋_GB2312" w:cs="TimesNewRoman"/>
          <w:sz w:val="32"/>
          <w:szCs w:val="32"/>
        </w:rPr>
        <w:t>寿县</w:t>
      </w:r>
      <w:r>
        <w:rPr>
          <w:rFonts w:hint="eastAsia" w:ascii="仿宋_GB2312" w:hAnsi="TimesNewRoman" w:eastAsia="仿宋_GB2312" w:cs="TimesNewRoman"/>
          <w:sz w:val="32"/>
          <w:szCs w:val="32"/>
          <w:lang w:eastAsia="zh-CN"/>
        </w:rPr>
        <w:t>新桥北区</w:t>
      </w:r>
      <w:r>
        <w:rPr>
          <w:rFonts w:hint="eastAsia" w:ascii="仿宋_GB2312" w:hAnsi="TimesNewRoman" w:eastAsia="仿宋_GB2312" w:cs="TimesNewRoman"/>
          <w:sz w:val="32"/>
          <w:szCs w:val="32"/>
        </w:rPr>
        <w:t>2024年没有政府性基金预算拨款收入，也没有使用政府性基金预算拨款安排的支出。</w:t>
      </w:r>
    </w:p>
    <w:p>
      <w:pPr>
        <w:pStyle w:val="4"/>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八、关于2024年国有资本经营预算支出表的说明</w:t>
      </w:r>
    </w:p>
    <w:p>
      <w:pPr>
        <w:pStyle w:val="4"/>
        <w:topLinePunct/>
        <w:adjustRightInd w:val="0"/>
        <w:snapToGrid w:val="0"/>
        <w:spacing w:beforeAutospacing="0" w:afterAutospacing="0" w:line="580" w:lineRule="exact"/>
        <w:ind w:firstLine="640" w:firstLineChars="200"/>
        <w:jc w:val="both"/>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寿县</w:t>
      </w:r>
      <w:r>
        <w:rPr>
          <w:rFonts w:hint="eastAsia" w:ascii="仿宋_GB2312" w:hAnsi="TimesNewRoman" w:eastAsia="仿宋_GB2312" w:cs="TimesNewRoman"/>
          <w:sz w:val="32"/>
          <w:szCs w:val="32"/>
          <w:lang w:eastAsia="zh-CN"/>
        </w:rPr>
        <w:t>新桥北区</w:t>
      </w:r>
      <w:r>
        <w:rPr>
          <w:rFonts w:hint="eastAsia" w:ascii="仿宋_GB2312" w:hAnsi="TimesNewRoman" w:eastAsia="仿宋_GB2312" w:cs="TimesNewRoman"/>
          <w:sz w:val="32"/>
          <w:szCs w:val="32"/>
        </w:rPr>
        <w:t>2024年没有国有资本经营预算拨款收入，也没有使用国有资本经营预算拨款安排的支出。</w:t>
      </w:r>
    </w:p>
    <w:p>
      <w:pPr>
        <w:pStyle w:val="4"/>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九、关于2024年项目支出表的说明</w:t>
      </w:r>
    </w:p>
    <w:p>
      <w:pPr>
        <w:pStyle w:val="4"/>
        <w:topLinePunct/>
        <w:adjustRightInd w:val="0"/>
        <w:snapToGrid w:val="0"/>
        <w:spacing w:beforeAutospacing="0" w:afterAutospacing="0" w:line="580" w:lineRule="exact"/>
        <w:ind w:firstLine="640" w:firstLineChars="200"/>
        <w:jc w:val="both"/>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寿县</w:t>
      </w:r>
      <w:r>
        <w:rPr>
          <w:rFonts w:hint="eastAsia" w:ascii="仿宋_GB2312" w:hAnsi="TimesNewRoman" w:eastAsia="仿宋_GB2312" w:cs="TimesNewRoman"/>
          <w:sz w:val="32"/>
          <w:szCs w:val="32"/>
          <w:lang w:eastAsia="zh-CN"/>
        </w:rPr>
        <w:t>新桥北区</w:t>
      </w:r>
      <w:r>
        <w:rPr>
          <w:rFonts w:hint="eastAsia" w:ascii="仿宋_GB2312" w:hAnsi="TimesNewRoman" w:eastAsia="仿宋_GB2312" w:cs="TimesNewRoman"/>
          <w:sz w:val="32"/>
          <w:szCs w:val="32"/>
        </w:rPr>
        <w:t>2024年预算共安排项目支出</w:t>
      </w:r>
      <w:r>
        <w:rPr>
          <w:rFonts w:hint="eastAsia" w:ascii="仿宋_GB2312" w:hAnsi="TimesNewRoman" w:eastAsia="仿宋_GB2312" w:cs="TimesNewRoman"/>
          <w:sz w:val="32"/>
          <w:szCs w:val="32"/>
          <w:lang w:val="en-US" w:eastAsia="zh-CN"/>
        </w:rPr>
        <w:t>1.32</w:t>
      </w:r>
      <w:r>
        <w:rPr>
          <w:rFonts w:hint="eastAsia" w:ascii="仿宋_GB2312" w:hAnsi="TimesNewRoman" w:eastAsia="仿宋_GB2312" w:cs="TimesNewRoman"/>
          <w:sz w:val="32"/>
          <w:szCs w:val="32"/>
        </w:rPr>
        <w:t>万元，比2023年预算减少</w:t>
      </w:r>
      <w:r>
        <w:rPr>
          <w:rFonts w:hint="eastAsia" w:ascii="仿宋_GB2312" w:hAnsi="TimesNewRoman" w:eastAsia="仿宋_GB2312" w:cs="TimesNewRoman"/>
          <w:sz w:val="32"/>
          <w:szCs w:val="32"/>
          <w:lang w:val="en-US" w:eastAsia="zh-CN"/>
        </w:rPr>
        <w:t>106.4</w:t>
      </w:r>
      <w:r>
        <w:rPr>
          <w:rFonts w:hint="eastAsia" w:ascii="仿宋_GB2312" w:hAnsi="TimesNewRoman" w:eastAsia="仿宋_GB2312" w:cs="TimesNewRoman"/>
          <w:sz w:val="32"/>
          <w:szCs w:val="32"/>
        </w:rPr>
        <w:t>万元，下降</w:t>
      </w:r>
      <w:r>
        <w:rPr>
          <w:rFonts w:hint="eastAsia" w:ascii="仿宋_GB2312" w:hAnsi="TimesNewRoman" w:eastAsia="仿宋_GB2312" w:cs="TimesNewRoman"/>
          <w:sz w:val="32"/>
          <w:szCs w:val="32"/>
          <w:lang w:val="en-US" w:eastAsia="zh-CN"/>
        </w:rPr>
        <w:t>99.25</w:t>
      </w:r>
      <w:r>
        <w:rPr>
          <w:rFonts w:hint="eastAsia" w:ascii="仿宋_GB2312" w:hAnsi="TimesNewRoman" w:eastAsia="仿宋_GB2312" w:cs="TimesNewRoman"/>
          <w:sz w:val="32"/>
          <w:szCs w:val="32"/>
        </w:rPr>
        <w:t>%，下降原因主要是</w:t>
      </w:r>
      <w:r>
        <w:rPr>
          <w:rFonts w:hint="eastAsia" w:ascii="仿宋_GB2312" w:hAnsi="TimesNewRoman" w:eastAsia="仿宋_GB2312" w:cs="TimesNewRoman"/>
          <w:sz w:val="32"/>
          <w:szCs w:val="32"/>
          <w:lang w:eastAsia="zh-CN"/>
        </w:rPr>
        <w:t>取消了园区专项业务费特定目标预算，全部为本年财政拨款一般公共预算安排。</w:t>
      </w:r>
    </w:p>
    <w:p>
      <w:pPr>
        <w:pStyle w:val="4"/>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十、关于2024年政府采购支出表的说明</w:t>
      </w:r>
    </w:p>
    <w:p>
      <w:pPr>
        <w:pStyle w:val="4"/>
        <w:topLinePunct/>
        <w:adjustRightInd w:val="0"/>
        <w:snapToGrid w:val="0"/>
        <w:spacing w:beforeAutospacing="0" w:afterAutospacing="0" w:line="580" w:lineRule="exact"/>
        <w:ind w:firstLine="640" w:firstLineChars="200"/>
        <w:jc w:val="both"/>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寿县</w:t>
      </w:r>
      <w:r>
        <w:rPr>
          <w:rFonts w:hint="eastAsia" w:ascii="仿宋_GB2312" w:hAnsi="TimesNewRoman" w:eastAsia="仿宋_GB2312" w:cs="TimesNewRoman"/>
          <w:sz w:val="32"/>
          <w:szCs w:val="32"/>
          <w:lang w:eastAsia="zh-CN"/>
        </w:rPr>
        <w:t>新桥北区</w:t>
      </w:r>
      <w:r>
        <w:rPr>
          <w:rFonts w:hint="eastAsia" w:ascii="仿宋_GB2312" w:hAnsi="TimesNewRoman" w:eastAsia="仿宋_GB2312" w:cs="TimesNewRoman"/>
          <w:sz w:val="32"/>
          <w:szCs w:val="32"/>
        </w:rPr>
        <w:t>2024年没有使用一般公共预算拨款、政府性基金预算拨款、国有资本经营预算拨款、财政专户管理资金和单位资金安排的政府采购支出。</w:t>
      </w:r>
    </w:p>
    <w:p>
      <w:pPr>
        <w:pStyle w:val="4"/>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十一、关于2024年政府购买服务支出表的说明</w:t>
      </w:r>
    </w:p>
    <w:p>
      <w:pPr>
        <w:pStyle w:val="4"/>
        <w:topLinePunct/>
        <w:adjustRightInd w:val="0"/>
        <w:snapToGrid w:val="0"/>
        <w:spacing w:beforeAutospacing="0" w:afterAutospacing="0" w:line="580" w:lineRule="exact"/>
        <w:ind w:firstLine="640" w:firstLineChars="200"/>
        <w:jc w:val="both"/>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寿县</w:t>
      </w:r>
      <w:r>
        <w:rPr>
          <w:rFonts w:hint="eastAsia" w:ascii="仿宋_GB2312" w:hAnsi="TimesNewRoman" w:eastAsia="仿宋_GB2312" w:cs="TimesNewRoman"/>
          <w:sz w:val="32"/>
          <w:szCs w:val="32"/>
          <w:lang w:eastAsia="zh-CN"/>
        </w:rPr>
        <w:t>新桥北区</w:t>
      </w:r>
      <w:r>
        <w:rPr>
          <w:rFonts w:hint="eastAsia" w:ascii="仿宋_GB2312" w:hAnsi="TimesNewRoman" w:eastAsia="仿宋_GB2312" w:cs="TimesNewRoman"/>
          <w:sz w:val="32"/>
          <w:szCs w:val="32"/>
        </w:rPr>
        <w:t>2024年没有安排政府购买服务支出。</w:t>
      </w:r>
    </w:p>
    <w:p>
      <w:pPr>
        <w:pStyle w:val="4"/>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十二、其他重要事项情况说明</w:t>
      </w:r>
    </w:p>
    <w:p>
      <w:pPr>
        <w:topLinePunct/>
        <w:adjustRightInd w:val="0"/>
        <w:snapToGrid w:val="0"/>
        <w:spacing w:line="580" w:lineRule="exact"/>
        <w:ind w:firstLine="643" w:firstLineChars="200"/>
        <w:rPr>
          <w:rFonts w:hint="eastAsia" w:ascii="仿宋_GB2312" w:hAnsi="TimesNewRoman" w:eastAsia="仿宋_GB2312" w:cs="TimesNewRoman"/>
          <w:b/>
          <w:sz w:val="32"/>
          <w:szCs w:val="32"/>
        </w:rPr>
      </w:pPr>
      <w:r>
        <w:rPr>
          <w:rFonts w:hint="eastAsia" w:ascii="仿宋_GB2312" w:hAnsi="TimesNewRoman" w:eastAsia="仿宋_GB2312" w:cs="TimesNewRoman"/>
          <w:b/>
          <w:sz w:val="32"/>
          <w:szCs w:val="32"/>
        </w:rPr>
        <w:t>（一）项目及绩效目标情况。</w:t>
      </w:r>
    </w:p>
    <w:p>
      <w:pPr>
        <w:topLinePunct/>
        <w:adjustRightInd w:val="0"/>
        <w:snapToGrid w:val="0"/>
        <w:spacing w:line="580" w:lineRule="exact"/>
        <w:ind w:firstLine="643" w:firstLineChars="200"/>
        <w:rPr>
          <w:rFonts w:hint="eastAsia" w:ascii="仿宋_GB2312" w:hAnsi="TimesNewRoman" w:eastAsia="仿宋_GB2312" w:cs="TimesNewRoman"/>
          <w:b/>
          <w:sz w:val="32"/>
          <w:szCs w:val="32"/>
        </w:rPr>
      </w:pPr>
      <w:r>
        <w:rPr>
          <w:rFonts w:hint="eastAsia" w:ascii="仿宋_GB2312" w:hAnsi="TimesNewRoman" w:eastAsia="仿宋_GB2312" w:cs="TimesNewRoman"/>
          <w:b/>
          <w:sz w:val="32"/>
          <w:szCs w:val="32"/>
        </w:rPr>
        <w:t>1.“</w:t>
      </w:r>
      <w:r>
        <w:rPr>
          <w:rFonts w:hint="eastAsia" w:ascii="仿宋_GB2312" w:hAnsi="TimesNewRoman" w:eastAsia="仿宋_GB2312" w:cs="TimesNewRoman"/>
          <w:b/>
          <w:sz w:val="32"/>
          <w:szCs w:val="32"/>
          <w:lang w:eastAsia="zh-CN"/>
        </w:rPr>
        <w:t>公车驾驶员工资</w:t>
      </w:r>
      <w:r>
        <w:rPr>
          <w:rFonts w:hint="eastAsia" w:ascii="仿宋_GB2312" w:hAnsi="TimesNewRoman" w:eastAsia="仿宋_GB2312" w:cs="TimesNewRoman"/>
          <w:b/>
          <w:sz w:val="32"/>
          <w:szCs w:val="32"/>
        </w:rPr>
        <w:t>”项目。</w:t>
      </w:r>
    </w:p>
    <w:p>
      <w:pPr>
        <w:topLinePunct/>
        <w:adjustRightInd w:val="0"/>
        <w:snapToGrid w:val="0"/>
        <w:spacing w:line="580" w:lineRule="exact"/>
        <w:ind w:firstLine="640" w:firstLineChars="200"/>
        <w:rPr>
          <w:rFonts w:hint="default" w:ascii="仿宋_GB2312" w:hAnsi="TimesNewRoman" w:eastAsia="仿宋_GB2312" w:cs="TimesNewRoman"/>
          <w:sz w:val="32"/>
          <w:szCs w:val="32"/>
          <w:lang w:val="en-US" w:eastAsia="zh-CN"/>
        </w:rPr>
      </w:pPr>
      <w:r>
        <w:rPr>
          <w:rFonts w:hint="eastAsia" w:ascii="仿宋_GB2312" w:hAnsi="TimesNewRoman" w:eastAsia="仿宋_GB2312" w:cs="TimesNewRoman"/>
          <w:sz w:val="32"/>
          <w:szCs w:val="32"/>
        </w:rPr>
        <w:t>（1）项目概述。</w:t>
      </w:r>
      <w:r>
        <w:rPr>
          <w:rFonts w:hint="eastAsia" w:ascii="仿宋_GB2312" w:hAnsi="TimesNewRoman" w:eastAsia="仿宋_GB2312" w:cs="TimesNewRoman"/>
          <w:sz w:val="32"/>
          <w:szCs w:val="32"/>
          <w:lang w:eastAsia="zh-CN"/>
        </w:rPr>
        <w:t>根据寿县人事局《关于印发</w:t>
      </w:r>
      <w:r>
        <w:rPr>
          <w:rFonts w:hint="eastAsia" w:ascii="仿宋_GB2312" w:hAnsi="TimesNewRoman" w:eastAsia="仿宋_GB2312" w:cs="TimesNewRoman"/>
          <w:sz w:val="32"/>
          <w:szCs w:val="32"/>
          <w:lang w:val="en-US" w:eastAsia="zh-CN"/>
        </w:rPr>
        <w:t>&lt;寿县县直机关工勤岗位用工办法&gt;的通知》（寿人</w:t>
      </w:r>
      <w:r>
        <w:rPr>
          <w:rFonts w:hint="eastAsia" w:ascii="宋体" w:hAnsi="宋体" w:eastAsia="宋体" w:cs="宋体"/>
          <w:sz w:val="32"/>
          <w:szCs w:val="32"/>
          <w:lang w:val="en-US" w:eastAsia="zh-CN"/>
        </w:rPr>
        <w:t>〔</w:t>
      </w:r>
      <w:r>
        <w:rPr>
          <w:rFonts w:hint="eastAsia" w:ascii="仿宋_GB2312" w:hAnsi="TimesNewRoman" w:eastAsia="仿宋_GB2312" w:cs="TimesNewRoman"/>
          <w:sz w:val="32"/>
          <w:szCs w:val="32"/>
          <w:lang w:val="en-US" w:eastAsia="zh-CN"/>
        </w:rPr>
        <w:t>2003</w:t>
      </w:r>
      <w:r>
        <w:rPr>
          <w:rFonts w:hint="eastAsia" w:ascii="宋体" w:hAnsi="宋体" w:eastAsia="宋体" w:cs="宋体"/>
          <w:sz w:val="32"/>
          <w:szCs w:val="32"/>
          <w:lang w:val="en-US" w:eastAsia="zh-CN"/>
        </w:rPr>
        <w:t>〕</w:t>
      </w:r>
      <w:r>
        <w:rPr>
          <w:rFonts w:hint="eastAsia" w:ascii="仿宋_GB2312" w:hAnsi="TimesNewRoman" w:eastAsia="仿宋_GB2312" w:cs="TimesNewRoman"/>
          <w:sz w:val="32"/>
          <w:szCs w:val="32"/>
          <w:lang w:val="en-US" w:eastAsia="zh-CN"/>
        </w:rPr>
        <w:t>67号）及寿县工业园区管理委员会关于要求核准工勤人员增人计划指标的函，我单位增加1名工勤人员，此人从事公车驾驶岗位。每月工资0.11万元，全年1.32万元。</w:t>
      </w:r>
    </w:p>
    <w:p>
      <w:pPr>
        <w:topLinePunct/>
        <w:adjustRightInd w:val="0"/>
        <w:snapToGrid w:val="0"/>
        <w:spacing w:line="58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（2）立项依据。</w:t>
      </w:r>
      <w:r>
        <w:rPr>
          <w:rFonts w:hint="eastAsia" w:ascii="仿宋_GB2312" w:hAnsi="TimesNewRoman" w:eastAsia="仿宋_GB2312" w:cs="TimesNewRoman"/>
          <w:sz w:val="32"/>
          <w:szCs w:val="32"/>
          <w:lang w:eastAsia="zh-CN"/>
        </w:rPr>
        <w:t>寿县人事局《关于印发</w:t>
      </w:r>
      <w:r>
        <w:rPr>
          <w:rFonts w:hint="eastAsia" w:ascii="仿宋_GB2312" w:hAnsi="TimesNewRoman" w:eastAsia="仿宋_GB2312" w:cs="TimesNewRoman"/>
          <w:sz w:val="32"/>
          <w:szCs w:val="32"/>
          <w:lang w:val="en-US" w:eastAsia="zh-CN"/>
        </w:rPr>
        <w:t>&lt;寿县县直机关工勤岗位用工办法&gt;的通知》（寿人</w:t>
      </w:r>
      <w:r>
        <w:rPr>
          <w:rFonts w:hint="eastAsia" w:ascii="宋体" w:hAnsi="宋体" w:eastAsia="宋体" w:cs="宋体"/>
          <w:sz w:val="32"/>
          <w:szCs w:val="32"/>
          <w:lang w:val="en-US" w:eastAsia="zh-CN"/>
        </w:rPr>
        <w:t>〔</w:t>
      </w:r>
      <w:r>
        <w:rPr>
          <w:rFonts w:hint="eastAsia" w:ascii="仿宋_GB2312" w:hAnsi="TimesNewRoman" w:eastAsia="仿宋_GB2312" w:cs="TimesNewRoman"/>
          <w:sz w:val="32"/>
          <w:szCs w:val="32"/>
          <w:lang w:val="en-US" w:eastAsia="zh-CN"/>
        </w:rPr>
        <w:t>2003</w:t>
      </w:r>
      <w:r>
        <w:rPr>
          <w:rFonts w:hint="eastAsia" w:ascii="宋体" w:hAnsi="宋体" w:eastAsia="宋体" w:cs="宋体"/>
          <w:sz w:val="32"/>
          <w:szCs w:val="32"/>
          <w:lang w:val="en-US" w:eastAsia="zh-CN"/>
        </w:rPr>
        <w:t>〕</w:t>
      </w:r>
      <w:r>
        <w:rPr>
          <w:rFonts w:hint="eastAsia" w:ascii="仿宋_GB2312" w:hAnsi="TimesNewRoman" w:eastAsia="仿宋_GB2312" w:cs="TimesNewRoman"/>
          <w:sz w:val="32"/>
          <w:szCs w:val="32"/>
          <w:lang w:val="en-US" w:eastAsia="zh-CN"/>
        </w:rPr>
        <w:t>67号）及寿县工业园区管理委员会关于要求核准工勤人员增人计划指标的函。</w:t>
      </w:r>
    </w:p>
    <w:p>
      <w:pPr>
        <w:topLinePunct/>
        <w:adjustRightInd w:val="0"/>
        <w:snapToGrid w:val="0"/>
        <w:spacing w:line="580" w:lineRule="exact"/>
        <w:ind w:firstLine="640" w:firstLineChars="200"/>
        <w:rPr>
          <w:rFonts w:hint="eastAsia" w:ascii="仿宋_GB2312" w:hAnsi="TimesNewRoman" w:eastAsia="仿宋_GB2312" w:cs="TimesNewRoman"/>
          <w:sz w:val="32"/>
          <w:szCs w:val="32"/>
          <w:lang w:eastAsia="zh-CN"/>
        </w:rPr>
      </w:pPr>
      <w:r>
        <w:rPr>
          <w:rFonts w:hint="eastAsia" w:ascii="仿宋_GB2312" w:hAnsi="TimesNewRoman" w:eastAsia="仿宋_GB2312" w:cs="TimesNewRoman"/>
          <w:sz w:val="32"/>
          <w:szCs w:val="32"/>
        </w:rPr>
        <w:t>（3）实施主体。</w:t>
      </w:r>
      <w:r>
        <w:rPr>
          <w:rFonts w:hint="eastAsia" w:ascii="仿宋_GB2312" w:hAnsi="TimesNewRoman" w:eastAsia="仿宋_GB2312" w:cs="TimesNewRoman"/>
          <w:sz w:val="32"/>
          <w:szCs w:val="32"/>
          <w:lang w:eastAsia="zh-CN"/>
        </w:rPr>
        <w:t>寿县新桥北区</w:t>
      </w:r>
    </w:p>
    <w:p>
      <w:pPr>
        <w:topLinePunct/>
        <w:adjustRightInd w:val="0"/>
        <w:snapToGrid w:val="0"/>
        <w:spacing w:line="580" w:lineRule="exact"/>
        <w:ind w:firstLine="640" w:firstLineChars="200"/>
        <w:rPr>
          <w:rFonts w:hint="default" w:ascii="仿宋_GB2312" w:hAnsi="TimesNewRoman" w:eastAsia="仿宋_GB2312" w:cs="TimesNewRoman"/>
          <w:sz w:val="32"/>
          <w:szCs w:val="32"/>
          <w:lang w:val="en-US" w:eastAsia="zh-CN"/>
        </w:rPr>
      </w:pPr>
      <w:r>
        <w:rPr>
          <w:rFonts w:hint="eastAsia" w:ascii="仿宋_GB2312" w:hAnsi="TimesNewRoman" w:eastAsia="仿宋_GB2312" w:cs="TimesNewRoman"/>
          <w:sz w:val="32"/>
          <w:szCs w:val="32"/>
        </w:rPr>
        <w:t>（4）起止时间。</w:t>
      </w:r>
      <w:r>
        <w:rPr>
          <w:rFonts w:hint="eastAsia" w:ascii="仿宋_GB2312" w:hAnsi="TimesNewRoman" w:eastAsia="仿宋_GB2312" w:cs="TimesNewRoman"/>
          <w:sz w:val="32"/>
          <w:szCs w:val="32"/>
          <w:lang w:val="en-US" w:eastAsia="zh-CN"/>
        </w:rPr>
        <w:t>2024年1月1日至2024年12月31日。</w:t>
      </w:r>
    </w:p>
    <w:p>
      <w:pPr>
        <w:topLinePunct/>
        <w:adjustRightInd w:val="0"/>
        <w:snapToGrid w:val="0"/>
        <w:spacing w:line="580" w:lineRule="exact"/>
        <w:ind w:firstLine="640" w:firstLineChars="200"/>
        <w:rPr>
          <w:rFonts w:hint="eastAsia" w:ascii="仿宋_GB2312" w:hAnsi="TimesNewRoman" w:eastAsia="仿宋_GB2312" w:cs="TimesNewRoman"/>
          <w:sz w:val="32"/>
          <w:szCs w:val="32"/>
          <w:lang w:val="en-US" w:eastAsia="zh-CN"/>
        </w:rPr>
      </w:pPr>
      <w:r>
        <w:rPr>
          <w:rFonts w:hint="eastAsia" w:ascii="仿宋_GB2312" w:hAnsi="TimesNewRoman" w:eastAsia="仿宋_GB2312" w:cs="TimesNewRoman"/>
          <w:sz w:val="32"/>
          <w:szCs w:val="32"/>
        </w:rPr>
        <w:t>（5）项目内容。</w:t>
      </w:r>
      <w:r>
        <w:rPr>
          <w:rFonts w:hint="eastAsia" w:ascii="仿宋_GB2312" w:hAnsi="TimesNewRoman" w:eastAsia="仿宋_GB2312" w:cs="TimesNewRoman"/>
          <w:sz w:val="32"/>
          <w:szCs w:val="32"/>
          <w:lang w:eastAsia="zh-CN"/>
        </w:rPr>
        <w:t>公务车驾驶员保障工作人员公务出行需要，负责车辆日常保洁、运行维护，保障车辆无违章、安全事故发生。</w:t>
      </w:r>
    </w:p>
    <w:p>
      <w:pPr>
        <w:topLinePunct/>
        <w:adjustRightInd w:val="0"/>
        <w:snapToGrid w:val="0"/>
        <w:spacing w:line="580" w:lineRule="exact"/>
        <w:ind w:firstLine="640" w:firstLineChars="200"/>
        <w:rPr>
          <w:rFonts w:hint="default" w:ascii="仿宋_GB2312" w:hAnsi="TimesNewRoman" w:eastAsia="仿宋_GB2312" w:cs="TimesNewRoman"/>
          <w:sz w:val="32"/>
          <w:szCs w:val="32"/>
          <w:lang w:val="en-US" w:eastAsia="zh-CN"/>
        </w:rPr>
      </w:pPr>
      <w:r>
        <w:rPr>
          <w:rFonts w:hint="eastAsia" w:ascii="仿宋_GB2312" w:hAnsi="TimesNewRoman" w:eastAsia="仿宋_GB2312" w:cs="TimesNewRoman"/>
          <w:sz w:val="32"/>
          <w:szCs w:val="32"/>
        </w:rPr>
        <w:t>（6）年度预算安排。</w:t>
      </w:r>
      <w:r>
        <w:rPr>
          <w:rFonts w:hint="eastAsia" w:ascii="仿宋_GB2312" w:hAnsi="TimesNewRoman" w:eastAsia="仿宋_GB2312" w:cs="TimesNewRoman"/>
          <w:sz w:val="32"/>
          <w:szCs w:val="32"/>
          <w:lang w:eastAsia="zh-CN"/>
        </w:rPr>
        <w:t>全年一般公共预算安排</w:t>
      </w:r>
      <w:r>
        <w:rPr>
          <w:rFonts w:hint="eastAsia" w:ascii="仿宋_GB2312" w:hAnsi="TimesNewRoman" w:eastAsia="仿宋_GB2312" w:cs="TimesNewRoman"/>
          <w:sz w:val="32"/>
          <w:szCs w:val="32"/>
          <w:lang w:val="en-US" w:eastAsia="zh-CN"/>
        </w:rPr>
        <w:t>1.32万元。</w:t>
      </w:r>
    </w:p>
    <w:p>
      <w:pPr>
        <w:topLinePunct/>
        <w:adjustRightInd w:val="0"/>
        <w:snapToGrid w:val="0"/>
        <w:spacing w:line="58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（7）绩效目标。</w:t>
      </w:r>
    </w:p>
    <w:p>
      <w:pPr>
        <w:topLinePunct/>
        <w:adjustRightInd w:val="0"/>
        <w:snapToGrid w:val="0"/>
        <w:spacing w:line="580" w:lineRule="exact"/>
        <w:ind w:firstLine="640" w:firstLineChars="200"/>
        <w:rPr>
          <w:rFonts w:hint="eastAsia" w:ascii="仿宋_GB2312" w:hAnsi="楷体" w:eastAsia="仿宋_GB2312"/>
          <w:sz w:val="32"/>
          <w:szCs w:val="32"/>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8"/>
        <w:gridCol w:w="723"/>
        <w:gridCol w:w="282"/>
        <w:gridCol w:w="477"/>
        <w:gridCol w:w="2872"/>
        <w:gridCol w:w="1848"/>
        <w:gridCol w:w="2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trPr>
        <w:tc>
          <w:tcPr>
            <w:tcW w:w="9020" w:type="dxa"/>
            <w:gridSpan w:val="7"/>
            <w:tcBorders>
              <w:top w:val="nil"/>
              <w:left w:val="nil"/>
              <w:bottom w:val="nil"/>
              <w:right w:val="nil"/>
            </w:tcBorders>
            <w:noWrap w:val="0"/>
            <w:vAlign w:val="center"/>
          </w:tcPr>
          <w:p>
            <w:pPr>
              <w:widowControl/>
              <w:jc w:val="center"/>
              <w:textAlignment w:val="center"/>
              <w:rPr>
                <w:rFonts w:ascii="宋体" w:cs="宋体"/>
                <w:b/>
                <w:bCs/>
                <w:szCs w:val="32"/>
              </w:rPr>
            </w:pPr>
            <w:r>
              <w:rPr>
                <w:rFonts w:hint="eastAsia" w:ascii="宋体" w:hAnsi="宋体" w:cs="宋体"/>
                <w:b/>
                <w:color w:val="000000"/>
                <w:kern w:val="0"/>
                <w:sz w:val="28"/>
                <w:szCs w:val="28"/>
                <w:lang w:bidi="ar"/>
              </w:rPr>
              <w:t>项目支出绩效目标表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9020" w:type="dxa"/>
            <w:gridSpan w:val="7"/>
            <w:tcBorders>
              <w:top w:val="nil"/>
              <w:left w:val="nil"/>
              <w:right w:val="nil"/>
            </w:tcBorders>
            <w:noWrap w:val="0"/>
            <w:vAlign w:val="center"/>
          </w:tcPr>
          <w:p>
            <w:pPr>
              <w:widowControl/>
              <w:jc w:val="center"/>
              <w:textAlignment w:val="center"/>
              <w:rPr>
                <w:rFonts w:ascii="宋体" w:cs="宋体"/>
                <w:sz w:val="20"/>
              </w:rPr>
            </w:pPr>
            <w:r>
              <w:rPr>
                <w:rFonts w:hint="eastAsia" w:ascii="宋体" w:hAnsi="宋体" w:cs="宋体"/>
                <w:color w:val="000000"/>
                <w:kern w:val="0"/>
                <w:sz w:val="20"/>
                <w:szCs w:val="20"/>
                <w:lang w:bidi="ar"/>
              </w:rPr>
              <w:t xml:space="preserve"> （2024年度）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项目名称</w:t>
            </w:r>
          </w:p>
        </w:tc>
        <w:tc>
          <w:tcPr>
            <w:tcW w:w="7577" w:type="dxa"/>
            <w:gridSpan w:val="4"/>
            <w:noWrap w:val="0"/>
            <w:vAlign w:val="center"/>
          </w:tcPr>
          <w:p>
            <w:pPr>
              <w:spacing w:line="260" w:lineRule="exact"/>
              <w:jc w:val="center"/>
              <w:rPr>
                <w:rFonts w:hint="eastAsia" w:ascii="宋体" w:eastAsia="宋体" w:cs="宋体"/>
                <w:sz w:val="18"/>
                <w:szCs w:val="18"/>
                <w:lang w:eastAsia="zh-CN"/>
              </w:rPr>
            </w:pPr>
            <w:r>
              <w:rPr>
                <w:rFonts w:hint="eastAsia" w:ascii="宋体" w:cs="宋体"/>
                <w:sz w:val="18"/>
                <w:szCs w:val="18"/>
                <w:lang w:eastAsia="zh-CN"/>
              </w:rPr>
              <w:t>公车驾驶员工资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1443" w:type="dxa"/>
            <w:gridSpan w:val="3"/>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主管部门   及代码</w:t>
            </w:r>
          </w:p>
        </w:tc>
        <w:tc>
          <w:tcPr>
            <w:tcW w:w="3349" w:type="dxa"/>
            <w:gridSpan w:val="2"/>
            <w:noWrap w:val="0"/>
            <w:vAlign w:val="center"/>
          </w:tcPr>
          <w:p>
            <w:pPr>
              <w:spacing w:line="260" w:lineRule="exact"/>
              <w:jc w:val="center"/>
              <w:rPr>
                <w:rFonts w:hint="default" w:ascii="宋体" w:eastAsia="宋体" w:cs="宋体"/>
                <w:sz w:val="18"/>
                <w:szCs w:val="18"/>
                <w:lang w:val="en-US" w:eastAsia="zh-CN"/>
              </w:rPr>
            </w:pPr>
            <w:r>
              <w:rPr>
                <w:rFonts w:hint="eastAsia" w:ascii="宋体" w:cs="宋体"/>
                <w:sz w:val="18"/>
                <w:szCs w:val="18"/>
                <w:lang w:eastAsia="zh-CN"/>
              </w:rPr>
              <w:t>寿县新桥北区</w:t>
            </w:r>
            <w:r>
              <w:rPr>
                <w:rFonts w:hint="eastAsia" w:ascii="宋体" w:cs="宋体"/>
                <w:sz w:val="18"/>
                <w:szCs w:val="18"/>
                <w:lang w:val="en-US" w:eastAsia="zh-CN"/>
              </w:rPr>
              <w:t>157001</w:t>
            </w:r>
          </w:p>
        </w:tc>
        <w:tc>
          <w:tcPr>
            <w:tcW w:w="1848" w:type="dxa"/>
            <w:noWrap w:val="0"/>
            <w:vAlign w:val="center"/>
          </w:tcPr>
          <w:p>
            <w:pPr>
              <w:spacing w:line="260" w:lineRule="exact"/>
              <w:jc w:val="center"/>
              <w:textAlignment w:val="center"/>
              <w:rPr>
                <w:sz w:val="18"/>
                <w:szCs w:val="18"/>
              </w:rPr>
            </w:pPr>
            <w:r>
              <w:rPr>
                <w:rFonts w:hint="eastAsia" w:ascii="宋体" w:hAnsi="宋体" w:cs="宋体"/>
                <w:color w:val="000000"/>
                <w:kern w:val="0"/>
                <w:sz w:val="18"/>
                <w:szCs w:val="18"/>
                <w:lang w:bidi="ar"/>
              </w:rPr>
              <w:t>实施单位</w:t>
            </w:r>
          </w:p>
        </w:tc>
        <w:tc>
          <w:tcPr>
            <w:tcW w:w="2380" w:type="dxa"/>
            <w:noWrap w:val="0"/>
            <w:vAlign w:val="center"/>
          </w:tcPr>
          <w:p>
            <w:pPr>
              <w:spacing w:line="260" w:lineRule="exact"/>
              <w:jc w:val="center"/>
              <w:rPr>
                <w:rFonts w:hint="eastAsia" w:eastAsia="宋体"/>
                <w:sz w:val="18"/>
                <w:szCs w:val="18"/>
                <w:lang w:eastAsia="zh-CN"/>
              </w:rPr>
            </w:pPr>
            <w:r>
              <w:rPr>
                <w:rFonts w:hint="eastAsia"/>
                <w:sz w:val="18"/>
                <w:szCs w:val="18"/>
                <w:lang w:eastAsia="zh-CN"/>
              </w:rPr>
              <w:t>寿县新桥北区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项目来源</w:t>
            </w:r>
          </w:p>
        </w:tc>
        <w:tc>
          <w:tcPr>
            <w:tcW w:w="3349" w:type="dxa"/>
            <w:gridSpan w:val="2"/>
            <w:noWrap w:val="0"/>
            <w:vAlign w:val="center"/>
          </w:tcPr>
          <w:p>
            <w:pPr>
              <w:spacing w:line="260" w:lineRule="exact"/>
              <w:jc w:val="center"/>
              <w:rPr>
                <w:rFonts w:hint="eastAsia" w:ascii="宋体" w:eastAsia="宋体" w:cs="宋体"/>
                <w:sz w:val="18"/>
                <w:szCs w:val="18"/>
                <w:lang w:eastAsia="zh-CN"/>
              </w:rPr>
            </w:pPr>
            <w:r>
              <w:rPr>
                <w:rFonts w:hint="eastAsia" w:ascii="宋体" w:cs="宋体"/>
                <w:sz w:val="18"/>
                <w:szCs w:val="18"/>
                <w:lang w:eastAsia="zh-CN"/>
              </w:rPr>
              <w:t>自行申报</w:t>
            </w:r>
          </w:p>
        </w:tc>
        <w:tc>
          <w:tcPr>
            <w:tcW w:w="1848" w:type="dxa"/>
            <w:noWrap w:val="0"/>
            <w:vAlign w:val="center"/>
          </w:tcPr>
          <w:p>
            <w:pPr>
              <w:spacing w:line="260" w:lineRule="exact"/>
              <w:jc w:val="center"/>
              <w:textAlignment w:val="center"/>
              <w:rPr>
                <w:sz w:val="18"/>
                <w:szCs w:val="18"/>
              </w:rPr>
            </w:pPr>
            <w:r>
              <w:rPr>
                <w:rFonts w:hint="eastAsia" w:ascii="宋体" w:hAnsi="宋体" w:cs="宋体"/>
                <w:color w:val="000000"/>
                <w:kern w:val="0"/>
                <w:sz w:val="18"/>
                <w:szCs w:val="18"/>
                <w:lang w:bidi="ar"/>
              </w:rPr>
              <w:t>项目期</w:t>
            </w:r>
          </w:p>
        </w:tc>
        <w:tc>
          <w:tcPr>
            <w:tcW w:w="2380" w:type="dxa"/>
            <w:noWrap w:val="0"/>
            <w:vAlign w:val="center"/>
          </w:tcPr>
          <w:p>
            <w:pPr>
              <w:spacing w:line="260" w:lineRule="exact"/>
              <w:jc w:val="center"/>
              <w:rPr>
                <w:rFonts w:hint="eastAsia" w:eastAsia="宋体"/>
                <w:sz w:val="18"/>
                <w:szCs w:val="18"/>
                <w:lang w:val="en-US" w:eastAsia="zh-CN"/>
              </w:rPr>
            </w:pPr>
            <w:r>
              <w:rPr>
                <w:rFonts w:hint="eastAsia"/>
                <w:sz w:val="18"/>
                <w:szCs w:val="18"/>
                <w:lang w:val="en-US" w:eastAsia="zh-CN"/>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restart"/>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项目资金</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（万元）</w:t>
            </w:r>
          </w:p>
        </w:tc>
        <w:tc>
          <w:tcPr>
            <w:tcW w:w="3349" w:type="dxa"/>
            <w:gridSpan w:val="2"/>
            <w:noWrap w:val="0"/>
            <w:vAlign w:val="center"/>
          </w:tcPr>
          <w:p>
            <w:pPr>
              <w:spacing w:line="260" w:lineRule="exact"/>
              <w:jc w:val="left"/>
              <w:textAlignment w:val="center"/>
              <w:rPr>
                <w:rFonts w:ascii="宋体" w:cs="宋体"/>
                <w:sz w:val="18"/>
                <w:szCs w:val="18"/>
              </w:rPr>
            </w:pPr>
            <w:r>
              <w:rPr>
                <w:rFonts w:hint="eastAsia" w:ascii="宋体" w:hAnsi="宋体" w:cs="宋体"/>
                <w:color w:val="000000"/>
                <w:kern w:val="0"/>
                <w:sz w:val="18"/>
                <w:szCs w:val="18"/>
                <w:lang w:bidi="ar"/>
              </w:rPr>
              <w:t xml:space="preserve"> 年度资金总额：</w:t>
            </w:r>
          </w:p>
        </w:tc>
        <w:tc>
          <w:tcPr>
            <w:tcW w:w="4228" w:type="dxa"/>
            <w:gridSpan w:val="2"/>
            <w:noWrap w:val="0"/>
            <w:vAlign w:val="center"/>
          </w:tcPr>
          <w:p>
            <w:pPr>
              <w:spacing w:line="260" w:lineRule="exact"/>
              <w:jc w:val="right"/>
              <w:rPr>
                <w:rFonts w:hint="default" w:ascii="宋体" w:eastAsia="宋体" w:cs="宋体"/>
                <w:sz w:val="18"/>
                <w:szCs w:val="18"/>
                <w:lang w:val="en-US" w:eastAsia="zh-CN"/>
              </w:rPr>
            </w:pPr>
            <w:r>
              <w:rPr>
                <w:rFonts w:hint="eastAsia" w:ascii="宋体" w:cs="宋体"/>
                <w:sz w:val="18"/>
                <w:szCs w:val="18"/>
                <w:lang w:val="en-US" w:eastAsia="zh-CN"/>
              </w:rPr>
              <w:t>1.32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continu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hint="eastAsia" w:ascii="宋体" w:hAnsi="宋体" w:cs="宋体"/>
                <w:color w:val="000000"/>
                <w:kern w:val="0"/>
                <w:sz w:val="18"/>
                <w:szCs w:val="18"/>
                <w:lang w:bidi="ar"/>
              </w:rPr>
              <w:t xml:space="preserve">   其中：财政拨款</w:t>
            </w:r>
          </w:p>
        </w:tc>
        <w:tc>
          <w:tcPr>
            <w:tcW w:w="4228" w:type="dxa"/>
            <w:gridSpan w:val="2"/>
            <w:noWrap w:val="0"/>
            <w:vAlign w:val="center"/>
          </w:tcPr>
          <w:p>
            <w:pPr>
              <w:spacing w:line="260" w:lineRule="exact"/>
              <w:jc w:val="right"/>
              <w:rPr>
                <w:rFonts w:hint="default" w:ascii="宋体" w:eastAsia="宋体" w:cs="宋体"/>
                <w:sz w:val="18"/>
                <w:szCs w:val="18"/>
                <w:lang w:val="en-US" w:eastAsia="zh-CN"/>
              </w:rPr>
            </w:pPr>
            <w:r>
              <w:rPr>
                <w:rFonts w:hint="eastAsia" w:ascii="宋体" w:cs="宋体"/>
                <w:sz w:val="18"/>
                <w:szCs w:val="18"/>
                <w:lang w:val="en-US" w:eastAsia="zh-CN"/>
              </w:rPr>
              <w:t>1.32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continu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hint="eastAsia" w:ascii="宋体" w:hAnsi="宋体" w:cs="宋体"/>
                <w:color w:val="000000"/>
                <w:kern w:val="0"/>
                <w:sz w:val="18"/>
                <w:szCs w:val="18"/>
                <w:lang w:bidi="ar"/>
              </w:rPr>
              <w:t xml:space="preserve">         上年结转</w:t>
            </w:r>
          </w:p>
        </w:tc>
        <w:tc>
          <w:tcPr>
            <w:tcW w:w="4228" w:type="dxa"/>
            <w:gridSpan w:val="2"/>
            <w:noWrap w:val="0"/>
            <w:vAlign w:val="center"/>
          </w:tcPr>
          <w:p>
            <w:pPr>
              <w:spacing w:line="260" w:lineRule="exact"/>
              <w:jc w:val="center"/>
              <w:rPr>
                <w:rFonts w:asci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continu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hint="eastAsia" w:ascii="宋体" w:hAnsi="宋体" w:cs="宋体"/>
                <w:color w:val="000000"/>
                <w:kern w:val="0"/>
                <w:sz w:val="18"/>
                <w:szCs w:val="18"/>
                <w:lang w:bidi="ar"/>
              </w:rPr>
              <w:t xml:space="preserve">         其他资金</w:t>
            </w:r>
          </w:p>
        </w:tc>
        <w:tc>
          <w:tcPr>
            <w:tcW w:w="4228" w:type="dxa"/>
            <w:gridSpan w:val="2"/>
            <w:noWrap w:val="0"/>
            <w:vAlign w:val="center"/>
          </w:tcPr>
          <w:p>
            <w:pPr>
              <w:spacing w:line="260" w:lineRule="exact"/>
              <w:jc w:val="right"/>
              <w:rPr>
                <w:rFonts w:asci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5" w:hRule="atLeast"/>
        </w:trPr>
        <w:tc>
          <w:tcPr>
            <w:tcW w:w="438" w:type="dxa"/>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年度</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目标</w:t>
            </w:r>
          </w:p>
        </w:tc>
        <w:tc>
          <w:tcPr>
            <w:tcW w:w="8582" w:type="dxa"/>
            <w:gridSpan w:val="6"/>
            <w:noWrap w:val="0"/>
            <w:vAlign w:val="center"/>
          </w:tcPr>
          <w:p>
            <w:pPr>
              <w:spacing w:line="260" w:lineRule="exact"/>
              <w:jc w:val="left"/>
              <w:rPr>
                <w:rFonts w:ascii="宋体" w:cs="宋体"/>
                <w:sz w:val="18"/>
                <w:szCs w:val="18"/>
              </w:rPr>
            </w:pPr>
            <w:r>
              <w:rPr>
                <w:rFonts w:hint="eastAsia" w:asciiTheme="minorEastAsia" w:hAnsiTheme="minorEastAsia" w:eastAsiaTheme="minorEastAsia" w:cstheme="minorEastAsia"/>
                <w:sz w:val="18"/>
                <w:szCs w:val="18"/>
                <w:lang w:eastAsia="zh-CN"/>
              </w:rPr>
              <w:t>公务车驾驶员保障工作人员公务出行需要，负责车辆日常保洁、运行维护，保障车辆无违章、安全事故发生。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438" w:type="dxa"/>
            <w:vMerge w:val="restart"/>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绩</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效</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指</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标</w:t>
            </w:r>
          </w:p>
        </w:tc>
        <w:tc>
          <w:tcPr>
            <w:tcW w:w="723" w:type="dxa"/>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一级</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指标</w:t>
            </w:r>
          </w:p>
        </w:tc>
        <w:tc>
          <w:tcPr>
            <w:tcW w:w="759" w:type="dxa"/>
            <w:gridSpan w:val="2"/>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二级指标</w:t>
            </w:r>
          </w:p>
        </w:tc>
        <w:tc>
          <w:tcPr>
            <w:tcW w:w="2872" w:type="dxa"/>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三级指标</w:t>
            </w:r>
          </w:p>
        </w:tc>
        <w:tc>
          <w:tcPr>
            <w:tcW w:w="4228" w:type="dxa"/>
            <w:gridSpan w:val="2"/>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产出指标</w:t>
            </w: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数量指标</w:t>
            </w:r>
          </w:p>
        </w:tc>
        <w:tc>
          <w:tcPr>
            <w:tcW w:w="2872" w:type="dxa"/>
            <w:noWrap w:val="0"/>
            <w:vAlign w:val="center"/>
          </w:tcPr>
          <w:p>
            <w:pPr>
              <w:spacing w:line="260" w:lineRule="exact"/>
              <w:jc w:val="left"/>
              <w:textAlignment w:val="center"/>
              <w:rPr>
                <w:rFonts w:hint="eastAsia" w:ascii="宋体" w:eastAsia="宋体" w:cs="宋体"/>
                <w:sz w:val="18"/>
                <w:szCs w:val="18"/>
                <w:lang w:eastAsia="zh-CN"/>
              </w:rPr>
            </w:pPr>
            <w:r>
              <w:rPr>
                <w:rFonts w:hint="eastAsia" w:ascii="宋体" w:hAnsi="宋体" w:cs="宋体"/>
                <w:color w:val="000000"/>
                <w:kern w:val="0"/>
                <w:sz w:val="18"/>
                <w:szCs w:val="18"/>
                <w:lang w:bidi="ar"/>
              </w:rPr>
              <w:t>指标1：</w:t>
            </w:r>
            <w:r>
              <w:rPr>
                <w:rFonts w:hint="eastAsia" w:ascii="宋体" w:hAnsi="宋体" w:cs="宋体"/>
                <w:color w:val="000000"/>
                <w:kern w:val="0"/>
                <w:sz w:val="18"/>
                <w:szCs w:val="18"/>
                <w:lang w:eastAsia="zh-CN" w:bidi="ar"/>
              </w:rPr>
              <w:t>每周出车次数</w:t>
            </w:r>
          </w:p>
        </w:tc>
        <w:tc>
          <w:tcPr>
            <w:tcW w:w="4228" w:type="dxa"/>
            <w:gridSpan w:val="2"/>
            <w:noWrap w:val="0"/>
            <w:vAlign w:val="center"/>
          </w:tcPr>
          <w:p>
            <w:pPr>
              <w:spacing w:line="260" w:lineRule="exact"/>
              <w:jc w:val="center"/>
              <w:rPr>
                <w:rFonts w:hint="default" w:ascii="宋体" w:eastAsia="宋体" w:cs="宋体"/>
                <w:sz w:val="18"/>
                <w:szCs w:val="18"/>
                <w:lang w:val="en-US" w:eastAsia="zh-CN"/>
              </w:rPr>
            </w:pPr>
            <w:r>
              <w:rPr>
                <w:rFonts w:hint="eastAsia" w:ascii="宋体" w:cs="宋体"/>
                <w:sz w:val="18"/>
                <w:szCs w:val="18"/>
                <w:lang w:eastAsia="zh-CN"/>
              </w:rPr>
              <w:t>≥</w:t>
            </w:r>
            <w:r>
              <w:rPr>
                <w:rFonts w:hint="eastAsia" w:ascii="宋体" w:cs="宋体"/>
                <w:sz w:val="18"/>
                <w:szCs w:val="18"/>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vMerge w:val="continu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hint="default" w:ascii="宋体" w:eastAsia="宋体" w:cs="宋体"/>
                <w:sz w:val="18"/>
                <w:szCs w:val="18"/>
                <w:lang w:val="en-US" w:eastAsia="zh-CN"/>
              </w:rPr>
            </w:pPr>
            <w:r>
              <w:rPr>
                <w:rFonts w:hint="eastAsia" w:ascii="宋体" w:cs="宋体"/>
                <w:sz w:val="18"/>
                <w:szCs w:val="18"/>
                <w:lang w:eastAsia="zh-CN"/>
              </w:rPr>
              <w:t>指标</w:t>
            </w:r>
            <w:r>
              <w:rPr>
                <w:rFonts w:hint="eastAsia" w:ascii="宋体" w:cs="宋体"/>
                <w:sz w:val="18"/>
                <w:szCs w:val="18"/>
                <w:lang w:val="en-US" w:eastAsia="zh-CN"/>
              </w:rPr>
              <w:t>2：每天车辆保洁次数</w:t>
            </w:r>
          </w:p>
        </w:tc>
        <w:tc>
          <w:tcPr>
            <w:tcW w:w="4228" w:type="dxa"/>
            <w:gridSpan w:val="2"/>
            <w:noWrap w:val="0"/>
            <w:vAlign w:val="center"/>
          </w:tcPr>
          <w:p>
            <w:pPr>
              <w:spacing w:line="260" w:lineRule="exact"/>
              <w:jc w:val="center"/>
              <w:rPr>
                <w:rFonts w:hint="eastAsia" w:ascii="宋体" w:eastAsia="宋体" w:cs="宋体"/>
                <w:sz w:val="18"/>
                <w:szCs w:val="18"/>
                <w:lang w:val="en-US" w:eastAsia="zh-CN"/>
              </w:rPr>
            </w:pPr>
            <w:r>
              <w:rPr>
                <w:rFonts w:hint="eastAsia" w:ascii="宋体" w:cs="宋体"/>
                <w:sz w:val="18"/>
                <w:szCs w:val="18"/>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质量指标</w:t>
            </w:r>
          </w:p>
        </w:tc>
        <w:tc>
          <w:tcPr>
            <w:tcW w:w="2872" w:type="dxa"/>
            <w:noWrap w:val="0"/>
            <w:vAlign w:val="center"/>
          </w:tcPr>
          <w:p>
            <w:pPr>
              <w:spacing w:line="260" w:lineRule="exact"/>
              <w:jc w:val="left"/>
              <w:textAlignment w:val="center"/>
              <w:rPr>
                <w:rFonts w:hint="eastAsia" w:ascii="宋体" w:eastAsia="宋体" w:cs="宋体"/>
                <w:sz w:val="18"/>
                <w:szCs w:val="18"/>
                <w:lang w:eastAsia="zh-CN"/>
              </w:rPr>
            </w:pPr>
            <w:r>
              <w:rPr>
                <w:rFonts w:hint="eastAsia" w:ascii="宋体" w:hAnsi="宋体" w:cs="宋体"/>
                <w:color w:val="000000"/>
                <w:kern w:val="0"/>
                <w:sz w:val="18"/>
                <w:szCs w:val="18"/>
                <w:lang w:bidi="ar"/>
              </w:rPr>
              <w:t>指标1：</w:t>
            </w:r>
            <w:r>
              <w:rPr>
                <w:rFonts w:hint="eastAsia" w:ascii="宋体" w:hAnsi="宋体" w:cs="宋体"/>
                <w:color w:val="000000"/>
                <w:kern w:val="0"/>
                <w:sz w:val="18"/>
                <w:szCs w:val="18"/>
                <w:lang w:eastAsia="zh-CN" w:bidi="ar"/>
              </w:rPr>
              <w:t>每年违章次数</w:t>
            </w:r>
          </w:p>
        </w:tc>
        <w:tc>
          <w:tcPr>
            <w:tcW w:w="4228" w:type="dxa"/>
            <w:gridSpan w:val="2"/>
            <w:noWrap w:val="0"/>
            <w:vAlign w:val="center"/>
          </w:tcPr>
          <w:p>
            <w:pPr>
              <w:spacing w:line="260" w:lineRule="exact"/>
              <w:jc w:val="center"/>
              <w:rPr>
                <w:rFonts w:ascii="宋体" w:cs="宋体"/>
                <w:sz w:val="18"/>
                <w:szCs w:val="18"/>
              </w:rPr>
            </w:pPr>
            <w:r>
              <w:rPr>
                <w:rFonts w:hint="eastAsia" w:ascii="宋体" w:cs="宋体"/>
                <w:sz w:val="18"/>
                <w:szCs w:val="18"/>
                <w:lang w:eastAsia="zh-CN"/>
              </w:rPr>
              <w:t>≤</w:t>
            </w:r>
            <w:r>
              <w:rPr>
                <w:rFonts w:hint="eastAsia" w:ascii="宋体" w:cs="宋体"/>
                <w:sz w:val="18"/>
                <w:szCs w:val="18"/>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vMerge w:val="continu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hint="default" w:ascii="宋体" w:eastAsia="宋体" w:cs="宋体"/>
                <w:sz w:val="18"/>
                <w:szCs w:val="18"/>
                <w:lang w:val="en-US" w:eastAsia="zh-CN"/>
              </w:rPr>
            </w:pPr>
            <w:r>
              <w:rPr>
                <w:rFonts w:hint="eastAsia" w:ascii="宋体" w:cs="宋体"/>
                <w:sz w:val="18"/>
                <w:szCs w:val="18"/>
                <w:lang w:eastAsia="zh-CN"/>
              </w:rPr>
              <w:t>指标</w:t>
            </w:r>
            <w:r>
              <w:rPr>
                <w:rFonts w:hint="eastAsia" w:ascii="宋体" w:cs="宋体"/>
                <w:sz w:val="18"/>
                <w:szCs w:val="18"/>
                <w:lang w:val="en-US" w:eastAsia="zh-CN"/>
              </w:rPr>
              <w:t>2：年事故次数</w:t>
            </w:r>
          </w:p>
        </w:tc>
        <w:tc>
          <w:tcPr>
            <w:tcW w:w="4228" w:type="dxa"/>
            <w:gridSpan w:val="2"/>
            <w:noWrap w:val="0"/>
            <w:vAlign w:val="center"/>
          </w:tcPr>
          <w:p>
            <w:pPr>
              <w:spacing w:line="260" w:lineRule="exact"/>
              <w:jc w:val="center"/>
              <w:rPr>
                <w:rFonts w:hint="default" w:ascii="宋体" w:eastAsia="宋体" w:cs="宋体"/>
                <w:sz w:val="18"/>
                <w:szCs w:val="18"/>
                <w:lang w:val="en-US" w:eastAsia="zh-CN"/>
              </w:rPr>
            </w:pPr>
            <w:r>
              <w:rPr>
                <w:rFonts w:hint="eastAsia" w:ascii="宋体" w:cs="宋体"/>
                <w:sz w:val="18"/>
                <w:szCs w:val="18"/>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时效指标</w:t>
            </w:r>
          </w:p>
        </w:tc>
        <w:tc>
          <w:tcPr>
            <w:tcW w:w="2872" w:type="dxa"/>
            <w:noWrap w:val="0"/>
            <w:vAlign w:val="center"/>
          </w:tcPr>
          <w:p>
            <w:pPr>
              <w:spacing w:line="260" w:lineRule="exact"/>
              <w:jc w:val="left"/>
              <w:textAlignment w:val="center"/>
              <w:rPr>
                <w:rFonts w:hint="eastAsia" w:ascii="宋体" w:eastAsia="宋体" w:cs="宋体"/>
                <w:sz w:val="18"/>
                <w:szCs w:val="18"/>
                <w:lang w:eastAsia="zh-CN"/>
              </w:rPr>
            </w:pPr>
            <w:r>
              <w:rPr>
                <w:rFonts w:hint="eastAsia" w:ascii="宋体" w:hAnsi="宋体" w:cs="宋体"/>
                <w:color w:val="000000"/>
                <w:kern w:val="0"/>
                <w:sz w:val="18"/>
                <w:szCs w:val="18"/>
                <w:lang w:bidi="ar"/>
              </w:rPr>
              <w:t>指标1：</w:t>
            </w:r>
            <w:r>
              <w:rPr>
                <w:rFonts w:hint="eastAsia" w:ascii="宋体" w:hAnsi="宋体" w:cs="宋体"/>
                <w:color w:val="000000"/>
                <w:kern w:val="0"/>
                <w:sz w:val="18"/>
                <w:szCs w:val="18"/>
                <w:lang w:eastAsia="zh-CN" w:bidi="ar"/>
              </w:rPr>
              <w:t>完成月数</w:t>
            </w:r>
          </w:p>
        </w:tc>
        <w:tc>
          <w:tcPr>
            <w:tcW w:w="4228" w:type="dxa"/>
            <w:gridSpan w:val="2"/>
            <w:noWrap w:val="0"/>
            <w:vAlign w:val="center"/>
          </w:tcPr>
          <w:p>
            <w:pPr>
              <w:spacing w:line="260" w:lineRule="exact"/>
              <w:jc w:val="center"/>
              <w:rPr>
                <w:rFonts w:hint="default" w:ascii="宋体" w:eastAsia="宋体" w:cs="宋体"/>
                <w:sz w:val="18"/>
                <w:szCs w:val="18"/>
                <w:lang w:val="en-US" w:eastAsia="zh-CN"/>
              </w:rPr>
            </w:pPr>
            <w:r>
              <w:rPr>
                <w:rFonts w:hint="eastAsia" w:ascii="宋体" w:cs="宋体"/>
                <w:sz w:val="18"/>
                <w:szCs w:val="18"/>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vMerge w:val="continu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r>
              <w:rPr>
                <w:rFonts w:ascii="汉仪中秀体简" w:hAnsi="汉仪中秀体简" w:eastAsia="汉仪中秀体简" w:cs="汉仪中秀体简"/>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成本指标</w:t>
            </w:r>
          </w:p>
        </w:tc>
        <w:tc>
          <w:tcPr>
            <w:tcW w:w="2872" w:type="dxa"/>
            <w:noWrap w:val="0"/>
            <w:vAlign w:val="center"/>
          </w:tcPr>
          <w:p>
            <w:pPr>
              <w:spacing w:line="260" w:lineRule="exact"/>
              <w:jc w:val="left"/>
              <w:textAlignment w:val="center"/>
              <w:rPr>
                <w:rFonts w:hint="eastAsia" w:ascii="宋体" w:eastAsia="宋体" w:cs="宋体"/>
                <w:sz w:val="18"/>
                <w:szCs w:val="18"/>
                <w:lang w:eastAsia="zh-CN"/>
              </w:rPr>
            </w:pPr>
            <w:r>
              <w:rPr>
                <w:rFonts w:hint="eastAsia" w:ascii="宋体" w:hAnsi="宋体" w:cs="宋体"/>
                <w:color w:val="000000"/>
                <w:kern w:val="0"/>
                <w:sz w:val="18"/>
                <w:szCs w:val="18"/>
                <w:lang w:bidi="ar"/>
              </w:rPr>
              <w:t>指标1：</w:t>
            </w:r>
            <w:r>
              <w:rPr>
                <w:rFonts w:hint="eastAsia" w:ascii="宋体" w:hAnsi="宋体" w:cs="宋体"/>
                <w:color w:val="000000"/>
                <w:kern w:val="0"/>
                <w:sz w:val="18"/>
                <w:szCs w:val="18"/>
                <w:lang w:eastAsia="zh-CN" w:bidi="ar"/>
              </w:rPr>
              <w:t>月工资</w:t>
            </w:r>
          </w:p>
        </w:tc>
        <w:tc>
          <w:tcPr>
            <w:tcW w:w="4228" w:type="dxa"/>
            <w:gridSpan w:val="2"/>
            <w:noWrap w:val="0"/>
            <w:vAlign w:val="center"/>
          </w:tcPr>
          <w:p>
            <w:pPr>
              <w:spacing w:line="260" w:lineRule="exact"/>
              <w:jc w:val="center"/>
              <w:rPr>
                <w:rFonts w:hint="default" w:ascii="宋体" w:eastAsia="宋体" w:cs="宋体"/>
                <w:sz w:val="18"/>
                <w:szCs w:val="18"/>
                <w:lang w:val="en-US" w:eastAsia="zh-CN"/>
              </w:rPr>
            </w:pPr>
            <w:r>
              <w:rPr>
                <w:rFonts w:hint="eastAsia" w:ascii="宋体" w:cs="宋体"/>
                <w:sz w:val="18"/>
                <w:szCs w:val="18"/>
                <w:lang w:val="en-US" w:eastAsia="zh-CN"/>
              </w:rPr>
              <w:t>1100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vMerge w:val="continu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r>
              <w:rPr>
                <w:rFonts w:ascii="汉仪中秀体简" w:hAnsi="汉仪中秀体简" w:eastAsia="汉仪中秀体简" w:cs="汉仪中秀体简"/>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w:t>
            </w:r>
          </w:p>
        </w:tc>
        <w:tc>
          <w:tcPr>
            <w:tcW w:w="2872" w:type="dxa"/>
            <w:noWrap w:val="0"/>
            <w:vAlign w:val="center"/>
          </w:tcPr>
          <w:p>
            <w:pPr>
              <w:spacing w:line="260" w:lineRule="exact"/>
              <w:jc w:val="left"/>
              <w:rPr>
                <w:rFonts w:ascii="宋体" w:cs="宋体"/>
                <w:sz w:val="18"/>
                <w:szCs w:val="18"/>
              </w:rPr>
            </w:pPr>
          </w:p>
        </w:tc>
        <w:tc>
          <w:tcPr>
            <w:tcW w:w="4228" w:type="dxa"/>
            <w:gridSpan w:val="2"/>
            <w:noWrap w:val="0"/>
            <w:vAlign w:val="center"/>
          </w:tcPr>
          <w:p>
            <w:pPr>
              <w:spacing w:line="260" w:lineRule="exact"/>
              <w:jc w:val="center"/>
              <w:rPr>
                <w:rFonts w:asci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效益指标</w:t>
            </w: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经济效益指标</w:t>
            </w:r>
          </w:p>
        </w:tc>
        <w:tc>
          <w:tcPr>
            <w:tcW w:w="2872" w:type="dxa"/>
            <w:noWrap w:val="0"/>
            <w:vAlign w:val="center"/>
          </w:tcPr>
          <w:p>
            <w:pPr>
              <w:spacing w:line="260" w:lineRule="exact"/>
              <w:jc w:val="left"/>
              <w:textAlignment w:val="center"/>
              <w:rPr>
                <w:rFonts w:ascii="宋体" w:cs="宋体"/>
                <w:sz w:val="18"/>
                <w:szCs w:val="18"/>
              </w:rPr>
            </w:pPr>
            <w:r>
              <w:rPr>
                <w:rFonts w:hint="eastAsia" w:ascii="宋体" w:hAnsi="宋体" w:cs="宋体"/>
                <w:color w:val="000000"/>
                <w:kern w:val="0"/>
                <w:sz w:val="18"/>
                <w:szCs w:val="18"/>
                <w:lang w:bidi="ar"/>
              </w:rPr>
              <w:t>指标1：</w:t>
            </w:r>
          </w:p>
        </w:tc>
        <w:tc>
          <w:tcPr>
            <w:tcW w:w="4228" w:type="dxa"/>
            <w:gridSpan w:val="2"/>
            <w:noWrap w:val="0"/>
            <w:vAlign w:val="center"/>
          </w:tcPr>
          <w:p>
            <w:pPr>
              <w:spacing w:line="260" w:lineRule="exact"/>
              <w:jc w:val="center"/>
              <w:rPr>
                <w:rFonts w:hint="eastAsia" w:ascii="宋体" w:eastAsia="宋体" w:cs="宋体"/>
                <w:sz w:val="18"/>
                <w:szCs w:val="18"/>
                <w:lang w:eastAsia="zh-CN"/>
              </w:rPr>
            </w:pPr>
            <w:r>
              <w:rPr>
                <w:rFonts w:hint="eastAsia" w:ascii="宋体" w:cs="宋体"/>
                <w:sz w:val="18"/>
                <w:szCs w:val="18"/>
                <w:lang w:eastAsia="zh-CN"/>
              </w:rPr>
              <w:t>经济指标不适用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vMerge w:val="continu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r>
              <w:rPr>
                <w:rFonts w:ascii="汉仪中秀体简" w:hAnsi="汉仪中秀体简" w:eastAsia="汉仪中秀体简" w:cs="汉仪中秀体简"/>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社会效益指标</w:t>
            </w:r>
          </w:p>
        </w:tc>
        <w:tc>
          <w:tcPr>
            <w:tcW w:w="2872" w:type="dxa"/>
            <w:noWrap w:val="0"/>
            <w:vAlign w:val="center"/>
          </w:tcPr>
          <w:p>
            <w:pPr>
              <w:spacing w:line="260" w:lineRule="exact"/>
              <w:jc w:val="left"/>
              <w:textAlignment w:val="center"/>
              <w:rPr>
                <w:rFonts w:ascii="宋体" w:cs="宋体"/>
                <w:sz w:val="18"/>
                <w:szCs w:val="18"/>
              </w:rPr>
            </w:pPr>
            <w:r>
              <w:rPr>
                <w:rFonts w:hint="eastAsia" w:ascii="宋体" w:hAnsi="宋体" w:cs="宋体"/>
                <w:color w:val="000000"/>
                <w:kern w:val="0"/>
                <w:sz w:val="18"/>
                <w:szCs w:val="18"/>
                <w:lang w:bidi="ar"/>
              </w:rPr>
              <w:t>指标1：</w:t>
            </w:r>
          </w:p>
        </w:tc>
        <w:tc>
          <w:tcPr>
            <w:tcW w:w="4228" w:type="dxa"/>
            <w:gridSpan w:val="2"/>
            <w:noWrap w:val="0"/>
            <w:vAlign w:val="center"/>
          </w:tcPr>
          <w:p>
            <w:pPr>
              <w:spacing w:line="260" w:lineRule="exact"/>
              <w:jc w:val="center"/>
              <w:rPr>
                <w:rFonts w:hint="eastAsia" w:ascii="宋体" w:eastAsia="宋体" w:cs="宋体"/>
                <w:sz w:val="18"/>
                <w:szCs w:val="18"/>
                <w:lang w:eastAsia="zh-CN"/>
              </w:rPr>
            </w:pPr>
            <w:r>
              <w:rPr>
                <w:rFonts w:hint="eastAsia" w:ascii="宋体" w:cs="宋体"/>
                <w:sz w:val="18"/>
                <w:szCs w:val="18"/>
                <w:lang w:eastAsia="zh-CN"/>
              </w:rPr>
              <w:t>社会效益指标不适用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vMerge w:val="continu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r>
              <w:rPr>
                <w:rFonts w:ascii="汉仪中秀体简" w:hAnsi="汉仪中秀体简" w:eastAsia="汉仪中秀体简" w:cs="汉仪中秀体简"/>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生态效益指标</w:t>
            </w:r>
          </w:p>
        </w:tc>
        <w:tc>
          <w:tcPr>
            <w:tcW w:w="2872" w:type="dxa"/>
            <w:noWrap w:val="0"/>
            <w:vAlign w:val="center"/>
          </w:tcPr>
          <w:p>
            <w:pPr>
              <w:spacing w:line="260" w:lineRule="exact"/>
              <w:jc w:val="left"/>
              <w:textAlignment w:val="center"/>
              <w:rPr>
                <w:rFonts w:ascii="宋体" w:cs="宋体"/>
                <w:sz w:val="18"/>
                <w:szCs w:val="18"/>
              </w:rPr>
            </w:pPr>
            <w:r>
              <w:rPr>
                <w:rFonts w:hint="eastAsia" w:ascii="宋体" w:hAnsi="宋体" w:cs="宋体"/>
                <w:color w:val="000000"/>
                <w:kern w:val="0"/>
                <w:sz w:val="18"/>
                <w:szCs w:val="18"/>
                <w:lang w:bidi="ar"/>
              </w:rPr>
              <w:t>指标1：</w:t>
            </w:r>
          </w:p>
        </w:tc>
        <w:tc>
          <w:tcPr>
            <w:tcW w:w="4228" w:type="dxa"/>
            <w:gridSpan w:val="2"/>
            <w:noWrap w:val="0"/>
            <w:vAlign w:val="center"/>
          </w:tcPr>
          <w:p>
            <w:pPr>
              <w:spacing w:line="260" w:lineRule="exact"/>
              <w:jc w:val="center"/>
              <w:rPr>
                <w:rFonts w:hint="eastAsia" w:ascii="宋体" w:eastAsia="宋体" w:cs="宋体"/>
                <w:sz w:val="18"/>
                <w:szCs w:val="18"/>
                <w:lang w:eastAsia="zh-CN"/>
              </w:rPr>
            </w:pPr>
            <w:r>
              <w:rPr>
                <w:rFonts w:hint="eastAsia" w:ascii="宋体" w:cs="宋体"/>
                <w:sz w:val="18"/>
                <w:szCs w:val="18"/>
                <w:lang w:eastAsia="zh-CN"/>
              </w:rPr>
              <w:t>生态效益指标不适用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vMerge w:val="continu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hint="eastAsia" w:ascii="汉仪中秀体简" w:hAnsi="汉仪中秀体简" w:eastAsia="汉仪中秀体简" w:cs="汉仪中秀体简"/>
                <w:color w:val="000000"/>
                <w:kern w:val="0"/>
                <w:sz w:val="18"/>
                <w:szCs w:val="18"/>
                <w:lang w:bidi="ar"/>
              </w:rPr>
            </w:pPr>
            <w:r>
              <w:rPr>
                <w:rFonts w:ascii="汉仪中秀体简" w:hAnsi="汉仪中秀体简" w:eastAsia="汉仪中秀体简" w:cs="汉仪中秀体简"/>
                <w:color w:val="000000"/>
                <w:kern w:val="0"/>
                <w:sz w:val="18"/>
                <w:szCs w:val="18"/>
                <w:lang w:bidi="ar"/>
              </w:rPr>
              <w:t>…</w:t>
            </w:r>
          </w:p>
        </w:tc>
        <w:tc>
          <w:tcPr>
            <w:tcW w:w="4228" w:type="dxa"/>
            <w:gridSpan w:val="2"/>
            <w:noWrap w:val="0"/>
            <w:vAlign w:val="center"/>
          </w:tcPr>
          <w:p>
            <w:pPr>
              <w:spacing w:line="260" w:lineRule="exact"/>
              <w:jc w:val="left"/>
              <w:textAlignment w:val="center"/>
              <w:rPr>
                <w:rFonts w:ascii="汉仪中秀体简" w:hAnsi="汉仪中秀体简" w:eastAsia="汉仪中秀体简" w:cs="汉仪中秀体简"/>
                <w:color w:val="000000"/>
                <w:kern w:val="0"/>
                <w:sz w:val="18"/>
                <w:szCs w:val="1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rPr>
                <w:rFonts w:hint="eastAsia" w:ascii="宋体" w:hAnsi="宋体" w:cs="宋体"/>
                <w:sz w:val="18"/>
                <w:szCs w:val="18"/>
              </w:rPr>
            </w:pPr>
            <w:r>
              <w:rPr>
                <w:rFonts w:hint="eastAsia" w:ascii="宋体" w:hAnsi="宋体" w:cs="宋体"/>
                <w:sz w:val="18"/>
                <w:szCs w:val="18"/>
              </w:rPr>
              <w:t>可持续影响指标</w:t>
            </w:r>
          </w:p>
        </w:tc>
        <w:tc>
          <w:tcPr>
            <w:tcW w:w="2872" w:type="dxa"/>
            <w:noWrap w:val="0"/>
            <w:vAlign w:val="center"/>
          </w:tcPr>
          <w:p>
            <w:pPr>
              <w:spacing w:line="260" w:lineRule="exact"/>
              <w:jc w:val="left"/>
              <w:textAlignment w:val="center"/>
              <w:rPr>
                <w:rFonts w:hint="eastAsia" w:ascii="宋体" w:hAnsi="宋体" w:cs="宋体"/>
                <w:sz w:val="18"/>
                <w:szCs w:val="18"/>
              </w:rPr>
            </w:pPr>
            <w:r>
              <w:rPr>
                <w:rFonts w:hint="eastAsia" w:ascii="宋体" w:hAnsi="宋体" w:cs="宋体"/>
                <w:color w:val="000000"/>
                <w:kern w:val="0"/>
                <w:sz w:val="18"/>
                <w:szCs w:val="18"/>
                <w:lang w:bidi="ar"/>
              </w:rPr>
              <w:t>指标1：</w:t>
            </w:r>
          </w:p>
        </w:tc>
        <w:tc>
          <w:tcPr>
            <w:tcW w:w="4228" w:type="dxa"/>
            <w:gridSpan w:val="2"/>
            <w:noWrap w:val="0"/>
            <w:vAlign w:val="center"/>
          </w:tcPr>
          <w:p>
            <w:pPr>
              <w:spacing w:line="260" w:lineRule="exact"/>
              <w:jc w:val="center"/>
              <w:rPr>
                <w:rFonts w:hint="eastAsia" w:ascii="宋体" w:eastAsia="宋体" w:cs="宋体"/>
                <w:sz w:val="18"/>
                <w:szCs w:val="18"/>
                <w:lang w:eastAsia="zh-CN"/>
              </w:rPr>
            </w:pPr>
            <w:r>
              <w:rPr>
                <w:rFonts w:hint="eastAsia" w:ascii="宋体" w:cs="宋体"/>
                <w:sz w:val="18"/>
                <w:szCs w:val="18"/>
                <w:lang w:eastAsia="zh-CN"/>
              </w:rPr>
              <w:t>可持续影响指标不适用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vMerge w:val="continue"/>
            <w:noWrap w:val="0"/>
            <w:vAlign w:val="center"/>
          </w:tcPr>
          <w:p>
            <w:pPr>
              <w:spacing w:line="260" w:lineRule="exact"/>
              <w:jc w:val="center"/>
              <w:rPr>
                <w:rFonts w:hint="eastAsia" w:ascii="宋体" w:hAnsi="宋体" w:cs="宋体"/>
                <w:sz w:val="18"/>
                <w:szCs w:val="18"/>
              </w:rPr>
            </w:pPr>
          </w:p>
        </w:tc>
        <w:tc>
          <w:tcPr>
            <w:tcW w:w="2872" w:type="dxa"/>
            <w:noWrap w:val="0"/>
            <w:vAlign w:val="center"/>
          </w:tcPr>
          <w:p>
            <w:pPr>
              <w:spacing w:line="260" w:lineRule="exact"/>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noWrap w:val="0"/>
            <w:vAlign w:val="center"/>
          </w:tcPr>
          <w:p>
            <w:pPr>
              <w:spacing w:line="260" w:lineRule="exact"/>
              <w:jc w:val="center"/>
              <w:rPr>
                <w:rFonts w:hint="eastAsia" w:ascii="宋体" w:hAnsi="宋体" w:cs="宋体"/>
                <w:sz w:val="18"/>
                <w:szCs w:val="18"/>
              </w:rPr>
            </w:pPr>
            <w:r>
              <w:rPr>
                <w:rFonts w:hint="eastAsia" w:ascii="宋体" w:hAnsi="宋体" w:cs="宋体"/>
                <w:color w:val="000000"/>
                <w:kern w:val="0"/>
                <w:sz w:val="18"/>
                <w:szCs w:val="18"/>
                <w:lang w:bidi="ar"/>
              </w:rPr>
              <w:t>…</w:t>
            </w:r>
          </w:p>
        </w:tc>
        <w:tc>
          <w:tcPr>
            <w:tcW w:w="2872" w:type="dxa"/>
            <w:noWrap w:val="0"/>
            <w:vAlign w:val="center"/>
          </w:tcPr>
          <w:p>
            <w:pPr>
              <w:spacing w:line="260" w:lineRule="exact"/>
              <w:jc w:val="left"/>
              <w:textAlignment w:val="center"/>
              <w:rPr>
                <w:rFonts w:hint="eastAsia" w:ascii="宋体" w:hAnsi="宋体" w:cs="宋体"/>
                <w:color w:val="000000"/>
                <w:kern w:val="0"/>
                <w:sz w:val="18"/>
                <w:szCs w:val="18"/>
                <w:lang w:bidi="ar"/>
              </w:rPr>
            </w:pPr>
          </w:p>
        </w:tc>
        <w:tc>
          <w:tcPr>
            <w:tcW w:w="4228" w:type="dxa"/>
            <w:gridSpan w:val="2"/>
            <w:noWrap w:val="0"/>
            <w:vAlign w:val="center"/>
          </w:tcPr>
          <w:p>
            <w:pPr>
              <w:spacing w:line="260" w:lineRule="exact"/>
              <w:jc w:val="center"/>
              <w:rPr>
                <w:rFonts w:asci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rPr>
                <w:rFonts w:hint="eastAsia" w:ascii="宋体" w:hAnsi="宋体" w:cs="宋体"/>
                <w:sz w:val="18"/>
                <w:szCs w:val="18"/>
              </w:rPr>
            </w:pPr>
            <w:r>
              <w:rPr>
                <w:rFonts w:hint="eastAsia" w:ascii="宋体" w:hAnsi="宋体" w:cs="宋体"/>
                <w:sz w:val="18"/>
                <w:szCs w:val="18"/>
              </w:rPr>
              <w:t>满意度指标</w:t>
            </w:r>
          </w:p>
        </w:tc>
        <w:tc>
          <w:tcPr>
            <w:tcW w:w="759" w:type="dxa"/>
            <w:gridSpan w:val="2"/>
            <w:vMerge w:val="restart"/>
            <w:noWrap w:val="0"/>
            <w:vAlign w:val="center"/>
          </w:tcPr>
          <w:p>
            <w:pPr>
              <w:spacing w:line="260" w:lineRule="exact"/>
              <w:jc w:val="center"/>
              <w:rPr>
                <w:rFonts w:hint="eastAsia" w:ascii="宋体" w:hAnsi="宋体" w:cs="宋体"/>
                <w:sz w:val="18"/>
                <w:szCs w:val="18"/>
              </w:rPr>
            </w:pPr>
            <w:r>
              <w:rPr>
                <w:rFonts w:hint="eastAsia" w:ascii="宋体" w:hAnsi="宋体" w:cs="宋体"/>
                <w:sz w:val="18"/>
                <w:szCs w:val="18"/>
              </w:rPr>
              <w:t>满意度指标</w:t>
            </w:r>
          </w:p>
        </w:tc>
        <w:tc>
          <w:tcPr>
            <w:tcW w:w="2872" w:type="dxa"/>
            <w:noWrap w:val="0"/>
            <w:vAlign w:val="center"/>
          </w:tcPr>
          <w:p>
            <w:pPr>
              <w:spacing w:line="260" w:lineRule="exact"/>
              <w:jc w:val="left"/>
              <w:textAlignment w:val="center"/>
              <w:rPr>
                <w:rFonts w:hint="eastAsia" w:ascii="宋体" w:hAnsi="宋体" w:eastAsia="宋体" w:cs="宋体"/>
                <w:sz w:val="18"/>
                <w:szCs w:val="18"/>
                <w:lang w:eastAsia="zh-CN"/>
              </w:rPr>
            </w:pPr>
            <w:r>
              <w:rPr>
                <w:rFonts w:hint="eastAsia" w:ascii="宋体" w:hAnsi="宋体" w:cs="宋体"/>
                <w:color w:val="000000"/>
                <w:kern w:val="0"/>
                <w:sz w:val="18"/>
                <w:szCs w:val="18"/>
                <w:lang w:bidi="ar"/>
              </w:rPr>
              <w:t>指标1：</w:t>
            </w:r>
            <w:r>
              <w:rPr>
                <w:rFonts w:hint="eastAsia" w:ascii="宋体" w:hAnsi="宋体" w:cs="宋体"/>
                <w:color w:val="000000"/>
                <w:kern w:val="0"/>
                <w:sz w:val="18"/>
                <w:szCs w:val="18"/>
                <w:lang w:eastAsia="zh-CN" w:bidi="ar"/>
              </w:rPr>
              <w:t>职工满意度</w:t>
            </w:r>
          </w:p>
        </w:tc>
        <w:tc>
          <w:tcPr>
            <w:tcW w:w="4228" w:type="dxa"/>
            <w:gridSpan w:val="2"/>
            <w:noWrap w:val="0"/>
            <w:vAlign w:val="center"/>
          </w:tcPr>
          <w:p>
            <w:pPr>
              <w:spacing w:line="260" w:lineRule="exact"/>
              <w:jc w:val="center"/>
              <w:rPr>
                <w:rFonts w:hint="default" w:ascii="宋体" w:eastAsia="宋体" w:cs="宋体"/>
                <w:sz w:val="18"/>
                <w:szCs w:val="18"/>
                <w:lang w:val="en-US" w:eastAsia="zh-CN"/>
              </w:rPr>
            </w:pPr>
            <w:r>
              <w:rPr>
                <w:rFonts w:hint="eastAsia" w:ascii="宋体" w:cs="宋体"/>
                <w:sz w:val="18"/>
                <w:szCs w:val="18"/>
                <w:lang w:eastAsia="zh-CN"/>
              </w:rPr>
              <w:t>≥</w:t>
            </w:r>
            <w:r>
              <w:rPr>
                <w:rFonts w:hint="eastAsia" w:ascii="宋体" w:cs="宋体"/>
                <w:sz w:val="18"/>
                <w:szCs w:val="18"/>
                <w:lang w:val="en-US" w:eastAsia="zh-CN"/>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hint="eastAsia" w:ascii="宋体" w:hAnsi="宋体" w:cs="宋体"/>
                <w:sz w:val="18"/>
                <w:szCs w:val="18"/>
              </w:rPr>
            </w:pPr>
          </w:p>
        </w:tc>
        <w:tc>
          <w:tcPr>
            <w:tcW w:w="759" w:type="dxa"/>
            <w:gridSpan w:val="2"/>
            <w:vMerge w:val="continue"/>
            <w:noWrap w:val="0"/>
            <w:vAlign w:val="center"/>
          </w:tcPr>
          <w:p>
            <w:pPr>
              <w:spacing w:line="260" w:lineRule="exact"/>
              <w:jc w:val="center"/>
              <w:rPr>
                <w:rFonts w:hint="eastAsia" w:ascii="宋体" w:hAnsi="宋体" w:cs="宋体"/>
                <w:sz w:val="18"/>
                <w:szCs w:val="18"/>
              </w:rPr>
            </w:pPr>
          </w:p>
        </w:tc>
        <w:tc>
          <w:tcPr>
            <w:tcW w:w="2872" w:type="dxa"/>
            <w:noWrap w:val="0"/>
            <w:vAlign w:val="center"/>
          </w:tcPr>
          <w:p>
            <w:pPr>
              <w:spacing w:line="260" w:lineRule="exact"/>
              <w:jc w:val="left"/>
              <w:textAlignment w:val="center"/>
              <w:rPr>
                <w:rFonts w:hint="eastAsia" w:ascii="宋体" w:hAnsi="宋体" w:cs="宋体"/>
                <w:sz w:val="18"/>
                <w:szCs w:val="18"/>
              </w:rPr>
            </w:pPr>
            <w:r>
              <w:rPr>
                <w:rFonts w:hint="eastAsia" w:ascii="宋体" w:hAnsi="宋体" w:cs="宋体"/>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bl>
    <w:p>
      <w:pPr>
        <w:topLinePunct/>
        <w:adjustRightInd w:val="0"/>
        <w:snapToGrid w:val="0"/>
        <w:spacing w:line="560" w:lineRule="exact"/>
        <w:ind w:firstLine="643" w:firstLineChars="200"/>
        <w:rPr>
          <w:rFonts w:hint="eastAsia" w:ascii="仿宋_GB2312" w:hAnsi="楷体" w:eastAsia="仿宋_GB2312"/>
          <w:b/>
          <w:sz w:val="32"/>
          <w:szCs w:val="32"/>
        </w:rPr>
      </w:pPr>
      <w:r>
        <w:rPr>
          <w:rFonts w:hint="eastAsia" w:ascii="仿宋_GB2312" w:hAnsi="TimesNewRoman" w:eastAsia="仿宋_GB2312" w:cs="TimesNewRoman"/>
          <w:b/>
          <w:sz w:val="32"/>
          <w:szCs w:val="32"/>
        </w:rPr>
        <w:t>（二）机关运行经费。</w:t>
      </w:r>
    </w:p>
    <w:p>
      <w:pPr>
        <w:adjustRightInd w:val="0"/>
        <w:snapToGrid w:val="0"/>
        <w:spacing w:line="60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寿县</w:t>
      </w:r>
      <w:r>
        <w:rPr>
          <w:rFonts w:hint="eastAsia" w:ascii="仿宋_GB2312" w:hAnsi="仿宋" w:eastAsia="仿宋_GB2312"/>
          <w:sz w:val="32"/>
          <w:szCs w:val="32"/>
          <w:lang w:eastAsia="zh-CN"/>
        </w:rPr>
        <w:t>新桥北区</w:t>
      </w:r>
      <w:r>
        <w:rPr>
          <w:rFonts w:hint="eastAsia" w:ascii="仿宋_GB2312" w:hAnsi="仿宋" w:eastAsia="仿宋_GB2312"/>
          <w:sz w:val="32"/>
          <w:szCs w:val="32"/>
        </w:rPr>
        <w:t>2024年机关运行经费财政拨款预算</w:t>
      </w:r>
      <w:r>
        <w:rPr>
          <w:rFonts w:hint="eastAsia" w:ascii="仿宋_GB2312" w:hAnsi="仿宋" w:eastAsia="仿宋_GB2312"/>
          <w:sz w:val="32"/>
          <w:szCs w:val="32"/>
          <w:lang w:val="en-US" w:eastAsia="zh-CN"/>
        </w:rPr>
        <w:t>10.12</w:t>
      </w:r>
      <w:r>
        <w:rPr>
          <w:rFonts w:hint="eastAsia" w:ascii="仿宋_GB2312" w:hAnsi="仿宋" w:eastAsia="仿宋_GB2312"/>
          <w:sz w:val="32"/>
          <w:szCs w:val="32"/>
        </w:rPr>
        <w:t>万元，比2023年</w:t>
      </w:r>
      <w:r>
        <w:rPr>
          <w:rFonts w:hint="eastAsia" w:ascii="仿宋_GB2312" w:hAnsi="仿宋" w:eastAsia="仿宋_GB2312"/>
          <w:sz w:val="32"/>
          <w:szCs w:val="32"/>
          <w:lang w:eastAsia="zh-CN"/>
        </w:rPr>
        <w:t>减少</w:t>
      </w:r>
      <w:r>
        <w:rPr>
          <w:rFonts w:hint="eastAsia" w:ascii="仿宋_GB2312" w:hAnsi="仿宋" w:eastAsia="仿宋_GB2312"/>
          <w:sz w:val="32"/>
          <w:szCs w:val="32"/>
          <w:lang w:val="en-US" w:eastAsia="zh-CN"/>
        </w:rPr>
        <w:t>1.15</w:t>
      </w:r>
      <w:r>
        <w:rPr>
          <w:rFonts w:hint="eastAsia" w:ascii="仿宋_GB2312" w:hAnsi="仿宋" w:eastAsia="仿宋_GB2312"/>
          <w:sz w:val="32"/>
          <w:szCs w:val="32"/>
        </w:rPr>
        <w:t>万元，</w:t>
      </w:r>
      <w:r>
        <w:rPr>
          <w:rFonts w:hint="eastAsia" w:ascii="仿宋_GB2312" w:hAnsi="仿宋" w:eastAsia="仿宋_GB2312"/>
          <w:sz w:val="32"/>
          <w:szCs w:val="32"/>
          <w:lang w:eastAsia="zh-CN"/>
        </w:rPr>
        <w:t>下降</w:t>
      </w:r>
      <w:r>
        <w:rPr>
          <w:rFonts w:hint="eastAsia" w:ascii="仿宋_GB2312" w:hAnsi="仿宋" w:eastAsia="仿宋_GB2312"/>
          <w:sz w:val="32"/>
          <w:szCs w:val="32"/>
          <w:lang w:val="en-US" w:eastAsia="zh-CN"/>
        </w:rPr>
        <w:t>10.20</w:t>
      </w:r>
      <w:r>
        <w:rPr>
          <w:rFonts w:hint="eastAsia" w:ascii="仿宋_GB2312" w:hAnsi="仿宋" w:eastAsia="仿宋_GB2312"/>
          <w:sz w:val="32"/>
          <w:szCs w:val="32"/>
        </w:rPr>
        <w:t>%，</w:t>
      </w:r>
      <w:r>
        <w:rPr>
          <w:rFonts w:hint="eastAsia" w:ascii="仿宋_GB2312" w:hAnsi="仿宋" w:eastAsia="仿宋_GB2312"/>
          <w:sz w:val="32"/>
          <w:szCs w:val="32"/>
          <w:lang w:eastAsia="zh-CN"/>
        </w:rPr>
        <w:t>下降</w:t>
      </w:r>
      <w:r>
        <w:rPr>
          <w:rFonts w:hint="eastAsia" w:ascii="仿宋_GB2312" w:hAnsi="仿宋" w:eastAsia="仿宋_GB2312"/>
          <w:sz w:val="32"/>
          <w:szCs w:val="32"/>
        </w:rPr>
        <w:t>主要原因为</w:t>
      </w:r>
      <w:r>
        <w:rPr>
          <w:rFonts w:hint="eastAsia" w:ascii="仿宋_GB2312" w:hAnsi="仿宋" w:eastAsia="仿宋_GB2312"/>
          <w:sz w:val="32"/>
          <w:szCs w:val="32"/>
          <w:lang w:val="en-US" w:eastAsia="zh-CN"/>
        </w:rPr>
        <w:t>1人调出，其他交通费用减少</w:t>
      </w:r>
      <w:r>
        <w:rPr>
          <w:rFonts w:hint="eastAsia" w:ascii="仿宋_GB2312" w:hAnsi="仿宋" w:eastAsia="仿宋_GB2312"/>
          <w:sz w:val="32"/>
          <w:szCs w:val="32"/>
        </w:rPr>
        <w:t>。</w:t>
      </w:r>
    </w:p>
    <w:p>
      <w:pPr>
        <w:topLinePunct/>
        <w:adjustRightInd w:val="0"/>
        <w:snapToGrid w:val="0"/>
        <w:spacing w:line="560" w:lineRule="exact"/>
        <w:ind w:firstLine="643" w:firstLineChars="200"/>
        <w:rPr>
          <w:rFonts w:hint="eastAsia" w:ascii="仿宋_GB2312" w:hAnsi="TimesNewRoman" w:eastAsia="仿宋_GB2312" w:cs="TimesNewRoman"/>
          <w:b/>
          <w:sz w:val="32"/>
          <w:szCs w:val="32"/>
        </w:rPr>
      </w:pPr>
      <w:r>
        <w:rPr>
          <w:rFonts w:hint="eastAsia" w:ascii="仿宋_GB2312" w:hAnsi="TimesNewRoman" w:eastAsia="仿宋_GB2312" w:cs="TimesNewRoman"/>
          <w:b/>
          <w:sz w:val="32"/>
          <w:szCs w:val="32"/>
        </w:rPr>
        <w:t>（三）政府采购情况。</w:t>
      </w:r>
    </w:p>
    <w:p>
      <w:pPr>
        <w:topLinePunct/>
        <w:adjustRightInd w:val="0"/>
        <w:snapToGrid w:val="0"/>
        <w:spacing w:line="560" w:lineRule="exact"/>
        <w:ind w:firstLine="640" w:firstLineChars="200"/>
        <w:rPr>
          <w:rFonts w:hint="eastAsia" w:ascii="仿宋_GB2312" w:hAnsi="TimesNewRoman" w:eastAsia="仿宋_GB2312" w:cs="TimesNewRoman"/>
          <w:sz w:val="32"/>
          <w:szCs w:val="32"/>
          <w:lang w:eastAsia="zh-CN"/>
        </w:rPr>
      </w:pPr>
      <w:r>
        <w:rPr>
          <w:rFonts w:hint="eastAsia" w:ascii="仿宋_GB2312" w:hAnsi="TimesNewRoman" w:eastAsia="仿宋_GB2312" w:cs="TimesNewRoman"/>
          <w:kern w:val="0"/>
          <w:sz w:val="32"/>
          <w:szCs w:val="32"/>
        </w:rPr>
        <w:t>寿县</w:t>
      </w:r>
      <w:r>
        <w:rPr>
          <w:rFonts w:hint="eastAsia" w:ascii="仿宋_GB2312" w:hAnsi="TimesNewRoman" w:eastAsia="仿宋_GB2312" w:cs="TimesNewRoman"/>
          <w:kern w:val="0"/>
          <w:sz w:val="32"/>
          <w:szCs w:val="32"/>
          <w:lang w:eastAsia="zh-CN"/>
        </w:rPr>
        <w:t>新桥北区</w:t>
      </w:r>
      <w:r>
        <w:rPr>
          <w:rFonts w:hint="eastAsia" w:ascii="仿宋_GB2312" w:hAnsi="TimesNewRoman" w:eastAsia="仿宋_GB2312" w:cs="TimesNewRoman"/>
          <w:sz w:val="32"/>
          <w:szCs w:val="32"/>
        </w:rPr>
        <w:t>2024年</w:t>
      </w:r>
      <w:r>
        <w:rPr>
          <w:rFonts w:hint="eastAsia" w:ascii="仿宋_GB2312" w:hAnsi="TimesNewRoman" w:eastAsia="仿宋_GB2312" w:cs="TimesNewRoman"/>
          <w:sz w:val="32"/>
          <w:szCs w:val="32"/>
          <w:lang w:eastAsia="zh-CN"/>
        </w:rPr>
        <w:t>没有安排</w:t>
      </w:r>
      <w:r>
        <w:rPr>
          <w:rFonts w:hint="eastAsia" w:ascii="仿宋_GB2312" w:hAnsi="TimesNewRoman" w:eastAsia="仿宋_GB2312" w:cs="TimesNewRoman"/>
          <w:sz w:val="32"/>
          <w:szCs w:val="32"/>
        </w:rPr>
        <w:t>政府采购预算</w:t>
      </w:r>
      <w:r>
        <w:rPr>
          <w:rFonts w:hint="eastAsia" w:ascii="仿宋_GB2312" w:hAnsi="TimesNewRoman" w:eastAsia="仿宋_GB2312" w:cs="TimesNewRoman"/>
          <w:sz w:val="32"/>
          <w:szCs w:val="32"/>
          <w:lang w:eastAsia="zh-CN"/>
        </w:rPr>
        <w:t>。</w:t>
      </w:r>
    </w:p>
    <w:p>
      <w:pPr>
        <w:topLinePunct/>
        <w:adjustRightInd w:val="0"/>
        <w:snapToGrid w:val="0"/>
        <w:spacing w:line="560" w:lineRule="exact"/>
        <w:ind w:firstLine="643" w:firstLineChars="200"/>
        <w:rPr>
          <w:rFonts w:hint="eastAsia" w:ascii="仿宋_GB2312" w:hAnsi="TimesNewRoman" w:eastAsia="仿宋_GB2312" w:cs="TimesNewRoman"/>
          <w:b/>
          <w:sz w:val="32"/>
          <w:szCs w:val="32"/>
        </w:rPr>
      </w:pPr>
      <w:r>
        <w:rPr>
          <w:rFonts w:hint="eastAsia" w:ascii="仿宋_GB2312" w:hAnsi="TimesNewRoman" w:eastAsia="仿宋_GB2312" w:cs="TimesNewRoman"/>
          <w:b/>
          <w:sz w:val="32"/>
          <w:szCs w:val="32"/>
        </w:rPr>
        <w:t>（四）国有资产占有使用情况。</w:t>
      </w:r>
    </w:p>
    <w:p>
      <w:pPr>
        <w:topLinePunct/>
        <w:adjustRightInd w:val="0"/>
        <w:snapToGrid w:val="0"/>
        <w:spacing w:line="56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截至2023年12月31日，</w:t>
      </w:r>
      <w:r>
        <w:rPr>
          <w:rFonts w:hint="eastAsia" w:ascii="仿宋_GB2312" w:hAnsi="TimesNewRoman" w:eastAsia="仿宋_GB2312" w:cs="TimesNewRoman"/>
          <w:kern w:val="0"/>
          <w:sz w:val="32"/>
          <w:szCs w:val="32"/>
        </w:rPr>
        <w:t>寿县</w:t>
      </w:r>
      <w:r>
        <w:rPr>
          <w:rFonts w:hint="eastAsia" w:ascii="仿宋_GB2312" w:hAnsi="TimesNewRoman" w:eastAsia="仿宋_GB2312" w:cs="TimesNewRoman"/>
          <w:kern w:val="0"/>
          <w:sz w:val="32"/>
          <w:szCs w:val="32"/>
          <w:lang w:eastAsia="zh-CN"/>
        </w:rPr>
        <w:t>新桥北区</w:t>
      </w:r>
      <w:r>
        <w:rPr>
          <w:rFonts w:hint="eastAsia" w:ascii="仿宋_GB2312" w:hAnsi="TimesNewRoman" w:eastAsia="仿宋_GB2312" w:cs="TimesNewRoman"/>
          <w:sz w:val="32"/>
          <w:szCs w:val="32"/>
        </w:rPr>
        <w:t>共有车辆</w:t>
      </w:r>
      <w:r>
        <w:rPr>
          <w:rFonts w:hint="eastAsia" w:ascii="仿宋_GB2312" w:hAnsi="TimesNewRoman" w:eastAsia="仿宋_GB2312" w:cs="TimesNewRoman"/>
          <w:sz w:val="32"/>
          <w:szCs w:val="32"/>
          <w:lang w:val="en-US" w:eastAsia="zh-CN"/>
        </w:rPr>
        <w:t>1</w:t>
      </w:r>
      <w:r>
        <w:rPr>
          <w:rFonts w:hint="eastAsia" w:ascii="仿宋_GB2312" w:hAnsi="TimesNewRoman" w:eastAsia="仿宋_GB2312" w:cs="TimesNewRoman"/>
          <w:sz w:val="32"/>
          <w:szCs w:val="32"/>
        </w:rPr>
        <w:t>辆，其中：其他用车</w:t>
      </w:r>
      <w:r>
        <w:rPr>
          <w:rFonts w:hint="eastAsia" w:ascii="仿宋_GB2312" w:hAnsi="TimesNewRoman" w:eastAsia="仿宋_GB2312" w:cs="TimesNewRoman"/>
          <w:sz w:val="32"/>
          <w:szCs w:val="32"/>
          <w:lang w:val="en-US" w:eastAsia="zh-CN"/>
        </w:rPr>
        <w:t>1</w:t>
      </w:r>
      <w:r>
        <w:rPr>
          <w:rFonts w:hint="eastAsia" w:ascii="仿宋_GB2312" w:hAnsi="TimesNewRoman" w:eastAsia="仿宋_GB2312" w:cs="TimesNewRoman"/>
          <w:sz w:val="32"/>
          <w:szCs w:val="32"/>
        </w:rPr>
        <w:t>辆。单价50万元以上的通用设备</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台（套），单价100万元以上的专用设备</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台（套）。</w:t>
      </w:r>
    </w:p>
    <w:p>
      <w:pPr>
        <w:topLinePunct/>
        <w:adjustRightInd w:val="0"/>
        <w:snapToGrid w:val="0"/>
        <w:spacing w:line="56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2024年部门预算安排购置公务用车</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辆，购置费</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万元，安排购置单价50万元以上的通用设备</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台（套），购置费</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万元；安排购置单价100万元以上专用设备</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台（套），购置费</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万元。</w:t>
      </w:r>
    </w:p>
    <w:p>
      <w:pPr>
        <w:topLinePunct/>
        <w:adjustRightInd w:val="0"/>
        <w:snapToGrid w:val="0"/>
        <w:spacing w:line="560" w:lineRule="exact"/>
        <w:ind w:firstLine="643" w:firstLineChars="200"/>
        <w:rPr>
          <w:rFonts w:hint="eastAsia" w:ascii="仿宋_GB2312" w:hAnsi="TimesNewRoman" w:eastAsia="仿宋_GB2312" w:cs="TimesNewRoman"/>
          <w:b/>
          <w:sz w:val="32"/>
          <w:szCs w:val="32"/>
        </w:rPr>
      </w:pPr>
      <w:r>
        <w:rPr>
          <w:rFonts w:hint="eastAsia" w:ascii="仿宋_GB2312" w:hAnsi="TimesNewRoman" w:eastAsia="仿宋_GB2312" w:cs="TimesNewRoman"/>
          <w:b/>
          <w:sz w:val="32"/>
          <w:szCs w:val="32"/>
        </w:rPr>
        <w:t>（五）绩效目标设置情况。</w:t>
      </w:r>
    </w:p>
    <w:p>
      <w:pPr>
        <w:topLinePunct/>
        <w:adjustRightInd w:val="0"/>
        <w:snapToGrid w:val="0"/>
        <w:spacing w:line="560" w:lineRule="exact"/>
        <w:ind w:firstLine="640" w:firstLineChars="200"/>
        <w:rPr>
          <w:rFonts w:hint="eastAsia" w:ascii="仿宋_GB2312" w:hAnsi="TimesNewRoman" w:eastAsia="仿宋_GB2312" w:cs="TimesNewRoman"/>
          <w:sz w:val="32"/>
          <w:szCs w:val="32"/>
          <w:lang w:eastAsia="zh-CN"/>
        </w:rPr>
      </w:pPr>
      <w:r>
        <w:rPr>
          <w:rFonts w:hint="eastAsia" w:ascii="仿宋_GB2312" w:hAnsi="TimesNewRoman" w:eastAsia="仿宋_GB2312" w:cs="TimesNewRoman"/>
          <w:sz w:val="32"/>
          <w:szCs w:val="32"/>
        </w:rPr>
        <w:t>2024年，</w:t>
      </w:r>
      <w:r>
        <w:rPr>
          <w:rFonts w:hint="eastAsia" w:ascii="仿宋_GB2312" w:hAnsi="TimesNewRoman" w:eastAsia="仿宋_GB2312" w:cs="TimesNewRoman"/>
          <w:kern w:val="0"/>
          <w:sz w:val="32"/>
          <w:szCs w:val="32"/>
        </w:rPr>
        <w:t>寿县</w:t>
      </w:r>
      <w:r>
        <w:rPr>
          <w:rFonts w:hint="eastAsia" w:ascii="仿宋_GB2312" w:hAnsi="TimesNewRoman" w:eastAsia="仿宋_GB2312" w:cs="TimesNewRoman"/>
          <w:kern w:val="0"/>
          <w:sz w:val="32"/>
          <w:szCs w:val="32"/>
          <w:lang w:eastAsia="zh-CN"/>
        </w:rPr>
        <w:t>新桥北区</w:t>
      </w:r>
      <w:r>
        <w:rPr>
          <w:rFonts w:hint="eastAsia" w:ascii="仿宋_GB2312" w:hAnsi="TimesNewRoman" w:eastAsia="仿宋_GB2312" w:cs="TimesNewRoman"/>
          <w:kern w:val="0"/>
          <w:sz w:val="32"/>
          <w:szCs w:val="32"/>
          <w:lang w:val="en-US" w:eastAsia="zh-CN"/>
        </w:rPr>
        <w:t>1</w:t>
      </w:r>
      <w:r>
        <w:rPr>
          <w:rFonts w:hint="eastAsia" w:ascii="仿宋_GB2312" w:hAnsi="TimesNewRoman" w:eastAsia="仿宋_GB2312" w:cs="TimesNewRoman"/>
          <w:sz w:val="32"/>
          <w:szCs w:val="32"/>
        </w:rPr>
        <w:t>个项目实行了绩效目标管理，涉及一般公共预算当年财政拨款</w:t>
      </w:r>
      <w:r>
        <w:rPr>
          <w:rFonts w:hint="eastAsia" w:ascii="仿宋_GB2312" w:hAnsi="TimesNewRoman" w:eastAsia="仿宋_GB2312" w:cs="TimesNewRoman"/>
          <w:sz w:val="32"/>
          <w:szCs w:val="32"/>
          <w:lang w:val="en-US" w:eastAsia="zh-CN"/>
        </w:rPr>
        <w:t>1.32</w:t>
      </w:r>
      <w:r>
        <w:rPr>
          <w:rFonts w:hint="eastAsia" w:ascii="仿宋_GB2312" w:hAnsi="TimesNewRoman" w:eastAsia="仿宋_GB2312" w:cs="TimesNewRoman"/>
          <w:sz w:val="32"/>
          <w:szCs w:val="32"/>
        </w:rPr>
        <w:t>万元</w:t>
      </w:r>
      <w:r>
        <w:rPr>
          <w:rFonts w:hint="eastAsia" w:ascii="仿宋_GB2312" w:hAnsi="TimesNewRoman" w:eastAsia="仿宋_GB2312" w:cs="TimesNewRoman"/>
          <w:sz w:val="32"/>
          <w:szCs w:val="32"/>
          <w:lang w:eastAsia="zh-CN"/>
        </w:rPr>
        <w:t>。</w:t>
      </w:r>
    </w:p>
    <w:p>
      <w:pPr>
        <w:topLinePunct/>
        <w:adjustRightInd w:val="0"/>
        <w:snapToGrid w:val="0"/>
        <w:spacing w:line="560" w:lineRule="exact"/>
        <w:rPr>
          <w:rFonts w:ascii="TimesNewRoman" w:hAnsi="TimesNewRoman" w:eastAsia="黑体" w:cs="TimesNewRoman"/>
          <w:sz w:val="36"/>
          <w:szCs w:val="36"/>
        </w:rPr>
      </w:pPr>
    </w:p>
    <w:p>
      <w:pPr>
        <w:topLinePunct/>
        <w:adjustRightInd w:val="0"/>
        <w:snapToGrid w:val="0"/>
        <w:spacing w:line="560" w:lineRule="exact"/>
        <w:jc w:val="center"/>
        <w:rPr>
          <w:rFonts w:ascii="TimesNewRoman" w:hAnsi="TimesNewRoman" w:eastAsia="黑体" w:cs="TimesNewRoman"/>
          <w:sz w:val="36"/>
          <w:szCs w:val="36"/>
        </w:rPr>
      </w:pPr>
    </w:p>
    <w:p>
      <w:pPr>
        <w:topLinePunct/>
        <w:adjustRightInd w:val="0"/>
        <w:snapToGrid w:val="0"/>
        <w:spacing w:line="560" w:lineRule="exact"/>
        <w:jc w:val="center"/>
        <w:rPr>
          <w:rFonts w:ascii="TimesNewRoman" w:hAnsi="TimesNewRoman" w:eastAsia="黑体" w:cs="TimesNewRoman"/>
          <w:sz w:val="36"/>
          <w:szCs w:val="36"/>
        </w:rPr>
      </w:pPr>
      <w:r>
        <w:rPr>
          <w:rFonts w:ascii="TimesNewRoman" w:hAnsi="TimesNewRoman" w:eastAsia="黑体" w:cs="TimesNewRoman"/>
          <w:sz w:val="36"/>
          <w:szCs w:val="36"/>
        </w:rPr>
        <w:t>第四部分 名词解释</w:t>
      </w:r>
    </w:p>
    <w:p>
      <w:pPr>
        <w:topLinePunct/>
        <w:adjustRightInd w:val="0"/>
        <w:snapToGrid w:val="0"/>
        <w:spacing w:line="560" w:lineRule="exact"/>
        <w:rPr>
          <w:rFonts w:ascii="TimesNewRoman" w:hAnsi="TimesNewRoman" w:eastAsia="黑体" w:cs="TimesNewRoman"/>
          <w:szCs w:val="32"/>
        </w:rPr>
      </w:pPr>
    </w:p>
    <w:p>
      <w:pPr>
        <w:topLinePunct/>
        <w:adjustRightInd w:val="0"/>
        <w:snapToGrid w:val="0"/>
        <w:spacing w:line="560" w:lineRule="exact"/>
        <w:ind w:firstLine="640" w:firstLineChars="200"/>
        <w:rPr>
          <w:rFonts w:ascii="TimesNewRoman" w:hAnsi="TimesNewRoman" w:cs="TimesNewRoman"/>
          <w:sz w:val="32"/>
          <w:szCs w:val="32"/>
        </w:rPr>
      </w:pPr>
      <w:r>
        <w:rPr>
          <w:rFonts w:hint="eastAsia" w:ascii="楷体_GB2312" w:hAnsi="TimesNewRoman" w:eastAsia="楷体_GB2312" w:cs="TimesNewRoman"/>
          <w:sz w:val="32"/>
          <w:szCs w:val="32"/>
        </w:rPr>
        <w:t>一、财政拨款收入</w:t>
      </w:r>
      <w:r>
        <w:rPr>
          <w:rFonts w:hint="eastAsia" w:ascii="楷体_GB2312" w:hAnsi="TimesNewRoman" w:eastAsia="楷体_GB2312" w:cs="TimesNewRoman"/>
          <w:b/>
          <w:sz w:val="32"/>
          <w:szCs w:val="32"/>
        </w:rPr>
        <w:t>：</w:t>
      </w:r>
      <w:r>
        <w:rPr>
          <w:rFonts w:ascii="TimesNewRoman" w:hAnsi="TimesNewRoman" w:cs="TimesNewRoman"/>
          <w:sz w:val="32"/>
          <w:szCs w:val="32"/>
        </w:rPr>
        <w:t>指部门或单位从同级财政部门取得的财政预算资金。</w:t>
      </w:r>
    </w:p>
    <w:p>
      <w:pPr>
        <w:pStyle w:val="4"/>
        <w:topLinePunct/>
        <w:adjustRightInd w:val="0"/>
        <w:snapToGrid w:val="0"/>
        <w:spacing w:beforeAutospacing="0" w:afterAutospacing="0" w:line="560" w:lineRule="exact"/>
        <w:ind w:firstLine="627" w:firstLineChars="196"/>
        <w:jc w:val="both"/>
        <w:rPr>
          <w:rFonts w:ascii="TimesNewRoman" w:hAnsi="TimesNewRoman" w:eastAsia="仿宋_GB2312" w:cs="TimesNewRoman"/>
          <w:sz w:val="32"/>
          <w:szCs w:val="32"/>
        </w:rPr>
      </w:pPr>
      <w:r>
        <w:rPr>
          <w:rFonts w:hint="eastAsia" w:ascii="楷体_GB2312" w:hAnsi="TimesNewRoman" w:eastAsia="楷体_GB2312" w:cs="TimesNewRoman"/>
          <w:kern w:val="2"/>
          <w:sz w:val="32"/>
          <w:szCs w:val="32"/>
          <w:lang w:eastAsia="zh-CN"/>
        </w:rPr>
        <w:t>二</w:t>
      </w:r>
      <w:r>
        <w:rPr>
          <w:rFonts w:ascii="楷体_GB2312" w:hAnsi="TimesNewRoman" w:eastAsia="楷体_GB2312" w:cs="TimesNewRoman"/>
          <w:kern w:val="2"/>
          <w:sz w:val="32"/>
          <w:szCs w:val="32"/>
        </w:rPr>
        <w:t>、上年结转：</w:t>
      </w:r>
      <w:r>
        <w:rPr>
          <w:rFonts w:ascii="TimesNewRoman" w:hAnsi="TimesNewRoman" w:eastAsia="仿宋_GB2312" w:cs="TimesNewRoman"/>
          <w:sz w:val="32"/>
          <w:szCs w:val="32"/>
        </w:rPr>
        <w:t>指以前年度安排、结转到本年仍按原用途继续使用的资金。</w:t>
      </w:r>
    </w:p>
    <w:p>
      <w:pPr>
        <w:pStyle w:val="4"/>
        <w:topLinePunct/>
        <w:adjustRightInd w:val="0"/>
        <w:snapToGrid w:val="0"/>
        <w:spacing w:beforeAutospacing="0" w:afterAutospacing="0" w:line="560" w:lineRule="exact"/>
        <w:ind w:firstLine="640" w:firstLineChars="200"/>
        <w:jc w:val="both"/>
        <w:rPr>
          <w:rFonts w:ascii="TimesNewRoman" w:hAnsi="TimesNewRoman" w:eastAsia="仿宋_GB2312" w:cs="TimesNewRoman"/>
          <w:sz w:val="32"/>
          <w:szCs w:val="32"/>
        </w:rPr>
      </w:pPr>
      <w:r>
        <w:rPr>
          <w:rFonts w:hint="eastAsia" w:ascii="楷体_GB2312" w:hAnsi="TimesNewRoman" w:eastAsia="楷体_GB2312" w:cs="TimesNewRoman"/>
          <w:kern w:val="2"/>
          <w:sz w:val="32"/>
          <w:szCs w:val="32"/>
          <w:lang w:eastAsia="zh-CN"/>
        </w:rPr>
        <w:t>三</w:t>
      </w:r>
      <w:r>
        <w:rPr>
          <w:rFonts w:ascii="楷体_GB2312" w:hAnsi="TimesNewRoman" w:eastAsia="楷体_GB2312" w:cs="TimesNewRoman"/>
          <w:kern w:val="2"/>
          <w:sz w:val="32"/>
          <w:szCs w:val="32"/>
        </w:rPr>
        <w:t>、基本支出：</w:t>
      </w:r>
      <w:r>
        <w:rPr>
          <w:rFonts w:ascii="TimesNewRoman" w:hAnsi="TimesNewRoman" w:eastAsia="仿宋_GB2312" w:cs="TimesNewRoman"/>
          <w:sz w:val="32"/>
          <w:szCs w:val="32"/>
        </w:rPr>
        <w:t>指为保障机构正常运转、完成日常工作任务而发生的人员支出和公用支出。</w:t>
      </w:r>
    </w:p>
    <w:p>
      <w:pPr>
        <w:pStyle w:val="4"/>
        <w:topLinePunct/>
        <w:spacing w:beforeAutospacing="0" w:afterAutospacing="0" w:line="560" w:lineRule="exact"/>
        <w:ind w:firstLine="627" w:firstLineChars="196"/>
        <w:jc w:val="both"/>
        <w:rPr>
          <w:rFonts w:ascii="TimesNewRoman" w:hAnsi="TimesNewRoman" w:eastAsia="仿宋_GB2312" w:cs="TimesNewRoman"/>
          <w:sz w:val="32"/>
          <w:szCs w:val="32"/>
        </w:rPr>
      </w:pPr>
      <w:r>
        <w:rPr>
          <w:rFonts w:hint="eastAsia" w:ascii="楷体_GB2312" w:hAnsi="TimesNewRoman" w:eastAsia="楷体_GB2312" w:cs="TimesNewRoman"/>
          <w:kern w:val="2"/>
          <w:sz w:val="32"/>
          <w:szCs w:val="32"/>
          <w:lang w:eastAsia="zh-CN"/>
        </w:rPr>
        <w:t>四</w:t>
      </w:r>
      <w:r>
        <w:rPr>
          <w:rFonts w:ascii="楷体_GB2312" w:hAnsi="TimesNewRoman" w:eastAsia="楷体_GB2312" w:cs="TimesNewRoman"/>
          <w:kern w:val="2"/>
          <w:sz w:val="32"/>
          <w:szCs w:val="32"/>
        </w:rPr>
        <w:t>、项目支出：</w:t>
      </w:r>
      <w:r>
        <w:rPr>
          <w:rFonts w:ascii="TimesNewRoman" w:hAnsi="TimesNewRoman" w:eastAsia="仿宋_GB2312" w:cs="TimesNewRoman"/>
          <w:sz w:val="32"/>
          <w:szCs w:val="32"/>
        </w:rPr>
        <w:t>指在除基本支出之外的支出，主要用于完成特定的工作任务和事业发展目标。</w:t>
      </w:r>
      <w:r>
        <w:rPr>
          <w:rFonts w:ascii="TimesNewRoman" w:hAnsi="TimesNewRoman" w:eastAsia="仿宋_GB2312" w:cs="TimesNewRoman"/>
          <w:sz w:val="32"/>
          <w:szCs w:val="32"/>
        </w:rPr>
        <w:br w:type="textWrapping"/>
      </w:r>
      <w:r>
        <w:rPr>
          <w:rFonts w:ascii="楷体_GB2312" w:hAnsi="TimesNewRoman" w:eastAsia="楷体_GB2312" w:cs="TimesNewRoman"/>
          <w:kern w:val="2"/>
          <w:sz w:val="32"/>
          <w:szCs w:val="32"/>
        </w:rPr>
        <w:t xml:space="preserve">    </w:t>
      </w:r>
      <w:r>
        <w:rPr>
          <w:rFonts w:hint="eastAsia" w:ascii="楷体_GB2312" w:hAnsi="TimesNewRoman" w:eastAsia="楷体_GB2312" w:cs="TimesNewRoman"/>
          <w:kern w:val="2"/>
          <w:sz w:val="32"/>
          <w:szCs w:val="32"/>
          <w:lang w:eastAsia="zh-CN"/>
        </w:rPr>
        <w:t>五</w:t>
      </w:r>
      <w:r>
        <w:rPr>
          <w:rFonts w:ascii="楷体_GB2312" w:hAnsi="TimesNewRoman" w:eastAsia="楷体_GB2312" w:cs="TimesNewRoman"/>
          <w:kern w:val="2"/>
          <w:sz w:val="32"/>
          <w:szCs w:val="32"/>
        </w:rPr>
        <w:t>、机关运行经费:</w:t>
      </w:r>
      <w:r>
        <w:rPr>
          <w:rFonts w:ascii="TimesNewRoman" w:hAnsi="TimesNewRoman" w:eastAsia="仿宋_GB2312" w:cs="TimesNewRoman"/>
          <w:sz w:val="32"/>
          <w:szCs w:val="32"/>
        </w:rPr>
        <w:t>为保障行政单位（包括参照公务员法管理的事业单位）运行用于购买货物和服务的各项资金，包括办公及印刷费、邮电费、差旅费、会议费、福利费、日常维修费、一般设备购置费、办公用房水电费、办公用房取暖费、办公用房物业管理费、公务用车运行维护费以及其他费用。</w:t>
      </w:r>
    </w:p>
    <w:p>
      <w:pPr>
        <w:pStyle w:val="4"/>
        <w:spacing w:before="0" w:beforeAutospacing="0" w:after="0" w:afterAutospacing="0" w:line="600" w:lineRule="exact"/>
        <w:ind w:firstLine="537" w:firstLineChars="168"/>
        <w:jc w:val="both"/>
        <w:rPr>
          <w:rFonts w:hint="eastAsia" w:ascii="楷体_GB2312" w:hAnsi="楷体_GB2312" w:eastAsia="楷体_GB2312" w:cs="楷体_GB2312"/>
          <w:color w:val="333333"/>
          <w:sz w:val="32"/>
          <w:szCs w:val="32"/>
          <w:shd w:val="clear" w:color="auto" w:fill="FFFFFF"/>
        </w:rPr>
      </w:pPr>
      <w:r>
        <w:rPr>
          <w:rFonts w:hint="eastAsia" w:ascii="楷体_GB2312" w:hAnsi="楷体_GB2312" w:eastAsia="楷体_GB2312" w:cs="楷体_GB2312"/>
          <w:color w:val="333333"/>
          <w:sz w:val="32"/>
          <w:szCs w:val="32"/>
          <w:shd w:val="clear" w:color="auto" w:fill="FFFFFF"/>
          <w:lang w:eastAsia="zh-CN"/>
        </w:rPr>
        <w:t>六</w:t>
      </w:r>
      <w:r>
        <w:rPr>
          <w:rFonts w:hint="eastAsia" w:ascii="楷体_GB2312" w:hAnsi="楷体_GB2312" w:eastAsia="楷体_GB2312" w:cs="楷体_GB2312"/>
          <w:color w:val="333333"/>
          <w:sz w:val="32"/>
          <w:szCs w:val="32"/>
          <w:shd w:val="clear" w:color="auto" w:fill="FFFFFF"/>
        </w:rPr>
        <w:t>、支出功能分类科目:主要反映政府活动的不同功能和政策目标，具体设类、款、项三级。</w:t>
      </w:r>
    </w:p>
    <w:p>
      <w:pPr>
        <w:pStyle w:val="4"/>
        <w:spacing w:before="0" w:beforeAutospacing="0" w:after="0" w:afterAutospacing="0" w:line="600" w:lineRule="exact"/>
        <w:ind w:firstLine="537" w:firstLineChars="168"/>
        <w:jc w:val="both"/>
        <w:rPr>
          <w:rFonts w:hint="eastAsia" w:ascii="楷体_GB2312" w:hAnsi="楷体_GB2312" w:eastAsia="楷体_GB2312" w:cs="楷体_GB2312"/>
          <w:color w:val="333333"/>
          <w:sz w:val="32"/>
          <w:szCs w:val="32"/>
          <w:shd w:val="clear" w:color="auto" w:fill="FFFFFF"/>
        </w:rPr>
      </w:pPr>
      <w:r>
        <w:rPr>
          <w:rFonts w:hint="eastAsia" w:ascii="楷体_GB2312" w:hAnsi="楷体_GB2312" w:eastAsia="楷体_GB2312" w:cs="楷体_GB2312"/>
          <w:color w:val="333333"/>
          <w:sz w:val="32"/>
          <w:szCs w:val="32"/>
          <w:shd w:val="clear" w:color="auto" w:fill="FFFFFF"/>
          <w:lang w:eastAsia="zh-CN"/>
        </w:rPr>
        <w:t>七</w:t>
      </w:r>
      <w:r>
        <w:rPr>
          <w:rFonts w:hint="eastAsia" w:ascii="楷体_GB2312" w:hAnsi="楷体_GB2312" w:eastAsia="楷体_GB2312" w:cs="楷体_GB2312"/>
          <w:color w:val="333333"/>
          <w:sz w:val="32"/>
          <w:szCs w:val="32"/>
          <w:shd w:val="clear" w:color="auto" w:fill="FFFFFF"/>
        </w:rPr>
        <w:t>、支出经济分类科目：是指政府支出按经济性质和具体用途所作的一种分类科目，具体设类、款两级。</w:t>
      </w:r>
    </w:p>
    <w:p>
      <w:pPr>
        <w:pStyle w:val="4"/>
        <w:topLinePunct/>
        <w:spacing w:beforeAutospacing="0" w:afterAutospacing="0" w:line="560" w:lineRule="exact"/>
        <w:ind w:firstLine="640" w:firstLineChars="200"/>
        <w:jc w:val="both"/>
        <w:rPr>
          <w:rFonts w:hint="eastAsia" w:ascii="TimesNewRoman" w:hAnsi="TimesNewRoman" w:eastAsia="仿宋_GB2312" w:cs="TimesNewRoman"/>
          <w:sz w:val="32"/>
          <w:szCs w:val="32"/>
          <w:lang w:val="en-US" w:eastAsia="zh-CN"/>
        </w:rPr>
      </w:pPr>
      <w:r>
        <w:rPr>
          <w:rFonts w:hint="eastAsia" w:ascii="楷体_GB2312" w:hAnsi="TimesNewRoman" w:eastAsia="楷体_GB2312" w:cs="TimesNewRoman"/>
          <w:kern w:val="2"/>
          <w:sz w:val="32"/>
          <w:szCs w:val="32"/>
          <w:lang w:eastAsia="zh-CN"/>
        </w:rPr>
        <w:t>八</w:t>
      </w:r>
      <w:r>
        <w:rPr>
          <w:rFonts w:ascii="楷体_GB2312" w:hAnsi="TimesNewRoman" w:eastAsia="楷体_GB2312" w:cs="TimesNewRoman"/>
          <w:kern w:val="2"/>
          <w:sz w:val="32"/>
          <w:szCs w:val="32"/>
        </w:rPr>
        <w:t>、一般公共服务支出（类）</w:t>
      </w:r>
      <w:r>
        <w:rPr>
          <w:rFonts w:hint="eastAsia" w:ascii="楷体_GB2312" w:hAnsi="TimesNewRoman" w:eastAsia="楷体_GB2312" w:cs="TimesNewRoman"/>
          <w:kern w:val="2"/>
          <w:sz w:val="32"/>
          <w:szCs w:val="32"/>
          <w:lang w:eastAsia="zh-CN"/>
        </w:rPr>
        <w:t>政府办公厅（室）及相关机构事务</w:t>
      </w:r>
      <w:r>
        <w:rPr>
          <w:rFonts w:ascii="楷体_GB2312" w:hAnsi="TimesNewRoman" w:eastAsia="楷体_GB2312" w:cs="TimesNewRoman"/>
          <w:kern w:val="2"/>
          <w:sz w:val="32"/>
          <w:szCs w:val="32"/>
        </w:rPr>
        <w:t>（款）</w:t>
      </w:r>
      <w:r>
        <w:rPr>
          <w:rFonts w:hint="eastAsia" w:ascii="楷体_GB2312" w:hAnsi="TimesNewRoman" w:eastAsia="楷体_GB2312" w:cs="TimesNewRoman"/>
          <w:kern w:val="2"/>
          <w:sz w:val="32"/>
          <w:szCs w:val="32"/>
          <w:lang w:eastAsia="zh-CN"/>
        </w:rPr>
        <w:t>行政运行</w:t>
      </w:r>
      <w:r>
        <w:rPr>
          <w:rFonts w:ascii="楷体_GB2312" w:hAnsi="TimesNewRoman" w:eastAsia="楷体_GB2312" w:cs="TimesNewRoman"/>
          <w:kern w:val="2"/>
          <w:sz w:val="32"/>
          <w:szCs w:val="32"/>
        </w:rPr>
        <w:t>：</w:t>
      </w:r>
      <w:r>
        <w:rPr>
          <w:rFonts w:ascii="TimesNewRoman" w:hAnsi="TimesNewRoman" w:eastAsia="仿宋_GB2312" w:cs="TimesNewRoman"/>
          <w:sz w:val="32"/>
          <w:szCs w:val="32"/>
        </w:rPr>
        <w:t>反映</w:t>
      </w:r>
      <w:r>
        <w:rPr>
          <w:rFonts w:hint="eastAsia" w:ascii="TimesNewRoman" w:hAnsi="TimesNewRoman" w:eastAsia="仿宋_GB2312" w:cs="TimesNewRoman"/>
          <w:sz w:val="32"/>
          <w:szCs w:val="32"/>
          <w:lang w:eastAsia="zh-CN"/>
        </w:rPr>
        <w:t>单位的基本</w:t>
      </w:r>
      <w:r>
        <w:rPr>
          <w:rFonts w:ascii="TimesNewRoman" w:hAnsi="TimesNewRoman" w:eastAsia="仿宋_GB2312" w:cs="TimesNewRoman"/>
          <w:sz w:val="32"/>
          <w:szCs w:val="32"/>
        </w:rPr>
        <w:t>支</w:t>
      </w:r>
      <w:r>
        <w:rPr>
          <w:rFonts w:hint="eastAsia" w:ascii="TimesNewRoman" w:hAnsi="TimesNewRoman" w:eastAsia="仿宋_GB2312" w:cs="TimesNewRoman"/>
          <w:sz w:val="32"/>
          <w:szCs w:val="32"/>
          <w:lang w:eastAsia="zh-CN"/>
        </w:rPr>
        <w:t>。</w:t>
      </w:r>
      <w:r>
        <w:rPr>
          <w:rFonts w:hint="eastAsia" w:ascii="TimesNewRoman" w:hAnsi="TimesNewRoman" w:eastAsia="仿宋_GB2312" w:cs="TimesNewRoman"/>
          <w:sz w:val="32"/>
          <w:szCs w:val="32"/>
          <w:lang w:val="en-US" w:eastAsia="zh-CN"/>
        </w:rPr>
        <w:t xml:space="preserve">               </w:t>
      </w:r>
    </w:p>
    <w:p>
      <w:pPr>
        <w:ind w:firstLine="640" w:firstLineChars="200"/>
        <w:rPr>
          <w:rFonts w:hint="eastAsia" w:ascii="楷体_GB2312" w:hAnsi="楷体_GB2312" w:eastAsia="楷体_GB2312" w:cs="楷体_GB2312"/>
          <w:b w:val="0"/>
          <w:bCs/>
          <w:sz w:val="32"/>
          <w:szCs w:val="32"/>
          <w:lang w:eastAsia="zh-CN"/>
        </w:rPr>
      </w:pPr>
      <w:r>
        <w:rPr>
          <w:rFonts w:hint="eastAsia" w:ascii="楷体_GB2312" w:hAnsi="楷体_GB2312" w:eastAsia="楷体_GB2312" w:cs="楷体_GB2312"/>
          <w:b w:val="0"/>
          <w:bCs/>
          <w:sz w:val="32"/>
          <w:szCs w:val="32"/>
          <w:lang w:eastAsia="zh-CN"/>
        </w:rPr>
        <w:t>九</w:t>
      </w:r>
      <w:r>
        <w:rPr>
          <w:rFonts w:hint="eastAsia" w:ascii="楷体_GB2312" w:hAnsi="楷体_GB2312" w:eastAsia="楷体_GB2312" w:cs="楷体_GB2312"/>
          <w:b w:val="0"/>
          <w:bCs/>
          <w:sz w:val="32"/>
          <w:szCs w:val="32"/>
        </w:rPr>
        <w:t>.社会保障和就业支出（类）行政事业单位</w:t>
      </w:r>
      <w:r>
        <w:rPr>
          <w:rFonts w:hint="eastAsia" w:ascii="楷体_GB2312" w:hAnsi="楷体_GB2312" w:eastAsia="楷体_GB2312" w:cs="楷体_GB2312"/>
          <w:b w:val="0"/>
          <w:bCs/>
          <w:sz w:val="32"/>
          <w:szCs w:val="32"/>
          <w:lang w:eastAsia="zh-CN"/>
        </w:rPr>
        <w:t>养老支出</w:t>
      </w:r>
      <w:r>
        <w:rPr>
          <w:rFonts w:hint="eastAsia" w:ascii="楷体_GB2312" w:hAnsi="楷体_GB2312" w:eastAsia="楷体_GB2312" w:cs="楷体_GB2312"/>
          <w:b w:val="0"/>
          <w:bCs/>
          <w:sz w:val="32"/>
          <w:szCs w:val="32"/>
        </w:rPr>
        <w:t>（款）行政单位离退休（项）</w:t>
      </w:r>
      <w:r>
        <w:rPr>
          <w:rFonts w:hint="eastAsia" w:ascii="楷体_GB2312" w:hAnsi="楷体_GB2312" w:eastAsia="楷体_GB2312" w:cs="楷体_GB2312"/>
          <w:b w:val="0"/>
          <w:bCs/>
          <w:sz w:val="32"/>
          <w:szCs w:val="32"/>
          <w:lang w:eastAsia="zh-CN"/>
        </w:rPr>
        <w:t>：反映单位退休人员经费。</w:t>
      </w:r>
    </w:p>
    <w:p>
      <w:pPr>
        <w:ind w:firstLine="640" w:firstLineChars="200"/>
        <w:rPr>
          <w:rFonts w:hint="eastAsia" w:ascii="楷体_GB2312" w:hAnsi="楷体_GB2312" w:eastAsia="楷体_GB2312" w:cs="楷体_GB2312"/>
          <w:b w:val="0"/>
          <w:bCs/>
          <w:sz w:val="32"/>
          <w:szCs w:val="32"/>
          <w:lang w:eastAsia="zh-CN"/>
        </w:rPr>
      </w:pPr>
      <w:r>
        <w:rPr>
          <w:rFonts w:hint="eastAsia" w:ascii="楷体_GB2312" w:hAnsi="楷体_GB2312" w:eastAsia="楷体_GB2312" w:cs="楷体_GB2312"/>
          <w:b w:val="0"/>
          <w:bCs/>
          <w:sz w:val="32"/>
          <w:szCs w:val="32"/>
          <w:lang w:eastAsia="zh-CN"/>
        </w:rPr>
        <w:t>十</w:t>
      </w:r>
      <w:r>
        <w:rPr>
          <w:rFonts w:hint="eastAsia" w:ascii="楷体_GB2312" w:hAnsi="楷体_GB2312" w:eastAsia="楷体_GB2312" w:cs="楷体_GB2312"/>
          <w:b w:val="0"/>
          <w:bCs/>
          <w:sz w:val="32"/>
          <w:szCs w:val="32"/>
        </w:rPr>
        <w:t>.社会保障和就业支出（类）行政事业单位</w:t>
      </w:r>
      <w:r>
        <w:rPr>
          <w:rFonts w:hint="eastAsia" w:ascii="楷体_GB2312" w:hAnsi="楷体_GB2312" w:eastAsia="楷体_GB2312" w:cs="楷体_GB2312"/>
          <w:b w:val="0"/>
          <w:bCs/>
          <w:sz w:val="32"/>
          <w:szCs w:val="32"/>
          <w:lang w:eastAsia="zh-CN"/>
        </w:rPr>
        <w:t>养老支出</w:t>
      </w:r>
      <w:r>
        <w:rPr>
          <w:rFonts w:hint="eastAsia" w:ascii="楷体_GB2312" w:hAnsi="楷体_GB2312" w:eastAsia="楷体_GB2312" w:cs="楷体_GB2312"/>
          <w:b w:val="0"/>
          <w:bCs/>
          <w:sz w:val="32"/>
          <w:szCs w:val="32"/>
        </w:rPr>
        <w:t>（款）</w:t>
      </w:r>
      <w:r>
        <w:rPr>
          <w:rFonts w:hint="eastAsia" w:ascii="楷体_GB2312" w:hAnsi="楷体_GB2312" w:eastAsia="楷体_GB2312" w:cs="楷体_GB2312"/>
          <w:b w:val="0"/>
          <w:bCs/>
          <w:sz w:val="32"/>
          <w:szCs w:val="32"/>
          <w:lang w:eastAsia="zh-CN"/>
        </w:rPr>
        <w:t>机关事业单位基本养老保险缴费支出</w:t>
      </w:r>
      <w:r>
        <w:rPr>
          <w:rFonts w:hint="eastAsia" w:ascii="楷体_GB2312" w:hAnsi="楷体_GB2312" w:eastAsia="楷体_GB2312" w:cs="楷体_GB2312"/>
          <w:b w:val="0"/>
          <w:bCs/>
          <w:sz w:val="32"/>
          <w:szCs w:val="32"/>
        </w:rPr>
        <w:t>（项）</w:t>
      </w:r>
      <w:r>
        <w:rPr>
          <w:rFonts w:hint="eastAsia" w:ascii="楷体_GB2312" w:hAnsi="楷体_GB2312" w:eastAsia="楷体_GB2312" w:cs="楷体_GB2312"/>
          <w:b w:val="0"/>
          <w:bCs/>
          <w:sz w:val="32"/>
          <w:szCs w:val="32"/>
          <w:lang w:eastAsia="zh-CN"/>
        </w:rPr>
        <w:t>：反映由单位缴纳的基本养老保险费支出。</w:t>
      </w:r>
    </w:p>
    <w:p>
      <w:pPr>
        <w:ind w:firstLine="640" w:firstLineChars="200"/>
        <w:rPr>
          <w:rFonts w:hint="eastAsia" w:ascii="楷体_GB2312" w:hAnsi="楷体_GB2312" w:eastAsia="楷体_GB2312" w:cs="楷体_GB2312"/>
          <w:b w:val="0"/>
          <w:bCs/>
          <w:sz w:val="32"/>
          <w:szCs w:val="32"/>
          <w:lang w:eastAsia="zh-CN"/>
        </w:rPr>
      </w:pPr>
      <w:r>
        <w:rPr>
          <w:rFonts w:hint="eastAsia" w:ascii="楷体_GB2312" w:hAnsi="楷体_GB2312" w:eastAsia="楷体_GB2312" w:cs="楷体_GB2312"/>
          <w:b w:val="0"/>
          <w:bCs/>
          <w:sz w:val="32"/>
          <w:szCs w:val="32"/>
          <w:lang w:eastAsia="zh-CN"/>
        </w:rPr>
        <w:t>十一</w:t>
      </w:r>
      <w:r>
        <w:rPr>
          <w:rFonts w:hint="eastAsia" w:ascii="楷体_GB2312" w:hAnsi="楷体_GB2312" w:eastAsia="楷体_GB2312" w:cs="楷体_GB2312"/>
          <w:b w:val="0"/>
          <w:bCs/>
          <w:sz w:val="32"/>
          <w:szCs w:val="32"/>
        </w:rPr>
        <w:t>.社会保障和就业支出（类）行政事业单位</w:t>
      </w:r>
      <w:r>
        <w:rPr>
          <w:rFonts w:hint="eastAsia" w:ascii="楷体_GB2312" w:hAnsi="楷体_GB2312" w:eastAsia="楷体_GB2312" w:cs="楷体_GB2312"/>
          <w:b w:val="0"/>
          <w:bCs/>
          <w:sz w:val="32"/>
          <w:szCs w:val="32"/>
          <w:lang w:eastAsia="zh-CN"/>
        </w:rPr>
        <w:t>养老支出</w:t>
      </w:r>
      <w:r>
        <w:rPr>
          <w:rFonts w:hint="eastAsia" w:ascii="楷体_GB2312" w:hAnsi="楷体_GB2312" w:eastAsia="楷体_GB2312" w:cs="楷体_GB2312"/>
          <w:b w:val="0"/>
          <w:bCs/>
          <w:sz w:val="32"/>
          <w:szCs w:val="32"/>
        </w:rPr>
        <w:t>（款）</w:t>
      </w:r>
      <w:r>
        <w:rPr>
          <w:rFonts w:hint="eastAsia" w:ascii="楷体_GB2312" w:hAnsi="楷体_GB2312" w:eastAsia="楷体_GB2312" w:cs="楷体_GB2312"/>
          <w:b w:val="0"/>
          <w:bCs/>
          <w:sz w:val="32"/>
          <w:szCs w:val="32"/>
          <w:lang w:eastAsia="zh-CN"/>
        </w:rPr>
        <w:t>机关事业单位职业年金缴费支出</w:t>
      </w:r>
      <w:r>
        <w:rPr>
          <w:rFonts w:hint="eastAsia" w:ascii="楷体_GB2312" w:hAnsi="楷体_GB2312" w:eastAsia="楷体_GB2312" w:cs="楷体_GB2312"/>
          <w:b w:val="0"/>
          <w:bCs/>
          <w:sz w:val="32"/>
          <w:szCs w:val="32"/>
        </w:rPr>
        <w:t>（项）</w:t>
      </w:r>
      <w:r>
        <w:rPr>
          <w:rFonts w:hint="eastAsia" w:ascii="楷体_GB2312" w:hAnsi="楷体_GB2312" w:eastAsia="楷体_GB2312" w:cs="楷体_GB2312"/>
          <w:b w:val="0"/>
          <w:bCs/>
          <w:sz w:val="32"/>
          <w:szCs w:val="32"/>
          <w:lang w:eastAsia="zh-CN"/>
        </w:rPr>
        <w:t>：反映由单位实际缴纳的职业年金支出。</w:t>
      </w:r>
    </w:p>
    <w:p>
      <w:pPr>
        <w:ind w:firstLine="640" w:firstLineChars="200"/>
        <w:rPr>
          <w:rFonts w:hint="eastAsia" w:ascii="楷体_GB2312" w:hAnsi="楷体_GB2312" w:eastAsia="楷体_GB2312" w:cs="楷体_GB2312"/>
          <w:b w:val="0"/>
          <w:bCs/>
          <w:sz w:val="32"/>
          <w:szCs w:val="32"/>
          <w:lang w:eastAsia="zh-CN"/>
        </w:rPr>
      </w:pPr>
      <w:r>
        <w:rPr>
          <w:rFonts w:hint="eastAsia" w:ascii="楷体_GB2312" w:hAnsi="楷体_GB2312" w:eastAsia="楷体_GB2312" w:cs="楷体_GB2312"/>
          <w:b w:val="0"/>
          <w:bCs/>
          <w:sz w:val="32"/>
          <w:szCs w:val="32"/>
          <w:lang w:eastAsia="zh-CN"/>
        </w:rPr>
        <w:t>十二</w:t>
      </w:r>
      <w:r>
        <w:rPr>
          <w:rFonts w:hint="eastAsia" w:ascii="楷体_GB2312" w:hAnsi="楷体_GB2312" w:eastAsia="楷体_GB2312" w:cs="楷体_GB2312"/>
          <w:b w:val="0"/>
          <w:bCs/>
          <w:sz w:val="32"/>
          <w:szCs w:val="32"/>
        </w:rPr>
        <w:t>.社会保障和就业支出（类）</w:t>
      </w:r>
      <w:r>
        <w:rPr>
          <w:rFonts w:hint="eastAsia" w:ascii="楷体_GB2312" w:hAnsi="楷体_GB2312" w:eastAsia="楷体_GB2312" w:cs="楷体_GB2312"/>
          <w:b w:val="0"/>
          <w:bCs/>
          <w:sz w:val="32"/>
          <w:szCs w:val="32"/>
          <w:lang w:eastAsia="zh-CN"/>
        </w:rPr>
        <w:t>其他社会保障和就业支出</w:t>
      </w:r>
      <w:r>
        <w:rPr>
          <w:rFonts w:hint="eastAsia" w:ascii="楷体_GB2312" w:hAnsi="楷体_GB2312" w:eastAsia="楷体_GB2312" w:cs="楷体_GB2312"/>
          <w:b w:val="0"/>
          <w:bCs/>
          <w:sz w:val="32"/>
          <w:szCs w:val="32"/>
        </w:rPr>
        <w:t>（款）</w:t>
      </w:r>
      <w:r>
        <w:rPr>
          <w:rFonts w:hint="eastAsia" w:ascii="楷体_GB2312" w:hAnsi="楷体_GB2312" w:eastAsia="楷体_GB2312" w:cs="楷体_GB2312"/>
          <w:b w:val="0"/>
          <w:bCs/>
          <w:sz w:val="32"/>
          <w:szCs w:val="32"/>
          <w:lang w:eastAsia="zh-CN"/>
        </w:rPr>
        <w:t>其他社会保障和就业支出</w:t>
      </w:r>
      <w:r>
        <w:rPr>
          <w:rFonts w:hint="eastAsia" w:ascii="楷体_GB2312" w:hAnsi="楷体_GB2312" w:eastAsia="楷体_GB2312" w:cs="楷体_GB2312"/>
          <w:b w:val="0"/>
          <w:bCs/>
          <w:sz w:val="32"/>
          <w:szCs w:val="32"/>
        </w:rPr>
        <w:t>（项）</w:t>
      </w:r>
      <w:r>
        <w:rPr>
          <w:rFonts w:hint="eastAsia" w:ascii="楷体_GB2312" w:hAnsi="楷体_GB2312" w:eastAsia="楷体_GB2312" w:cs="楷体_GB2312"/>
          <w:b w:val="0"/>
          <w:bCs/>
          <w:sz w:val="32"/>
          <w:szCs w:val="32"/>
          <w:lang w:eastAsia="zh-CN"/>
        </w:rPr>
        <w:t>：反映单位其他用于社会保障和就业方面的支出。</w:t>
      </w:r>
    </w:p>
    <w:p>
      <w:pPr>
        <w:ind w:firstLine="640" w:firstLineChars="200"/>
        <w:rPr>
          <w:rFonts w:hint="eastAsia" w:ascii="楷体_GB2312" w:hAnsi="楷体_GB2312" w:eastAsia="楷体_GB2312" w:cs="楷体_GB2312"/>
          <w:b w:val="0"/>
          <w:bCs/>
          <w:sz w:val="32"/>
          <w:szCs w:val="32"/>
          <w:lang w:val="en-US" w:eastAsia="zh-CN"/>
        </w:rPr>
      </w:pPr>
      <w:r>
        <w:rPr>
          <w:rFonts w:hint="eastAsia" w:ascii="楷体_GB2312" w:hAnsi="楷体_GB2312" w:eastAsia="楷体_GB2312" w:cs="楷体_GB2312"/>
          <w:b w:val="0"/>
          <w:bCs/>
          <w:sz w:val="32"/>
          <w:szCs w:val="32"/>
          <w:lang w:eastAsia="zh-CN"/>
        </w:rPr>
        <w:t>十三</w:t>
      </w:r>
      <w:r>
        <w:rPr>
          <w:rFonts w:hint="eastAsia" w:ascii="楷体_GB2312" w:hAnsi="楷体_GB2312" w:eastAsia="楷体_GB2312" w:cs="楷体_GB2312"/>
          <w:b w:val="0"/>
          <w:bCs/>
          <w:sz w:val="32"/>
          <w:szCs w:val="32"/>
        </w:rPr>
        <w:t>.</w:t>
      </w:r>
      <w:r>
        <w:rPr>
          <w:rFonts w:hint="eastAsia" w:ascii="楷体_GB2312" w:hAnsi="楷体_GB2312" w:eastAsia="楷体_GB2312" w:cs="楷体_GB2312"/>
          <w:b w:val="0"/>
          <w:bCs/>
          <w:sz w:val="32"/>
          <w:szCs w:val="32"/>
          <w:lang w:eastAsia="zh-CN"/>
        </w:rPr>
        <w:t>卫生健康</w:t>
      </w:r>
      <w:r>
        <w:rPr>
          <w:rFonts w:hint="eastAsia" w:ascii="楷体_GB2312" w:hAnsi="楷体_GB2312" w:eastAsia="楷体_GB2312" w:cs="楷体_GB2312"/>
          <w:b w:val="0"/>
          <w:bCs/>
          <w:sz w:val="32"/>
          <w:szCs w:val="32"/>
        </w:rPr>
        <w:t>支出（类）</w:t>
      </w:r>
      <w:r>
        <w:rPr>
          <w:rFonts w:hint="eastAsia" w:ascii="楷体_GB2312" w:hAnsi="楷体_GB2312" w:eastAsia="楷体_GB2312" w:cs="楷体_GB2312"/>
          <w:b w:val="0"/>
          <w:bCs/>
          <w:sz w:val="32"/>
          <w:szCs w:val="32"/>
          <w:lang w:eastAsia="zh-CN"/>
        </w:rPr>
        <w:t>行政事业单位医疗</w:t>
      </w:r>
      <w:r>
        <w:rPr>
          <w:rFonts w:hint="eastAsia" w:ascii="楷体_GB2312" w:hAnsi="楷体_GB2312" w:eastAsia="楷体_GB2312" w:cs="楷体_GB2312"/>
          <w:b w:val="0"/>
          <w:bCs/>
          <w:sz w:val="32"/>
          <w:szCs w:val="32"/>
        </w:rPr>
        <w:t>（款）</w:t>
      </w:r>
      <w:r>
        <w:rPr>
          <w:rFonts w:hint="eastAsia" w:ascii="楷体_GB2312" w:hAnsi="楷体_GB2312" w:eastAsia="楷体_GB2312" w:cs="楷体_GB2312"/>
          <w:b w:val="0"/>
          <w:bCs/>
          <w:sz w:val="32"/>
          <w:szCs w:val="32"/>
          <w:lang w:eastAsia="zh-CN"/>
        </w:rPr>
        <w:t>事业单位医疗</w:t>
      </w:r>
      <w:r>
        <w:rPr>
          <w:rFonts w:hint="eastAsia" w:ascii="楷体_GB2312" w:hAnsi="楷体_GB2312" w:eastAsia="楷体_GB2312" w:cs="楷体_GB2312"/>
          <w:b w:val="0"/>
          <w:bCs/>
          <w:sz w:val="32"/>
          <w:szCs w:val="32"/>
        </w:rPr>
        <w:t>（项）</w:t>
      </w:r>
      <w:r>
        <w:rPr>
          <w:rFonts w:hint="eastAsia" w:ascii="楷体_GB2312" w:hAnsi="楷体_GB2312" w:eastAsia="楷体_GB2312" w:cs="楷体_GB2312"/>
          <w:b w:val="0"/>
          <w:bCs/>
          <w:sz w:val="32"/>
          <w:szCs w:val="32"/>
          <w:lang w:eastAsia="zh-CN"/>
        </w:rPr>
        <w:t>：反映财政部门安排的事业单位基本医疗保险缴费支出。</w:t>
      </w:r>
    </w:p>
    <w:p>
      <w:pPr>
        <w:pStyle w:val="4"/>
        <w:topLinePunct/>
        <w:spacing w:beforeAutospacing="0" w:afterAutospacing="0" w:line="560" w:lineRule="exact"/>
        <w:ind w:firstLine="480" w:firstLineChars="150"/>
        <w:jc w:val="both"/>
        <w:rPr>
          <w:rFonts w:hint="eastAsia" w:ascii="楷体_GB2312" w:hAnsi="楷体_GB2312" w:eastAsia="楷体_GB2312" w:cs="楷体_GB2312"/>
          <w:b w:val="0"/>
          <w:bCs/>
          <w:sz w:val="32"/>
          <w:szCs w:val="32"/>
          <w:lang w:eastAsia="zh-CN"/>
        </w:rPr>
      </w:pPr>
      <w:r>
        <w:rPr>
          <w:rFonts w:hint="eastAsia" w:ascii="楷体_GB2312" w:hAnsi="楷体_GB2312" w:eastAsia="楷体_GB2312" w:cs="楷体_GB2312"/>
          <w:b w:val="0"/>
          <w:bCs/>
          <w:sz w:val="32"/>
          <w:szCs w:val="32"/>
          <w:lang w:eastAsia="zh-CN"/>
        </w:rPr>
        <w:t>十四</w:t>
      </w:r>
      <w:r>
        <w:rPr>
          <w:rFonts w:hint="eastAsia" w:ascii="楷体_GB2312" w:hAnsi="楷体_GB2312" w:eastAsia="楷体_GB2312" w:cs="楷体_GB2312"/>
          <w:b w:val="0"/>
          <w:bCs/>
          <w:sz w:val="32"/>
          <w:szCs w:val="32"/>
          <w:lang w:val="en-US" w:eastAsia="zh-CN"/>
        </w:rPr>
        <w:t>.</w:t>
      </w:r>
      <w:r>
        <w:rPr>
          <w:rFonts w:hint="eastAsia" w:ascii="楷体_GB2312" w:hAnsi="楷体_GB2312" w:eastAsia="楷体_GB2312" w:cs="楷体_GB2312"/>
          <w:b w:val="0"/>
          <w:bCs/>
          <w:sz w:val="32"/>
          <w:szCs w:val="32"/>
          <w:lang w:eastAsia="zh-CN"/>
        </w:rPr>
        <w:t>卫生健康</w:t>
      </w:r>
      <w:r>
        <w:rPr>
          <w:rFonts w:hint="eastAsia" w:ascii="楷体_GB2312" w:hAnsi="楷体_GB2312" w:eastAsia="楷体_GB2312" w:cs="楷体_GB2312"/>
          <w:b w:val="0"/>
          <w:bCs/>
          <w:sz w:val="32"/>
          <w:szCs w:val="32"/>
        </w:rPr>
        <w:t>支出（类）</w:t>
      </w:r>
      <w:r>
        <w:rPr>
          <w:rFonts w:hint="eastAsia" w:ascii="楷体_GB2312" w:hAnsi="楷体_GB2312" w:eastAsia="楷体_GB2312" w:cs="楷体_GB2312"/>
          <w:b w:val="0"/>
          <w:bCs/>
          <w:sz w:val="32"/>
          <w:szCs w:val="32"/>
          <w:lang w:eastAsia="zh-CN"/>
        </w:rPr>
        <w:t>行政事业单位医疗</w:t>
      </w:r>
      <w:r>
        <w:rPr>
          <w:rFonts w:hint="eastAsia" w:ascii="楷体_GB2312" w:hAnsi="楷体_GB2312" w:eastAsia="楷体_GB2312" w:cs="楷体_GB2312"/>
          <w:b w:val="0"/>
          <w:bCs/>
          <w:sz w:val="32"/>
          <w:szCs w:val="32"/>
        </w:rPr>
        <w:t>（款）</w:t>
      </w:r>
      <w:r>
        <w:rPr>
          <w:rFonts w:hint="eastAsia" w:ascii="楷体_GB2312" w:hAnsi="楷体_GB2312" w:eastAsia="楷体_GB2312" w:cs="楷体_GB2312"/>
          <w:b w:val="0"/>
          <w:bCs/>
          <w:sz w:val="32"/>
          <w:szCs w:val="32"/>
          <w:lang w:eastAsia="zh-CN"/>
        </w:rPr>
        <w:t>公务员医疗补助</w:t>
      </w:r>
      <w:r>
        <w:rPr>
          <w:rFonts w:hint="eastAsia" w:ascii="楷体_GB2312" w:hAnsi="楷体_GB2312" w:eastAsia="楷体_GB2312" w:cs="楷体_GB2312"/>
          <w:b w:val="0"/>
          <w:bCs/>
          <w:sz w:val="32"/>
          <w:szCs w:val="32"/>
        </w:rPr>
        <w:t>（项）</w:t>
      </w:r>
      <w:r>
        <w:rPr>
          <w:rFonts w:hint="eastAsia" w:ascii="楷体_GB2312" w:hAnsi="楷体_GB2312" w:eastAsia="楷体_GB2312" w:cs="楷体_GB2312"/>
          <w:b w:val="0"/>
          <w:bCs/>
          <w:sz w:val="32"/>
          <w:szCs w:val="32"/>
          <w:lang w:eastAsia="zh-CN"/>
        </w:rPr>
        <w:t>：反映财政部门安排的公务员医疗补助经费。</w:t>
      </w:r>
    </w:p>
    <w:p>
      <w:pPr>
        <w:pStyle w:val="4"/>
        <w:topLinePunct/>
        <w:spacing w:beforeAutospacing="0" w:afterAutospacing="0" w:line="560" w:lineRule="exact"/>
        <w:ind w:firstLine="480" w:firstLineChars="150"/>
        <w:jc w:val="both"/>
        <w:rPr>
          <w:rFonts w:hint="eastAsia" w:ascii="楷体_GB2312" w:hAnsi="楷体_GB2312" w:eastAsia="楷体_GB2312" w:cs="楷体_GB2312"/>
          <w:b w:val="0"/>
          <w:bCs/>
          <w:sz w:val="32"/>
          <w:szCs w:val="32"/>
          <w:lang w:val="en-US" w:eastAsia="zh-CN"/>
        </w:rPr>
      </w:pPr>
      <w:r>
        <w:rPr>
          <w:rFonts w:hint="eastAsia" w:ascii="楷体_GB2312" w:hAnsi="楷体_GB2312" w:eastAsia="楷体_GB2312" w:cs="楷体_GB2312"/>
          <w:b w:val="0"/>
          <w:bCs/>
          <w:sz w:val="32"/>
          <w:szCs w:val="32"/>
          <w:lang w:eastAsia="zh-CN"/>
        </w:rPr>
        <w:t>十五</w:t>
      </w:r>
      <w:bookmarkStart w:id="0" w:name="_GoBack"/>
      <w:bookmarkEnd w:id="0"/>
      <w:r>
        <w:rPr>
          <w:rFonts w:hint="eastAsia" w:ascii="楷体_GB2312" w:hAnsi="楷体_GB2312" w:eastAsia="楷体_GB2312" w:cs="楷体_GB2312"/>
          <w:b w:val="0"/>
          <w:bCs/>
          <w:sz w:val="32"/>
          <w:szCs w:val="32"/>
        </w:rPr>
        <w:t>.住房保障支出（类）住房改革支出（款）住房公积金（项）</w:t>
      </w:r>
      <w:r>
        <w:rPr>
          <w:rFonts w:hint="eastAsia" w:ascii="楷体_GB2312" w:hAnsi="楷体_GB2312" w:eastAsia="楷体_GB2312" w:cs="楷体_GB2312"/>
          <w:b w:val="0"/>
          <w:bCs/>
          <w:sz w:val="32"/>
          <w:szCs w:val="32"/>
          <w:lang w:eastAsia="zh-CN"/>
        </w:rPr>
        <w:t>：反映单位按人力资源和社会保障部、财政部规定的基本工资和津贴补贴以及规定比例为职工缴纳的住房公积金。</w:t>
      </w:r>
    </w:p>
    <w:p>
      <w:pPr>
        <w:pStyle w:val="4"/>
        <w:topLinePunct/>
        <w:spacing w:beforeAutospacing="0" w:afterAutospacing="0" w:line="560" w:lineRule="exact"/>
        <w:ind w:firstLine="480" w:firstLineChars="150"/>
        <w:jc w:val="both"/>
        <w:rPr>
          <w:rFonts w:hint="eastAsia" w:ascii="TimesNewRoman" w:hAnsi="TimesNewRoman" w:eastAsia="仿宋_GB2312" w:cs="TimesNewRoman"/>
          <w:sz w:val="32"/>
          <w:szCs w:val="32"/>
          <w:lang w:eastAsia="zh-CN"/>
        </w:rPr>
        <w:sectPr>
          <w:footerReference r:id="rId3" w:type="default"/>
          <w:pgSz w:w="11907" w:h="16840"/>
          <w:pgMar w:top="2098" w:right="1474" w:bottom="1985" w:left="1588" w:header="851" w:footer="1021" w:gutter="0"/>
          <w:cols w:space="425" w:num="1"/>
          <w:docGrid w:type="lines" w:linePitch="312" w:charSpace="0"/>
        </w:sectPr>
      </w:pPr>
    </w:p>
    <w:p>
      <w:pPr>
        <w:pStyle w:val="4"/>
        <w:topLinePunct/>
        <w:spacing w:beforeAutospacing="0" w:afterAutospacing="0" w:line="560" w:lineRule="exact"/>
        <w:jc w:val="both"/>
        <w:rPr>
          <w:rStyle w:val="7"/>
          <w:rFonts w:ascii="TimesNewRoman" w:hAnsi="TimesNewRoman" w:eastAsia="楷体_GB2312" w:cs="TimesNewRoman"/>
          <w:b w:val="0"/>
          <w:sz w:val="32"/>
          <w:szCs w:val="32"/>
        </w:rPr>
      </w:pPr>
    </w:p>
    <w:sectPr>
      <w:footerReference r:id="rId4" w:type="default"/>
      <w:type w:val="oddPage"/>
      <w:pgSz w:w="11907" w:h="16840"/>
      <w:pgMar w:top="2098" w:right="1474" w:bottom="1985" w:left="1588" w:header="851" w:footer="102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NewRoman">
    <w:altName w:val="Simplified Arabic"/>
    <w:panose1 w:val="02020603050405020304"/>
    <w:charset w:val="00"/>
    <w:family w:val="auto"/>
    <w:pitch w:val="default"/>
    <w:sig w:usb0="00000000" w:usb1="00000000" w:usb2="00000029" w:usb3="00000000" w:csb0="600001FF" w:csb1="FFFF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汉仪中秀体简">
    <w:altName w:val="微软雅黑"/>
    <w:panose1 w:val="00000000000000000000"/>
    <w:charset w:val="00"/>
    <w:family w:val="auto"/>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Simplified Arabic">
    <w:panose1 w:val="02020603050405020304"/>
    <w:charset w:val="00"/>
    <w:family w:val="auto"/>
    <w:pitch w:val="default"/>
    <w:sig w:usb0="00002003" w:usb1="00000000" w:usb2="00000000" w:usb3="00000000" w:csb0="00000041" w:csb1="200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180"/>
      <w:jc w:val="right"/>
    </w:pPr>
    <w:r>
      <w:rPr>
        <w:rFonts w:hint="eastAsia" w:ascii="宋体" w:hAnsi="宋体"/>
        <w:sz w:val="28"/>
        <w:szCs w:val="28"/>
      </w:rPr>
      <w:t>—</w:t>
    </w: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37</w:t>
    </w:r>
    <w:r>
      <w:rPr>
        <w:sz w:val="28"/>
        <w:szCs w:val="28"/>
      </w:rPr>
      <w:fldChar w:fldCharType="end"/>
    </w:r>
    <w:r>
      <w:rPr>
        <w:rFonts w:hint="eastAsia"/>
        <w:sz w:val="28"/>
        <w:szCs w:val="28"/>
      </w:rPr>
      <w:t xml:space="preserve"> </w:t>
    </w:r>
    <w:r>
      <w:rPr>
        <w:rFonts w:hint="eastAsia" w:ascii="宋体" w:hAnsi="宋体"/>
        <w:sz w:val="28"/>
        <w:szCs w:val="28"/>
      </w:rPr>
      <w:t xml:space="preserve">— </w:t>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4CA8394"/>
    <w:multiLevelType w:val="singleLevel"/>
    <w:tmpl w:val="74CA839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M0N2M1ZjQ0NzkyZTk5MzkxNjU1OGExNWVmZTU4OTMifQ=="/>
  </w:docVars>
  <w:rsids>
    <w:rsidRoot w:val="00172A27"/>
    <w:rsid w:val="00270BE1"/>
    <w:rsid w:val="0C2728BF"/>
    <w:rsid w:val="0D8037E9"/>
    <w:rsid w:val="124D2729"/>
    <w:rsid w:val="1E182C2C"/>
    <w:rsid w:val="21E522D7"/>
    <w:rsid w:val="2D006CC7"/>
    <w:rsid w:val="334015FA"/>
    <w:rsid w:val="34C97AC9"/>
    <w:rsid w:val="40F37D2C"/>
    <w:rsid w:val="471A45C8"/>
    <w:rsid w:val="4760736D"/>
    <w:rsid w:val="4C85756B"/>
    <w:rsid w:val="4EC512BE"/>
    <w:rsid w:val="4FA62E9D"/>
    <w:rsid w:val="50DF1868"/>
    <w:rsid w:val="52120376"/>
    <w:rsid w:val="53CB13FD"/>
    <w:rsid w:val="53E27C89"/>
    <w:rsid w:val="65A433C9"/>
    <w:rsid w:val="6A3E41DC"/>
    <w:rsid w:val="6D1C04AA"/>
    <w:rsid w:val="6D1E1E6D"/>
    <w:rsid w:val="6D546B2C"/>
    <w:rsid w:val="6FAA7C92"/>
    <w:rsid w:val="74AF7F20"/>
    <w:rsid w:val="77B900F6"/>
    <w:rsid w:val="796A4A6D"/>
    <w:rsid w:val="7C6656B4"/>
    <w:rsid w:val="7C7E0B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Indent 2"/>
    <w:basedOn w:val="1"/>
    <w:autoRedefine/>
    <w:qFormat/>
    <w:uiPriority w:val="0"/>
    <w:pPr>
      <w:spacing w:after="120" w:line="480" w:lineRule="auto"/>
      <w:ind w:left="420" w:leftChars="200"/>
    </w:pPr>
  </w:style>
  <w:style w:type="paragraph" w:styleId="3">
    <w:name w:val="footer"/>
    <w:basedOn w:val="1"/>
    <w:autoRedefine/>
    <w:qFormat/>
    <w:uiPriority w:val="0"/>
    <w:pPr>
      <w:tabs>
        <w:tab w:val="center" w:pos="4153"/>
        <w:tab w:val="right" w:pos="8306"/>
      </w:tabs>
      <w:snapToGrid w:val="0"/>
      <w:jc w:val="left"/>
    </w:pPr>
    <w:rPr>
      <w:sz w:val="18"/>
      <w:szCs w:val="18"/>
    </w:rPr>
  </w:style>
  <w:style w:type="paragraph" w:styleId="4">
    <w:name w:val="Normal (Web)"/>
    <w:basedOn w:val="1"/>
    <w:autoRedefine/>
    <w:qFormat/>
    <w:uiPriority w:val="0"/>
    <w:pPr>
      <w:spacing w:beforeAutospacing="1" w:afterAutospacing="1"/>
      <w:jc w:val="left"/>
    </w:pPr>
    <w:rPr>
      <w:rFonts w:ascii="Calibri" w:hAnsi="Calibri"/>
      <w:kern w:val="0"/>
      <w:sz w:val="24"/>
    </w:rPr>
  </w:style>
  <w:style w:type="character" w:styleId="7">
    <w:name w:val="Strong"/>
    <w:basedOn w:val="6"/>
    <w:autoRedefine/>
    <w:qFormat/>
    <w:uiPriority w:val="0"/>
    <w:rPr>
      <w:b/>
      <w:bC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2024-01-16T02:39:00Z</dcterms:created>
  <dc:creator>二蛋</dc:creator>
  <cp:lastModifiedBy>四叶草</cp:lastModifiedBy>
  <dcterms:modified xsi:type="dcterms:W3CDTF">2024-01-23T01:42:07Z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AB12261BCF484B528A5866483B2ED966_11</vt:lpwstr>
  </property>
</Properties>
</file>