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5.1.0 -->
  <w:body>
    <w:p>
      <w:pPr>
        <w:spacing w:line="560" w:lineRule="exact"/>
        <w:rPr>
          <w:rFonts w:ascii="黑体" w:eastAsia="黑体" w:hAnsi="黑体" w:cs="TimesNewRoman"/>
          <w:sz w:val="32"/>
          <w:szCs w:val="32"/>
        </w:rPr>
      </w:pPr>
      <w:bookmarkStart w:id="0" w:name="_GoBack"/>
      <w:bookmarkEnd w:id="0"/>
      <w:r>
        <w:rPr>
          <w:rFonts w:ascii="黑体" w:eastAsia="黑体" w:hAnsi="黑体" w:cs="TimesNewRoman" w:hint="eastAsia"/>
          <w:sz w:val="32"/>
          <w:szCs w:val="32"/>
          <w:lang w:val="en"/>
        </w:rPr>
        <w:t>附件</w:t>
      </w:r>
      <w:r>
        <w:rPr>
          <w:rFonts w:ascii="黑体" w:eastAsia="黑体" w:hAnsi="黑体" w:cs="TimesNewRoman" w:hint="eastAsia"/>
          <w:sz w:val="32"/>
          <w:szCs w:val="32"/>
        </w:rPr>
        <w:t>1</w:t>
      </w:r>
    </w:p>
    <w:p>
      <w:pPr>
        <w:spacing w:line="560" w:lineRule="exact"/>
        <w:rPr>
          <w:rFonts w:ascii="TimesNewRoman" w:eastAsia="黑体" w:hAnsi="TimesNewRoman" w:cs="TimesNewRoman" w:hint="eastAsia"/>
          <w:szCs w:val="32"/>
        </w:rPr>
      </w:pPr>
    </w:p>
    <w:p>
      <w:pPr>
        <w:spacing w:line="560" w:lineRule="exact"/>
        <w:jc w:val="center"/>
        <w:rPr>
          <w:rFonts w:ascii="方正小标宋_GBK" w:eastAsia="方正小标宋_GBK" w:hAnsi="TimesNewRoman" w:cs="TimesNewRoman" w:hint="eastAsia"/>
          <w:szCs w:val="32"/>
        </w:rPr>
      </w:pP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rPr>
        <w:t>寿县</w:t>
      </w:r>
      <w:r>
        <w:rPr>
          <w:rFonts w:ascii="方正小标宋_GBK" w:eastAsia="方正小标宋_GBK" w:hAnsi="TimesNewRoman" w:cs="TimesNewRoman" w:hint="eastAsia"/>
          <w:sz w:val="44"/>
          <w:szCs w:val="44"/>
          <w:lang w:eastAsia="zh-CN"/>
        </w:rPr>
        <w:t>统战部</w:t>
      </w:r>
      <w:r>
        <w:rPr>
          <w:rFonts w:ascii="方正小标宋_GBK" w:eastAsia="方正小标宋_GBK" w:hAnsi="TimesNewRoman" w:cs="TimesNewRoman" w:hint="eastAsia"/>
          <w:sz w:val="44"/>
          <w:szCs w:val="44"/>
        </w:rPr>
        <w:t>2024年</w:t>
      </w: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rPr>
        <w:t>部门</w:t>
      </w:r>
      <w:r>
        <w:rPr>
          <w:rFonts w:ascii="方正小标宋_GBK" w:eastAsia="方正小标宋_GBK" w:hAnsi="TimesNewRoman" w:cs="TimesNewRoman" w:hint="eastAsia"/>
          <w:sz w:val="44"/>
          <w:szCs w:val="44"/>
          <w:u w:val="single"/>
        </w:rPr>
        <w:t>（单位）</w:t>
      </w:r>
      <w:r>
        <w:rPr>
          <w:rFonts w:ascii="方正小标宋_GBK" w:eastAsia="方正小标宋_GBK" w:hAnsi="TimesNewRoman" w:cs="TimesNewRoman" w:hint="eastAsia"/>
          <w:sz w:val="44"/>
          <w:szCs w:val="44"/>
        </w:rPr>
        <w:t>预算</w:t>
      </w:r>
    </w:p>
    <w:p>
      <w:pPr>
        <w:pStyle w:val="NormalWeb"/>
        <w:adjustRightInd w:val="0"/>
        <w:snapToGrid w:val="0"/>
        <w:spacing w:line="560" w:lineRule="exact"/>
        <w:jc w:val="center"/>
        <w:outlineLvl w:val="0"/>
        <w:rPr>
          <w:rFonts w:ascii="方正小标宋_GBK" w:eastAsia="方正小标宋_GBK" w:hAnsi="TimesNewRoman" w:cs="TimesNewRoman" w:hint="eastAsia"/>
          <w:sz w:val="32"/>
          <w:szCs w:val="32"/>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hint="eastAsia"/>
          <w:bCs/>
          <w:sz w:val="36"/>
          <w:szCs w:val="36"/>
        </w:rPr>
      </w:pPr>
    </w:p>
    <w:p>
      <w:pPr>
        <w:pStyle w:val="NormalWeb"/>
        <w:adjustRightInd w:val="0"/>
        <w:snapToGrid w:val="0"/>
        <w:spacing w:line="560" w:lineRule="exact"/>
        <w:jc w:val="center"/>
        <w:rPr>
          <w:rFonts w:ascii="TimesNewRoman" w:eastAsia="黑体" w:hAnsi="TimesNewRoman" w:cs="TimesNewRoman"/>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6"/>
          <w:szCs w:val="32"/>
        </w:rPr>
      </w:pPr>
      <w:r>
        <w:rPr>
          <w:rFonts w:ascii="仿宋_GB2312" w:eastAsia="仿宋_GB2312" w:hAnsi="TimesNewRoman" w:cs="TimesNewRoman" w:hint="eastAsia"/>
          <w:bCs/>
          <w:sz w:val="36"/>
          <w:szCs w:val="32"/>
        </w:rPr>
        <w:t>2024年</w:t>
      </w:r>
      <w:r>
        <w:rPr>
          <w:rFonts w:ascii="仿宋_GB2312" w:eastAsia="仿宋_GB2312" w:hAnsi="TimesNewRoman" w:cs="TimesNewRoman" w:hint="eastAsia"/>
          <w:bCs/>
          <w:sz w:val="36"/>
          <w:szCs w:val="32"/>
          <w:lang w:val="en-US" w:eastAsia="zh-CN"/>
        </w:rPr>
        <w:t>1</w:t>
      </w:r>
      <w:r>
        <w:rPr>
          <w:rFonts w:ascii="仿宋_GB2312" w:eastAsia="仿宋_GB2312" w:hAnsi="TimesNewRoman" w:cs="TimesNewRoman" w:hint="eastAsia"/>
          <w:bCs/>
          <w:sz w:val="36"/>
          <w:szCs w:val="32"/>
        </w:rPr>
        <w:t>月</w:t>
      </w:r>
    </w:p>
    <w:p>
      <w:pPr>
        <w:pStyle w:val="NormalWeb"/>
        <w:adjustRightInd w:val="0"/>
        <w:snapToGrid w:val="0"/>
        <w:spacing w:line="560" w:lineRule="exact"/>
        <w:jc w:val="center"/>
        <w:rPr>
          <w:rFonts w:ascii="仿宋_GB2312" w:eastAsia="仿宋_GB2312" w:hAnsi="TimesNewRoman" w:cs="TimesNewRoman" w:hint="eastAsia"/>
          <w:bCs/>
          <w:sz w:val="36"/>
          <w:szCs w:val="32"/>
        </w:rPr>
      </w:pPr>
    </w:p>
    <w:p>
      <w:pPr>
        <w:pStyle w:val="NormalWeb"/>
        <w:adjustRightInd w:val="0"/>
        <w:snapToGrid w:val="0"/>
        <w:spacing w:line="560" w:lineRule="exact"/>
        <w:jc w:val="center"/>
        <w:rPr>
          <w:rFonts w:ascii="仿宋_GB2312" w:eastAsia="仿宋_GB2312" w:hAnsi="TimesNewRoman" w:cs="TimesNewRoman" w:hint="eastAsia"/>
          <w:bCs/>
          <w:sz w:val="36"/>
          <w:szCs w:val="32"/>
        </w:rPr>
      </w:pPr>
    </w:p>
    <w:p>
      <w:pPr>
        <w:pStyle w:val="NormalWeb"/>
        <w:adjustRightInd w:val="0"/>
        <w:snapToGrid w:val="0"/>
        <w:spacing w:line="560" w:lineRule="exact"/>
        <w:jc w:val="center"/>
        <w:rPr>
          <w:rFonts w:ascii="方正小标宋_GBK" w:eastAsia="方正小标宋_GBK" w:hAnsi="TimesNewRoman" w:cs="TimesNewRoman" w:hint="eastAsia"/>
          <w:bCs/>
          <w:sz w:val="44"/>
          <w:szCs w:val="44"/>
        </w:rPr>
      </w:pPr>
      <w:r>
        <w:rPr>
          <w:rFonts w:ascii="方正小标宋_GBK" w:eastAsia="方正小标宋_GBK" w:hAnsi="TimesNewRoman" w:cs="TimesNewRoman" w:hint="eastAsia"/>
          <w:bCs/>
          <w:sz w:val="44"/>
          <w:szCs w:val="44"/>
        </w:rPr>
        <w:t>目  录</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第一部分 部门</w:t>
      </w:r>
      <w:r>
        <w:rPr>
          <w:rFonts w:ascii="黑体" w:eastAsia="黑体" w:hAnsi="黑体" w:cs="TimesNewRoman"/>
          <w:sz w:val="32"/>
          <w:szCs w:val="32"/>
          <w:u w:val="single"/>
        </w:rPr>
        <w:t>（单位）</w:t>
      </w:r>
      <w:r>
        <w:rPr>
          <w:rFonts w:ascii="黑体" w:eastAsia="黑体" w:hAnsi="黑体" w:cs="TimesNewRoman"/>
          <w:sz w:val="32"/>
          <w:szCs w:val="32"/>
        </w:rPr>
        <w:t>概况</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1.主要职责</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2.部门</w:t>
      </w:r>
      <w:r>
        <w:rPr>
          <w:rFonts w:ascii="仿宋_GB2312" w:eastAsia="仿宋_GB2312" w:hAnsi="TimesNewRoman" w:cs="TimesNewRoman" w:hint="eastAsia"/>
          <w:bCs/>
          <w:sz w:val="32"/>
          <w:szCs w:val="32"/>
          <w:u w:val="single"/>
        </w:rPr>
        <w:t>（单位）</w:t>
      </w:r>
      <w:r>
        <w:rPr>
          <w:rFonts w:ascii="仿宋_GB2312" w:eastAsia="仿宋_GB2312" w:hAnsi="TimesNewRoman" w:cs="TimesNewRoman" w:hint="eastAsia"/>
          <w:bCs/>
          <w:sz w:val="32"/>
          <w:szCs w:val="32"/>
        </w:rPr>
        <w:t>预算构成</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3.2024年度主要工作任务</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Pr>
          <w:rFonts w:ascii="黑体" w:eastAsia="黑体" w:hAnsi="黑体" w:cs="TimesNewRoman"/>
          <w:sz w:val="32"/>
          <w:szCs w:val="32"/>
        </w:rPr>
        <w:t>年部门（单位）预算表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统战部</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统战部</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统战部</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统战部</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统战部</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统战部</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统战部</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统战部</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统战部</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统战部</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统战部</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Pr>
          <w:rFonts w:ascii="黑体" w:eastAsia="黑体" w:hAnsi="黑体" w:cs="TimesNewRoman"/>
          <w:sz w:val="32"/>
          <w:szCs w:val="32"/>
        </w:rPr>
        <w:t>年部门（单位）预算情况说明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2"/>
          <w:szCs w:val="32"/>
        </w:rPr>
      </w:pPr>
      <w:r>
        <w:rPr>
          <w:rFonts w:ascii="TimesNewRoman" w:eastAsia="黑体" w:hAnsi="TimesNewRoman" w:cs="TimesNewRoman"/>
          <w:bCs/>
          <w:sz w:val="36"/>
          <w:szCs w:val="36"/>
        </w:rPr>
        <w:t>第一部分 部门</w:t>
      </w:r>
      <w:r>
        <w:rPr>
          <w:rFonts w:ascii="TimesNewRoman" w:eastAsia="黑体" w:hAnsi="TimesNewRoman" w:cs="TimesNewRoman"/>
          <w:bCs/>
          <w:sz w:val="36"/>
          <w:szCs w:val="36"/>
          <w:u w:val="single"/>
        </w:rPr>
        <w:t>（单位）</w:t>
      </w:r>
      <w:r>
        <w:rPr>
          <w:rFonts w:ascii="TimesNewRoman" w:eastAsia="黑体" w:hAnsi="TimesNewRoman" w:cs="TimesNewRoman"/>
          <w:bCs/>
          <w:sz w:val="36"/>
          <w:szCs w:val="36"/>
        </w:rPr>
        <w:t>概况</w:t>
      </w:r>
    </w:p>
    <w:p>
      <w:pPr>
        <w:pStyle w:val="NormalWeb"/>
        <w:numPr>
          <w:ilvl w:val="0"/>
          <w:numId w:val="1"/>
        </w:numPr>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主要职责</w:t>
      </w:r>
    </w:p>
    <w:p>
      <w:pPr>
        <w:spacing w:line="540" w:lineRule="exact"/>
        <w:ind w:firstLine="640" w:firstLineChars="200"/>
        <w:rPr>
          <w:rFonts w:ascii="仿宋" w:eastAsia="仿宋" w:hAnsi="仿宋" w:cs="仿宋" w:hint="eastAsia"/>
          <w:sz w:val="32"/>
          <w:szCs w:val="32"/>
        </w:rPr>
      </w:pPr>
      <w:r>
        <w:rPr>
          <w:rFonts w:ascii="仿宋" w:eastAsia="仿宋" w:hAnsi="仿宋" w:cs="仿宋" w:hint="eastAsia"/>
          <w:sz w:val="32"/>
          <w:szCs w:val="32"/>
        </w:rPr>
        <w:t>1、贯彻执行党的关于统一战线的方针、政策，在调查研究基础上，提出开展我县统战工作的意见和建议。</w:t>
      </w:r>
    </w:p>
    <w:p>
      <w:pPr>
        <w:spacing w:line="540" w:lineRule="exact"/>
        <w:ind w:firstLine="640" w:firstLineChars="200"/>
        <w:rPr>
          <w:rFonts w:ascii="仿宋" w:eastAsia="仿宋" w:hAnsi="仿宋" w:cs="仿宋" w:hint="eastAsia"/>
          <w:sz w:val="32"/>
          <w:szCs w:val="32"/>
        </w:rPr>
      </w:pPr>
      <w:r>
        <w:rPr>
          <w:rFonts w:ascii="仿宋" w:eastAsia="仿宋" w:hAnsi="仿宋" w:cs="仿宋" w:hint="eastAsia"/>
          <w:sz w:val="32"/>
          <w:szCs w:val="32"/>
        </w:rPr>
        <w:t>2、联系各民主党派人士，及时通报情况，反映他们的意见和建议；贯彻落实中央、省委、市委、县委关于发挥民主党派参政议政和民主监督作用的文件精神；支持、帮助民主党派加强自身建设，选拔、培养新的代表人物。</w:t>
      </w:r>
    </w:p>
    <w:p>
      <w:pPr>
        <w:spacing w:line="540" w:lineRule="exact"/>
        <w:ind w:firstLine="640" w:firstLineChars="200"/>
        <w:rPr>
          <w:rFonts w:ascii="仿宋" w:eastAsia="仿宋" w:hAnsi="仿宋" w:cs="仿宋" w:hint="eastAsia"/>
          <w:sz w:val="32"/>
          <w:szCs w:val="32"/>
        </w:rPr>
      </w:pPr>
      <w:r>
        <w:rPr>
          <w:rFonts w:ascii="仿宋" w:eastAsia="仿宋" w:hAnsi="仿宋" w:cs="仿宋" w:hint="eastAsia"/>
          <w:sz w:val="32"/>
          <w:szCs w:val="32"/>
        </w:rPr>
        <w:t>3、围绕发展经济和促进稳定，宣传贯彻党的民族宗教政策，联系少数民族和宗教界的代表人物，协助有关部门做好少数民族干部的培养和举荐工作。</w:t>
      </w:r>
    </w:p>
    <w:p>
      <w:pPr>
        <w:spacing w:line="540" w:lineRule="exact"/>
        <w:ind w:firstLine="640" w:firstLineChars="200"/>
        <w:rPr>
          <w:rFonts w:ascii="仿宋" w:eastAsia="仿宋" w:hAnsi="仿宋" w:cs="仿宋" w:hint="eastAsia"/>
          <w:sz w:val="32"/>
          <w:szCs w:val="32"/>
        </w:rPr>
      </w:pPr>
      <w:r>
        <w:rPr>
          <w:rFonts w:ascii="仿宋" w:eastAsia="仿宋" w:hAnsi="仿宋" w:cs="仿宋" w:hint="eastAsia"/>
          <w:sz w:val="32"/>
          <w:szCs w:val="32"/>
        </w:rPr>
        <w:t>4、开展以祖国统一为重点的海外统战工作；联系海外社团及代表人士，积极开展招商引资工作。</w:t>
      </w:r>
    </w:p>
    <w:p>
      <w:pPr>
        <w:spacing w:line="540" w:lineRule="exact"/>
        <w:ind w:firstLine="640" w:firstLineChars="200"/>
        <w:rPr>
          <w:rFonts w:ascii="仿宋" w:eastAsia="仿宋" w:hAnsi="仿宋" w:cs="仿宋" w:hint="eastAsia"/>
          <w:sz w:val="32"/>
          <w:szCs w:val="32"/>
        </w:rPr>
      </w:pPr>
      <w:r>
        <w:rPr>
          <w:rFonts w:ascii="仿宋" w:eastAsia="仿宋" w:hAnsi="仿宋" w:cs="仿宋" w:hint="eastAsia"/>
          <w:sz w:val="32"/>
          <w:szCs w:val="32"/>
        </w:rPr>
        <w:t>5、负责党外人士的政治安排，会同有关部门做好培养、选拔、推荐党外人士担任政府和司法机关领导职务的工作，做好党外后备干部和新的代表人物队伍的建设工作。</w:t>
      </w:r>
    </w:p>
    <w:p>
      <w:pPr>
        <w:spacing w:line="540" w:lineRule="exact"/>
        <w:ind w:firstLine="640" w:firstLineChars="200"/>
        <w:rPr>
          <w:rFonts w:ascii="仿宋" w:eastAsia="仿宋" w:hAnsi="仿宋" w:cs="仿宋" w:hint="eastAsia"/>
          <w:sz w:val="32"/>
          <w:szCs w:val="32"/>
        </w:rPr>
      </w:pPr>
      <w:r>
        <w:rPr>
          <w:rFonts w:ascii="仿宋" w:eastAsia="仿宋" w:hAnsi="仿宋" w:cs="仿宋" w:hint="eastAsia"/>
          <w:sz w:val="32"/>
          <w:szCs w:val="32"/>
        </w:rPr>
        <w:t>6、联系海外工商界社团和代表人士，调查、研究并反映我县非公有制代表人士的情况，协助有关部门做好我县非公有制经济代表人士的思想政治工作。</w:t>
      </w:r>
    </w:p>
    <w:p>
      <w:pPr>
        <w:spacing w:line="540" w:lineRule="exact"/>
        <w:ind w:firstLine="640" w:firstLineChars="200"/>
        <w:rPr>
          <w:rFonts w:ascii="仿宋" w:eastAsia="仿宋" w:hAnsi="仿宋" w:cs="仿宋" w:hint="eastAsia"/>
          <w:sz w:val="32"/>
          <w:szCs w:val="32"/>
        </w:rPr>
      </w:pPr>
      <w:r>
        <w:rPr>
          <w:rFonts w:ascii="仿宋" w:eastAsia="仿宋" w:hAnsi="仿宋" w:cs="仿宋" w:hint="eastAsia"/>
          <w:sz w:val="32"/>
          <w:szCs w:val="32"/>
        </w:rPr>
        <w:t>7、调查研究党外知识分子的情况，反映意见，协助有关部门做好我县党外知识分子代表人士的思想政治工作。</w:t>
      </w:r>
    </w:p>
    <w:p>
      <w:pPr>
        <w:spacing w:line="540" w:lineRule="exact"/>
        <w:ind w:firstLine="640" w:firstLineChars="200"/>
        <w:rPr>
          <w:rFonts w:ascii="仿宋" w:eastAsia="仿宋" w:hAnsi="仿宋" w:cs="仿宋" w:hint="eastAsia"/>
          <w:sz w:val="32"/>
          <w:szCs w:val="32"/>
        </w:rPr>
      </w:pPr>
      <w:r>
        <w:rPr>
          <w:rFonts w:ascii="仿宋" w:eastAsia="仿宋" w:hAnsi="仿宋" w:cs="仿宋" w:hint="eastAsia"/>
          <w:sz w:val="32"/>
          <w:szCs w:val="32"/>
        </w:rPr>
        <w:t>8、负责我县统一战线的宣传工作。</w:t>
      </w:r>
    </w:p>
    <w:p>
      <w:pPr>
        <w:spacing w:line="540" w:lineRule="exact"/>
        <w:ind w:firstLine="640" w:firstLineChars="200"/>
        <w:rPr>
          <w:rFonts w:ascii="仿宋" w:eastAsia="仿宋" w:hAnsi="仿宋" w:cs="仿宋" w:hint="eastAsia"/>
          <w:sz w:val="32"/>
          <w:szCs w:val="32"/>
        </w:rPr>
      </w:pPr>
      <w:r>
        <w:rPr>
          <w:rFonts w:ascii="仿宋" w:eastAsia="仿宋" w:hAnsi="仿宋" w:cs="仿宋" w:hint="eastAsia"/>
          <w:sz w:val="32"/>
          <w:szCs w:val="32"/>
        </w:rPr>
        <w:t>9、指导乡镇党委统战工作；联系政府各有关部门及重点企业的统战工作；联系、指导工商联工作；代管黄埔同学会等有关社会团体工作。</w:t>
      </w:r>
    </w:p>
    <w:p>
      <w:pPr>
        <w:pStyle w:val="NormalWeb"/>
        <w:adjustRightInd w:val="0"/>
        <w:snapToGrid w:val="0"/>
        <w:spacing w:before="0" w:beforeAutospacing="0" w:after="0" w:afterAutospacing="0" w:line="360" w:lineRule="auto"/>
        <w:ind w:firstLine="627" w:firstLineChars="196"/>
        <w:jc w:val="both"/>
        <w:rPr>
          <w:rFonts w:ascii="楷体_GB2312" w:eastAsia="楷体_GB2312" w:hAnsi="TimesNewRoman" w:cs="TimesNewRoman" w:hint="eastAsia"/>
          <w:b/>
          <w:bCs/>
          <w:sz w:val="32"/>
          <w:szCs w:val="32"/>
        </w:rPr>
      </w:pPr>
      <w:r>
        <w:rPr>
          <w:rFonts w:ascii="仿宋" w:eastAsia="仿宋" w:hAnsi="仿宋" w:cs="仿宋" w:hint="eastAsia"/>
          <w:sz w:val="32"/>
          <w:szCs w:val="32"/>
        </w:rPr>
        <w:t>10、完成县委交办的其他任务。</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b/>
          <w:bCs/>
          <w:sz w:val="32"/>
          <w:szCs w:val="32"/>
        </w:rPr>
        <w:t>部门（单位）预算构成</w:t>
      </w:r>
    </w:p>
    <w:p>
      <w:pPr>
        <w:pStyle w:val="NormalWeb"/>
        <w:adjustRightInd w:val="0"/>
        <w:snapToGrid w:val="0"/>
        <w:spacing w:before="0" w:beforeAutospacing="0" w:after="0" w:afterAutospacing="0" w:line="360" w:lineRule="auto"/>
        <w:ind w:firstLine="627" w:firstLineChars="196"/>
        <w:jc w:val="both"/>
        <w:rPr>
          <w:rFonts w:ascii="楷体_GB2312" w:eastAsia="楷体_GB2312" w:hAnsi="TimesNewRoman" w:cs="TimesNewRoman"/>
          <w:b/>
          <w:bCs/>
          <w:sz w:val="32"/>
          <w:szCs w:val="32"/>
        </w:rPr>
      </w:pPr>
      <w:r>
        <w:rPr>
          <w:rFonts w:ascii="仿宋_GB2312" w:eastAsia="仿宋_GB2312" w:hAnsi="仿宋" w:hint="eastAsia"/>
          <w:sz w:val="32"/>
          <w:szCs w:val="32"/>
        </w:rPr>
        <w:t>从预算单位构成看，</w:t>
      </w:r>
      <w:r>
        <w:rPr>
          <w:rFonts w:ascii="仿宋_GB2312" w:eastAsia="仿宋_GB2312" w:hAnsi="仿宋" w:cs="仿宋" w:hint="eastAsia"/>
          <w:bCs/>
          <w:sz w:val="32"/>
          <w:szCs w:val="32"/>
        </w:rPr>
        <w:t>寿县</w:t>
      </w:r>
      <w:r>
        <w:rPr>
          <w:rFonts w:ascii="仿宋_GB2312" w:eastAsia="仿宋_GB2312" w:hAnsi="仿宋" w:cs="仿宋" w:hint="eastAsia"/>
          <w:bCs/>
          <w:sz w:val="32"/>
          <w:szCs w:val="32"/>
          <w:lang w:eastAsia="zh-CN"/>
        </w:rPr>
        <w:t>统战部</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年度部门预算包括</w:t>
      </w:r>
      <w:r>
        <w:rPr>
          <w:rFonts w:ascii="仿宋_GB2312" w:eastAsia="仿宋_GB2312" w:hAnsi="仿宋" w:hint="eastAsia"/>
          <w:sz w:val="32"/>
          <w:szCs w:val="32"/>
          <w:lang w:eastAsia="zh-CN"/>
        </w:rPr>
        <w:t>部</w:t>
      </w:r>
      <w:r>
        <w:rPr>
          <w:rFonts w:ascii="仿宋_GB2312" w:eastAsia="仿宋_GB2312" w:hAnsi="仿宋" w:hint="eastAsia"/>
          <w:sz w:val="32"/>
          <w:szCs w:val="32"/>
        </w:rPr>
        <w:t>本级预算</w:t>
      </w:r>
      <w:r>
        <w:rPr>
          <w:rFonts w:ascii="仿宋_GB2312" w:eastAsia="仿宋_GB2312" w:hAnsi="仿宋" w:hint="eastAsia"/>
          <w:sz w:val="32"/>
          <w:szCs w:val="32"/>
          <w:lang w:eastAsia="zh-CN"/>
        </w:rPr>
        <w:t>，无其他</w:t>
      </w:r>
      <w:r>
        <w:rPr>
          <w:rFonts w:ascii="仿宋_GB2312" w:eastAsia="仿宋_GB2312" w:hAnsi="仿宋" w:hint="eastAsia"/>
          <w:sz w:val="32"/>
          <w:szCs w:val="32"/>
        </w:rPr>
        <w:t>下属单位预算，纳入部门预算编制范围的单位共</w:t>
      </w:r>
      <w:r>
        <w:rPr>
          <w:rFonts w:ascii="仿宋_GB2312" w:eastAsia="仿宋_GB2312" w:hAnsi="仿宋" w:hint="eastAsia"/>
          <w:sz w:val="32"/>
          <w:szCs w:val="32"/>
          <w:lang w:val="en-US" w:eastAsia="zh-CN"/>
        </w:rPr>
        <w:t>1</w:t>
      </w:r>
      <w:r>
        <w:rPr>
          <w:rFonts w:ascii="仿宋_GB2312" w:eastAsia="仿宋_GB2312" w:hAnsi="仿宋" w:hint="eastAsia"/>
          <w:sz w:val="32"/>
          <w:szCs w:val="32"/>
        </w:rPr>
        <w:t>个，具体情况见下表。</w:t>
      </w:r>
    </w:p>
    <w:tbl>
      <w:tblPr>
        <w:tblStyle w:val="TableNormal"/>
        <w:tblW w:w="9108" w:type="dxa"/>
        <w:tblInd w:w="108" w:type="dxa"/>
        <w:tblLayout w:type="fixed"/>
        <w:tblCellMar>
          <w:top w:w="0" w:type="dxa"/>
          <w:left w:w="0" w:type="dxa"/>
          <w:bottom w:w="0" w:type="dxa"/>
          <w:right w:w="0" w:type="dxa"/>
        </w:tblCellMar>
      </w:tblPr>
      <w:tblGrid>
        <w:gridCol w:w="911"/>
        <w:gridCol w:w="3643"/>
        <w:gridCol w:w="4554"/>
      </w:tblGrid>
      <w:tr>
        <w:tblPrEx>
          <w:tblW w:w="9108" w:type="dxa"/>
          <w:tblInd w:w="108" w:type="dxa"/>
          <w:tblLayout w:type="fixed"/>
        </w:tblPrEx>
        <w:trPr>
          <w:trHeight w:val="400"/>
        </w:trPr>
        <w:tc>
          <w:tcPr>
            <w:tcW w:w="911"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序号</w:t>
            </w:r>
          </w:p>
        </w:tc>
        <w:tc>
          <w:tcPr>
            <w:tcW w:w="3643" w:type="dxa"/>
            <w:tcBorders>
              <w:top w:val="single" w:sz="8" w:space="0" w:color="auto"/>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单位名称</w:t>
            </w:r>
          </w:p>
        </w:tc>
        <w:tc>
          <w:tcPr>
            <w:tcW w:w="4554" w:type="dxa"/>
            <w:tcBorders>
              <w:top w:val="single" w:sz="8" w:space="0" w:color="auto"/>
              <w:left w:val="nil"/>
              <w:bottom w:val="single" w:sz="8" w:space="0" w:color="auto"/>
              <w:right w:val="single" w:sz="8" w:space="0" w:color="auto"/>
            </w:tcBorders>
            <w:shd w:val="clear" w:color="auto" w:fill="FFFFFF"/>
            <w:noWrap w:val="0"/>
            <w:vAlign w:val="center"/>
          </w:tcPr>
          <w:p>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单位性质</w:t>
            </w:r>
          </w:p>
        </w:tc>
      </w:tr>
      <w:tr>
        <w:tblPrEx>
          <w:tblW w:w="9108" w:type="dxa"/>
          <w:tblInd w:w="108" w:type="dxa"/>
          <w:tblLayout w:type="fixed"/>
        </w:tblPrEx>
        <w:trPr>
          <w:trHeight w:val="400"/>
        </w:trPr>
        <w:tc>
          <w:tcPr>
            <w:tcW w:w="911" w:type="dxa"/>
            <w:tcBorders>
              <w:top w:val="nil"/>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1</w:t>
            </w:r>
          </w:p>
        </w:tc>
        <w:tc>
          <w:tcPr>
            <w:tcW w:w="3643" w:type="dxa"/>
            <w:tcBorders>
              <w:top w:val="nil"/>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u w:val="single"/>
              </w:rPr>
            </w:pPr>
            <w:r>
              <w:rPr>
                <w:rFonts w:ascii="TimesNewRoman" w:hAnsi="TimesNewRoman" w:cs="TimesNewRoman" w:hint="eastAsia"/>
                <w:bCs/>
                <w:szCs w:val="21"/>
              </w:rPr>
              <w:t>寿县</w:t>
            </w:r>
            <w:r>
              <w:rPr>
                <w:rFonts w:ascii="TimesNewRoman" w:hAnsi="TimesNewRoman" w:cs="TimesNewRoman" w:hint="eastAsia"/>
                <w:bCs/>
                <w:szCs w:val="21"/>
                <w:lang w:eastAsia="zh-CN"/>
              </w:rPr>
              <w:t>统战部</w:t>
            </w:r>
            <w:r>
              <w:rPr>
                <w:rFonts w:ascii="TimesNewRoman" w:hAnsi="TimesNewRoman" w:cs="TimesNewRoman"/>
                <w:bCs/>
                <w:szCs w:val="21"/>
              </w:rPr>
              <w:t>本级</w:t>
            </w:r>
          </w:p>
        </w:tc>
        <w:tc>
          <w:tcPr>
            <w:tcW w:w="4554" w:type="dxa"/>
            <w:tcBorders>
              <w:top w:val="nil"/>
              <w:left w:val="nil"/>
              <w:bottom w:val="single" w:sz="8" w:space="0" w:color="auto"/>
              <w:right w:val="single" w:sz="8" w:space="0" w:color="auto"/>
            </w:tcBorders>
            <w:shd w:val="clear" w:color="auto" w:fill="FFFFFF"/>
            <w:noWrap w:val="0"/>
            <w:vAlign w:val="center"/>
          </w:tcPr>
          <w:p>
            <w:pPr>
              <w:adjustRightInd w:val="0"/>
              <w:snapToGrid w:val="0"/>
              <w:spacing w:line="320" w:lineRule="exact"/>
              <w:jc w:val="center"/>
              <w:rPr>
                <w:rFonts w:ascii="TimesNewRoman" w:hAnsi="TimesNewRoman" w:cs="TimesNewRoman"/>
                <w:szCs w:val="21"/>
                <w:u w:val="single"/>
              </w:rPr>
            </w:pPr>
            <w:r>
              <w:rPr>
                <w:rFonts w:ascii="TimesNewRoman" w:hAnsi="TimesNewRoman" w:cs="TimesNewRoman"/>
                <w:bCs/>
                <w:szCs w:val="21"/>
              </w:rPr>
              <w:t>行政单位</w:t>
            </w:r>
          </w:p>
        </w:tc>
      </w:tr>
      <w:tr>
        <w:tblPrEx>
          <w:tblW w:w="9108" w:type="dxa"/>
          <w:tblInd w:w="108" w:type="dxa"/>
          <w:tblLayout w:type="fixed"/>
        </w:tblPrEx>
        <w:trPr>
          <w:trHeight w:val="400"/>
        </w:trPr>
        <w:tc>
          <w:tcPr>
            <w:tcW w:w="911" w:type="dxa"/>
            <w:tcBorders>
              <w:top w:val="nil"/>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rPr>
            </w:pPr>
          </w:p>
        </w:tc>
        <w:tc>
          <w:tcPr>
            <w:tcW w:w="3643" w:type="dxa"/>
            <w:tcBorders>
              <w:top w:val="nil"/>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u w:val="single"/>
              </w:rPr>
            </w:pPr>
          </w:p>
        </w:tc>
        <w:tc>
          <w:tcPr>
            <w:tcW w:w="4554" w:type="dxa"/>
            <w:tcBorders>
              <w:top w:val="nil"/>
              <w:left w:val="nil"/>
              <w:bottom w:val="single" w:sz="8" w:space="0" w:color="auto"/>
              <w:right w:val="single" w:sz="8" w:space="0" w:color="auto"/>
            </w:tcBorders>
            <w:shd w:val="clear" w:color="auto" w:fill="FFFFFF"/>
            <w:noWrap w:val="0"/>
            <w:vAlign w:val="center"/>
          </w:tcPr>
          <w:p>
            <w:pPr>
              <w:adjustRightInd w:val="0"/>
              <w:snapToGrid w:val="0"/>
              <w:spacing w:line="320" w:lineRule="exact"/>
              <w:jc w:val="center"/>
              <w:rPr>
                <w:rFonts w:ascii="TimesNewRoman" w:hAnsi="TimesNewRoman" w:cs="TimesNewRoman"/>
                <w:szCs w:val="21"/>
                <w:u w:val="single"/>
              </w:rPr>
            </w:pPr>
          </w:p>
        </w:tc>
      </w:tr>
      <w:tr>
        <w:tblPrEx>
          <w:tblW w:w="9108" w:type="dxa"/>
          <w:tblInd w:w="108" w:type="dxa"/>
          <w:tblLayout w:type="fixed"/>
        </w:tblPrEx>
        <w:trPr>
          <w:trHeight w:val="478"/>
        </w:trPr>
        <w:tc>
          <w:tcPr>
            <w:tcW w:w="911" w:type="dxa"/>
            <w:tcBorders>
              <w:top w:val="nil"/>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rPr>
            </w:pPr>
          </w:p>
        </w:tc>
        <w:tc>
          <w:tcPr>
            <w:tcW w:w="3643" w:type="dxa"/>
            <w:tcBorders>
              <w:top w:val="nil"/>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rPr>
                <w:rFonts w:ascii="TimesNewRoman" w:hAnsi="TimesNewRoman" w:cs="TimesNewRoman"/>
                <w:szCs w:val="21"/>
                <w:u w:val="single"/>
              </w:rPr>
            </w:pPr>
          </w:p>
        </w:tc>
        <w:tc>
          <w:tcPr>
            <w:tcW w:w="4554" w:type="dxa"/>
            <w:tcBorders>
              <w:top w:val="nil"/>
              <w:left w:val="nil"/>
              <w:bottom w:val="single" w:sz="8" w:space="0" w:color="auto"/>
              <w:right w:val="single" w:sz="8" w:space="0" w:color="auto"/>
            </w:tcBorders>
            <w:shd w:val="clear" w:color="auto" w:fill="FFFFFF"/>
            <w:noWrap w:val="0"/>
            <w:vAlign w:val="center"/>
          </w:tcPr>
          <w:p>
            <w:pPr>
              <w:adjustRightInd w:val="0"/>
              <w:snapToGrid w:val="0"/>
              <w:spacing w:line="320" w:lineRule="exact"/>
              <w:jc w:val="center"/>
              <w:rPr>
                <w:rFonts w:ascii="TimesNewRoman" w:hAnsi="TimesNewRoman" w:cs="TimesNewRoman"/>
                <w:szCs w:val="21"/>
                <w:u w:val="single"/>
              </w:rPr>
            </w:pPr>
          </w:p>
        </w:tc>
      </w:tr>
      <w:tr>
        <w:tblPrEx>
          <w:tblW w:w="9108" w:type="dxa"/>
          <w:tblInd w:w="108" w:type="dxa"/>
          <w:tblLayout w:type="fixed"/>
        </w:tblPrEx>
        <w:trPr>
          <w:trHeight w:val="400"/>
        </w:trPr>
        <w:tc>
          <w:tcPr>
            <w:tcW w:w="911" w:type="dxa"/>
            <w:tcBorders>
              <w:top w:val="nil"/>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rPr>
            </w:pPr>
          </w:p>
        </w:tc>
        <w:tc>
          <w:tcPr>
            <w:tcW w:w="3643" w:type="dxa"/>
            <w:tcBorders>
              <w:top w:val="nil"/>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rPr>
                <w:rFonts w:ascii="TimesNewRoman" w:hAnsi="TimesNewRoman" w:cs="TimesNewRoman"/>
                <w:szCs w:val="21"/>
                <w:u w:val="single"/>
              </w:rPr>
            </w:pPr>
          </w:p>
        </w:tc>
        <w:tc>
          <w:tcPr>
            <w:tcW w:w="4554" w:type="dxa"/>
            <w:tcBorders>
              <w:top w:val="nil"/>
              <w:left w:val="nil"/>
              <w:bottom w:val="single" w:sz="8" w:space="0" w:color="auto"/>
              <w:right w:val="single" w:sz="8" w:space="0" w:color="auto"/>
            </w:tcBorders>
            <w:shd w:val="clear" w:color="auto" w:fill="FFFFFF"/>
            <w:noWrap w:val="0"/>
            <w:vAlign w:val="center"/>
          </w:tcPr>
          <w:p>
            <w:pPr>
              <w:adjustRightInd w:val="0"/>
              <w:snapToGrid w:val="0"/>
              <w:spacing w:line="320" w:lineRule="exact"/>
              <w:jc w:val="center"/>
              <w:rPr>
                <w:rFonts w:ascii="TimesNewRoman" w:hAnsi="TimesNewRoman" w:cs="TimesNewRoman"/>
                <w:szCs w:val="21"/>
                <w:u w:val="single"/>
              </w:rPr>
            </w:pPr>
          </w:p>
        </w:tc>
      </w:tr>
      <w:tr>
        <w:tblPrEx>
          <w:tblW w:w="9108" w:type="dxa"/>
          <w:tblInd w:w="108" w:type="dxa"/>
          <w:tblLayout w:type="fixed"/>
        </w:tblPrEx>
        <w:trPr>
          <w:trHeight w:val="400"/>
        </w:trPr>
        <w:tc>
          <w:tcPr>
            <w:tcW w:w="911" w:type="dxa"/>
            <w:tcBorders>
              <w:top w:val="nil"/>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rPr>
            </w:pPr>
          </w:p>
        </w:tc>
        <w:tc>
          <w:tcPr>
            <w:tcW w:w="3643" w:type="dxa"/>
            <w:tcBorders>
              <w:top w:val="nil"/>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rPr>
                <w:rFonts w:ascii="TimesNewRoman" w:hAnsi="TimesNewRoman" w:cs="TimesNewRoman"/>
                <w:szCs w:val="21"/>
                <w:u w:val="single"/>
              </w:rPr>
            </w:pPr>
          </w:p>
        </w:tc>
        <w:tc>
          <w:tcPr>
            <w:tcW w:w="4554" w:type="dxa"/>
            <w:tcBorders>
              <w:top w:val="nil"/>
              <w:left w:val="nil"/>
              <w:bottom w:val="single" w:sz="8" w:space="0" w:color="auto"/>
              <w:right w:val="single" w:sz="8" w:space="0" w:color="auto"/>
            </w:tcBorders>
            <w:shd w:val="clear" w:color="auto" w:fill="FFFFFF"/>
            <w:noWrap w:val="0"/>
            <w:vAlign w:val="center"/>
          </w:tcPr>
          <w:p>
            <w:pPr>
              <w:adjustRightInd w:val="0"/>
              <w:snapToGrid w:val="0"/>
              <w:spacing w:line="320" w:lineRule="exact"/>
              <w:jc w:val="center"/>
              <w:rPr>
                <w:rFonts w:ascii="TimesNewRoman" w:hAnsi="TimesNewRoman" w:cs="TimesNewRoman"/>
                <w:szCs w:val="21"/>
                <w:u w:val="single"/>
              </w:rPr>
            </w:pPr>
          </w:p>
        </w:tc>
      </w:tr>
      <w:tr>
        <w:tblPrEx>
          <w:tblW w:w="9108" w:type="dxa"/>
          <w:tblInd w:w="108" w:type="dxa"/>
          <w:tblLayout w:type="fixed"/>
        </w:tblPrEx>
        <w:trPr>
          <w:trHeight w:val="400"/>
        </w:trPr>
        <w:tc>
          <w:tcPr>
            <w:tcW w:w="911" w:type="dxa"/>
            <w:tcBorders>
              <w:top w:val="nil"/>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rPr>
            </w:pPr>
          </w:p>
        </w:tc>
        <w:tc>
          <w:tcPr>
            <w:tcW w:w="3643" w:type="dxa"/>
            <w:tcBorders>
              <w:top w:val="nil"/>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rPr>
                <w:rFonts w:ascii="TimesNewRoman" w:hAnsi="TimesNewRoman" w:cs="TimesNewRoman"/>
                <w:szCs w:val="21"/>
                <w:u w:val="single"/>
              </w:rPr>
            </w:pPr>
          </w:p>
        </w:tc>
        <w:tc>
          <w:tcPr>
            <w:tcW w:w="4554" w:type="dxa"/>
            <w:tcBorders>
              <w:top w:val="nil"/>
              <w:left w:val="nil"/>
              <w:bottom w:val="single" w:sz="8" w:space="0" w:color="auto"/>
              <w:right w:val="single" w:sz="8" w:space="0" w:color="auto"/>
            </w:tcBorders>
            <w:shd w:val="clear" w:color="auto" w:fill="FFFFFF"/>
            <w:noWrap w:val="0"/>
            <w:vAlign w:val="center"/>
          </w:tcPr>
          <w:p>
            <w:pPr>
              <w:adjustRightInd w:val="0"/>
              <w:snapToGrid w:val="0"/>
              <w:spacing w:line="320" w:lineRule="exact"/>
              <w:jc w:val="center"/>
              <w:rPr>
                <w:rFonts w:ascii="TimesNewRoman" w:hAnsi="TimesNewRoman" w:cs="TimesNewRoman"/>
                <w:szCs w:val="21"/>
              </w:rPr>
            </w:pPr>
          </w:p>
        </w:tc>
      </w:tr>
      <w:tr>
        <w:tblPrEx>
          <w:tblW w:w="9108" w:type="dxa"/>
          <w:tblInd w:w="108" w:type="dxa"/>
          <w:tblLayout w:type="fixed"/>
        </w:tblPrEx>
        <w:trPr>
          <w:trHeight w:val="414"/>
        </w:trPr>
        <w:tc>
          <w:tcPr>
            <w:tcW w:w="911" w:type="dxa"/>
            <w:tcBorders>
              <w:top w:val="nil"/>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rPr>
            </w:pPr>
          </w:p>
        </w:tc>
        <w:tc>
          <w:tcPr>
            <w:tcW w:w="3643" w:type="dxa"/>
            <w:tcBorders>
              <w:top w:val="nil"/>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rPr>
                <w:rFonts w:ascii="TimesNewRoman" w:hAnsi="TimesNewRoman" w:cs="TimesNewRoman"/>
                <w:szCs w:val="21"/>
                <w:u w:val="single"/>
              </w:rPr>
            </w:pPr>
          </w:p>
        </w:tc>
        <w:tc>
          <w:tcPr>
            <w:tcW w:w="4554" w:type="dxa"/>
            <w:tcBorders>
              <w:top w:val="nil"/>
              <w:left w:val="nil"/>
              <w:bottom w:val="single" w:sz="8" w:space="0" w:color="auto"/>
              <w:right w:val="single" w:sz="8" w:space="0" w:color="auto"/>
            </w:tcBorders>
            <w:shd w:val="clear" w:color="auto" w:fill="FFFFFF"/>
            <w:noWrap w:val="0"/>
            <w:vAlign w:val="center"/>
          </w:tcPr>
          <w:p>
            <w:pPr>
              <w:adjustRightInd w:val="0"/>
              <w:snapToGrid w:val="0"/>
              <w:spacing w:line="320" w:lineRule="exact"/>
              <w:rPr>
                <w:rFonts w:ascii="TimesNewRoman" w:hAnsi="TimesNewRoman" w:cs="TimesNewRoman"/>
                <w:szCs w:val="21"/>
                <w:u w:val="single"/>
              </w:rPr>
            </w:pPr>
          </w:p>
        </w:tc>
      </w:tr>
    </w:tbl>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u w:val="single"/>
        </w:rPr>
        <w:t>（部门预算构成：）</w:t>
      </w:r>
      <w:r>
        <w:rPr>
          <w:rFonts w:ascii="仿宋_GB2312" w:eastAsia="仿宋_GB2312" w:hAnsi="TimesNewRoman" w:cs="TimesNewRoman" w:hint="eastAsia"/>
          <w:sz w:val="32"/>
          <w:szCs w:val="32"/>
        </w:rPr>
        <w:t>从预算单位构成看，</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统战部</w:t>
      </w:r>
      <w:r>
        <w:rPr>
          <w:rFonts w:ascii="仿宋_GB2312" w:eastAsia="仿宋_GB2312" w:hAnsi="TimesNewRoman" w:cs="TimesNewRoman" w:hint="eastAsia"/>
          <w:sz w:val="32"/>
          <w:szCs w:val="32"/>
        </w:rPr>
        <w:t>2024年度部门预算仅包括</w:t>
      </w:r>
      <w:r>
        <w:rPr>
          <w:rFonts w:ascii="仿宋_GB2312" w:eastAsia="仿宋_GB2312" w:hAnsi="TimesNewRoman" w:cs="TimesNewRoman" w:hint="eastAsia"/>
          <w:sz w:val="32"/>
          <w:szCs w:val="32"/>
          <w:lang w:eastAsia="zh-CN"/>
        </w:rPr>
        <w:t>统战部</w:t>
      </w:r>
      <w:r>
        <w:rPr>
          <w:rFonts w:ascii="仿宋_GB2312" w:eastAsia="仿宋_GB2312" w:hAnsi="TimesNewRoman" w:cs="TimesNewRoman" w:hint="eastAsia"/>
          <w:sz w:val="32"/>
          <w:szCs w:val="32"/>
        </w:rPr>
        <w:t>本级预算，无其他下属单位预算。</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u w:val="single"/>
        </w:rPr>
        <w:t>（单位预算构成：）</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统战部</w:t>
      </w:r>
      <w:r>
        <w:rPr>
          <w:rFonts w:ascii="仿宋_GB2312" w:eastAsia="仿宋_GB2312" w:hAnsi="TimesNewRoman" w:cs="TimesNewRoman" w:hint="eastAsia"/>
          <w:bCs/>
          <w:sz w:val="32"/>
          <w:szCs w:val="32"/>
        </w:rPr>
        <w:t>2024年度单位预算仅包括单位本级预算，无其他下属单位预算。</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三、2024年度主要工作任务</w:t>
      </w:r>
    </w:p>
    <w:p>
      <w:pPr>
        <w:spacing w:line="600" w:lineRule="exact"/>
        <w:ind w:firstLine="640" w:firstLineChars="200"/>
        <w:rPr>
          <w:rFonts w:ascii="仿宋_GB2312" w:eastAsia="仿宋_GB2312" w:hAnsi="仿宋"/>
          <w:sz w:val="32"/>
          <w:szCs w:val="32"/>
        </w:rPr>
      </w:pPr>
      <w:r>
        <w:rPr>
          <w:rFonts w:ascii="仿宋_GB2312" w:eastAsia="仿宋_GB2312" w:hAnsi="仿宋" w:hint="eastAsia"/>
          <w:sz w:val="32"/>
          <w:szCs w:val="32"/>
        </w:rPr>
        <w:t>（一）贯彻执行党的路线、方针、政策；围绕县委中心工作，搞好决策服务，组织调查研究，当好县委的参谋助手。</w:t>
      </w:r>
    </w:p>
    <w:p>
      <w:pPr>
        <w:spacing w:line="600" w:lineRule="exact"/>
        <w:ind w:firstLine="640" w:firstLineChars="200"/>
        <w:rPr>
          <w:rFonts w:ascii="仿宋_GB2312" w:eastAsia="仿宋_GB2312" w:hAnsi="仿宋"/>
          <w:sz w:val="32"/>
          <w:szCs w:val="32"/>
        </w:rPr>
      </w:pPr>
      <w:r>
        <w:rPr>
          <w:rFonts w:ascii="仿宋_GB2312" w:eastAsia="仿宋_GB2312" w:hAnsi="仿宋" w:hint="eastAsia"/>
          <w:sz w:val="32"/>
          <w:szCs w:val="32"/>
        </w:rPr>
        <w:t>（二）负责组织起草和审核县委</w:t>
      </w:r>
      <w:r>
        <w:rPr>
          <w:rFonts w:ascii="仿宋_GB2312" w:eastAsia="仿宋_GB2312" w:hAnsi="仿宋" w:hint="eastAsia"/>
          <w:sz w:val="32"/>
          <w:szCs w:val="32"/>
          <w:lang w:eastAsia="zh-CN"/>
        </w:rPr>
        <w:t>统战工作文件</w:t>
      </w:r>
      <w:r>
        <w:rPr>
          <w:rFonts w:ascii="仿宋_GB2312" w:eastAsia="仿宋_GB2312" w:hAnsi="仿宋" w:hint="eastAsia"/>
          <w:sz w:val="32"/>
          <w:szCs w:val="32"/>
        </w:rPr>
        <w:t>、内部明电、报告。</w:t>
      </w:r>
    </w:p>
    <w:p>
      <w:pPr>
        <w:spacing w:line="600" w:lineRule="exact"/>
        <w:ind w:firstLine="640" w:firstLineChars="200"/>
        <w:rPr>
          <w:rFonts w:ascii="仿宋_GB2312" w:eastAsia="仿宋_GB2312" w:hAnsi="仿宋"/>
          <w:sz w:val="32"/>
          <w:szCs w:val="32"/>
        </w:rPr>
      </w:pPr>
      <w:r>
        <w:rPr>
          <w:rFonts w:ascii="仿宋_GB2312" w:eastAsia="仿宋_GB2312" w:hAnsi="仿宋" w:hint="eastAsia"/>
          <w:sz w:val="32"/>
          <w:szCs w:val="32"/>
        </w:rPr>
        <w:t>（三）根据县委指示,负责参与起草或组织协同有关部门共同起草、修改县委有关</w:t>
      </w:r>
      <w:r>
        <w:rPr>
          <w:rFonts w:ascii="仿宋_GB2312" w:eastAsia="仿宋_GB2312" w:hAnsi="仿宋" w:hint="eastAsia"/>
          <w:sz w:val="32"/>
          <w:szCs w:val="32"/>
          <w:lang w:eastAsia="zh-CN"/>
        </w:rPr>
        <w:t>统战工作</w:t>
      </w:r>
      <w:r>
        <w:rPr>
          <w:rFonts w:ascii="仿宋_GB2312" w:eastAsia="仿宋_GB2312" w:hAnsi="仿宋" w:hint="eastAsia"/>
          <w:sz w:val="32"/>
          <w:szCs w:val="32"/>
        </w:rPr>
        <w:t>重要文稿；围绕县委中心工作、组织力量对全县</w:t>
      </w:r>
      <w:r>
        <w:rPr>
          <w:rFonts w:ascii="仿宋_GB2312" w:eastAsia="仿宋_GB2312" w:hAnsi="仿宋" w:hint="eastAsia"/>
          <w:sz w:val="32"/>
          <w:szCs w:val="32"/>
          <w:lang w:eastAsia="zh-CN"/>
        </w:rPr>
        <w:t>相关</w:t>
      </w:r>
      <w:r>
        <w:rPr>
          <w:rFonts w:ascii="仿宋_GB2312" w:eastAsia="仿宋_GB2312" w:hAnsi="仿宋" w:hint="eastAsia"/>
          <w:sz w:val="32"/>
          <w:szCs w:val="32"/>
        </w:rPr>
        <w:t>重大问题进行调查研究，提出意见和建议；及时、准确地向县委负责同志提供省内外和县内外的重要信息。</w:t>
      </w:r>
    </w:p>
    <w:p>
      <w:pPr>
        <w:spacing w:line="600" w:lineRule="exact"/>
        <w:ind w:firstLine="640" w:firstLineChars="200"/>
        <w:rPr>
          <w:rFonts w:ascii="仿宋_GB2312" w:eastAsia="仿宋_GB2312" w:hAnsi="仿宋" w:hint="eastAsia"/>
          <w:sz w:val="32"/>
          <w:szCs w:val="32"/>
        </w:rPr>
      </w:pPr>
      <w:r>
        <w:rPr>
          <w:rFonts w:ascii="仿宋_GB2312" w:eastAsia="仿宋_GB2312" w:hAnsi="仿宋" w:hint="eastAsia"/>
          <w:sz w:val="32"/>
          <w:szCs w:val="32"/>
        </w:rPr>
        <w:t>（</w:t>
      </w:r>
      <w:r>
        <w:rPr>
          <w:rFonts w:ascii="仿宋_GB2312" w:eastAsia="仿宋_GB2312" w:hAnsi="仿宋" w:hint="eastAsia"/>
          <w:sz w:val="32"/>
          <w:szCs w:val="32"/>
          <w:lang w:eastAsia="zh-CN"/>
        </w:rPr>
        <w:t>四</w:t>
      </w:r>
      <w:r>
        <w:rPr>
          <w:rFonts w:ascii="仿宋_GB2312" w:eastAsia="仿宋_GB2312" w:hAnsi="仿宋" w:hint="eastAsia"/>
          <w:sz w:val="32"/>
          <w:szCs w:val="32"/>
        </w:rPr>
        <w:t>）负责向上级党委和县委反映各类重要信息和情况，</w:t>
      </w:r>
      <w:r>
        <w:rPr>
          <w:rFonts w:ascii="仿宋" w:eastAsia="仿宋" w:hAnsi="仿宋" w:cs="仿宋" w:hint="eastAsia"/>
          <w:sz w:val="32"/>
          <w:szCs w:val="32"/>
        </w:rPr>
        <w:t>指导乡镇党委统战工作；联系政府各有关部门及重点企业的统战工作</w:t>
      </w:r>
      <w:r>
        <w:rPr>
          <w:rFonts w:ascii="仿宋_GB2312" w:eastAsia="仿宋_GB2312" w:hAnsi="仿宋" w:hint="eastAsia"/>
          <w:sz w:val="32"/>
          <w:szCs w:val="32"/>
        </w:rPr>
        <w:t>。</w:t>
      </w:r>
    </w:p>
    <w:p>
      <w:pPr>
        <w:spacing w:line="540" w:lineRule="exact"/>
        <w:ind w:firstLine="640" w:firstLineChars="200"/>
        <w:rPr>
          <w:rFonts w:ascii="仿宋" w:eastAsia="仿宋" w:hAnsi="仿宋" w:cs="仿宋" w:hint="eastAsia"/>
          <w:sz w:val="32"/>
          <w:szCs w:val="32"/>
        </w:rPr>
      </w:pPr>
      <w:r>
        <w:rPr>
          <w:rFonts w:ascii="仿宋" w:eastAsia="仿宋" w:hAnsi="仿宋" w:cs="仿宋" w:hint="eastAsia"/>
          <w:sz w:val="32"/>
          <w:szCs w:val="32"/>
          <w:lang w:eastAsia="zh-CN"/>
        </w:rPr>
        <w:t>（五）</w:t>
      </w:r>
      <w:r>
        <w:rPr>
          <w:rFonts w:ascii="仿宋" w:eastAsia="仿宋" w:hAnsi="仿宋" w:cs="仿宋" w:hint="eastAsia"/>
          <w:sz w:val="32"/>
          <w:szCs w:val="32"/>
        </w:rPr>
        <w:t>联系各民主党派人士，反映他们的意见和建议；贯彻落实中央、省委、市委、县委关于发挥民主党派参政议政和民主监督作用的文件精神；支持、帮助民主党派加强自身建设，选拔、培养新的代表人物。</w:t>
      </w:r>
    </w:p>
    <w:p>
      <w:pPr>
        <w:spacing w:line="540" w:lineRule="exact"/>
        <w:ind w:firstLine="640" w:firstLineChars="200"/>
        <w:rPr>
          <w:rFonts w:ascii="仿宋" w:eastAsia="仿宋" w:hAnsi="仿宋" w:cs="仿宋" w:hint="eastAsia"/>
          <w:sz w:val="32"/>
          <w:szCs w:val="32"/>
        </w:rPr>
      </w:pPr>
      <w:r>
        <w:rPr>
          <w:rFonts w:ascii="仿宋" w:eastAsia="仿宋" w:hAnsi="仿宋" w:cs="仿宋" w:hint="eastAsia"/>
          <w:sz w:val="32"/>
          <w:szCs w:val="32"/>
          <w:lang w:eastAsia="zh-CN"/>
        </w:rPr>
        <w:t>（六）</w:t>
      </w:r>
      <w:r>
        <w:rPr>
          <w:rFonts w:ascii="仿宋" w:eastAsia="仿宋" w:hAnsi="仿宋" w:cs="仿宋" w:hint="eastAsia"/>
          <w:sz w:val="32"/>
          <w:szCs w:val="32"/>
        </w:rPr>
        <w:t>围绕发展经济和促进稳定，宣传贯彻党的民族宗教政策，联系少数民族和宗教界的代表人物，协助有关部门做好少数民族干部的培养和举荐工作。</w:t>
      </w:r>
    </w:p>
    <w:p>
      <w:pPr>
        <w:spacing w:line="540" w:lineRule="exact"/>
        <w:ind w:firstLine="640" w:firstLineChars="200"/>
        <w:rPr>
          <w:rFonts w:ascii="仿宋" w:eastAsia="仿宋" w:hAnsi="仿宋" w:cs="仿宋" w:hint="eastAsia"/>
          <w:sz w:val="32"/>
          <w:szCs w:val="32"/>
        </w:rPr>
      </w:pPr>
      <w:r>
        <w:rPr>
          <w:rFonts w:ascii="仿宋" w:eastAsia="仿宋" w:hAnsi="仿宋" w:cs="仿宋" w:hint="eastAsia"/>
          <w:sz w:val="32"/>
          <w:szCs w:val="32"/>
          <w:lang w:eastAsia="zh-CN"/>
        </w:rPr>
        <w:t>（七）</w:t>
      </w:r>
      <w:r>
        <w:rPr>
          <w:rFonts w:ascii="仿宋" w:eastAsia="仿宋" w:hAnsi="仿宋" w:cs="仿宋" w:hint="eastAsia"/>
          <w:sz w:val="32"/>
          <w:szCs w:val="32"/>
        </w:rPr>
        <w:t>开展以祖国统一为重点的海外统战工作；联系海外社团及代表人士，积极开展招商引资工作。</w:t>
      </w:r>
    </w:p>
    <w:p>
      <w:pPr>
        <w:spacing w:line="540" w:lineRule="exact"/>
        <w:ind w:firstLine="640" w:firstLineChars="200"/>
        <w:rPr>
          <w:rFonts w:ascii="仿宋" w:eastAsia="仿宋" w:hAnsi="仿宋" w:cs="仿宋" w:hint="eastAsia"/>
          <w:sz w:val="32"/>
          <w:szCs w:val="32"/>
        </w:rPr>
      </w:pPr>
      <w:r>
        <w:rPr>
          <w:rFonts w:ascii="仿宋" w:eastAsia="仿宋" w:hAnsi="仿宋" w:cs="仿宋" w:hint="eastAsia"/>
          <w:sz w:val="32"/>
          <w:szCs w:val="32"/>
          <w:lang w:eastAsia="zh-CN"/>
        </w:rPr>
        <w:t>（八）</w:t>
      </w:r>
      <w:r>
        <w:rPr>
          <w:rFonts w:ascii="仿宋" w:eastAsia="仿宋" w:hAnsi="仿宋" w:cs="仿宋" w:hint="eastAsia"/>
          <w:sz w:val="32"/>
          <w:szCs w:val="32"/>
        </w:rPr>
        <w:t>负责党外人士的政治安排，会同有关部门做好培养、选拔、推荐党外人士担任政府和司法机关领导职务的工作，做好党外后备干部和新的代表人物队伍的建设工作。</w:t>
      </w:r>
    </w:p>
    <w:p>
      <w:pPr>
        <w:spacing w:line="540" w:lineRule="exact"/>
        <w:ind w:firstLine="640" w:firstLineChars="200"/>
        <w:rPr>
          <w:rFonts w:ascii="仿宋" w:eastAsia="仿宋" w:hAnsi="仿宋" w:cs="仿宋" w:hint="eastAsia"/>
          <w:sz w:val="32"/>
          <w:szCs w:val="32"/>
        </w:rPr>
      </w:pPr>
      <w:r>
        <w:rPr>
          <w:rFonts w:ascii="仿宋" w:eastAsia="仿宋" w:hAnsi="仿宋" w:cs="仿宋" w:hint="eastAsia"/>
          <w:sz w:val="32"/>
          <w:szCs w:val="32"/>
          <w:lang w:eastAsia="zh-CN"/>
        </w:rPr>
        <w:t>（九）</w:t>
      </w:r>
      <w:r>
        <w:rPr>
          <w:rFonts w:ascii="仿宋" w:eastAsia="仿宋" w:hAnsi="仿宋" w:cs="仿宋" w:hint="eastAsia"/>
          <w:sz w:val="32"/>
          <w:szCs w:val="32"/>
        </w:rPr>
        <w:t>联系海外工商界社团和代表人士，调查、研究并反映我县非公有制代表人士的情况，协助有关部门做好我县非公有制经济代表人士的思想政治工作。</w:t>
      </w:r>
    </w:p>
    <w:p>
      <w:pPr>
        <w:spacing w:line="540" w:lineRule="exact"/>
        <w:ind w:firstLine="640" w:firstLineChars="200"/>
        <w:rPr>
          <w:rFonts w:ascii="仿宋_GB2312" w:eastAsia="仿宋_GB2312" w:hAnsi="仿宋" w:hint="eastAsia"/>
          <w:sz w:val="32"/>
          <w:szCs w:val="32"/>
        </w:rPr>
      </w:pPr>
      <w:r>
        <w:rPr>
          <w:rFonts w:ascii="仿宋" w:eastAsia="仿宋" w:hAnsi="仿宋" w:cs="仿宋" w:hint="eastAsia"/>
          <w:sz w:val="32"/>
          <w:szCs w:val="32"/>
          <w:lang w:eastAsia="zh-CN"/>
        </w:rPr>
        <w:t>（十）</w:t>
      </w:r>
      <w:r>
        <w:rPr>
          <w:rFonts w:ascii="仿宋" w:eastAsia="仿宋" w:hAnsi="仿宋" w:cs="仿宋" w:hint="eastAsia"/>
          <w:sz w:val="32"/>
          <w:szCs w:val="32"/>
        </w:rPr>
        <w:t>调查研究党外知识分子的情况，反映意见，协助有关部门做好我县党外知识分子代表人士的思想政治工作。</w:t>
      </w:r>
    </w:p>
    <w:p>
      <w:pPr>
        <w:spacing w:line="600" w:lineRule="exact"/>
        <w:ind w:firstLine="640" w:firstLineChars="200"/>
        <w:rPr>
          <w:rFonts w:ascii="仿宋_GB2312" w:eastAsia="仿宋_GB2312" w:hAnsi="仿宋"/>
          <w:color w:val="333333"/>
          <w:sz w:val="32"/>
          <w:szCs w:val="32"/>
        </w:rPr>
      </w:pPr>
      <w:r>
        <w:rPr>
          <w:rFonts w:ascii="仿宋_GB2312" w:eastAsia="仿宋_GB2312" w:hAnsi="仿宋" w:hint="eastAsia"/>
          <w:sz w:val="32"/>
          <w:szCs w:val="32"/>
        </w:rPr>
        <w:t>（</w:t>
      </w:r>
      <w:r>
        <w:rPr>
          <w:rFonts w:ascii="仿宋_GB2312" w:eastAsia="仿宋_GB2312" w:hAnsi="仿宋" w:hint="eastAsia"/>
          <w:sz w:val="32"/>
          <w:szCs w:val="32"/>
          <w:lang w:eastAsia="zh-CN"/>
        </w:rPr>
        <w:t>十一</w:t>
      </w:r>
      <w:r>
        <w:rPr>
          <w:rFonts w:ascii="仿宋_GB2312" w:eastAsia="仿宋_GB2312" w:hAnsi="仿宋" w:hint="eastAsia"/>
          <w:sz w:val="32"/>
          <w:szCs w:val="32"/>
        </w:rPr>
        <w:t>）完成县委交办的其他有关工作。</w:t>
      </w:r>
    </w:p>
    <w:p>
      <w:pPr>
        <w:pStyle w:val="NormalWeb"/>
        <w:adjustRightInd w:val="0"/>
        <w:snapToGrid w:val="0"/>
        <w:spacing w:line="560" w:lineRule="exact"/>
        <w:rPr>
          <w:rFonts w:ascii="TimesNewRoman" w:eastAsia="黑体" w:hAnsi="TimesNewRoman" w:cs="TimesNewRoman"/>
          <w:bCs/>
          <w:sz w:val="36"/>
          <w:szCs w:val="36"/>
        </w:rPr>
      </w:pPr>
    </w:p>
    <w:p>
      <w:pPr>
        <w:pStyle w:val="NormalWeb"/>
        <w:adjustRightInd w:val="0"/>
        <w:snapToGrid w:val="0"/>
        <w:spacing w:line="560" w:lineRule="exact"/>
        <w:rPr>
          <w:rFonts w:ascii="TimesNewRoman" w:eastAsia="黑体" w:hAnsi="TimesNewRoman" w:cs="TimesNewRoman"/>
          <w:bCs/>
          <w:sz w:val="36"/>
          <w:szCs w:val="36"/>
        </w:rPr>
      </w:pPr>
    </w:p>
    <w:p>
      <w:pPr>
        <w:pStyle w:val="NormalWeb"/>
        <w:adjustRightInd w:val="0"/>
        <w:snapToGrid w:val="0"/>
        <w:spacing w:line="560" w:lineRule="exact"/>
        <w:rPr>
          <w:rFonts w:ascii="TimesNewRoman" w:eastAsia="黑体" w:hAnsi="TimesNewRoman" w:cs="TimesNewRoman"/>
          <w:bCs/>
          <w:sz w:val="36"/>
          <w:szCs w:val="36"/>
        </w:rPr>
      </w:pPr>
    </w:p>
    <w:p>
      <w:pPr>
        <w:pStyle w:val="NormalWeb"/>
        <w:adjustRightInd w:val="0"/>
        <w:snapToGrid w:val="0"/>
        <w:spacing w:line="560" w:lineRule="exact"/>
        <w:rPr>
          <w:rFonts w:ascii="TimesNewRoman" w:eastAsia="黑体" w:hAnsi="TimesNewRoman" w:cs="TimesNewRoman"/>
          <w:bCs/>
          <w:sz w:val="36"/>
          <w:szCs w:val="36"/>
        </w:rPr>
      </w:pPr>
    </w:p>
    <w:p>
      <w:pPr>
        <w:pStyle w:val="NormalWeb"/>
        <w:adjustRightInd w:val="0"/>
        <w:snapToGrid w:val="0"/>
        <w:spacing w:line="560" w:lineRule="exact"/>
        <w:rPr>
          <w:rFonts w:ascii="TimesNewRoman" w:eastAsia="黑体" w:hAnsi="TimesNewRoman" w:cs="TimesNewRoman"/>
          <w:bCs/>
          <w:sz w:val="36"/>
          <w:szCs w:val="36"/>
        </w:rPr>
      </w:pPr>
    </w:p>
    <w:p>
      <w:pPr>
        <w:pStyle w:val="NormalWeb"/>
        <w:adjustRightInd w:val="0"/>
        <w:snapToGrid w:val="0"/>
        <w:spacing w:line="560" w:lineRule="exact"/>
        <w:rPr>
          <w:rFonts w:ascii="TimesNewRoman" w:eastAsia="黑体" w:hAnsi="TimesNewRoman" w:cs="TimesNewRoman"/>
          <w:bCs/>
          <w:sz w:val="36"/>
          <w:szCs w:val="36"/>
        </w:rPr>
      </w:pPr>
    </w:p>
    <w:p>
      <w:pPr>
        <w:pStyle w:val="NormalWeb"/>
        <w:adjustRightInd w:val="0"/>
        <w:snapToGrid w:val="0"/>
        <w:spacing w:line="560" w:lineRule="exact"/>
        <w:rPr>
          <w:rFonts w:ascii="TimesNewRoman" w:eastAsia="黑体" w:hAnsi="TimesNewRoman" w:cs="TimesNewRoman"/>
          <w:bCs/>
          <w:sz w:val="36"/>
          <w:szCs w:val="36"/>
        </w:rPr>
      </w:pPr>
    </w:p>
    <w:p>
      <w:pPr>
        <w:pStyle w:val="NormalWeb"/>
        <w:adjustRightInd w:val="0"/>
        <w:snapToGrid w:val="0"/>
        <w:spacing w:line="560" w:lineRule="exact"/>
        <w:rPr>
          <w:rFonts w:ascii="TimesNewRoman" w:eastAsia="黑体" w:hAnsi="TimesNewRoman" w:cs="TimesNewRoman"/>
          <w:bCs/>
          <w:sz w:val="36"/>
          <w:szCs w:val="36"/>
        </w:rPr>
      </w:pPr>
    </w:p>
    <w:p>
      <w:pPr>
        <w:pStyle w:val="NormalWeb"/>
        <w:adjustRightInd w:val="0"/>
        <w:snapToGrid w:val="0"/>
        <w:spacing w:line="560" w:lineRule="exact"/>
        <w:rPr>
          <w:rFonts w:ascii="TimesNewRoman" w:eastAsia="黑体" w:hAnsi="TimesNewRoman" w:cs="TimesNewRoman"/>
          <w:bCs/>
          <w:sz w:val="36"/>
          <w:szCs w:val="36"/>
        </w:rPr>
      </w:pPr>
    </w:p>
    <w:p>
      <w:pPr>
        <w:pStyle w:val="NormalWeb"/>
        <w:adjustRightInd w:val="0"/>
        <w:snapToGrid w:val="0"/>
        <w:spacing w:line="560" w:lineRule="exact"/>
        <w:rPr>
          <w:rFonts w:ascii="TimesNewRoman" w:eastAsia="黑体" w:hAnsi="TimesNewRoman" w:cs="TimesNewRoman"/>
          <w:bCs/>
          <w:sz w:val="36"/>
          <w:szCs w:val="36"/>
        </w:rPr>
      </w:pPr>
    </w:p>
    <w:p>
      <w:pPr>
        <w:pStyle w:val="NormalWeb"/>
        <w:adjustRightInd w:val="0"/>
        <w:snapToGrid w:val="0"/>
        <w:spacing w:line="560" w:lineRule="exact"/>
        <w:rPr>
          <w:rFonts w:ascii="TimesNewRoman" w:eastAsia="黑体" w:hAnsi="TimesNewRoman" w:cs="TimesNewRoman"/>
          <w:bCs/>
          <w:sz w:val="36"/>
          <w:szCs w:val="36"/>
        </w:rPr>
      </w:pPr>
    </w:p>
    <w:p>
      <w:pPr>
        <w:pStyle w:val="NormalWeb"/>
        <w:adjustRightInd w:val="0"/>
        <w:snapToGrid w:val="0"/>
        <w:spacing w:line="560" w:lineRule="exact"/>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第二部分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年部门（单位）预算表</w:t>
      </w:r>
    </w:p>
    <w:p>
      <w:pPr>
        <w:spacing w:line="560" w:lineRule="exact"/>
        <w:ind w:firstLine="6600" w:firstLineChars="3300"/>
        <w:jc w:val="left"/>
        <w:rPr>
          <w:rFonts w:ascii="TimesNewRoman" w:hAnsi="TimesNewRoman" w:cs="TimesNewRoman" w:hint="eastAsia"/>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公开表1</w:t>
      </w:r>
    </w:p>
    <w:p>
      <w:pPr>
        <w:spacing w:line="560" w:lineRule="exact"/>
        <w:jc w:val="center"/>
        <w:rPr>
          <w:rFonts w:ascii="宋体" w:hAnsi="宋体" w:cs="TimesNewRoman"/>
          <w:kern w:val="0"/>
          <w:sz w:val="24"/>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统战部</w:t>
      </w:r>
      <w:r>
        <w:rPr>
          <w:rFonts w:ascii="宋体" w:hAnsi="宋体" w:cs="TimesNewRoman" w:hint="eastAsia"/>
          <w:b/>
          <w:bCs/>
          <w:kern w:val="0"/>
          <w:sz w:val="28"/>
          <w:szCs w:val="32"/>
        </w:rPr>
        <w:t>2024</w:t>
      </w:r>
      <w:r>
        <w:rPr>
          <w:rFonts w:ascii="宋体" w:hAnsi="宋体" w:cs="TimesNewRoman"/>
          <w:b/>
          <w:bCs/>
          <w:kern w:val="0"/>
          <w:sz w:val="28"/>
          <w:szCs w:val="32"/>
        </w:rPr>
        <w:t>年收支总表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20" w:type="dxa"/>
        <w:tblInd w:w="0" w:type="dxa"/>
        <w:tblLayout w:type="fixed"/>
        <w:tblCellMar>
          <w:top w:w="0" w:type="dxa"/>
          <w:left w:w="108" w:type="dxa"/>
          <w:bottom w:w="0" w:type="dxa"/>
          <w:right w:w="108" w:type="dxa"/>
        </w:tblCellMar>
      </w:tblPr>
      <w:tblGrid>
        <w:gridCol w:w="3728"/>
        <w:gridCol w:w="1089"/>
        <w:gridCol w:w="3470"/>
        <w:gridCol w:w="933"/>
      </w:tblGrid>
      <w:tr>
        <w:tblPrEx>
          <w:tblW w:w="9220" w:type="dxa"/>
          <w:tblInd w:w="0" w:type="dxa"/>
          <w:tblLayout w:type="fixed"/>
        </w:tblPrEx>
        <w:trPr>
          <w:trHeight w:val="12"/>
        </w:trPr>
        <w:tc>
          <w:tcPr>
            <w:tcW w:w="4817"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收            入             </w:t>
            </w:r>
          </w:p>
        </w:tc>
        <w:tc>
          <w:tcPr>
            <w:tcW w:w="4402" w:type="dxa"/>
            <w:gridSpan w:val="2"/>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          出</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 入 项 目</w:t>
            </w:r>
          </w:p>
        </w:tc>
        <w:tc>
          <w:tcPr>
            <w:tcW w:w="1089"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33"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273.84</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273.84</w:t>
            </w: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27.96</w:t>
            </w: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3.15</w:t>
            </w: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其中：事业收入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事业单位经营收入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上级补助收入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附属单位上缴收入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其他收入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13.98</w:t>
            </w: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33"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收  入  小  计</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273.84</w:t>
            </w: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支  出  小  计</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273.84</w:t>
            </w: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仿宋_GB2312" w:hAnsi="TimesNewRoman" w:cs="TimesNewRoman" w:hint="eastAsia"/>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仿宋_GB2312" w:hAnsi="TimesNewRoman" w:cs="TimesNewRoman" w:hint="eastAsia"/>
                <w:kern w:val="0"/>
                <w:sz w:val="18"/>
                <w:szCs w:val="18"/>
              </w:rPr>
            </w:pPr>
            <w:r>
              <w:rPr>
                <w:rFonts w:ascii="TimesNewRoman" w:hAnsi="TimesNewRoman" w:cs="TimesNewRoman" w:hint="eastAsia"/>
                <w:kern w:val="0"/>
                <w:sz w:val="18"/>
                <w:szCs w:val="18"/>
              </w:rPr>
              <w:t>结转下年</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273.84</w:t>
            </w:r>
            <w:r>
              <w:rPr>
                <w:rFonts w:ascii="TimesNewRoman" w:hAnsi="TimesNewRoman" w:cs="TimesNewRoman"/>
                <w:b/>
                <w:bCs/>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273.84</w:t>
            </w:r>
            <w:r>
              <w:rPr>
                <w:rFonts w:ascii="TimesNewRoman" w:hAnsi="TimesNewRoman" w:cs="TimesNewRoman"/>
                <w:kern w:val="0"/>
                <w:sz w:val="18"/>
                <w:szCs w:val="18"/>
              </w:rPr>
              <w:t>　</w:t>
            </w:r>
          </w:p>
        </w:tc>
      </w:tr>
    </w:tbl>
    <w:p>
      <w:pPr>
        <w:spacing w:line="560" w:lineRule="exact"/>
        <w:jc w:val="center"/>
        <w:rPr>
          <w:rFonts w:ascii="TimesNewRoman" w:hAnsi="TimesNewRoman" w:cs="TimesNewRoman"/>
          <w:kern w:val="0"/>
          <w:sz w:val="20"/>
        </w:rPr>
        <w:sectPr>
          <w:footerReference w:type="even" r:id="rId4"/>
          <w:footerReference w:type="default" r:id="rId5"/>
          <w:pgSz w:w="11907" w:h="16840"/>
          <w:pgMar w:top="2098" w:right="1474" w:bottom="1985" w:left="1588" w:header="851" w:footer="1021" w:gutter="0"/>
          <w:cols w:num="1" w:space="425"/>
          <w:titlePg/>
          <w:docGrid w:type="linesAndChars" w:linePitch="312" w:charSpace="0"/>
        </w:sectPr>
      </w:pPr>
    </w:p>
    <w:p>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公开表2</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统战部</w:t>
      </w:r>
      <w:r>
        <w:rPr>
          <w:rFonts w:ascii="宋体" w:hAnsi="宋体" w:cs="TimesNewRoman" w:hint="eastAsia"/>
          <w:b/>
          <w:bCs/>
          <w:kern w:val="0"/>
          <w:sz w:val="28"/>
          <w:szCs w:val="32"/>
        </w:rPr>
        <w:t>2024</w:t>
      </w:r>
      <w:r>
        <w:rPr>
          <w:rFonts w:ascii="宋体" w:hAnsi="宋体" w:cs="TimesNewRoman"/>
          <w:b/>
          <w:bCs/>
          <w:kern w:val="0"/>
          <w:sz w:val="28"/>
          <w:szCs w:val="32"/>
        </w:rPr>
        <w:t>年收入总表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462" w:type="dxa"/>
        <w:tblInd w:w="-431" w:type="dxa"/>
        <w:tblLayout w:type="fixed"/>
        <w:tblCellMar>
          <w:top w:w="0" w:type="dxa"/>
          <w:left w:w="108" w:type="dxa"/>
          <w:bottom w:w="0" w:type="dxa"/>
          <w:right w:w="108" w:type="dxa"/>
        </w:tblCellMar>
      </w:tblPr>
      <w:tblGrid>
        <w:gridCol w:w="1700"/>
        <w:gridCol w:w="538"/>
        <w:gridCol w:w="465"/>
        <w:gridCol w:w="647"/>
        <w:gridCol w:w="648"/>
        <w:gridCol w:w="648"/>
        <w:gridCol w:w="648"/>
        <w:gridCol w:w="648"/>
        <w:gridCol w:w="648"/>
        <w:gridCol w:w="648"/>
        <w:gridCol w:w="648"/>
        <w:gridCol w:w="648"/>
        <w:gridCol w:w="648"/>
        <w:gridCol w:w="648"/>
        <w:gridCol w:w="648"/>
        <w:gridCol w:w="648"/>
        <w:gridCol w:w="648"/>
        <w:gridCol w:w="648"/>
        <w:gridCol w:w="1040"/>
      </w:tblGrid>
      <w:tr>
        <w:tblPrEx>
          <w:tblW w:w="13462" w:type="dxa"/>
          <w:tblInd w:w="-431" w:type="dxa"/>
          <w:tblLayout w:type="fixed"/>
        </w:tblPrEx>
        <w:trPr>
          <w:trHeight w:val="501"/>
        </w:trPr>
        <w:tc>
          <w:tcPr>
            <w:tcW w:w="1700"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部门（单位）名称</w:t>
            </w:r>
          </w:p>
        </w:tc>
        <w:tc>
          <w:tcPr>
            <w:tcW w:w="538"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6944" w:type="dxa"/>
            <w:gridSpan w:val="11"/>
            <w:tcBorders>
              <w:top w:val="single" w:sz="4" w:space="0" w:color="auto"/>
              <w:left w:val="nil"/>
              <w:bottom w:val="single" w:sz="4" w:space="0" w:color="auto"/>
              <w:right w:val="single" w:sz="4" w:space="0" w:color="00000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280" w:type="dxa"/>
            <w:gridSpan w:val="6"/>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W w:w="13462" w:type="dxa"/>
          <w:tblInd w:w="-431" w:type="dxa"/>
          <w:tblLayout w:type="fixed"/>
        </w:tblPrEx>
        <w:trPr>
          <w:trHeight w:val="424"/>
        </w:trPr>
        <w:tc>
          <w:tcPr>
            <w:tcW w:w="1700"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b/>
                <w:kern w:val="0"/>
                <w:sz w:val="18"/>
                <w:szCs w:val="18"/>
              </w:rPr>
            </w:pPr>
          </w:p>
        </w:tc>
        <w:tc>
          <w:tcPr>
            <w:tcW w:w="538"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b/>
                <w:kern w:val="0"/>
                <w:sz w:val="18"/>
                <w:szCs w:val="18"/>
              </w:rPr>
            </w:pPr>
          </w:p>
        </w:tc>
        <w:tc>
          <w:tcPr>
            <w:tcW w:w="465"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7"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single" w:sz="4" w:space="0" w:color="000000"/>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single" w:sz="4" w:space="0" w:color="000000"/>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3888" w:type="dxa"/>
            <w:gridSpan w:val="6"/>
            <w:tcBorders>
              <w:top w:val="single" w:sz="4" w:space="0" w:color="auto"/>
              <w:left w:val="nil"/>
              <w:bottom w:val="single" w:sz="4" w:space="0" w:color="auto"/>
              <w:right w:val="single" w:sz="4" w:space="0" w:color="00000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1040"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W w:w="13462" w:type="dxa"/>
          <w:tblInd w:w="-431" w:type="dxa"/>
          <w:tblLayout w:type="fixed"/>
        </w:tblPrEx>
        <w:trPr>
          <w:trHeight w:val="2579"/>
        </w:trPr>
        <w:tc>
          <w:tcPr>
            <w:tcW w:w="1700"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538"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465"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7"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single" w:sz="4" w:space="0" w:color="000000"/>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single" w:sz="4" w:space="0" w:color="000000"/>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     收入</w:t>
            </w:r>
          </w:p>
        </w:tc>
        <w:tc>
          <w:tcPr>
            <w:tcW w:w="648"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   收入</w:t>
            </w: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1040"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r>
      <w:tr>
        <w:tblPrEx>
          <w:tblW w:w="13462" w:type="dxa"/>
          <w:tblInd w:w="-431" w:type="dxa"/>
          <w:tblLayout w:type="fixed"/>
        </w:tblPrEx>
        <w:trPr>
          <w:trHeight w:val="429"/>
        </w:trPr>
        <w:tc>
          <w:tcPr>
            <w:tcW w:w="1700"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统战部</w:t>
            </w:r>
          </w:p>
        </w:tc>
        <w:tc>
          <w:tcPr>
            <w:tcW w:w="53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273.84</w:t>
            </w:r>
            <w:r>
              <w:rPr>
                <w:rFonts w:ascii="TimesNewRoman" w:hAnsi="TimesNewRoman" w:cs="TimesNewRoman"/>
                <w:kern w:val="0"/>
                <w:sz w:val="18"/>
                <w:szCs w:val="18"/>
              </w:rPr>
              <w:t>　</w:t>
            </w:r>
          </w:p>
        </w:tc>
        <w:tc>
          <w:tcPr>
            <w:tcW w:w="465"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273.84</w:t>
            </w:r>
            <w:r>
              <w:rPr>
                <w:rFonts w:ascii="TimesNewRoman" w:hAnsi="TimesNewRoman" w:cs="TimesNewRoman"/>
                <w:kern w:val="0"/>
                <w:sz w:val="18"/>
                <w:szCs w:val="18"/>
              </w:rPr>
              <w:t>　</w:t>
            </w:r>
          </w:p>
        </w:tc>
        <w:tc>
          <w:tcPr>
            <w:tcW w:w="647"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273.84</w:t>
            </w: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PrEx>
        <w:trPr>
          <w:trHeight w:val="429"/>
        </w:trPr>
        <w:tc>
          <w:tcPr>
            <w:tcW w:w="1700"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lang w:eastAsia="zh-CN"/>
              </w:rPr>
              <w:t>统战部</w:t>
            </w:r>
            <w:r>
              <w:rPr>
                <w:rFonts w:ascii="TimesNewRoman" w:hAnsi="TimesNewRoman" w:cs="TimesNewRoman"/>
                <w:kern w:val="0"/>
                <w:sz w:val="18"/>
                <w:szCs w:val="18"/>
              </w:rPr>
              <w:t>本级</w:t>
            </w:r>
          </w:p>
        </w:tc>
        <w:tc>
          <w:tcPr>
            <w:tcW w:w="53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273.84</w:t>
            </w:r>
            <w:r>
              <w:rPr>
                <w:rFonts w:ascii="TimesNewRoman" w:hAnsi="TimesNewRoman" w:cs="TimesNewRoman"/>
                <w:kern w:val="0"/>
                <w:sz w:val="18"/>
                <w:szCs w:val="18"/>
              </w:rPr>
              <w:t>　</w:t>
            </w:r>
          </w:p>
        </w:tc>
        <w:tc>
          <w:tcPr>
            <w:tcW w:w="46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273.84</w:t>
            </w:r>
            <w:r>
              <w:rPr>
                <w:rFonts w:ascii="TimesNewRoman" w:hAnsi="TimesNewRoman" w:cs="TimesNewRoman"/>
                <w:kern w:val="0"/>
                <w:sz w:val="18"/>
                <w:szCs w:val="18"/>
              </w:rPr>
              <w:t>　</w:t>
            </w:r>
          </w:p>
        </w:tc>
        <w:tc>
          <w:tcPr>
            <w:tcW w:w="647"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273.84</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PrEx>
        <w:trPr>
          <w:trHeight w:val="429"/>
        </w:trPr>
        <w:tc>
          <w:tcPr>
            <w:tcW w:w="1700"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53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6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7"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pPr>
        <w:spacing w:line="560" w:lineRule="exact"/>
        <w:jc w:val="both"/>
        <w:rPr>
          <w:rFonts w:ascii="TimesNewRoman" w:hAnsi="TimesNewRoman" w:cs="TimesNewRoman" w:hint="eastAsia"/>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公开表3</w:t>
      </w:r>
    </w:p>
    <w:p>
      <w:pPr>
        <w:spacing w:line="560" w:lineRule="exact"/>
        <w:jc w:val="center"/>
        <w:rPr>
          <w:rFonts w:ascii="TimesNewRoman" w:hAnsi="TimesNewRoman" w:cs="TimesNewRoman" w:hint="eastAsia"/>
          <w:kern w:val="0"/>
          <w:sz w:val="20"/>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统战部</w:t>
      </w:r>
      <w:r>
        <w:rPr>
          <w:rFonts w:ascii="宋体" w:hAnsi="宋体" w:cs="TimesNewRoman" w:hint="eastAsia"/>
          <w:b/>
          <w:bCs/>
          <w:kern w:val="0"/>
          <w:sz w:val="28"/>
          <w:szCs w:val="32"/>
        </w:rPr>
        <w:t>2024</w:t>
      </w:r>
      <w:r>
        <w:rPr>
          <w:rFonts w:ascii="宋体" w:hAnsi="宋体" w:cs="TimesNewRoman"/>
          <w:b/>
          <w:bCs/>
          <w:kern w:val="0"/>
          <w:sz w:val="28"/>
          <w:szCs w:val="32"/>
        </w:rPr>
        <w:t xml:space="preserve">年支出总表                 </w:t>
      </w: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单位：万元</w:t>
      </w:r>
    </w:p>
    <w:tbl>
      <w:tblPr>
        <w:tblStyle w:val="TableNormal"/>
        <w:tblW w:w="14192" w:type="dxa"/>
        <w:tblInd w:w="0" w:type="dxa"/>
        <w:tblLayout w:type="fixed"/>
        <w:tblCellMar>
          <w:top w:w="0" w:type="dxa"/>
          <w:left w:w="108" w:type="dxa"/>
          <w:bottom w:w="0" w:type="dxa"/>
          <w:right w:w="108" w:type="dxa"/>
        </w:tblCellMar>
      </w:tblPr>
      <w:tblGrid>
        <w:gridCol w:w="1639"/>
        <w:gridCol w:w="4495"/>
        <w:gridCol w:w="1213"/>
        <w:gridCol w:w="1181"/>
        <w:gridCol w:w="1150"/>
        <w:gridCol w:w="1430"/>
        <w:gridCol w:w="1353"/>
        <w:gridCol w:w="1731"/>
      </w:tblGrid>
      <w:tr>
        <w:tblPrEx>
          <w:tblW w:w="14192" w:type="dxa"/>
          <w:tblInd w:w="0" w:type="dxa"/>
          <w:tblLayout w:type="fixed"/>
        </w:tblPrEx>
        <w:trPr>
          <w:trHeight w:val="744"/>
        </w:trPr>
        <w:tc>
          <w:tcPr>
            <w:tcW w:w="1639"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201</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一般公共服务支出</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228.76</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157.96</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70.8</w:t>
            </w: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201</w:t>
            </w:r>
            <w:r>
              <w:rPr>
                <w:rFonts w:ascii="TimesNewRoman" w:hAnsi="TimesNewRoman" w:cs="TimesNewRoman" w:hint="eastAsia"/>
                <w:kern w:val="0"/>
                <w:sz w:val="18"/>
                <w:szCs w:val="18"/>
                <w:lang w:val="en-US" w:eastAsia="zh-CN"/>
              </w:rPr>
              <w:t>34</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kern w:val="0"/>
                <w:sz w:val="18"/>
                <w:szCs w:val="18"/>
              </w:rPr>
              <w:t xml:space="preserve">    </w:t>
            </w:r>
            <w:r>
              <w:rPr>
                <w:rFonts w:ascii="TimesNewRoman" w:hAnsi="TimesNewRoman" w:cs="TimesNewRoman" w:hint="eastAsia"/>
                <w:kern w:val="0"/>
                <w:sz w:val="18"/>
                <w:szCs w:val="18"/>
                <w:lang w:eastAsia="zh-CN"/>
              </w:rPr>
              <w:t>统战事务</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228.76</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157.96</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70.8</w:t>
            </w: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201</w:t>
            </w:r>
            <w:r>
              <w:rPr>
                <w:rFonts w:ascii="TimesNewRoman" w:hAnsi="TimesNewRoman" w:cs="TimesNewRoman" w:hint="eastAsia"/>
                <w:kern w:val="0"/>
                <w:sz w:val="18"/>
                <w:szCs w:val="18"/>
                <w:lang w:val="en-US" w:eastAsia="zh-CN"/>
              </w:rPr>
              <w:t>3401</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行政运行</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228.76</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157.96</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70.8</w:t>
            </w: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208</w:t>
            </w:r>
          </w:p>
        </w:tc>
        <w:tc>
          <w:tcPr>
            <w:tcW w:w="4495" w:type="dxa"/>
            <w:tcBorders>
              <w:top w:val="nil"/>
              <w:left w:val="nil"/>
              <w:bottom w:val="single" w:sz="4" w:space="0" w:color="auto"/>
              <w:right w:val="single" w:sz="4" w:space="0" w:color="auto"/>
            </w:tcBorders>
            <w:noWrap w:val="0"/>
            <w:vAlign w:val="center"/>
          </w:tcPr>
          <w:p>
            <w:pPr>
              <w:widowControl/>
              <w:spacing w:line="260" w:lineRule="exact"/>
              <w:ind w:firstLine="720" w:firstLineChars="400"/>
              <w:rPr>
                <w:rFonts w:ascii="TimesNewRoman" w:eastAsia="仿宋_GB2312" w:hAnsi="TimesNewRoman" w:cs="TimesNewRoman" w:hint="eastAsia"/>
                <w:kern w:val="0"/>
                <w:sz w:val="18"/>
                <w:szCs w:val="18"/>
                <w:lang w:eastAsia="zh-CN"/>
              </w:rPr>
            </w:pPr>
            <w:r>
              <w:rPr>
                <w:rFonts w:ascii="TimesNewRoman" w:eastAsia="仿宋_GB2312" w:hAnsi="TimesNewRoman" w:cs="TimesNewRoman" w:hint="eastAsia"/>
                <w:kern w:val="0"/>
                <w:sz w:val="18"/>
                <w:szCs w:val="18"/>
                <w:lang w:eastAsia="zh-CN"/>
              </w:rPr>
              <w:t>社会保障和就业支出</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27.96</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27.96</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20805</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行政事业单位</w:t>
            </w:r>
            <w:r>
              <w:rPr>
                <w:rFonts w:ascii="TimesNewRoman" w:hAnsi="TimesNewRoman" w:cs="TimesNewRoman" w:hint="eastAsia"/>
                <w:kern w:val="0"/>
                <w:sz w:val="18"/>
                <w:szCs w:val="18"/>
                <w:lang w:eastAsia="zh-CN"/>
              </w:rPr>
              <w:t>养老支出</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27.96</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27.96</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2080505</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kern w:val="0"/>
                <w:sz w:val="18"/>
                <w:szCs w:val="18"/>
              </w:rPr>
              <w:t>　</w:t>
            </w:r>
            <w:r>
              <w:rPr>
                <w:rFonts w:ascii="TimesNewRoman" w:hAnsi="TimesNewRoman" w:cs="TimesNewRoman" w:hint="eastAsia"/>
                <w:kern w:val="0"/>
                <w:sz w:val="18"/>
                <w:szCs w:val="18"/>
                <w:lang w:eastAsia="zh-CN"/>
              </w:rPr>
              <w:t>机关事业单位基本养老保险缴费支出</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18.64</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18.64</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2080506</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kern w:val="0"/>
                <w:sz w:val="18"/>
                <w:szCs w:val="18"/>
              </w:rPr>
              <w:t>　</w:t>
            </w:r>
            <w:r>
              <w:rPr>
                <w:rFonts w:ascii="TimesNewRoman" w:hAnsi="TimesNewRoman" w:cs="TimesNewRoman" w:hint="eastAsia"/>
                <w:kern w:val="0"/>
                <w:sz w:val="18"/>
                <w:szCs w:val="18"/>
                <w:lang w:eastAsia="zh-CN"/>
              </w:rPr>
              <w:t>机关事业单位职业年金缴费支出</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9.32</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9.32</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210</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kern w:val="0"/>
                <w:sz w:val="18"/>
                <w:szCs w:val="18"/>
              </w:rPr>
              <w:t>　</w:t>
            </w:r>
            <w:r>
              <w:rPr>
                <w:rFonts w:ascii="TimesNewRoman" w:hAnsi="TimesNewRoman" w:cs="TimesNewRoman" w:hint="eastAsia"/>
                <w:kern w:val="0"/>
                <w:sz w:val="18"/>
                <w:szCs w:val="18"/>
                <w:lang w:eastAsia="zh-CN"/>
              </w:rPr>
              <w:t>卫生健康支出</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3.15</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3.15</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21011</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kern w:val="0"/>
                <w:sz w:val="18"/>
                <w:szCs w:val="18"/>
              </w:rPr>
              <w:t>　</w:t>
            </w:r>
            <w:r>
              <w:rPr>
                <w:rFonts w:ascii="TimesNewRoman" w:hAnsi="TimesNewRoman" w:cs="TimesNewRoman" w:hint="eastAsia"/>
                <w:kern w:val="0"/>
                <w:sz w:val="18"/>
                <w:szCs w:val="18"/>
                <w:lang w:eastAsia="zh-CN"/>
              </w:rPr>
              <w:t>行政事业单位医疗</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3.15</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3.15</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2101103</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kern w:val="0"/>
                <w:sz w:val="18"/>
                <w:szCs w:val="18"/>
              </w:rPr>
              <w:t>　</w:t>
            </w:r>
            <w:r>
              <w:rPr>
                <w:rFonts w:ascii="TimesNewRoman" w:hAnsi="TimesNewRoman" w:cs="TimesNewRoman" w:hint="eastAsia"/>
                <w:kern w:val="0"/>
                <w:sz w:val="18"/>
                <w:szCs w:val="18"/>
                <w:lang w:eastAsia="zh-CN"/>
              </w:rPr>
              <w:t>公务员医疗补助</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3.15</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3.15</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221</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住房保障支出</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13.98</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13.98</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22102</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住房改革支出</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13.98</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13.98</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2210201</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kern w:val="0"/>
                <w:sz w:val="18"/>
                <w:szCs w:val="18"/>
              </w:rPr>
              <w:t>　</w:t>
            </w:r>
            <w:r>
              <w:rPr>
                <w:rFonts w:ascii="TimesNewRoman" w:hAnsi="TimesNewRoman" w:cs="TimesNewRoman" w:hint="eastAsia"/>
                <w:kern w:val="0"/>
                <w:sz w:val="18"/>
                <w:szCs w:val="18"/>
                <w:lang w:eastAsia="zh-CN"/>
              </w:rPr>
              <w:t>住房公积金</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13.98</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13.98</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PrEx>
        <w:trPr>
          <w:trHeight w:val="388"/>
        </w:trPr>
        <w:tc>
          <w:tcPr>
            <w:tcW w:w="6134" w:type="dxa"/>
            <w:gridSpan w:val="2"/>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273.84</w:t>
            </w:r>
            <w:r>
              <w:rPr>
                <w:rFonts w:ascii="TimesNewRoman" w:hAnsi="TimesNewRoman" w:cs="TimesNewRoman"/>
                <w:b/>
                <w:bCs/>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203.04</w:t>
            </w:r>
            <w:r>
              <w:rPr>
                <w:rFonts w:ascii="TimesNewRoman" w:hAnsi="TimesNewRoman" w:cs="TimesNewRoman"/>
                <w:b/>
                <w:bCs/>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70.8</w:t>
            </w:r>
            <w:r>
              <w:rPr>
                <w:rFonts w:ascii="TimesNewRoman" w:hAnsi="TimesNewRoman" w:cs="TimesNewRoman"/>
                <w:b/>
                <w:bCs/>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rPr>
      </w:pPr>
    </w:p>
    <w:p>
      <w:pPr>
        <w:spacing w:line="560" w:lineRule="exact"/>
        <w:rPr>
          <w:rFonts w:ascii="TimesNewRoman" w:hAnsi="TimesNewRoman" w:cs="TimesNewRoman"/>
          <w:kern w:val="0"/>
          <w:sz w:val="20"/>
        </w:rPr>
        <w:sectPr>
          <w:pgSz w:w="16840" w:h="11907" w:orient="landscape"/>
          <w:pgMar w:top="1588" w:right="1389" w:bottom="1474" w:left="1418" w:header="851" w:footer="1021" w:gutter="0"/>
          <w:cols w:num="1" w:space="425"/>
          <w:docGrid w:type="linesAndChars" w:linePitch="312" w:charSpace="0"/>
        </w:sectPr>
      </w:pPr>
    </w:p>
    <w:p>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公开表4</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统战部</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74" w:type="dxa"/>
        <w:tblInd w:w="0" w:type="dxa"/>
        <w:tblLayout w:type="fixed"/>
        <w:tblCellMar>
          <w:top w:w="0" w:type="dxa"/>
          <w:left w:w="108" w:type="dxa"/>
          <w:bottom w:w="0" w:type="dxa"/>
          <w:right w:w="108" w:type="dxa"/>
        </w:tblCellMar>
      </w:tblPr>
      <w:tblGrid>
        <w:gridCol w:w="2995"/>
        <w:gridCol w:w="1167"/>
        <w:gridCol w:w="3821"/>
        <w:gridCol w:w="1291"/>
      </w:tblGrid>
      <w:tr>
        <w:tblPrEx>
          <w:tblW w:w="9274" w:type="dxa"/>
          <w:tblInd w:w="0" w:type="dxa"/>
          <w:tblLayout w:type="fixed"/>
        </w:tblPrEx>
        <w:trPr>
          <w:trHeight w:val="167"/>
        </w:trPr>
        <w:tc>
          <w:tcPr>
            <w:tcW w:w="4162"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w:t>
            </w:r>
          </w:p>
        </w:tc>
        <w:tc>
          <w:tcPr>
            <w:tcW w:w="5112" w:type="dxa"/>
            <w:gridSpan w:val="2"/>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273.84</w:t>
            </w: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273.84</w:t>
            </w: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273.84</w:t>
            </w: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228.76</w:t>
            </w: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27.96</w:t>
            </w: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3.15</w:t>
            </w: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13.98</w:t>
            </w: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273.84</w:t>
            </w:r>
            <w:r>
              <w:rPr>
                <w:rFonts w:ascii="TimesNewRoman" w:hAnsi="TimesNewRoman" w:cs="TimesNewRoman"/>
                <w:b/>
                <w:bCs/>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273.84</w:t>
            </w:r>
            <w:r>
              <w:rPr>
                <w:rFonts w:ascii="TimesNewRoman" w:hAnsi="TimesNewRoman" w:cs="TimesNewRoman"/>
                <w:kern w:val="0"/>
                <w:sz w:val="18"/>
                <w:szCs w:val="18"/>
              </w:rPr>
              <w:t>　</w:t>
            </w:r>
          </w:p>
        </w:tc>
      </w:tr>
    </w:tbl>
    <w:p>
      <w:pPr>
        <w:spacing w:line="560" w:lineRule="exact"/>
        <w:jc w:val="right"/>
        <w:rPr>
          <w:rFonts w:ascii="TimesNewRoman" w:hAnsi="TimesNewRoman" w:cs="TimesNewRoman"/>
          <w:kern w:val="0"/>
          <w:sz w:val="20"/>
        </w:rPr>
        <w:sectPr>
          <w:pgSz w:w="11907" w:h="16840"/>
          <w:pgMar w:top="2098" w:right="1474" w:bottom="1985" w:left="1588"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公开表5</w:t>
      </w:r>
    </w:p>
    <w:p>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TimesNewRoman" w:eastAsia="华文中宋" w:hAnsi="TimesNewRoman" w:cs="TimesNewRoman" w:hint="eastAsia"/>
          <w:b/>
          <w:bCs/>
          <w:kern w:val="0"/>
          <w:sz w:val="30"/>
          <w:szCs w:val="30"/>
        </w:rPr>
        <w:t xml:space="preserve">  寿县</w:t>
      </w:r>
      <w:r>
        <w:rPr>
          <w:rFonts w:ascii="TimesNewRoman" w:eastAsia="华文中宋" w:hAnsi="TimesNewRoman" w:cs="TimesNewRoman" w:hint="eastAsia"/>
          <w:b/>
          <w:bCs/>
          <w:kern w:val="0"/>
          <w:sz w:val="30"/>
          <w:szCs w:val="30"/>
          <w:lang w:eastAsia="zh-CN"/>
        </w:rPr>
        <w:t>统战部</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840" w:type="dxa"/>
        <w:tblInd w:w="0" w:type="dxa"/>
        <w:tblLayout w:type="fixed"/>
        <w:tblCellMar>
          <w:top w:w="0" w:type="dxa"/>
          <w:left w:w="108" w:type="dxa"/>
          <w:bottom w:w="0" w:type="dxa"/>
          <w:right w:w="108" w:type="dxa"/>
        </w:tblCellMar>
      </w:tblPr>
      <w:tblGrid>
        <w:gridCol w:w="1603"/>
        <w:gridCol w:w="4482"/>
        <w:gridCol w:w="1303"/>
        <w:gridCol w:w="1287"/>
        <w:gridCol w:w="1752"/>
        <w:gridCol w:w="1706"/>
        <w:gridCol w:w="1707"/>
      </w:tblGrid>
      <w:tr>
        <w:tblPrEx>
          <w:tblW w:w="13840" w:type="dxa"/>
          <w:tblInd w:w="0" w:type="dxa"/>
          <w:tblLayout w:type="fixed"/>
        </w:tblPrEx>
        <w:trPr>
          <w:trHeight w:val="383"/>
        </w:trPr>
        <w:tc>
          <w:tcPr>
            <w:tcW w:w="1603"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40" w:type="dxa"/>
          <w:tblInd w:w="0" w:type="dxa"/>
          <w:tblLayout w:type="fixed"/>
        </w:tblPrEx>
        <w:trPr>
          <w:trHeight w:val="383"/>
        </w:trPr>
        <w:tc>
          <w:tcPr>
            <w:tcW w:w="1603"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4482"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303"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r>
      <w:tr>
        <w:tblPrEx>
          <w:tblW w:w="13840" w:type="dxa"/>
          <w:tblInd w:w="0" w:type="dxa"/>
          <w:tblLayout w:type="fixed"/>
        </w:tblPrEx>
        <w:trPr>
          <w:trHeight w:val="383"/>
        </w:trPr>
        <w:tc>
          <w:tcPr>
            <w:tcW w:w="1603" w:type="dxa"/>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201</w:t>
            </w:r>
          </w:p>
        </w:tc>
        <w:tc>
          <w:tcPr>
            <w:tcW w:w="4482"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一般公共服务支出</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228.76</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157.96</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135.61</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22.34</w:t>
            </w:r>
            <w:r>
              <w:rPr>
                <w:rFonts w:ascii="TimesNewRoman" w:hAnsi="TimesNewRoman" w:cs="TimesNewRoman"/>
                <w:kern w:val="0"/>
                <w:sz w:val="18"/>
                <w:szCs w:val="18"/>
              </w:rPr>
              <w:t>　</w:t>
            </w:r>
          </w:p>
        </w:tc>
        <w:tc>
          <w:tcPr>
            <w:tcW w:w="1707"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70.8</w:t>
            </w:r>
            <w:r>
              <w:rPr>
                <w:rFonts w:ascii="TimesNewRoman" w:hAnsi="TimesNewRoman" w:cs="TimesNewRoman"/>
                <w:kern w:val="0"/>
                <w:sz w:val="18"/>
                <w:szCs w:val="18"/>
              </w:rPr>
              <w:t>　</w:t>
            </w: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201</w:t>
            </w:r>
            <w:r>
              <w:rPr>
                <w:rFonts w:ascii="TimesNewRoman" w:hAnsi="TimesNewRoman" w:cs="TimesNewRoman" w:hint="eastAsia"/>
                <w:kern w:val="0"/>
                <w:sz w:val="18"/>
                <w:szCs w:val="18"/>
                <w:lang w:val="en-US" w:eastAsia="zh-CN"/>
              </w:rPr>
              <w:t>34</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eastAsia"/>
                <w:kern w:val="0"/>
                <w:sz w:val="18"/>
                <w:szCs w:val="18"/>
                <w:lang w:eastAsia="zh-CN"/>
              </w:rPr>
            </w:pPr>
            <w:r>
              <w:rPr>
                <w:rFonts w:ascii="TimesNewRoman" w:hAnsi="TimesNewRoman" w:cs="TimesNewRoman"/>
                <w:kern w:val="0"/>
                <w:sz w:val="18"/>
                <w:szCs w:val="18"/>
              </w:rPr>
              <w:t xml:space="preserve">    </w:t>
            </w:r>
            <w:r>
              <w:rPr>
                <w:rFonts w:ascii="TimesNewRoman" w:hAnsi="TimesNewRoman" w:cs="TimesNewRoman" w:hint="eastAsia"/>
                <w:kern w:val="0"/>
                <w:sz w:val="18"/>
                <w:szCs w:val="18"/>
                <w:lang w:eastAsia="zh-CN"/>
              </w:rPr>
              <w:t>统战事务</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228.76</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157.96</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135.61</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22.34</w:t>
            </w: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70.8</w:t>
            </w:r>
            <w:r>
              <w:rPr>
                <w:rFonts w:ascii="TimesNewRoman" w:hAnsi="TimesNewRoman" w:cs="TimesNewRoman"/>
                <w:kern w:val="0"/>
                <w:sz w:val="18"/>
                <w:szCs w:val="18"/>
              </w:rPr>
              <w:t>　</w:t>
            </w: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201</w:t>
            </w:r>
            <w:r>
              <w:rPr>
                <w:rFonts w:ascii="TimesNewRoman" w:hAnsi="TimesNewRoman" w:cs="TimesNewRoman" w:hint="eastAsia"/>
                <w:kern w:val="0"/>
                <w:sz w:val="18"/>
                <w:szCs w:val="18"/>
                <w:lang w:val="en-US" w:eastAsia="zh-CN"/>
              </w:rPr>
              <w:t>3401</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行政运行</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228.76</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157.96</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135.61</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22.34</w:t>
            </w: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70.8</w:t>
            </w:r>
            <w:r>
              <w:rPr>
                <w:rFonts w:ascii="TimesNewRoman" w:hAnsi="TimesNewRoman" w:cs="TimesNewRoman"/>
                <w:kern w:val="0"/>
                <w:sz w:val="18"/>
                <w:szCs w:val="18"/>
              </w:rPr>
              <w:t>　</w:t>
            </w: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2</w:t>
            </w:r>
            <w:r>
              <w:rPr>
                <w:rFonts w:ascii="TimesNewRoman" w:hAnsi="TimesNewRoman" w:cs="TimesNewRoman" w:hint="eastAsia"/>
                <w:kern w:val="0"/>
                <w:sz w:val="18"/>
                <w:szCs w:val="18"/>
                <w:lang w:val="en-US" w:eastAsia="zh-CN"/>
              </w:rPr>
              <w:t>08</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eastAsia"/>
                <w:kern w:val="0"/>
                <w:sz w:val="18"/>
                <w:szCs w:val="18"/>
                <w:lang w:eastAsia="zh-CN"/>
              </w:rPr>
            </w:pPr>
            <w:r>
              <w:rPr>
                <w:rFonts w:ascii="TimesNewRoman" w:hAnsi="TimesNewRoman" w:cs="TimesNewRoman"/>
                <w:kern w:val="0"/>
                <w:sz w:val="18"/>
                <w:szCs w:val="18"/>
              </w:rPr>
              <w:t xml:space="preserve">       </w:t>
            </w:r>
            <w:r>
              <w:rPr>
                <w:rFonts w:ascii="TimesNewRoman" w:hAnsi="TimesNewRoman" w:cs="TimesNewRoman" w:hint="eastAsia"/>
                <w:kern w:val="0"/>
                <w:sz w:val="18"/>
                <w:szCs w:val="18"/>
                <w:lang w:eastAsia="zh-CN"/>
              </w:rPr>
              <w:t>社会保障和就业支出</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27.96</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27.96</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27.96</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20805</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行政事业单位养老支出</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27.96</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27.96</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27.96</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2080505</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hint="eastAsia"/>
                <w:kern w:val="0"/>
                <w:sz w:val="18"/>
                <w:szCs w:val="18"/>
                <w:lang w:eastAsia="zh-CN"/>
              </w:rPr>
              <w:t>机关事业单位基本养老保险缴费支出</w:t>
            </w:r>
            <w:r>
              <w:rPr>
                <w:rFonts w:ascii="TimesNewRoman" w:hAnsi="TimesNewRoman" w:cs="TimesNewRoman"/>
                <w:kern w:val="0"/>
                <w:sz w:val="18"/>
                <w:szCs w:val="18"/>
              </w:rPr>
              <w:t>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18.64</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18.64</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18.64</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2080506</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hint="eastAsia"/>
                <w:kern w:val="0"/>
                <w:sz w:val="18"/>
                <w:szCs w:val="18"/>
                <w:lang w:eastAsia="zh-CN"/>
              </w:rPr>
              <w:t>机关事业单位职业年金缴费支出</w:t>
            </w:r>
            <w:r>
              <w:rPr>
                <w:rFonts w:ascii="TimesNewRoman" w:hAnsi="TimesNewRoman" w:cs="TimesNewRoman"/>
                <w:kern w:val="0"/>
                <w:sz w:val="18"/>
                <w:szCs w:val="18"/>
              </w:rPr>
              <w:t>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9.32</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9.32</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9.32</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210</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hint="eastAsia"/>
                <w:kern w:val="0"/>
                <w:sz w:val="18"/>
                <w:szCs w:val="18"/>
                <w:lang w:eastAsia="zh-CN"/>
              </w:rPr>
              <w:t>卫生健康支出</w:t>
            </w:r>
            <w:r>
              <w:rPr>
                <w:rFonts w:ascii="TimesNewRoman" w:hAnsi="TimesNewRoman" w:cs="TimesNewRoman"/>
                <w:kern w:val="0"/>
                <w:sz w:val="18"/>
                <w:szCs w:val="18"/>
              </w:rPr>
              <w:t>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3.15</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3.15</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3.15</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21011</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hint="eastAsia"/>
                <w:kern w:val="0"/>
                <w:sz w:val="18"/>
                <w:szCs w:val="18"/>
                <w:lang w:eastAsia="zh-CN"/>
              </w:rPr>
              <w:t>行政事业单位医疗</w:t>
            </w:r>
            <w:r>
              <w:rPr>
                <w:rFonts w:ascii="TimesNewRoman" w:hAnsi="TimesNewRoman" w:cs="TimesNewRoman"/>
                <w:kern w:val="0"/>
                <w:sz w:val="18"/>
                <w:szCs w:val="18"/>
              </w:rPr>
              <w:t>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3.15</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3.15</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3.15</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2101103</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hint="eastAsia"/>
                <w:kern w:val="0"/>
                <w:sz w:val="18"/>
                <w:szCs w:val="18"/>
                <w:lang w:eastAsia="zh-CN"/>
              </w:rPr>
              <w:t>公务员医疗补助</w:t>
            </w:r>
            <w:r>
              <w:rPr>
                <w:rFonts w:ascii="TimesNewRoman" w:hAnsi="TimesNewRoman" w:cs="TimesNewRoman"/>
                <w:kern w:val="0"/>
                <w:sz w:val="18"/>
                <w:szCs w:val="18"/>
              </w:rPr>
              <w:t>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3.15</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3.15</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3.15</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221</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hint="eastAsia"/>
                <w:kern w:val="0"/>
                <w:sz w:val="18"/>
                <w:szCs w:val="18"/>
                <w:lang w:eastAsia="zh-CN"/>
              </w:rPr>
              <w:t>住房保障支出</w:t>
            </w:r>
            <w:r>
              <w:rPr>
                <w:rFonts w:ascii="TimesNewRoman" w:hAnsi="TimesNewRoman" w:cs="TimesNewRoman"/>
                <w:kern w:val="0"/>
                <w:sz w:val="18"/>
                <w:szCs w:val="18"/>
              </w:rPr>
              <w:t>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13.98</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13.98</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13.98</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22102</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eastAsia"/>
                <w:kern w:val="0"/>
                <w:sz w:val="18"/>
                <w:szCs w:val="18"/>
                <w:lang w:eastAsia="zh-CN"/>
              </w:rPr>
            </w:pPr>
            <w:r>
              <w:rPr>
                <w:rFonts w:ascii="TimesNewRoman" w:hAnsi="TimesNewRoman" w:cs="TimesNewRoman"/>
                <w:kern w:val="0"/>
                <w:sz w:val="18"/>
                <w:szCs w:val="18"/>
              </w:rPr>
              <w:t xml:space="preserve">         　</w:t>
            </w:r>
            <w:r>
              <w:rPr>
                <w:rFonts w:ascii="TimesNewRoman" w:hAnsi="TimesNewRoman" w:cs="TimesNewRoman" w:hint="eastAsia"/>
                <w:kern w:val="0"/>
                <w:sz w:val="18"/>
                <w:szCs w:val="18"/>
                <w:lang w:eastAsia="zh-CN"/>
              </w:rPr>
              <w:t>住房改革支出</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13.98</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13.98</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13.98</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2210201</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eastAsia"/>
                <w:kern w:val="0"/>
                <w:sz w:val="18"/>
                <w:szCs w:val="18"/>
                <w:lang w:eastAsia="zh-CN"/>
              </w:rPr>
            </w:pPr>
            <w:r>
              <w:rPr>
                <w:rFonts w:ascii="TimesNewRoman" w:hAnsi="TimesNewRoman" w:cs="TimesNewRoman"/>
                <w:kern w:val="0"/>
                <w:sz w:val="18"/>
                <w:szCs w:val="18"/>
              </w:rPr>
              <w:t xml:space="preserve">         　</w:t>
            </w:r>
            <w:r>
              <w:rPr>
                <w:rFonts w:ascii="TimesNewRoman" w:hAnsi="TimesNewRoman" w:cs="TimesNewRoman" w:hint="eastAsia"/>
                <w:kern w:val="0"/>
                <w:sz w:val="18"/>
                <w:szCs w:val="18"/>
                <w:lang w:eastAsia="zh-CN"/>
              </w:rPr>
              <w:t>住房公积金</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13.98</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13.98</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13.98</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PrEx>
        <w:trPr>
          <w:trHeight w:val="383"/>
        </w:trPr>
        <w:tc>
          <w:tcPr>
            <w:tcW w:w="6085"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273.84</w:t>
            </w:r>
            <w:r>
              <w:rPr>
                <w:rFonts w:ascii="TimesNewRoman" w:hAnsi="TimesNewRoman" w:cs="TimesNewRoman"/>
                <w:b/>
                <w:bCs/>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203.04</w:t>
            </w:r>
            <w:r>
              <w:rPr>
                <w:rFonts w:ascii="TimesNewRoman" w:hAnsi="TimesNewRoman" w:cs="TimesNewRoman"/>
                <w:b/>
                <w:bCs/>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180.7</w:t>
            </w:r>
            <w:r>
              <w:rPr>
                <w:rFonts w:ascii="TimesNewRoman" w:hAnsi="TimesNewRoman" w:cs="TimesNewRoman"/>
                <w:b/>
                <w:bCs/>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22.34</w:t>
            </w:r>
            <w:r>
              <w:rPr>
                <w:rFonts w:ascii="TimesNewRoman" w:hAnsi="TimesNewRoman" w:cs="TimesNewRoman"/>
                <w:b/>
                <w:bCs/>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70.8</w:t>
            </w:r>
            <w:r>
              <w:rPr>
                <w:rFonts w:ascii="TimesNewRoman" w:hAnsi="TimesNewRoman" w:cs="TimesNewRoman"/>
                <w:b/>
                <w:bCs/>
                <w:kern w:val="0"/>
                <w:sz w:val="18"/>
                <w:szCs w:val="18"/>
              </w:rPr>
              <w:t>　</w:t>
            </w:r>
          </w:p>
        </w:tc>
      </w:tr>
    </w:tbl>
    <w:p>
      <w:pPr>
        <w:spacing w:line="560" w:lineRule="exact"/>
        <w:ind w:left="903" w:leftChars="430"/>
        <w:jc w:val="right"/>
        <w:rPr>
          <w:rFonts w:ascii="TimesNewRoman" w:hAnsi="TimesNewRoman" w:cs="TimesNewRoman"/>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公开表6</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统战部</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05" w:type="dxa"/>
        <w:tblInd w:w="0" w:type="dxa"/>
        <w:tblLayout w:type="fixed"/>
        <w:tblCellMar>
          <w:top w:w="0" w:type="dxa"/>
          <w:left w:w="108" w:type="dxa"/>
          <w:bottom w:w="0" w:type="dxa"/>
          <w:right w:w="108" w:type="dxa"/>
        </w:tblCellMar>
      </w:tblPr>
      <w:tblGrid>
        <w:gridCol w:w="2930"/>
        <w:gridCol w:w="4350"/>
        <w:gridCol w:w="1530"/>
        <w:gridCol w:w="2631"/>
        <w:gridCol w:w="2564"/>
      </w:tblGrid>
      <w:tr>
        <w:tblPrEx>
          <w:tblW w:w="14005" w:type="dxa"/>
          <w:tblInd w:w="0" w:type="dxa"/>
          <w:tblLayout w:type="fixed"/>
        </w:tblPrEx>
        <w:trPr>
          <w:trHeight w:val="365"/>
        </w:trPr>
        <w:tc>
          <w:tcPr>
            <w:tcW w:w="7280"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301</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工资福利支出</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167.76</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167.76</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30101</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基本工资</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55.37</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55.37</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30102</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津贴补贴</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27.11</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27.11</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30103</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奖金</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34</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34</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30108</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hAnsi="TimesNewRoman" w:cs="TimesNewRoman"/>
                <w:kern w:val="0"/>
                <w:sz w:val="18"/>
                <w:szCs w:val="18"/>
              </w:rPr>
            </w:pPr>
            <w:r>
              <w:rPr>
                <w:rFonts w:ascii="TimesNewRoman" w:hAnsi="TimesNewRoman" w:cs="TimesNewRoman" w:hint="eastAsia"/>
                <w:kern w:val="0"/>
                <w:sz w:val="18"/>
                <w:szCs w:val="18"/>
                <w:lang w:eastAsia="zh-CN"/>
              </w:rPr>
              <w:t>机关事业单位基本养老保险缴费</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18.64</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18.64</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30109</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hAnsi="TimesNewRoman" w:cs="TimesNewRoman"/>
                <w:kern w:val="0"/>
                <w:sz w:val="18"/>
                <w:szCs w:val="18"/>
              </w:rPr>
            </w:pPr>
            <w:r>
              <w:rPr>
                <w:rFonts w:ascii="TimesNewRoman" w:hAnsi="TimesNewRoman" w:cs="TimesNewRoman" w:hint="eastAsia"/>
                <w:kern w:val="0"/>
                <w:sz w:val="18"/>
                <w:szCs w:val="18"/>
                <w:lang w:eastAsia="zh-CN"/>
              </w:rPr>
              <w:t>职业年金缴费</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9.32</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9.32</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30110</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hAnsi="TimesNewRoman" w:cs="TimesNewRoman"/>
                <w:kern w:val="0"/>
                <w:sz w:val="18"/>
                <w:szCs w:val="18"/>
              </w:rPr>
            </w:pPr>
            <w:r>
              <w:rPr>
                <w:rFonts w:ascii="TimesNewRoman" w:hAnsi="TimesNewRoman" w:cs="TimesNewRoman" w:hint="eastAsia"/>
                <w:kern w:val="0"/>
                <w:sz w:val="18"/>
                <w:szCs w:val="18"/>
                <w:lang w:eastAsia="zh-CN"/>
              </w:rPr>
              <w:t>职工基本医疗保险缴费</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6.01</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6.01</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30111</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hAnsi="TimesNewRoman" w:cs="TimesNewRoman"/>
                <w:kern w:val="0"/>
                <w:sz w:val="18"/>
                <w:szCs w:val="18"/>
              </w:rPr>
            </w:pPr>
            <w:r>
              <w:rPr>
                <w:rFonts w:ascii="TimesNewRoman" w:hAnsi="TimesNewRoman" w:cs="TimesNewRoman" w:hint="eastAsia"/>
                <w:kern w:val="0"/>
                <w:sz w:val="18"/>
                <w:szCs w:val="18"/>
                <w:lang w:eastAsia="zh-CN"/>
              </w:rPr>
              <w:t>公务员医疗补助缴费</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3.15</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3.15</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30112</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hAnsi="TimesNewRoman" w:cs="TimesNewRoman"/>
                <w:kern w:val="0"/>
                <w:sz w:val="18"/>
                <w:szCs w:val="18"/>
              </w:rPr>
            </w:pPr>
            <w:r>
              <w:rPr>
                <w:rFonts w:ascii="TimesNewRoman" w:hAnsi="TimesNewRoman" w:cs="TimesNewRoman" w:hint="eastAsia"/>
                <w:kern w:val="0"/>
                <w:sz w:val="18"/>
                <w:szCs w:val="18"/>
                <w:lang w:eastAsia="zh-CN"/>
              </w:rPr>
              <w:t>其他社会保障缴费</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0.17</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0.17</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30113</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hAnsi="TimesNewRoman" w:cs="TimesNewRoman"/>
                <w:kern w:val="0"/>
                <w:sz w:val="18"/>
                <w:szCs w:val="18"/>
              </w:rPr>
            </w:pPr>
            <w:r>
              <w:rPr>
                <w:rFonts w:ascii="TimesNewRoman" w:hAnsi="TimesNewRoman" w:cs="TimesNewRoman" w:hint="eastAsia"/>
                <w:kern w:val="0"/>
                <w:sz w:val="18"/>
                <w:szCs w:val="18"/>
                <w:lang w:eastAsia="zh-CN"/>
              </w:rPr>
              <w:t>住房公积金</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13.98</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13.98</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30199</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hAnsi="TimesNewRoman" w:cs="TimesNewRoman"/>
                <w:kern w:val="0"/>
                <w:sz w:val="18"/>
                <w:szCs w:val="18"/>
              </w:rPr>
            </w:pPr>
            <w:r>
              <w:rPr>
                <w:rFonts w:ascii="TimesNewRoman" w:hAnsi="TimesNewRoman" w:cs="TimesNewRoman" w:hint="eastAsia"/>
                <w:kern w:val="0"/>
                <w:sz w:val="18"/>
                <w:szCs w:val="18"/>
                <w:lang w:eastAsia="zh-CN"/>
              </w:rPr>
              <w:t>其他工资福利支出</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0.01</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0.01</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302</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hAnsi="TimesNewRoman" w:cs="TimesNewRoman"/>
                <w:kern w:val="0"/>
                <w:sz w:val="18"/>
                <w:szCs w:val="18"/>
              </w:rPr>
            </w:pPr>
            <w:r>
              <w:rPr>
                <w:rFonts w:ascii="TimesNewRoman" w:hAnsi="TimesNewRoman" w:cs="TimesNewRoman" w:hint="eastAsia"/>
                <w:kern w:val="0"/>
                <w:sz w:val="18"/>
                <w:szCs w:val="18"/>
                <w:lang w:eastAsia="zh-CN"/>
              </w:rPr>
              <w:t>商品和服务支出</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22.34</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22.34</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30207</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hAnsi="TimesNewRoman" w:cs="TimesNewRoman"/>
                <w:kern w:val="0"/>
                <w:sz w:val="18"/>
                <w:szCs w:val="18"/>
              </w:rPr>
            </w:pPr>
            <w:r>
              <w:rPr>
                <w:rFonts w:ascii="TimesNewRoman" w:hAnsi="TimesNewRoman" w:cs="TimesNewRoman" w:hint="eastAsia"/>
                <w:kern w:val="0"/>
                <w:sz w:val="18"/>
                <w:szCs w:val="18"/>
                <w:lang w:eastAsia="zh-CN"/>
              </w:rPr>
              <w:t>邮电费</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5.18</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5.18</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30211</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hAnsi="TimesNewRoman" w:cs="TimesNewRoman"/>
                <w:kern w:val="0"/>
                <w:sz w:val="18"/>
                <w:szCs w:val="18"/>
              </w:rPr>
            </w:pPr>
            <w:r>
              <w:rPr>
                <w:rFonts w:ascii="TimesNewRoman" w:hAnsi="TimesNewRoman" w:cs="TimesNewRoman" w:hint="eastAsia"/>
                <w:kern w:val="0"/>
                <w:sz w:val="18"/>
                <w:szCs w:val="18"/>
                <w:lang w:eastAsia="zh-CN"/>
              </w:rPr>
              <w:t>差旅费</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lang w:val="en-US" w:eastAsia="zh-CN"/>
              </w:rPr>
              <w:t>2</w:t>
            </w: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eastAsia"/>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30215</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会议费</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1.8</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1.8</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30217</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公务接待费</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2.7</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2.7</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30228</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工会经费</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1.4</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30239</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其他交通费用</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9.26</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9.26</w:t>
            </w: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303</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对个人和家庭的补助</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12.94</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12.94</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30302</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退休费</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12</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12</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4005" w:type="dxa"/>
          <w:tblInd w:w="0" w:type="dxa"/>
          <w:tblLayout w:type="fixed"/>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30305</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生活补助</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0.94</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0.94</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4005" w:type="dxa"/>
          <w:tblInd w:w="0" w:type="dxa"/>
          <w:tblLayout w:type="fixed"/>
        </w:tblPrEx>
        <w:trPr>
          <w:trHeight w:val="365"/>
        </w:trPr>
        <w:tc>
          <w:tcPr>
            <w:tcW w:w="7280"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b/>
                <w:bCs/>
                <w:kern w:val="0"/>
                <w:sz w:val="18"/>
                <w:szCs w:val="18"/>
                <w:lang w:val="en-US" w:eastAsia="zh-CN"/>
              </w:rPr>
            </w:pPr>
            <w:r>
              <w:rPr>
                <w:rFonts w:ascii="TimesNewRoman" w:hAnsi="TimesNewRoman" w:cs="TimesNewRoman"/>
                <w:b/>
                <w:bCs/>
                <w:kern w:val="0"/>
                <w:sz w:val="18"/>
                <w:szCs w:val="18"/>
              </w:rPr>
              <w:t>　</w:t>
            </w:r>
            <w:r>
              <w:rPr>
                <w:rFonts w:ascii="TimesNewRoman" w:hAnsi="TimesNewRoman" w:cs="TimesNewRoman" w:hint="eastAsia"/>
                <w:b/>
                <w:bCs/>
                <w:kern w:val="0"/>
                <w:sz w:val="18"/>
                <w:szCs w:val="18"/>
                <w:lang w:val="en-US" w:eastAsia="zh-CN"/>
              </w:rPr>
              <w:t>203.04</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b/>
                <w:bCs/>
                <w:kern w:val="0"/>
                <w:sz w:val="18"/>
                <w:szCs w:val="18"/>
                <w:lang w:val="en-US" w:eastAsia="zh-CN"/>
              </w:rPr>
            </w:pPr>
            <w:r>
              <w:rPr>
                <w:rFonts w:ascii="TimesNewRoman" w:hAnsi="TimesNewRoman" w:cs="TimesNewRoman"/>
                <w:b/>
                <w:bCs/>
                <w:kern w:val="0"/>
                <w:sz w:val="18"/>
                <w:szCs w:val="18"/>
              </w:rPr>
              <w:t>　</w:t>
            </w:r>
            <w:r>
              <w:rPr>
                <w:rFonts w:ascii="TimesNewRoman" w:hAnsi="TimesNewRoman" w:cs="TimesNewRoman" w:hint="eastAsia"/>
                <w:b/>
                <w:bCs/>
                <w:kern w:val="0"/>
                <w:sz w:val="18"/>
                <w:szCs w:val="18"/>
                <w:lang w:val="en-US" w:eastAsia="zh-CN"/>
              </w:rPr>
              <w:t>180.7</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b/>
                <w:bCs/>
                <w:kern w:val="0"/>
                <w:sz w:val="18"/>
                <w:szCs w:val="18"/>
                <w:lang w:val="en-US" w:eastAsia="zh-CN"/>
              </w:rPr>
            </w:pPr>
            <w:r>
              <w:rPr>
                <w:rFonts w:ascii="TimesNewRoman" w:hAnsi="TimesNewRoman" w:cs="TimesNewRoman"/>
                <w:b/>
                <w:bCs/>
                <w:kern w:val="0"/>
                <w:sz w:val="18"/>
                <w:szCs w:val="18"/>
              </w:rPr>
              <w:t>　</w:t>
            </w:r>
            <w:r>
              <w:rPr>
                <w:rFonts w:ascii="TimesNewRoman" w:hAnsi="TimesNewRoman" w:cs="TimesNewRoman" w:hint="eastAsia"/>
                <w:b/>
                <w:bCs/>
                <w:kern w:val="0"/>
                <w:sz w:val="18"/>
                <w:szCs w:val="18"/>
                <w:lang w:val="en-US" w:eastAsia="zh-CN"/>
              </w:rPr>
              <w:t>22.34</w:t>
            </w:r>
          </w:p>
        </w:tc>
      </w:tr>
    </w:tbl>
    <w:p>
      <w:pPr>
        <w:spacing w:line="560" w:lineRule="exact"/>
        <w:rPr>
          <w:rFonts w:ascii="TimesNewRoman" w:hAnsi="TimesNewRoman" w:cs="TimesNewRoman"/>
        </w:rPr>
      </w:pPr>
    </w:p>
    <w:p>
      <w:pPr>
        <w:spacing w:line="560" w:lineRule="exact"/>
        <w:jc w:val="right"/>
        <w:rPr>
          <w:rFonts w:ascii="TimesNewRoman" w:hAnsi="TimesNewRoman" w:cs="TimesNewRoman"/>
          <w:kern w:val="0"/>
          <w:sz w:val="20"/>
        </w:rPr>
      </w:pPr>
    </w:p>
    <w:p>
      <w:pPr>
        <w:spacing w:line="560" w:lineRule="exact"/>
        <w:jc w:val="right"/>
        <w:rPr>
          <w:rFonts w:ascii="TimesNewRoman" w:hAnsi="TimesNewRoman" w:cs="TimesNewRoman"/>
          <w:kern w:val="0"/>
          <w:sz w:val="20"/>
        </w:rPr>
      </w:pPr>
    </w:p>
    <w:p>
      <w:pPr>
        <w:spacing w:line="560" w:lineRule="exact"/>
        <w:jc w:val="right"/>
        <w:rPr>
          <w:rFonts w:ascii="TimesNewRoman" w:hAnsi="TimesNewRoman" w:cs="TimesNewRoman"/>
          <w:kern w:val="0"/>
          <w:sz w:val="20"/>
        </w:rPr>
      </w:pPr>
    </w:p>
    <w:p>
      <w:pPr>
        <w:spacing w:line="560" w:lineRule="exact"/>
        <w:jc w:val="right"/>
        <w:rPr>
          <w:rFonts w:ascii="TimesNewRoman" w:hAnsi="TimesNewRoman" w:cs="TimesNewRoman"/>
          <w:kern w:val="0"/>
          <w:sz w:val="20"/>
        </w:rPr>
      </w:pPr>
    </w:p>
    <w:p>
      <w:pPr>
        <w:spacing w:line="560" w:lineRule="exact"/>
        <w:jc w:val="right"/>
        <w:rPr>
          <w:rFonts w:ascii="TimesNewRoman" w:hAnsi="TimesNewRoman" w:cs="TimesNewRoman"/>
          <w:kern w:val="0"/>
          <w:sz w:val="20"/>
        </w:rPr>
      </w:pPr>
    </w:p>
    <w:p>
      <w:pPr>
        <w:spacing w:line="560" w:lineRule="exact"/>
        <w:jc w:val="right"/>
        <w:rPr>
          <w:rFonts w:ascii="TimesNewRoman" w:hAnsi="TimesNewRoman" w:cs="TimesNewRoman"/>
          <w:kern w:val="0"/>
          <w:sz w:val="20"/>
        </w:rPr>
      </w:pPr>
    </w:p>
    <w:p>
      <w:pPr>
        <w:spacing w:line="560" w:lineRule="exact"/>
        <w:jc w:val="right"/>
        <w:rPr>
          <w:rFonts w:ascii="TimesNewRoman" w:hAnsi="TimesNewRoman" w:cs="TimesNewRoman"/>
          <w:kern w:val="0"/>
          <w:sz w:val="20"/>
        </w:rPr>
      </w:pPr>
    </w:p>
    <w:p>
      <w:pPr>
        <w:spacing w:line="560" w:lineRule="exact"/>
        <w:jc w:val="right"/>
        <w:rPr>
          <w:rFonts w:ascii="TimesNewRoman" w:hAnsi="TimesNewRoman" w:cs="TimesNewRoman"/>
          <w:kern w:val="0"/>
          <w:sz w:val="20"/>
        </w:rPr>
      </w:pPr>
    </w:p>
    <w:p>
      <w:pPr>
        <w:spacing w:line="560" w:lineRule="exact"/>
        <w:jc w:val="right"/>
        <w:rPr>
          <w:rFonts w:ascii="TimesNewRoman" w:hAnsi="TimesNewRoman" w:cs="TimesNewRoman"/>
          <w:kern w:val="0"/>
          <w:sz w:val="20"/>
        </w:rPr>
      </w:pPr>
    </w:p>
    <w:p>
      <w:pPr>
        <w:spacing w:line="560" w:lineRule="exact"/>
        <w:jc w:val="right"/>
        <w:rPr>
          <w:rFonts w:ascii="TimesNewRoman" w:hAnsi="TimesNewRoman" w:cs="TimesNewRoman"/>
          <w:kern w:val="0"/>
          <w:sz w:val="20"/>
        </w:rPr>
      </w:pPr>
    </w:p>
    <w:p>
      <w:pPr>
        <w:spacing w:line="560" w:lineRule="exact"/>
        <w:jc w:val="righ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公开表7</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统战部</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951" w:type="dxa"/>
        <w:tblInd w:w="0" w:type="dxa"/>
        <w:tblLayout w:type="fixed"/>
        <w:tblCellMar>
          <w:top w:w="0" w:type="dxa"/>
          <w:left w:w="108" w:type="dxa"/>
          <w:bottom w:w="0" w:type="dxa"/>
          <w:right w:w="108" w:type="dxa"/>
        </w:tblCellMar>
      </w:tblPr>
      <w:tblGrid>
        <w:gridCol w:w="1911"/>
        <w:gridCol w:w="6266"/>
        <w:gridCol w:w="1640"/>
        <w:gridCol w:w="2018"/>
        <w:gridCol w:w="2116"/>
      </w:tblGrid>
      <w:tr>
        <w:tblPrEx>
          <w:tblW w:w="13951" w:type="dxa"/>
          <w:tblInd w:w="0" w:type="dxa"/>
          <w:tblLayout w:type="fixed"/>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Ind w:w="0" w:type="dxa"/>
          <w:tblLayout w:type="fixed"/>
        </w:tblPrEx>
        <w:trPr>
          <w:trHeight w:val="570"/>
        </w:trPr>
        <w:tc>
          <w:tcPr>
            <w:tcW w:w="1911"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Ind w:w="0" w:type="dxa"/>
          <w:tblLayout w:type="fixed"/>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hint="eastAsia"/>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6</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科学技术</w:t>
            </w:r>
            <w:r>
              <w:rPr>
                <w:rFonts w:ascii="TimesNewRoman" w:hAnsi="TimesNewRoman" w:cs="TimesNewRoman"/>
                <w:kern w:val="0"/>
                <w:sz w:val="18"/>
                <w:szCs w:val="18"/>
              </w:rPr>
              <w:t>支出</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610</w:t>
            </w:r>
          </w:p>
        </w:tc>
        <w:tc>
          <w:tcPr>
            <w:tcW w:w="6266" w:type="dxa"/>
            <w:tcBorders>
              <w:top w:val="nil"/>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hAnsi="TimesNewRoman" w:cs="TimesNewRoman"/>
                <w:kern w:val="0"/>
                <w:sz w:val="18"/>
                <w:szCs w:val="18"/>
              </w:rPr>
            </w:pPr>
            <w:r>
              <w:rPr>
                <w:rFonts w:ascii="TimesNewRoman" w:hAnsi="TimesNewRoman" w:cs="TimesNewRoman"/>
                <w:kern w:val="0"/>
                <w:sz w:val="18"/>
                <w:szCs w:val="18"/>
              </w:rPr>
              <w:t>核电站乏燃料处理处置基金支出</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PrEx>
        <w:trPr>
          <w:trHeight w:val="576"/>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ind w:firstLine="90" w:firstLineChars="50"/>
              <w:jc w:val="left"/>
              <w:rPr>
                <w:rFonts w:ascii="TimesNewRoman" w:eastAsia="仿宋_GB2312"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61001</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 xml:space="preserve">     </w:t>
            </w:r>
            <w:r>
              <w:rPr>
                <w:rFonts w:ascii="TimesNewRoman" w:hAnsi="TimesNewRoman" w:cs="TimesNewRoman"/>
                <w:kern w:val="0"/>
                <w:sz w:val="18"/>
                <w:szCs w:val="18"/>
              </w:rPr>
              <w:t>乏燃料运输</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PrEx>
        <w:trPr>
          <w:trHeight w:val="442"/>
        </w:trPr>
        <w:tc>
          <w:tcPr>
            <w:tcW w:w="8177"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widowControl/>
        <w:spacing w:line="560" w:lineRule="exact"/>
        <w:jc w:val="left"/>
        <w:rPr>
          <w:rFonts w:ascii="TimesNewRoman" w:hAnsi="TimesNewRoman" w:cs="TimesNewRoman"/>
          <w:kern w:val="0"/>
          <w:sz w:val="24"/>
        </w:rPr>
      </w:pPr>
      <w:r>
        <w:rPr>
          <w:rFonts w:ascii="TimesNewRoman" w:hAnsi="TimesNewRoman" w:cs="TimesNewRoman" w:hint="eastAsia"/>
          <w:kern w:val="0"/>
          <w:sz w:val="24"/>
        </w:rPr>
        <w:t>寿县</w:t>
      </w:r>
      <w:r>
        <w:rPr>
          <w:rFonts w:ascii="TimesNewRoman" w:hAnsi="TimesNewRoman" w:cs="TimesNewRoman" w:hint="eastAsia"/>
          <w:kern w:val="0"/>
          <w:sz w:val="24"/>
          <w:lang w:eastAsia="zh-CN"/>
        </w:rPr>
        <w:t>统战部</w:t>
      </w:r>
      <w:r>
        <w:rPr>
          <w:rFonts w:ascii="TimesNewRoman" w:hAnsi="TimesNewRoman" w:cs="TimesNewRoman"/>
          <w:kern w:val="0"/>
          <w:sz w:val="24"/>
        </w:rPr>
        <w:t>没有政府性基金预算拨款收入，也没有政府性基金预算拨款安排的支出，故本表无数据。</w:t>
      </w:r>
    </w:p>
    <w:p>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hAnsi="TimesNewRoman" w:cs="TimesNewRoman"/>
          <w:sz w:val="20"/>
          <w:szCs w:val="20"/>
        </w:rPr>
        <w:t xml:space="preserve"> </w:t>
      </w:r>
      <w:r>
        <w:rPr>
          <w:rFonts w:ascii="TimesNewRoman" w:eastAsia="仿宋_GB2312" w:hAnsi="TimesNewRoman" w:cs="TimesNewRoman"/>
          <w:sz w:val="20"/>
          <w:szCs w:val="20"/>
        </w:rPr>
        <w:t xml:space="preserve"> 部门</w:t>
      </w:r>
      <w:r>
        <w:rPr>
          <w:rFonts w:ascii="TimesNewRoman" w:eastAsia="仿宋_GB2312" w:hAnsi="TimesNewRoman" w:cs="TimesNewRoman"/>
          <w:sz w:val="20"/>
          <w:szCs w:val="20"/>
          <w:u w:val="single"/>
        </w:rPr>
        <w:t>（单位）</w:t>
      </w:r>
      <w:r>
        <w:rPr>
          <w:rFonts w:ascii="TimesNewRoman" w:eastAsia="仿宋_GB2312" w:hAnsi="TimesNewRoman" w:cs="TimesNewRoman"/>
          <w:sz w:val="20"/>
          <w:szCs w:val="20"/>
        </w:rPr>
        <w:t>公开表8</w:t>
      </w:r>
    </w:p>
    <w:tbl>
      <w:tblPr>
        <w:tblStyle w:val="TableNormal"/>
        <w:tblW w:w="13876" w:type="dxa"/>
        <w:tblInd w:w="0" w:type="dxa"/>
        <w:tblLayout w:type="fixed"/>
        <w:tblCellMar>
          <w:top w:w="0" w:type="dxa"/>
          <w:left w:w="108" w:type="dxa"/>
          <w:bottom w:w="0" w:type="dxa"/>
          <w:right w:w="108" w:type="dxa"/>
        </w:tblCellMar>
      </w:tblPr>
      <w:tblGrid>
        <w:gridCol w:w="710"/>
        <w:gridCol w:w="902"/>
        <w:gridCol w:w="1870"/>
        <w:gridCol w:w="4312"/>
        <w:gridCol w:w="342"/>
        <w:gridCol w:w="1153"/>
        <w:gridCol w:w="2013"/>
        <w:gridCol w:w="666"/>
        <w:gridCol w:w="1224"/>
        <w:gridCol w:w="559"/>
        <w:gridCol w:w="125"/>
      </w:tblGrid>
      <w:tr>
        <w:tblPrEx>
          <w:tblW w:w="13876" w:type="dxa"/>
          <w:tblInd w:w="0" w:type="dxa"/>
          <w:tblLayout w:type="fixed"/>
        </w:tblPrEx>
        <w:trPr>
          <w:gridAfter w:val="2"/>
          <w:wAfter w:w="683" w:type="dxa"/>
          <w:trHeight w:val="441"/>
        </w:trPr>
        <w:tc>
          <w:tcPr>
            <w:tcW w:w="13193" w:type="dxa"/>
            <w:gridSpan w:val="9"/>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统战部</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876" w:type="dxa"/>
          <w:tblInd w:w="0" w:type="dxa"/>
          <w:tblLayout w:type="fixed"/>
        </w:tblPrEx>
        <w:trPr>
          <w:trHeight w:val="299"/>
        </w:trPr>
        <w:tc>
          <w:tcPr>
            <w:tcW w:w="711"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noWrap w:val="0"/>
            <w:vAlign w:val="center"/>
          </w:tcPr>
          <w:p>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Ind w:w="0" w:type="dxa"/>
          <w:tblLayout w:type="fixed"/>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Ind w:w="0" w:type="dxa"/>
          <w:tblLayout w:type="fixed"/>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Ind w:w="0" w:type="dxa"/>
          <w:tblLayout w:type="fixed"/>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r>
              <w:rPr>
                <w:rFonts w:ascii="TimesNewRoman" w:hAnsi="TimesNewRoman" w:cs="TimesNewRoman"/>
                <w:bCs/>
                <w:kern w:val="0"/>
                <w:sz w:val="18"/>
                <w:szCs w:val="18"/>
              </w:rPr>
              <w:t>223</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r>
              <w:rPr>
                <w:rFonts w:ascii="TimesNewRoman" w:hAnsi="TimesNewRoman" w:cs="TimesNewRoman"/>
                <w:bCs/>
                <w:kern w:val="0"/>
                <w:sz w:val="18"/>
                <w:szCs w:val="18"/>
              </w:rPr>
              <w:t>国有资本经营预算支出</w:t>
            </w: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22301</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hAnsi="TimesNewRoman" w:cs="TimesNewRoman"/>
                <w:kern w:val="0"/>
                <w:sz w:val="18"/>
                <w:szCs w:val="18"/>
              </w:rPr>
            </w:pPr>
            <w:r>
              <w:rPr>
                <w:rFonts w:ascii="TimesNewRoman" w:hAnsi="TimesNewRoman" w:cs="TimesNewRoman"/>
                <w:kern w:val="0"/>
                <w:sz w:val="18"/>
                <w:szCs w:val="18"/>
              </w:rPr>
              <w:t>解决历史遗留问题及改革成本支出</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2230101　</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ind w:firstLine="720" w:firstLineChars="400"/>
              <w:jc w:val="left"/>
              <w:rPr>
                <w:rFonts w:ascii="TimesNewRoman" w:hAnsi="TimesNewRoman" w:cs="TimesNewRoman"/>
                <w:kern w:val="0"/>
                <w:sz w:val="18"/>
                <w:szCs w:val="18"/>
              </w:rPr>
            </w:pPr>
            <w:r>
              <w:rPr>
                <w:rFonts w:ascii="TimesNewRoman" w:hAnsi="TimesNewRoman" w:cs="TimesNewRoman"/>
                <w:kern w:val="0"/>
                <w:sz w:val="18"/>
                <w:szCs w:val="18"/>
              </w:rPr>
              <w:t>厂办大集体改革支出</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bottom"/>
          </w:tcPr>
          <w:p>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bottom"/>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PrEx>
        <w:trPr>
          <w:gridAfter w:val="1"/>
          <w:wAfter w:w="124" w:type="dxa"/>
          <w:trHeight w:val="633"/>
        </w:trPr>
        <w:tc>
          <w:tcPr>
            <w:tcW w:w="13752" w:type="dxa"/>
            <w:gridSpan w:val="10"/>
            <w:tcBorders>
              <w:top w:val="single" w:sz="4" w:space="0" w:color="auto"/>
              <w:left w:val="nil"/>
              <w:bottom w:val="nil"/>
              <w:right w:val="nil"/>
            </w:tcBorders>
            <w:noWrap w:val="0"/>
            <w:vAlign w:val="center"/>
          </w:tcPr>
          <w:p>
            <w:pPr>
              <w:widowControl/>
              <w:spacing w:line="560" w:lineRule="exact"/>
              <w:jc w:val="left"/>
              <w:rPr>
                <w:rFonts w:ascii="TimesNewRoman" w:hAnsi="TimesNewRoman" w:cs="TimesNewRoman"/>
                <w:kern w:val="0"/>
                <w:sz w:val="24"/>
              </w:rPr>
            </w:pPr>
            <w:r>
              <w:rPr>
                <w:rFonts w:ascii="TimesNewRoman" w:hAnsi="TimesNewRoman" w:cs="TimesNewRoman" w:hint="eastAsia"/>
                <w:kern w:val="0"/>
                <w:sz w:val="24"/>
              </w:rPr>
              <w:t>寿县</w:t>
            </w:r>
            <w:r>
              <w:rPr>
                <w:rFonts w:ascii="TimesNewRoman" w:hAnsi="TimesNewRoman" w:cs="TimesNewRoman" w:hint="eastAsia"/>
                <w:kern w:val="0"/>
                <w:sz w:val="24"/>
                <w:lang w:eastAsia="zh-CN"/>
              </w:rPr>
              <w:t>统战部</w:t>
            </w:r>
            <w:r>
              <w:rPr>
                <w:rFonts w:ascii="TimesNewRoman" w:hAnsi="TimesNewRoman" w:cs="TimesNewRoman"/>
                <w:kern w:val="0"/>
                <w:sz w:val="24"/>
              </w:rPr>
              <w:t>没有国有资本经营预算拨款收入，也没有国有资本经营预算拨款安排的支出，故本表无数据。</w:t>
            </w:r>
          </w:p>
        </w:tc>
      </w:tr>
    </w:tbl>
    <w:p>
      <w:pPr>
        <w:spacing w:line="560" w:lineRule="exact"/>
        <w:jc w:val="center"/>
        <w:rPr>
          <w:rFonts w:ascii="TimesNewRoman" w:hAnsi="TimesNewRoman" w:cs="TimesNewRoman" w:hint="eastAsia"/>
          <w:kern w:val="0"/>
          <w:sz w:val="20"/>
        </w:rPr>
      </w:pPr>
    </w:p>
    <w:p>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公开表9</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统战部</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71" w:type="dxa"/>
        <w:tblInd w:w="0" w:type="dxa"/>
        <w:tblLayout w:type="fixed"/>
        <w:tblCellMar>
          <w:top w:w="0" w:type="dxa"/>
          <w:left w:w="108" w:type="dxa"/>
          <w:bottom w:w="0" w:type="dxa"/>
          <w:right w:w="108" w:type="dxa"/>
        </w:tblCellMar>
      </w:tblPr>
      <w:tblGrid>
        <w:gridCol w:w="1401"/>
        <w:gridCol w:w="1384"/>
        <w:gridCol w:w="1350"/>
        <w:gridCol w:w="761"/>
        <w:gridCol w:w="1214"/>
        <w:gridCol w:w="1214"/>
        <w:gridCol w:w="1214"/>
        <w:gridCol w:w="1214"/>
        <w:gridCol w:w="1214"/>
        <w:gridCol w:w="1214"/>
        <w:gridCol w:w="1015"/>
        <w:gridCol w:w="876"/>
      </w:tblGrid>
      <w:tr>
        <w:tblPrEx>
          <w:tblW w:w="14071" w:type="dxa"/>
          <w:tblInd w:w="0" w:type="dxa"/>
          <w:tblLayout w:type="fixed"/>
        </w:tblPrEx>
        <w:trPr>
          <w:trHeight w:val="1124"/>
        </w:trPr>
        <w:tc>
          <w:tcPr>
            <w:tcW w:w="1401"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384"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350"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761"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642" w:type="dxa"/>
            <w:gridSpan w:val="3"/>
            <w:tcBorders>
              <w:top w:val="single" w:sz="4" w:space="0" w:color="auto"/>
              <w:left w:val="nil"/>
              <w:bottom w:val="single" w:sz="4" w:space="0" w:color="auto"/>
              <w:right w:val="single" w:sz="4" w:space="0" w:color="00000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642" w:type="dxa"/>
            <w:gridSpan w:val="3"/>
            <w:tcBorders>
              <w:top w:val="single" w:sz="4" w:space="0" w:color="auto"/>
              <w:left w:val="nil"/>
              <w:bottom w:val="single" w:sz="4" w:space="0" w:color="auto"/>
              <w:right w:val="single" w:sz="4" w:space="0" w:color="00000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Ind w:w="0" w:type="dxa"/>
          <w:tblLayout w:type="fixed"/>
        </w:tblPrEx>
        <w:trPr>
          <w:trHeight w:val="1124"/>
        </w:trPr>
        <w:tc>
          <w:tcPr>
            <w:tcW w:w="1401"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384"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350"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761"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876"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r>
      <w:tr>
        <w:tblPrEx>
          <w:tblW w:w="14071" w:type="dxa"/>
          <w:tblInd w:w="0" w:type="dxa"/>
          <w:tblLayout w:type="fixed"/>
        </w:tblPrEx>
        <w:trPr>
          <w:trHeight w:val="531"/>
        </w:trPr>
        <w:tc>
          <w:tcPr>
            <w:tcW w:w="140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eastAsia"/>
                <w:b/>
                <w:bCs/>
                <w:kern w:val="0"/>
                <w:sz w:val="18"/>
                <w:szCs w:val="18"/>
                <w:lang w:eastAsia="zh-CN"/>
              </w:rPr>
            </w:pPr>
            <w:r>
              <w:rPr>
                <w:rFonts w:ascii="TimesNewRoman" w:hAnsi="TimesNewRoman" w:cs="TimesNewRoman"/>
                <w:b/>
                <w:bCs/>
                <w:kern w:val="0"/>
                <w:sz w:val="18"/>
                <w:szCs w:val="18"/>
              </w:rPr>
              <w:t>　</w:t>
            </w:r>
            <w:r>
              <w:rPr>
                <w:rFonts w:ascii="TimesNewRoman" w:hAnsi="TimesNewRoman" w:cs="TimesNewRoman" w:hint="eastAsia"/>
                <w:b/>
                <w:bCs/>
                <w:kern w:val="0"/>
                <w:sz w:val="18"/>
                <w:szCs w:val="18"/>
                <w:lang w:eastAsia="zh-CN"/>
              </w:rPr>
              <w:t>特定目标类</w:t>
            </w:r>
          </w:p>
        </w:tc>
        <w:tc>
          <w:tcPr>
            <w:tcW w:w="1384"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阿訇生活补助</w:t>
            </w:r>
          </w:p>
        </w:tc>
        <w:tc>
          <w:tcPr>
            <w:tcW w:w="135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eastAsia"/>
                <w:b/>
                <w:bCs/>
                <w:kern w:val="0"/>
                <w:sz w:val="18"/>
                <w:szCs w:val="18"/>
                <w:lang w:eastAsia="zh-CN"/>
              </w:rPr>
            </w:pPr>
            <w:r>
              <w:rPr>
                <w:rFonts w:ascii="TimesNewRoman" w:hAnsi="TimesNewRoman" w:cs="TimesNewRoman"/>
                <w:b/>
                <w:bCs/>
                <w:kern w:val="0"/>
                <w:sz w:val="18"/>
                <w:szCs w:val="18"/>
              </w:rPr>
              <w:t>　</w:t>
            </w:r>
            <w:r>
              <w:rPr>
                <w:rFonts w:ascii="TimesNewRoman" w:hAnsi="TimesNewRoman" w:cs="TimesNewRoman" w:hint="eastAsia"/>
                <w:b/>
                <w:bCs/>
                <w:kern w:val="0"/>
                <w:sz w:val="18"/>
                <w:szCs w:val="18"/>
                <w:lang w:eastAsia="zh-CN"/>
              </w:rPr>
              <w:t>寿县统战部</w:t>
            </w:r>
          </w:p>
        </w:tc>
        <w:tc>
          <w:tcPr>
            <w:tcW w:w="76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25.2</w:t>
            </w: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25.2</w:t>
            </w: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Ind w:w="0" w:type="dxa"/>
          <w:tblLayout w:type="fixed"/>
        </w:tblPrEx>
        <w:trPr>
          <w:trHeight w:val="531"/>
        </w:trPr>
        <w:tc>
          <w:tcPr>
            <w:tcW w:w="140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r>
              <w:rPr>
                <w:rFonts w:ascii="TimesNewRoman" w:hAnsi="TimesNewRoman" w:cs="TimesNewRoman" w:hint="eastAsia"/>
                <w:b/>
                <w:bCs/>
                <w:kern w:val="0"/>
                <w:sz w:val="18"/>
                <w:szCs w:val="18"/>
                <w:lang w:eastAsia="zh-CN"/>
              </w:rPr>
              <w:t>特定目标类</w:t>
            </w:r>
          </w:p>
        </w:tc>
        <w:tc>
          <w:tcPr>
            <w:tcW w:w="138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民族宗教工作经费</w:t>
            </w:r>
          </w:p>
        </w:tc>
        <w:tc>
          <w:tcPr>
            <w:tcW w:w="135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lang w:eastAsia="zh-CN"/>
              </w:rPr>
              <w:t>寿县统战部</w:t>
            </w:r>
          </w:p>
        </w:tc>
        <w:tc>
          <w:tcPr>
            <w:tcW w:w="76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17.6</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17.6</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Ind w:w="0" w:type="dxa"/>
          <w:tblLayout w:type="fixed"/>
        </w:tblPrEx>
        <w:trPr>
          <w:trHeight w:val="531"/>
        </w:trPr>
        <w:tc>
          <w:tcPr>
            <w:tcW w:w="140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b/>
                <w:bCs/>
                <w:kern w:val="0"/>
                <w:sz w:val="18"/>
                <w:szCs w:val="18"/>
                <w:lang w:eastAsia="zh-CN"/>
              </w:rPr>
              <w:t>特定目标类</w:t>
            </w:r>
          </w:p>
        </w:tc>
        <w:tc>
          <w:tcPr>
            <w:tcW w:w="138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统战工作专项经费</w:t>
            </w:r>
          </w:p>
        </w:tc>
        <w:tc>
          <w:tcPr>
            <w:tcW w:w="135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b/>
                <w:bCs/>
                <w:kern w:val="0"/>
                <w:sz w:val="18"/>
                <w:szCs w:val="18"/>
                <w:lang w:eastAsia="zh-CN"/>
              </w:rPr>
              <w:t>寿县统战部</w:t>
            </w:r>
          </w:p>
        </w:tc>
        <w:tc>
          <w:tcPr>
            <w:tcW w:w="76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20</w:t>
            </w: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20</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PrEx>
        <w:trPr>
          <w:trHeight w:val="531"/>
        </w:trPr>
        <w:tc>
          <w:tcPr>
            <w:tcW w:w="140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b/>
                <w:bCs/>
                <w:kern w:val="0"/>
                <w:sz w:val="18"/>
                <w:szCs w:val="18"/>
                <w:lang w:eastAsia="zh-CN"/>
              </w:rPr>
              <w:t>特定目标类</w:t>
            </w:r>
          </w:p>
        </w:tc>
        <w:tc>
          <w:tcPr>
            <w:tcW w:w="1384"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宗教团体建设工作经费</w:t>
            </w:r>
          </w:p>
        </w:tc>
        <w:tc>
          <w:tcPr>
            <w:tcW w:w="135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b/>
                <w:bCs/>
                <w:kern w:val="0"/>
                <w:sz w:val="18"/>
                <w:szCs w:val="18"/>
                <w:lang w:eastAsia="zh-CN"/>
              </w:rPr>
              <w:t>寿县统战部</w:t>
            </w:r>
          </w:p>
        </w:tc>
        <w:tc>
          <w:tcPr>
            <w:tcW w:w="76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8</w:t>
            </w: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8</w:t>
            </w: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PrEx>
        <w:trPr>
          <w:trHeight w:val="531"/>
        </w:trPr>
        <w:tc>
          <w:tcPr>
            <w:tcW w:w="140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384"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5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76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PrEx>
        <w:trPr>
          <w:trHeight w:val="531"/>
        </w:trPr>
        <w:tc>
          <w:tcPr>
            <w:tcW w:w="4135" w:type="dxa"/>
            <w:gridSpan w:val="3"/>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 xml:space="preserve">总 </w:t>
            </w:r>
            <w:r>
              <w:rPr>
                <w:rFonts w:ascii="TimesNewRoman" w:hAnsi="TimesNewRoman" w:cs="TimesNewRoman"/>
                <w:b/>
                <w:bCs/>
                <w:kern w:val="0"/>
                <w:sz w:val="18"/>
                <w:szCs w:val="18"/>
              </w:rPr>
              <w:t>计　</w:t>
            </w:r>
          </w:p>
        </w:tc>
        <w:tc>
          <w:tcPr>
            <w:tcW w:w="76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70.8</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70.8</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kern w:val="0"/>
          <w:sz w:val="22"/>
        </w:rPr>
      </w:pPr>
    </w:p>
    <w:p>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rPr>
        <w:t xml:space="preserve">    </w:t>
      </w:r>
      <w:r>
        <w:rPr>
          <w:rFonts w:ascii="TimesNewRoman" w:hAnsi="TimesNewRoman" w:cs="TimesNewRoman" w:hint="eastAsia"/>
          <w:sz w:val="20"/>
          <w:szCs w:val="20"/>
        </w:rPr>
        <w:t xml:space="preserve">                                                      </w:t>
      </w:r>
      <w:r>
        <w:rPr>
          <w:rFonts w:ascii="TimesNewRoman" w:hAnsi="TimesNewRoman" w:cs="TimesNewRoman"/>
          <w:sz w:val="20"/>
          <w:szCs w:val="20"/>
        </w:rPr>
        <w:t>部门</w:t>
      </w:r>
      <w:r>
        <w:rPr>
          <w:rFonts w:ascii="TimesNewRoman" w:hAnsi="TimesNewRoman" w:cs="TimesNewRoman"/>
          <w:sz w:val="20"/>
          <w:szCs w:val="20"/>
          <w:u w:val="single"/>
        </w:rPr>
        <w:t>（单位）</w:t>
      </w:r>
      <w:r>
        <w:rPr>
          <w:rFonts w:ascii="TimesNewRoman" w:hAnsi="TimesNewRoman" w:cs="TimesNewRoman"/>
          <w:sz w:val="20"/>
          <w:szCs w:val="20"/>
        </w:rPr>
        <w:t>公开表10</w:t>
      </w:r>
    </w:p>
    <w:tbl>
      <w:tblPr>
        <w:tblStyle w:val="TableNormal"/>
        <w:tblW w:w="14109" w:type="dxa"/>
        <w:tblInd w:w="0" w:type="dxa"/>
        <w:tblLayout w:type="fixed"/>
        <w:tblCellMar>
          <w:top w:w="0" w:type="dxa"/>
          <w:left w:w="108" w:type="dxa"/>
          <w:bottom w:w="0" w:type="dxa"/>
          <w:right w:w="108" w:type="dxa"/>
        </w:tblCellMar>
      </w:tblPr>
      <w:tblGrid>
        <w:gridCol w:w="1907"/>
        <w:gridCol w:w="1827"/>
        <w:gridCol w:w="1430"/>
        <w:gridCol w:w="1643"/>
        <w:gridCol w:w="1823"/>
        <w:gridCol w:w="1811"/>
        <w:gridCol w:w="1780"/>
        <w:gridCol w:w="1888"/>
      </w:tblGrid>
      <w:tr>
        <w:tblPrEx>
          <w:tblW w:w="14109" w:type="dxa"/>
          <w:tblInd w:w="0" w:type="dxa"/>
          <w:tblLayout w:type="fixed"/>
        </w:tblPrEx>
        <w:trPr>
          <w:trHeight w:val="482"/>
        </w:trPr>
        <w:tc>
          <w:tcPr>
            <w:tcW w:w="14109" w:type="dxa"/>
            <w:gridSpan w:val="8"/>
            <w:tcBorders>
              <w:top w:val="nil"/>
              <w:left w:val="nil"/>
              <w:bottom w:val="nil"/>
              <w:right w:val="nil"/>
            </w:tcBorders>
            <w:noWrap w:val="0"/>
            <w:vAlign w:val="center"/>
          </w:tcPr>
          <w:p>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rPr>
              <w:t>寿县</w:t>
            </w:r>
            <w:r>
              <w:rPr>
                <w:rFonts w:ascii="TimesNewRoman" w:eastAsia="华文中宋" w:hAnsi="TimesNewRoman" w:cs="TimesNewRoman" w:hint="eastAsia"/>
                <w:b/>
                <w:bCs/>
                <w:kern w:val="0"/>
                <w:szCs w:val="32"/>
                <w:lang w:eastAsia="zh-CN"/>
              </w:rPr>
              <w:t>统战部</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单位：万元</w:t>
            </w:r>
          </w:p>
        </w:tc>
      </w:tr>
      <w:tr>
        <w:tblPrEx>
          <w:tblW w:w="14109" w:type="dxa"/>
          <w:tblInd w:w="0" w:type="dxa"/>
          <w:tblLayout w:type="fixed"/>
        </w:tblPrEx>
        <w:trPr>
          <w:trHeight w:val="800"/>
        </w:trPr>
        <w:tc>
          <w:tcPr>
            <w:tcW w:w="1907" w:type="dxa"/>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27"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430"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4109" w:type="dxa"/>
          <w:tblInd w:w="0" w:type="dxa"/>
          <w:tblLayout w:type="fixed"/>
        </w:tblPrEx>
        <w:trPr>
          <w:trHeight w:val="496"/>
        </w:trPr>
        <w:tc>
          <w:tcPr>
            <w:tcW w:w="1907" w:type="dxa"/>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PrEx>
        <w:trPr>
          <w:trHeight w:val="496"/>
        </w:trPr>
        <w:tc>
          <w:tcPr>
            <w:tcW w:w="3734"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计</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bl>
    <w:p>
      <w:pPr>
        <w:spacing w:line="560" w:lineRule="exact"/>
        <w:rPr>
          <w:rFonts w:ascii="TimesNewRoman" w:hAnsi="TimesNewRoman" w:cs="TimesNewRoman"/>
          <w:kern w:val="0"/>
          <w:sz w:val="22"/>
        </w:rPr>
      </w:pPr>
      <w:r>
        <w:rPr>
          <w:rFonts w:ascii="TimesNewRoman" w:hAnsi="TimesNewRoman" w:cs="TimesNewRoman" w:hint="eastAsia"/>
          <w:kern w:val="0"/>
          <w:sz w:val="22"/>
        </w:rPr>
        <w:t>寿县</w:t>
      </w:r>
      <w:r>
        <w:rPr>
          <w:rFonts w:ascii="TimesNewRoman" w:hAnsi="TimesNewRoman" w:cs="TimesNewRoman" w:hint="eastAsia"/>
          <w:kern w:val="0"/>
          <w:sz w:val="22"/>
          <w:lang w:eastAsia="zh-CN"/>
        </w:rPr>
        <w:t>统战部</w:t>
      </w:r>
      <w:r>
        <w:rPr>
          <w:rFonts w:ascii="TimesNewRoman" w:hAnsi="TimesNewRoman" w:cs="TimesNewRoman"/>
          <w:kern w:val="0"/>
          <w:sz w:val="22"/>
        </w:rPr>
        <w:t>没有使用一般公共预算拨款、政府性基金预算拨款、国有资本经营预算拨款、财政专户管理资金和单位资金安排的政府采购支出，故本表无数据。</w:t>
      </w:r>
    </w:p>
    <w:p>
      <w:pPr>
        <w:spacing w:line="560" w:lineRule="exact"/>
        <w:rPr>
          <w:rFonts w:ascii="TimesNewRoman" w:hAnsi="TimesNewRoman" w:cs="TimesNewRoman"/>
        </w:rPr>
      </w:pPr>
    </w:p>
    <w:p>
      <w:pPr>
        <w:spacing w:line="560" w:lineRule="exact"/>
        <w:rPr>
          <w:rFonts w:ascii="TimesNewRoman" w:hAnsi="TimesNewRoman" w:cs="TimesNewRoman"/>
        </w:rPr>
      </w:pPr>
    </w:p>
    <w:p>
      <w:pPr>
        <w:pStyle w:val="NormalWeb"/>
        <w:wordWrap w:val="0"/>
        <w:adjustRightInd w:val="0"/>
        <w:snapToGrid w:val="0"/>
        <w:spacing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rPr>
        <w:t>部门</w:t>
      </w:r>
      <w:r>
        <w:rPr>
          <w:rFonts w:ascii="TimesNewRoman" w:hAnsi="TimesNewRoman" w:cs="TimesNewRoman"/>
          <w:sz w:val="20"/>
          <w:szCs w:val="20"/>
          <w:u w:val="single"/>
        </w:rPr>
        <w:t>（单位）</w:t>
      </w:r>
      <w:r>
        <w:rPr>
          <w:rFonts w:ascii="TimesNewRoman" w:hAnsi="TimesNewRoman" w:cs="TimesNewRoman"/>
          <w:sz w:val="20"/>
          <w:szCs w:val="20"/>
        </w:rPr>
        <w:t>公开表11</w:t>
      </w:r>
    </w:p>
    <w:tbl>
      <w:tblPr>
        <w:tblStyle w:val="TableNormal"/>
        <w:tblW w:w="13709" w:type="dxa"/>
        <w:jc w:val="center"/>
        <w:tblLayout w:type="fixed"/>
        <w:tblCellMar>
          <w:top w:w="0" w:type="dxa"/>
          <w:left w:w="108" w:type="dxa"/>
          <w:bottom w:w="0" w:type="dxa"/>
          <w:right w:w="108" w:type="dxa"/>
        </w:tblCellMar>
      </w:tblPr>
      <w:tblGrid>
        <w:gridCol w:w="2068"/>
        <w:gridCol w:w="1948"/>
        <w:gridCol w:w="1780"/>
        <w:gridCol w:w="1928"/>
        <w:gridCol w:w="2477"/>
        <w:gridCol w:w="1680"/>
        <w:gridCol w:w="1811"/>
        <w:gridCol w:w="17"/>
      </w:tblGrid>
      <w:tr>
        <w:tblPrEx>
          <w:tblW w:w="13709" w:type="dxa"/>
          <w:jc w:val="center"/>
          <w:tblLayout w:type="fixed"/>
        </w:tblPrEx>
        <w:trPr>
          <w:gridAfter w:val="1"/>
          <w:wAfter w:w="17" w:type="dxa"/>
          <w:trHeight w:val="673"/>
          <w:jc w:val="center"/>
        </w:trPr>
        <w:tc>
          <w:tcPr>
            <w:tcW w:w="13692" w:type="dxa"/>
            <w:gridSpan w:val="7"/>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统战部</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单位：万元</w:t>
            </w:r>
          </w:p>
        </w:tc>
      </w:tr>
      <w:tr>
        <w:tblPrEx>
          <w:tblW w:w="13709" w:type="dxa"/>
          <w:jc w:val="center"/>
          <w:tblLayout w:type="fixed"/>
          <w:tblCellMar>
            <w:top w:w="15" w:type="dxa"/>
            <w:left w:w="15" w:type="dxa"/>
            <w:bottom w:w="15" w:type="dxa"/>
            <w:right w:w="15" w:type="dxa"/>
          </w:tblCellMar>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项目名称</w:t>
            </w: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一级目录名称</w:t>
            </w: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二级目录名称</w:t>
            </w: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三级目录名称</w:t>
            </w: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购买金额</w:t>
            </w: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r>
              <w:rPr>
                <w:rFonts w:ascii="TimesNewRoman" w:hAnsi="TimesNewRoman" w:cs="TimesNewRoman"/>
                <w:b/>
                <w:sz w:val="18"/>
                <w:szCs w:val="18"/>
              </w:rPr>
              <w:t>合</w:t>
            </w:r>
            <w:r>
              <w:rPr>
                <w:rFonts w:ascii="TimesNewRoman" w:hAnsi="TimesNewRoman" w:cs="TimesNewRoman" w:hint="eastAsia"/>
                <w:b/>
                <w:sz w:val="18"/>
                <w:szCs w:val="18"/>
              </w:rPr>
              <w:t xml:space="preserve"> </w:t>
            </w:r>
            <w:r>
              <w:rPr>
                <w:rFonts w:ascii="TimesNewRoman" w:hAnsi="TimesNewRoman" w:cs="TimesNewRoman"/>
                <w:b/>
                <w:sz w:val="18"/>
                <w:szCs w:val="18"/>
              </w:rPr>
              <w:t>计</w:t>
            </w: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bl>
    <w:p>
      <w:pPr>
        <w:spacing w:line="560" w:lineRule="exact"/>
        <w:rPr>
          <w:rFonts w:ascii="TimesNewRoman" w:hAnsi="TimesNewRoman" w:cs="TimesNewRoman"/>
          <w:kern w:val="0"/>
          <w:sz w:val="22"/>
        </w:rPr>
      </w:pPr>
      <w:r>
        <w:rPr>
          <w:rFonts w:ascii="TimesNewRoman" w:hAnsi="TimesNewRoman" w:cs="TimesNewRoman" w:hint="eastAsia"/>
          <w:kern w:val="0"/>
          <w:sz w:val="22"/>
        </w:rPr>
        <w:t>寿县</w:t>
      </w:r>
      <w:r>
        <w:rPr>
          <w:rFonts w:ascii="TimesNewRoman" w:hAnsi="TimesNewRoman" w:cs="TimesNewRoman" w:hint="eastAsia"/>
          <w:kern w:val="0"/>
          <w:sz w:val="22"/>
          <w:lang w:eastAsia="zh-CN"/>
        </w:rPr>
        <w:t>统战部</w:t>
      </w:r>
      <w:r>
        <w:rPr>
          <w:rFonts w:ascii="TimesNewRoman" w:hAnsi="TimesNewRoman" w:cs="TimesNewRoman"/>
          <w:kern w:val="0"/>
          <w:sz w:val="22"/>
        </w:rPr>
        <w:t>没有安排政府购买服务支出，故本表无数据。</w:t>
      </w:r>
    </w:p>
    <w:p>
      <w:pPr>
        <w:pStyle w:val="NormalWeb"/>
        <w:adjustRightInd w:val="0"/>
        <w:snapToGrid w:val="0"/>
        <w:spacing w:before="100" w:after="100" w:line="560" w:lineRule="exact"/>
        <w:ind w:firstLine="640" w:firstLineChars="200"/>
        <w:rPr>
          <w:rFonts w:ascii="TimesNewRoman" w:eastAsia="楷体_GB2312" w:hAnsi="TimesNewRoman" w:cs="TimesNewRoman"/>
          <w:bCs/>
          <w:sz w:val="32"/>
          <w:szCs w:val="32"/>
        </w:rPr>
        <w:sectPr>
          <w:pgSz w:w="16840" w:h="11907" w:orient="landscape"/>
          <w:pgMar w:top="1588" w:right="1531" w:bottom="1474" w:left="1560" w:header="851" w:footer="1021" w:gutter="0"/>
          <w:cols w:num="1" w:space="425"/>
          <w:docGrid w:type="linesAndChars" w:linePitch="312" w:charSpace="0"/>
        </w:sectPr>
      </w:pPr>
    </w:p>
    <w:p>
      <w:pPr>
        <w:pStyle w:val="NormalWeb"/>
        <w:adjustRightInd w:val="0"/>
        <w:snapToGrid w:val="0"/>
        <w:spacing w:before="100" w:after="100" w:line="560" w:lineRule="exact"/>
        <w:ind w:firstLine="640" w:firstLineChars="200"/>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上述公开表1、表4收入、支出项目保留样表各项内容，如相关收支预算未安排，请显示空白格，无需显示0值。公开表2、表3、表5、表6、表7、表8、表9、表10、表11公开的支出功能科目、经济科目、项目信息只显示本部门（单位）安排预算的相应内容）</w:t>
      </w:r>
    </w:p>
    <w:p>
      <w:pPr>
        <w:pStyle w:val="NormalWeb"/>
        <w:topLinePunct/>
        <w:adjustRightInd w:val="0"/>
        <w:snapToGrid w:val="0"/>
        <w:spacing w:beforeAutospacing="0" w:afterAutospacing="0" w:line="560" w:lineRule="exact"/>
        <w:jc w:val="center"/>
        <w:rPr>
          <w:rFonts w:ascii="TimesNewRoman" w:eastAsia="黑体" w:hAnsi="TimesNewRoman" w:cs="TimesNewRoman" w:hint="eastAsia"/>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第三部分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年部门（单位）预算情况说明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一、关于2024年收支总表的说明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按照综合预算的原则，寿县</w:t>
      </w:r>
      <w:r>
        <w:rPr>
          <w:rFonts w:ascii="仿宋_GB2312" w:eastAsia="仿宋_GB2312" w:hAnsi="TimesNewRoman" w:cs="TimesNewRoman" w:hint="eastAsia"/>
          <w:sz w:val="32"/>
          <w:szCs w:val="32"/>
          <w:lang w:eastAsia="zh-CN"/>
        </w:rPr>
        <w:t>统战部</w:t>
      </w:r>
      <w:r>
        <w:rPr>
          <w:rFonts w:ascii="仿宋_GB2312" w:eastAsia="仿宋_GB2312" w:hAnsi="TimesNewRoman" w:cs="TimesNewRoman" w:hint="eastAsia"/>
          <w:sz w:val="32"/>
          <w:szCs w:val="32"/>
        </w:rPr>
        <w:t>所有收入和支出均纳入部门</w:t>
      </w:r>
      <w:r>
        <w:rPr>
          <w:rFonts w:ascii="仿宋_GB2312" w:eastAsia="仿宋_GB2312" w:hAnsi="TimesNewRoman" w:cs="TimesNewRoman" w:hint="eastAsia"/>
          <w:sz w:val="32"/>
          <w:szCs w:val="32"/>
          <w:u w:val="single"/>
        </w:rPr>
        <w:t>（单位）</w:t>
      </w:r>
      <w:r>
        <w:rPr>
          <w:rFonts w:ascii="仿宋_GB2312" w:eastAsia="仿宋_GB2312" w:hAnsi="TimesNewRoman" w:cs="TimesNewRoman" w:hint="eastAsia"/>
          <w:sz w:val="32"/>
          <w:szCs w:val="32"/>
        </w:rPr>
        <w:t>预算管理。寿县</w:t>
      </w:r>
      <w:r>
        <w:rPr>
          <w:rFonts w:ascii="仿宋_GB2312" w:eastAsia="仿宋_GB2312" w:hAnsi="TimesNewRoman" w:cs="TimesNewRoman" w:hint="eastAsia"/>
          <w:sz w:val="32"/>
          <w:szCs w:val="32"/>
          <w:lang w:eastAsia="zh-CN"/>
        </w:rPr>
        <w:t>统战部</w:t>
      </w:r>
      <w:r>
        <w:rPr>
          <w:rFonts w:ascii="仿宋_GB2312" w:eastAsia="仿宋_GB2312" w:hAnsi="TimesNewRoman" w:cs="TimesNewRoman" w:hint="eastAsia"/>
          <w:sz w:val="32"/>
          <w:szCs w:val="32"/>
        </w:rPr>
        <w:t>2024年收支总预算</w:t>
      </w:r>
      <w:r>
        <w:rPr>
          <w:rFonts w:ascii="仿宋_GB2312" w:eastAsia="仿宋_GB2312" w:hAnsi="TimesNewRoman" w:cs="TimesNewRoman" w:hint="eastAsia"/>
          <w:sz w:val="32"/>
          <w:szCs w:val="32"/>
          <w:lang w:val="en-US" w:eastAsia="zh-CN"/>
        </w:rPr>
        <w:t>273.84</w:t>
      </w:r>
      <w:r>
        <w:rPr>
          <w:rFonts w:ascii="仿宋_GB2312" w:eastAsia="仿宋_GB2312" w:hAnsi="TimesNewRoman" w:cs="TimesNewRoman" w:hint="eastAsia"/>
          <w:sz w:val="32"/>
          <w:szCs w:val="32"/>
        </w:rPr>
        <w:t>万元，收入包括一般公共预算拨款收入，支出包括：一般公共服务支出、社会保障和就业支出、卫生健康支出、住房保障支出。</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收支包括的具体内容根据本部门（单位）实际情况，只说明金额不为0的项目，金额为0的项目可自行删除，如收入仅有一项的，说明为“收入全部是一般公共预算拨款收入（政府性基金预算拨款收入……）”；支出仅说明本部门（单位）实际使用的功能科目】</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二、关于2024年收入总表的说明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统战部</w:t>
      </w:r>
      <w:r>
        <w:rPr>
          <w:rFonts w:ascii="仿宋_GB2312" w:eastAsia="仿宋_GB2312" w:hAnsi="TimesNewRoman" w:cs="TimesNewRoman" w:hint="eastAsia"/>
          <w:sz w:val="32"/>
          <w:szCs w:val="32"/>
        </w:rPr>
        <w:t>2024年收入预算</w:t>
      </w:r>
      <w:r>
        <w:rPr>
          <w:rFonts w:ascii="仿宋_GB2312" w:eastAsia="仿宋_GB2312" w:hAnsi="TimesNewRoman" w:cs="TimesNewRoman" w:hint="eastAsia"/>
          <w:sz w:val="32"/>
          <w:szCs w:val="32"/>
          <w:lang w:val="en-US" w:eastAsia="zh-CN"/>
        </w:rPr>
        <w:t>273.84</w:t>
      </w:r>
      <w:r>
        <w:rPr>
          <w:rFonts w:ascii="仿宋_GB2312" w:eastAsia="仿宋_GB2312" w:hAnsi="TimesNewRoman" w:cs="TimesNewRoman" w:hint="eastAsia"/>
          <w:sz w:val="32"/>
          <w:szCs w:val="32"/>
        </w:rPr>
        <w:t>万元，其中，本年收入</w:t>
      </w:r>
      <w:r>
        <w:rPr>
          <w:rFonts w:ascii="仿宋_GB2312" w:eastAsia="仿宋_GB2312" w:hAnsi="TimesNewRoman" w:cs="TimesNewRoman" w:hint="eastAsia"/>
          <w:sz w:val="32"/>
          <w:szCs w:val="32"/>
          <w:lang w:val="en-US" w:eastAsia="zh-CN"/>
        </w:rPr>
        <w:t>273.84</w:t>
      </w:r>
      <w:r>
        <w:rPr>
          <w:rFonts w:ascii="仿宋_GB2312" w:eastAsia="仿宋_GB2312" w:hAnsi="TimesNewRoman" w:cs="TimesNewRoman" w:hint="eastAsia"/>
          <w:sz w:val="32"/>
          <w:szCs w:val="32"/>
        </w:rPr>
        <w:t>万元。</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（一）本年收入</w:t>
      </w:r>
      <w:r>
        <w:rPr>
          <w:rFonts w:ascii="仿宋_GB2312" w:eastAsia="仿宋_GB2312" w:hAnsi="TimesNewRoman" w:cs="TimesNewRoman" w:hint="eastAsia"/>
          <w:sz w:val="32"/>
          <w:szCs w:val="32"/>
          <w:lang w:val="en-US" w:eastAsia="zh-CN"/>
        </w:rPr>
        <w:t>273.84</w:t>
      </w:r>
      <w:r>
        <w:rPr>
          <w:rFonts w:ascii="仿宋_GB2312" w:eastAsia="仿宋_GB2312" w:hAnsi="TimesNewRoman" w:cs="TimesNewRoman" w:hint="eastAsia"/>
          <w:sz w:val="32"/>
          <w:szCs w:val="32"/>
        </w:rPr>
        <w:t>万元，主要包括：一般公共预算拨款收入</w:t>
      </w:r>
      <w:r>
        <w:rPr>
          <w:rFonts w:ascii="仿宋_GB2312" w:eastAsia="仿宋_GB2312" w:hAnsi="TimesNewRoman" w:cs="TimesNewRoman" w:hint="eastAsia"/>
          <w:sz w:val="32"/>
          <w:szCs w:val="32"/>
          <w:lang w:val="en-US" w:eastAsia="zh-CN"/>
        </w:rPr>
        <w:t>273.84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100</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15.95</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5.8</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eastAsia="zh-CN"/>
        </w:rPr>
        <w:t>统战工作专项经费和民族宗教工作经费、宗教团体建设工作经费增加，退休人员退休费增加</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收入预算根据本部门（单位）实际情况说明，只说明金额不为0的项目，金额为0的项目可自行删除，如收入分类仅有一项的，说明为“收入全部为一般公共预算拨款收入（政府性基金预算拨款收入……），比2023年预算增加（减少）*.*万元，增长（下降）*.*%，增长（下降）原因主要是……”】</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三、关于2024年支出总表的说明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统战部</w:t>
      </w:r>
      <w:r>
        <w:rPr>
          <w:rFonts w:ascii="仿宋_GB2312" w:eastAsia="仿宋_GB2312" w:hAnsi="TimesNewRoman" w:cs="TimesNewRoman" w:hint="eastAsia"/>
          <w:sz w:val="32"/>
          <w:szCs w:val="32"/>
        </w:rPr>
        <w:t>2024年支出预算</w:t>
      </w:r>
      <w:r>
        <w:rPr>
          <w:rFonts w:ascii="仿宋_GB2312" w:eastAsia="仿宋_GB2312" w:hAnsi="TimesNewRoman" w:cs="TimesNewRoman" w:hint="eastAsia"/>
          <w:sz w:val="32"/>
          <w:szCs w:val="32"/>
          <w:lang w:val="en-US" w:eastAsia="zh-CN"/>
        </w:rPr>
        <w:t>273.84</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15.95</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5.8</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eastAsia="zh-CN"/>
        </w:rPr>
        <w:t>统战工作专项经费和民族宗教工作经费、宗教团体建设工作经费增加，退休人员退休费增加</w:t>
      </w:r>
      <w:r>
        <w:rPr>
          <w:rFonts w:ascii="仿宋_GB2312" w:eastAsia="仿宋_GB2312" w:hAnsi="TimesNewRoman" w:cs="TimesNewRoman" w:hint="eastAsia"/>
          <w:sz w:val="32"/>
          <w:szCs w:val="32"/>
        </w:rPr>
        <w:t>。其中，基本支出</w:t>
      </w:r>
      <w:r>
        <w:rPr>
          <w:rFonts w:ascii="仿宋_GB2312" w:eastAsia="仿宋_GB2312" w:hAnsi="TimesNewRoman" w:cs="TimesNewRoman" w:hint="eastAsia"/>
          <w:sz w:val="32"/>
          <w:szCs w:val="32"/>
          <w:lang w:val="en-US" w:eastAsia="zh-CN"/>
        </w:rPr>
        <w:t>203.04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74</w:t>
      </w:r>
      <w:r>
        <w:rPr>
          <w:rFonts w:ascii="仿宋_GB2312" w:eastAsia="仿宋_GB2312" w:hAnsi="TimesNewRoman" w:cs="TimesNewRoman" w:hint="eastAsia"/>
          <w:sz w:val="32"/>
          <w:szCs w:val="32"/>
        </w:rPr>
        <w:t>%，主要用于保障机构日常运转、完成日常工作任务；项目支出</w:t>
      </w:r>
      <w:r>
        <w:rPr>
          <w:rFonts w:ascii="仿宋_GB2312" w:eastAsia="仿宋_GB2312" w:hAnsi="TimesNewRoman" w:cs="TimesNewRoman" w:hint="eastAsia"/>
          <w:sz w:val="32"/>
          <w:szCs w:val="32"/>
          <w:lang w:val="en-US" w:eastAsia="zh-CN"/>
        </w:rPr>
        <w:t>70.8</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26</w:t>
      </w:r>
      <w:r>
        <w:rPr>
          <w:rFonts w:ascii="仿宋_GB2312" w:eastAsia="仿宋_GB2312" w:hAnsi="TimesNewRoman" w:cs="TimesNewRoman" w:hint="eastAsia"/>
          <w:sz w:val="32"/>
          <w:szCs w:val="32"/>
        </w:rPr>
        <w:t>%，主要用于</w:t>
      </w:r>
      <w:r>
        <w:rPr>
          <w:rFonts w:ascii="仿宋_GB2312" w:eastAsia="仿宋_GB2312" w:hAnsi="TimesNewRoman" w:cs="TimesNewRoman" w:hint="eastAsia"/>
          <w:sz w:val="32"/>
          <w:szCs w:val="32"/>
          <w:lang w:eastAsia="zh-CN"/>
        </w:rPr>
        <w:t>统战宗教工作日常开支，宗教团体工作开支，阿訇生活补助</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四、关于2024年财政拨款收支总表的说明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统战部</w:t>
      </w:r>
      <w:r>
        <w:rPr>
          <w:rFonts w:ascii="仿宋_GB2312" w:eastAsia="仿宋_GB2312" w:hAnsi="TimesNewRoman" w:cs="TimesNewRoman" w:hint="eastAsia"/>
          <w:sz w:val="32"/>
          <w:szCs w:val="32"/>
        </w:rPr>
        <w:t>2024年财政拨款收支预算</w:t>
      </w:r>
      <w:r>
        <w:rPr>
          <w:rFonts w:ascii="仿宋_GB2312" w:eastAsia="仿宋_GB2312" w:hAnsi="TimesNewRoman" w:cs="TimesNewRoman" w:hint="eastAsia"/>
          <w:sz w:val="32"/>
          <w:szCs w:val="32"/>
          <w:lang w:val="en-US" w:eastAsia="zh-CN"/>
        </w:rPr>
        <w:t>273.84</w:t>
      </w:r>
      <w:r>
        <w:rPr>
          <w:rFonts w:ascii="仿宋_GB2312" w:eastAsia="仿宋_GB2312" w:hAnsi="TimesNewRoman" w:cs="TimesNewRoman" w:hint="eastAsia"/>
          <w:sz w:val="32"/>
          <w:szCs w:val="32"/>
        </w:rPr>
        <w:t>万元。收入按资金来源分为：一般公共预算拨款</w:t>
      </w:r>
      <w:r>
        <w:rPr>
          <w:rFonts w:ascii="仿宋_GB2312" w:eastAsia="仿宋_GB2312" w:hAnsi="TimesNewRoman" w:cs="TimesNewRoman" w:hint="eastAsia"/>
          <w:sz w:val="32"/>
          <w:szCs w:val="32"/>
          <w:lang w:val="en-US" w:eastAsia="zh-CN"/>
        </w:rPr>
        <w:t>273.84</w:t>
      </w:r>
      <w:r>
        <w:rPr>
          <w:rFonts w:ascii="仿宋_GB2312" w:eastAsia="仿宋_GB2312" w:hAnsi="TimesNewRoman" w:cs="TimesNewRoman" w:hint="eastAsia"/>
          <w:sz w:val="32"/>
          <w:szCs w:val="32"/>
        </w:rPr>
        <w:t>万元；按资金年度分为：本年财政拨款收入</w:t>
      </w:r>
      <w:r>
        <w:rPr>
          <w:rFonts w:ascii="仿宋_GB2312" w:eastAsia="仿宋_GB2312" w:hAnsi="TimesNewRoman" w:cs="TimesNewRoman" w:hint="eastAsia"/>
          <w:sz w:val="32"/>
          <w:szCs w:val="32"/>
          <w:lang w:val="en-US" w:eastAsia="zh-CN"/>
        </w:rPr>
        <w:t>273.84</w:t>
      </w:r>
      <w:r>
        <w:rPr>
          <w:rFonts w:ascii="仿宋_GB2312" w:eastAsia="仿宋_GB2312" w:hAnsi="TimesNewRoman" w:cs="TimesNewRoman" w:hint="eastAsia"/>
          <w:sz w:val="32"/>
          <w:szCs w:val="32"/>
        </w:rPr>
        <w:t>万元。支出按功能分类分为：一般公共服务支出</w:t>
      </w:r>
      <w:r>
        <w:rPr>
          <w:rFonts w:ascii="仿宋_GB2312" w:eastAsia="仿宋_GB2312" w:hAnsi="TimesNewRoman" w:cs="TimesNewRoman" w:hint="eastAsia"/>
          <w:sz w:val="32"/>
          <w:szCs w:val="32"/>
          <w:lang w:val="en-US" w:eastAsia="zh-CN"/>
        </w:rPr>
        <w:t>228.76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83</w:t>
      </w:r>
      <w:r>
        <w:rPr>
          <w:rFonts w:ascii="仿宋_GB2312" w:eastAsia="仿宋_GB2312" w:hAnsi="TimesNewRoman" w:cs="TimesNewRoman" w:hint="eastAsia"/>
          <w:sz w:val="32"/>
          <w:szCs w:val="32"/>
        </w:rPr>
        <w:t>%；社会保障和就业支出</w:t>
      </w:r>
      <w:r>
        <w:rPr>
          <w:rFonts w:ascii="仿宋_GB2312" w:eastAsia="仿宋_GB2312" w:hAnsi="TimesNewRoman" w:cs="TimesNewRoman" w:hint="eastAsia"/>
          <w:sz w:val="32"/>
          <w:szCs w:val="32"/>
          <w:lang w:val="en-US" w:eastAsia="zh-CN"/>
        </w:rPr>
        <w:t>27.96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10</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3.15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1.2</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13.98</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5.8</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【收入来源及支出功能分类根据本部门</w:t>
      </w:r>
      <w:r>
        <w:rPr>
          <w:rFonts w:ascii="仿宋_GB2312" w:eastAsia="仿宋_GB2312" w:hAnsi="TimesNewRoman" w:cs="TimesNewRoman" w:hint="eastAsia"/>
          <w:sz w:val="32"/>
          <w:szCs w:val="32"/>
          <w:u w:val="single"/>
        </w:rPr>
        <w:t>（单位）</w:t>
      </w:r>
      <w:r>
        <w:rPr>
          <w:rFonts w:ascii="仿宋_GB2312" w:eastAsia="仿宋_GB2312" w:hAnsi="TimesNewRoman" w:cs="TimesNewRoman" w:hint="eastAsia"/>
          <w:sz w:val="32"/>
          <w:szCs w:val="32"/>
        </w:rPr>
        <w:t>实际情况说明，只说明金额不为0的项目，金额为0的项目可自行删除，如收入来源及年度分类仅有一项的，说明为“收入按资金来源分全部为一般公共预算拨款（政府性基金预算拨款）”“按资金年度分全部为当年财政拨款收入（含上年结转）”；支出仅说明本部门</w:t>
      </w:r>
      <w:r>
        <w:rPr>
          <w:rFonts w:ascii="仿宋_GB2312" w:eastAsia="仿宋_GB2312" w:hAnsi="TimesNewRoman" w:cs="TimesNewRoman" w:hint="eastAsia"/>
          <w:sz w:val="32"/>
          <w:szCs w:val="32"/>
          <w:u w:val="single"/>
        </w:rPr>
        <w:t>（单位）</w:t>
      </w:r>
      <w:r>
        <w:rPr>
          <w:rFonts w:ascii="仿宋_GB2312" w:eastAsia="仿宋_GB2312" w:hAnsi="TimesNewRoman" w:cs="TimesNewRoman" w:hint="eastAsia"/>
          <w:sz w:val="32"/>
          <w:szCs w:val="32"/>
        </w:rPr>
        <w:t>实际使用的功能科目及金额”】</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五、关于2024年一般公共预算支出表的说明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（一）一般公共预算支出规模变化情况。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统战部</w:t>
      </w:r>
      <w:r>
        <w:rPr>
          <w:rFonts w:ascii="仿宋_GB2312" w:eastAsia="仿宋_GB2312" w:hAnsi="TimesNewRoman" w:cs="TimesNewRoman" w:hint="eastAsia"/>
          <w:sz w:val="32"/>
          <w:szCs w:val="32"/>
        </w:rPr>
        <w:t>2024年一般公共预算支出</w:t>
      </w:r>
      <w:r>
        <w:rPr>
          <w:rFonts w:ascii="仿宋_GB2312" w:eastAsia="仿宋_GB2312" w:hAnsi="TimesNewRoman" w:cs="TimesNewRoman" w:hint="eastAsia"/>
          <w:sz w:val="32"/>
          <w:szCs w:val="32"/>
          <w:lang w:val="en-US" w:eastAsia="zh-CN"/>
        </w:rPr>
        <w:t>273.84</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15.95</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5.8</w:t>
      </w:r>
      <w:r>
        <w:rPr>
          <w:rFonts w:ascii="仿宋_GB2312" w:eastAsia="仿宋_GB2312" w:hAnsi="TimesNewRoman" w:cs="TimesNewRoman" w:hint="eastAsia"/>
          <w:sz w:val="32"/>
          <w:szCs w:val="32"/>
        </w:rPr>
        <w:t>%，主要原因：一是</w:t>
      </w:r>
      <w:r>
        <w:rPr>
          <w:rFonts w:ascii="仿宋_GB2312" w:eastAsia="仿宋_GB2312" w:hAnsi="TimesNewRoman" w:cs="TimesNewRoman" w:hint="eastAsia"/>
          <w:sz w:val="32"/>
          <w:szCs w:val="32"/>
          <w:lang w:eastAsia="zh-CN"/>
        </w:rPr>
        <w:t>统战工作专项经费和民族宗教工作经费、宗教团体建设工作经费增加，二是退休人员退休费增加</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（二）一般公共预算支出结构情况。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一般公共服务支出</w:t>
      </w:r>
      <w:r>
        <w:rPr>
          <w:rFonts w:ascii="仿宋_GB2312" w:eastAsia="仿宋_GB2312" w:hAnsi="TimesNewRoman" w:cs="TimesNewRoman" w:hint="eastAsia"/>
          <w:sz w:val="32"/>
          <w:szCs w:val="32"/>
          <w:lang w:val="en-US" w:eastAsia="zh-CN"/>
        </w:rPr>
        <w:t>228.76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83</w:t>
      </w:r>
      <w:r>
        <w:rPr>
          <w:rFonts w:ascii="仿宋_GB2312" w:eastAsia="仿宋_GB2312" w:hAnsi="TimesNewRoman" w:cs="TimesNewRoman" w:hint="eastAsia"/>
          <w:sz w:val="32"/>
          <w:szCs w:val="32"/>
        </w:rPr>
        <w:t>%；社会保障和就业支出</w:t>
      </w:r>
      <w:r>
        <w:rPr>
          <w:rFonts w:ascii="仿宋_GB2312" w:eastAsia="仿宋_GB2312" w:hAnsi="TimesNewRoman" w:cs="TimesNewRoman" w:hint="eastAsia"/>
          <w:sz w:val="32"/>
          <w:szCs w:val="32"/>
          <w:lang w:val="en-US" w:eastAsia="zh-CN"/>
        </w:rPr>
        <w:t>27.96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10</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3.15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1.2</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13.98</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5.8</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【支出仅说明本部门</w:t>
      </w:r>
      <w:r>
        <w:rPr>
          <w:rFonts w:ascii="仿宋_GB2312" w:eastAsia="仿宋_GB2312" w:hAnsi="TimesNewRoman" w:cs="TimesNewRoman" w:hint="eastAsia"/>
          <w:sz w:val="32"/>
          <w:szCs w:val="32"/>
          <w:u w:val="single"/>
        </w:rPr>
        <w:t>（单位）</w:t>
      </w:r>
      <w:r>
        <w:rPr>
          <w:rFonts w:ascii="仿宋_GB2312" w:eastAsia="仿宋_GB2312" w:hAnsi="TimesNewRoman" w:cs="TimesNewRoman" w:hint="eastAsia"/>
          <w:sz w:val="32"/>
          <w:szCs w:val="32"/>
        </w:rPr>
        <w:t>实际使用的功能科目及金额，跟第四大点要能对应上】</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（三）一般公共预算支出具体使用情况。</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1.一般公共服务支出（类）</w:t>
      </w:r>
      <w:r>
        <w:rPr>
          <w:rFonts w:ascii="仿宋_GB2312" w:eastAsia="仿宋_GB2312" w:hAnsi="TimesNewRoman" w:cs="TimesNewRoman" w:hint="eastAsia"/>
          <w:b/>
          <w:sz w:val="32"/>
          <w:szCs w:val="32"/>
          <w:lang w:eastAsia="zh-CN"/>
        </w:rPr>
        <w:t>统战</w:t>
      </w:r>
      <w:r>
        <w:rPr>
          <w:rFonts w:ascii="仿宋_GB2312" w:eastAsia="仿宋_GB2312" w:hAnsi="TimesNewRoman" w:cs="TimesNewRoman" w:hint="eastAsia"/>
          <w:b/>
          <w:sz w:val="32"/>
          <w:szCs w:val="32"/>
        </w:rPr>
        <w:t>事务（款）行政运行（项）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228.76</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25.4</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11</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eastAsia="zh-CN"/>
        </w:rPr>
        <w:t>项目支出增加</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lang w:val="en-US" w:eastAsia="zh-CN"/>
        </w:rPr>
        <w:t>2</w:t>
      </w:r>
      <w:r>
        <w:rPr>
          <w:rFonts w:ascii="仿宋_GB2312" w:eastAsia="仿宋_GB2312" w:hAnsi="TimesNewRoman" w:cs="TimesNewRoman" w:hint="eastAsia"/>
          <w:b/>
          <w:sz w:val="32"/>
          <w:szCs w:val="32"/>
        </w:rPr>
        <w:t>.社会保障和就业支出（类）行政事业单位</w:t>
      </w:r>
      <w:r>
        <w:rPr>
          <w:rFonts w:ascii="仿宋_GB2312" w:eastAsia="仿宋_GB2312" w:hAnsi="TimesNewRoman" w:cs="TimesNewRoman" w:hint="eastAsia"/>
          <w:b/>
          <w:sz w:val="32"/>
          <w:szCs w:val="32"/>
          <w:lang w:eastAsia="zh-CN"/>
        </w:rPr>
        <w:t>养老支出</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lang w:eastAsia="zh-CN"/>
        </w:rPr>
        <w:t>机关事业单位基本养老保险缴费支出</w:t>
      </w:r>
      <w:r>
        <w:rPr>
          <w:rFonts w:ascii="仿宋_GB2312" w:eastAsia="仿宋_GB2312" w:hAnsi="TimesNewRoman" w:cs="TimesNewRoman" w:hint="eastAsia"/>
          <w:b/>
          <w:sz w:val="32"/>
          <w:szCs w:val="32"/>
        </w:rPr>
        <w:t>（项）</w:t>
      </w:r>
      <w:r>
        <w:rPr>
          <w:rFonts w:ascii="仿宋_GB2312" w:eastAsia="仿宋_GB2312" w:hAnsi="TimesNewRoman" w:cs="TimesNewRoman" w:hint="eastAsia"/>
          <w:b/>
          <w:sz w:val="32"/>
          <w:szCs w:val="32"/>
          <w:lang w:eastAsia="zh-CN"/>
        </w:rPr>
        <w:t>、机关事业单位职业年金缴费支出</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27.96</w:t>
      </w:r>
      <w:r>
        <w:rPr>
          <w:rFonts w:ascii="仿宋_GB2312" w:eastAsia="仿宋_GB2312" w:hAnsi="TimesNewRoman" w:cs="TimesNewRoman" w:hint="eastAsia"/>
          <w:sz w:val="32"/>
          <w:szCs w:val="32"/>
        </w:rPr>
        <w:t>万元，比2023年预算减少</w:t>
      </w:r>
      <w:r>
        <w:rPr>
          <w:rFonts w:ascii="仿宋_GB2312" w:eastAsia="仿宋_GB2312" w:hAnsi="TimesNewRoman" w:cs="TimesNewRoman" w:hint="eastAsia"/>
          <w:sz w:val="32"/>
          <w:szCs w:val="32"/>
          <w:lang w:val="en-US" w:eastAsia="zh-CN"/>
        </w:rPr>
        <w:t>2.02</w:t>
      </w:r>
      <w:r>
        <w:rPr>
          <w:rFonts w:ascii="仿宋_GB2312" w:eastAsia="仿宋_GB2312" w:hAnsi="TimesNewRoman" w:cs="TimesNewRoman" w:hint="eastAsia"/>
          <w:sz w:val="32"/>
          <w:szCs w:val="32"/>
        </w:rPr>
        <w:t>万元，下降</w:t>
      </w:r>
      <w:r>
        <w:rPr>
          <w:rFonts w:ascii="仿宋_GB2312" w:eastAsia="仿宋_GB2312" w:hAnsi="TimesNewRoman" w:cs="TimesNewRoman" w:hint="eastAsia"/>
          <w:sz w:val="32"/>
          <w:szCs w:val="32"/>
          <w:lang w:val="en-US" w:eastAsia="zh-CN"/>
        </w:rPr>
        <w:t>7</w:t>
      </w:r>
      <w:r>
        <w:rPr>
          <w:rFonts w:ascii="仿宋_GB2312" w:eastAsia="仿宋_GB2312" w:hAnsi="TimesNewRoman" w:cs="TimesNewRoman" w:hint="eastAsia"/>
          <w:sz w:val="32"/>
          <w:szCs w:val="32"/>
        </w:rPr>
        <w:t>%，下降原因主要是</w:t>
      </w:r>
      <w:r>
        <w:rPr>
          <w:rFonts w:ascii="仿宋_GB2312" w:eastAsia="仿宋_GB2312" w:hAnsi="TimesNewRoman" w:cs="TimesNewRoman" w:hint="eastAsia"/>
          <w:sz w:val="32"/>
          <w:szCs w:val="32"/>
          <w:lang w:eastAsia="zh-CN"/>
        </w:rPr>
        <w:t>人员减少</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default"/>
          <w:sz w:val="32"/>
          <w:szCs w:val="32"/>
          <w:lang w:val="en-US" w:eastAsia="zh-CN"/>
        </w:rPr>
      </w:pPr>
      <w:r>
        <w:rPr>
          <w:rFonts w:ascii="仿宋_GB2312" w:eastAsia="仿宋_GB2312" w:hAnsi="TimesNewRoman" w:cs="TimesNewRoman" w:hint="eastAsia"/>
          <w:b/>
          <w:sz w:val="32"/>
          <w:szCs w:val="32"/>
          <w:lang w:val="en-US" w:eastAsia="zh-CN"/>
        </w:rPr>
        <w:t>3</w:t>
      </w:r>
      <w:r>
        <w:rPr>
          <w:rFonts w:ascii="仿宋_GB2312" w:eastAsia="仿宋_GB2312" w:hAnsi="TimesNewRoman" w:cs="TimesNewRoman" w:hint="eastAsia"/>
          <w:b/>
          <w:sz w:val="32"/>
          <w:szCs w:val="32"/>
        </w:rPr>
        <w:t>.</w:t>
      </w:r>
      <w:r>
        <w:rPr>
          <w:rFonts w:ascii="仿宋_GB2312" w:eastAsia="仿宋_GB2312" w:hAnsi="TimesNewRoman" w:cs="TimesNewRoman" w:hint="eastAsia"/>
          <w:b/>
          <w:sz w:val="32"/>
          <w:szCs w:val="32"/>
          <w:lang w:eastAsia="zh-CN"/>
        </w:rPr>
        <w:t>卫生健康支出（类）行政事业单位医疗（款）公务员医疗补助（项）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3.15</w:t>
      </w:r>
      <w:r>
        <w:rPr>
          <w:rFonts w:ascii="仿宋_GB2312" w:eastAsia="仿宋_GB2312" w:hAnsi="TimesNewRoman" w:cs="TimesNewRoman" w:hint="eastAsia"/>
          <w:sz w:val="32"/>
          <w:szCs w:val="32"/>
        </w:rPr>
        <w:t>万元，比2023年预算减少</w:t>
      </w:r>
      <w:r>
        <w:rPr>
          <w:rFonts w:ascii="仿宋_GB2312" w:eastAsia="仿宋_GB2312" w:hAnsi="TimesNewRoman" w:cs="TimesNewRoman" w:hint="eastAsia"/>
          <w:sz w:val="32"/>
          <w:szCs w:val="32"/>
          <w:lang w:val="en-US" w:eastAsia="zh-CN"/>
        </w:rPr>
        <w:t>6.51</w:t>
      </w:r>
      <w:r>
        <w:rPr>
          <w:rFonts w:ascii="仿宋_GB2312" w:eastAsia="仿宋_GB2312" w:hAnsi="TimesNewRoman" w:cs="TimesNewRoman" w:hint="eastAsia"/>
          <w:sz w:val="32"/>
          <w:szCs w:val="32"/>
        </w:rPr>
        <w:t>万元，下降</w:t>
      </w:r>
      <w:r>
        <w:rPr>
          <w:rFonts w:ascii="仿宋_GB2312" w:eastAsia="仿宋_GB2312" w:hAnsi="TimesNewRoman" w:cs="TimesNewRoman" w:hint="eastAsia"/>
          <w:sz w:val="32"/>
          <w:szCs w:val="32"/>
          <w:lang w:val="en-US" w:eastAsia="zh-CN"/>
        </w:rPr>
        <w:t>68</w:t>
      </w:r>
      <w:r>
        <w:rPr>
          <w:rFonts w:ascii="仿宋_GB2312" w:eastAsia="仿宋_GB2312" w:hAnsi="TimesNewRoman" w:cs="TimesNewRoman" w:hint="eastAsia"/>
          <w:sz w:val="32"/>
          <w:szCs w:val="32"/>
        </w:rPr>
        <w:t>%，下降原因主要是</w:t>
      </w:r>
      <w:r>
        <w:rPr>
          <w:rFonts w:ascii="仿宋_GB2312" w:eastAsia="仿宋_GB2312" w:hAnsi="TimesNewRoman" w:cs="TimesNewRoman" w:hint="eastAsia"/>
          <w:sz w:val="32"/>
          <w:szCs w:val="32"/>
          <w:lang w:eastAsia="zh-CN"/>
        </w:rPr>
        <w:t>人员减少</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lang w:val="en-US" w:eastAsia="zh-CN"/>
        </w:rPr>
        <w:t>4</w:t>
      </w:r>
      <w:r>
        <w:rPr>
          <w:rFonts w:ascii="仿宋_GB2312" w:eastAsia="仿宋_GB2312" w:hAnsi="TimesNewRoman" w:cs="TimesNewRoman" w:hint="eastAsia"/>
          <w:b/>
          <w:sz w:val="32"/>
          <w:szCs w:val="32"/>
        </w:rPr>
        <w:t>.住房保障支出（类）住房改革支出（款）住房公积金（项）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13.98</w:t>
      </w:r>
      <w:r>
        <w:rPr>
          <w:rFonts w:ascii="仿宋_GB2312" w:eastAsia="仿宋_GB2312" w:hAnsi="TimesNewRoman" w:cs="TimesNewRoman" w:hint="eastAsia"/>
          <w:sz w:val="32"/>
          <w:szCs w:val="32"/>
        </w:rPr>
        <w:t>万元，比2023年预算减少</w:t>
      </w:r>
      <w:r>
        <w:rPr>
          <w:rFonts w:ascii="仿宋_GB2312" w:eastAsia="仿宋_GB2312" w:hAnsi="TimesNewRoman" w:cs="TimesNewRoman" w:hint="eastAsia"/>
          <w:sz w:val="32"/>
          <w:szCs w:val="32"/>
          <w:lang w:val="en-US" w:eastAsia="zh-CN"/>
        </w:rPr>
        <w:t>0.91</w:t>
      </w:r>
      <w:r>
        <w:rPr>
          <w:rFonts w:ascii="仿宋_GB2312" w:eastAsia="仿宋_GB2312" w:hAnsi="TimesNewRoman" w:cs="TimesNewRoman" w:hint="eastAsia"/>
          <w:sz w:val="32"/>
          <w:szCs w:val="32"/>
        </w:rPr>
        <w:t>万元，下降</w:t>
      </w:r>
      <w:r>
        <w:rPr>
          <w:rFonts w:ascii="仿宋_GB2312" w:eastAsia="仿宋_GB2312" w:hAnsi="TimesNewRoman" w:cs="TimesNewRoman" w:hint="eastAsia"/>
          <w:sz w:val="32"/>
          <w:szCs w:val="32"/>
          <w:lang w:val="en-US" w:eastAsia="zh-CN"/>
        </w:rPr>
        <w:t>6.1</w:t>
      </w:r>
      <w:r>
        <w:rPr>
          <w:rFonts w:ascii="仿宋_GB2312" w:eastAsia="仿宋_GB2312" w:hAnsi="TimesNewRoman" w:cs="TimesNewRoman" w:hint="eastAsia"/>
          <w:sz w:val="32"/>
          <w:szCs w:val="32"/>
        </w:rPr>
        <w:t>%，下降原因主要是</w:t>
      </w:r>
      <w:r>
        <w:rPr>
          <w:rFonts w:ascii="仿宋_GB2312" w:eastAsia="仿宋_GB2312" w:hAnsi="TimesNewRoman" w:cs="TimesNewRoman" w:hint="eastAsia"/>
          <w:sz w:val="32"/>
          <w:szCs w:val="32"/>
          <w:lang w:eastAsia="zh-CN"/>
        </w:rPr>
        <w:t>人员减少</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【一般公共预算支出具体使用情况根据部门</w:t>
      </w:r>
      <w:r>
        <w:rPr>
          <w:rFonts w:ascii="仿宋_GB2312" w:eastAsia="仿宋_GB2312" w:hAnsi="TimesNewRoman" w:cs="TimesNewRoman" w:hint="eastAsia"/>
          <w:sz w:val="32"/>
          <w:szCs w:val="32"/>
          <w:u w:val="single"/>
        </w:rPr>
        <w:t>（单位）</w:t>
      </w:r>
      <w:r>
        <w:rPr>
          <w:rFonts w:ascii="仿宋_GB2312" w:eastAsia="仿宋_GB2312" w:hAnsi="TimesNewRoman" w:cs="TimesNewRoman" w:hint="eastAsia"/>
          <w:sz w:val="32"/>
          <w:szCs w:val="32"/>
        </w:rPr>
        <w:t>预算实际情况，说明安排到各项级支出功能分类科目的预算金额、增减变化情况及其原因，涉密信息除外】</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六、关于2024年一般公共预算基本支出表的说明</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统战部</w:t>
      </w:r>
      <w:r>
        <w:rPr>
          <w:rFonts w:ascii="仿宋_GB2312" w:eastAsia="仿宋_GB2312" w:hAnsi="TimesNewRoman" w:cs="TimesNewRoman" w:hint="eastAsia"/>
          <w:sz w:val="32"/>
          <w:szCs w:val="32"/>
        </w:rPr>
        <w:t>2024年一般公共预算基本支出</w:t>
      </w:r>
      <w:r>
        <w:rPr>
          <w:rFonts w:ascii="仿宋_GB2312" w:eastAsia="仿宋_GB2312" w:hAnsi="TimesNewRoman" w:cs="TimesNewRoman" w:hint="eastAsia"/>
          <w:sz w:val="32"/>
          <w:szCs w:val="32"/>
          <w:lang w:val="en-US" w:eastAsia="zh-CN"/>
        </w:rPr>
        <w:t>203.04</w:t>
      </w:r>
      <w:r>
        <w:rPr>
          <w:rFonts w:ascii="仿宋_GB2312" w:eastAsia="仿宋_GB2312" w:hAnsi="TimesNewRoman" w:cs="TimesNewRoman" w:hint="eastAsia"/>
          <w:sz w:val="32"/>
          <w:szCs w:val="32"/>
        </w:rPr>
        <w:t>万元，其中，人员经费</w:t>
      </w:r>
      <w:r>
        <w:rPr>
          <w:rFonts w:ascii="仿宋_GB2312" w:eastAsia="仿宋_GB2312" w:hAnsi="TimesNewRoman" w:cs="TimesNewRoman" w:hint="eastAsia"/>
          <w:sz w:val="32"/>
          <w:szCs w:val="32"/>
          <w:lang w:val="en-US" w:eastAsia="zh-CN"/>
        </w:rPr>
        <w:t>180.7</w:t>
      </w:r>
      <w:r>
        <w:rPr>
          <w:rFonts w:ascii="仿宋_GB2312" w:eastAsia="仿宋_GB2312" w:hAnsi="TimesNewRoman" w:cs="TimesNewRoman" w:hint="eastAsia"/>
          <w:sz w:val="32"/>
          <w:szCs w:val="32"/>
        </w:rPr>
        <w:t>万元，公用经费</w:t>
      </w:r>
      <w:r>
        <w:rPr>
          <w:rFonts w:ascii="仿宋_GB2312" w:eastAsia="仿宋_GB2312" w:hAnsi="TimesNewRoman" w:cs="TimesNewRoman" w:hint="eastAsia"/>
          <w:sz w:val="32"/>
          <w:szCs w:val="32"/>
          <w:lang w:val="en-US" w:eastAsia="zh-CN"/>
        </w:rPr>
        <w:t>22.34</w:t>
      </w:r>
      <w:r>
        <w:rPr>
          <w:rFonts w:ascii="仿宋_GB2312" w:eastAsia="仿宋_GB2312" w:hAnsi="TimesNewRoman" w:cs="TimesNewRoman" w:hint="eastAsia"/>
          <w:sz w:val="32"/>
          <w:szCs w:val="32"/>
        </w:rPr>
        <w:t>万元。</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（一）人员经费</w:t>
      </w:r>
      <w:r>
        <w:rPr>
          <w:rFonts w:ascii="仿宋_GB2312" w:eastAsia="仿宋_GB2312" w:hAnsi="TimesNewRoman" w:cs="TimesNewRoman" w:hint="eastAsia"/>
          <w:sz w:val="32"/>
          <w:szCs w:val="32"/>
          <w:lang w:val="en-US" w:eastAsia="zh-CN"/>
        </w:rPr>
        <w:t>180.7</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u w:val="single"/>
        </w:rPr>
        <w:t>基本工资、津贴补贴、奖金、机关事业单位基本养老保险费、职业年金缴费、职工基本医疗保险缴费、公务员医疗补助缴费、其他社会保障缴费、住房公积金、退休费、生活补助支出。</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（二）公用经费</w:t>
      </w:r>
      <w:r>
        <w:rPr>
          <w:rFonts w:ascii="仿宋_GB2312" w:eastAsia="仿宋_GB2312" w:hAnsi="TimesNewRoman" w:cs="TimesNewRoman" w:hint="eastAsia"/>
          <w:sz w:val="32"/>
          <w:szCs w:val="32"/>
          <w:lang w:val="en-US" w:eastAsia="zh-CN"/>
        </w:rPr>
        <w:t>22.34</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u w:val="single"/>
        </w:rPr>
        <w:t>邮电费、差旅费、会议费、公务接待费、工会经费、其他交通费用等。</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【各部门（单位）根据一般公共预算基本支出实际情况，对照支出经济分类科目，对有支出数额的予以列报说明，对无支出数额的自行删除】</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七、关于2024年政府性基金预算支出表的说明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统战部</w:t>
      </w:r>
      <w:r>
        <w:rPr>
          <w:rFonts w:ascii="仿宋_GB2312" w:eastAsia="仿宋_GB2312" w:hAnsi="TimesNewRoman" w:cs="TimesNewRoman" w:hint="eastAsia"/>
          <w:sz w:val="32"/>
          <w:szCs w:val="32"/>
        </w:rPr>
        <w:t>2024年没有政府性基金预算拨款收入，也没有使用政府性基金预算拨款安排的支出。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八、关于2024年国有资本经营预算支出表的说明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统战部</w:t>
      </w:r>
      <w:r>
        <w:rPr>
          <w:rFonts w:ascii="仿宋_GB2312" w:eastAsia="仿宋_GB2312" w:hAnsi="TimesNewRoman" w:cs="TimesNewRoman" w:hint="eastAsia"/>
          <w:sz w:val="32"/>
          <w:szCs w:val="32"/>
        </w:rPr>
        <w:t>2024年没有国有资本经营预算拨款收入，也没有使用国有资本经营预算拨款安排的支出。</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楷体_GB2312" w:eastAsia="楷体_GB2312" w:hAnsi="TimesNewRoman" w:cs="TimesNewRoman" w:hint="eastAsia"/>
          <w:b/>
          <w:sz w:val="32"/>
          <w:szCs w:val="32"/>
        </w:rPr>
        <w:t>九、关于2024年项目支出表的说明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统战部</w:t>
      </w:r>
      <w:r>
        <w:rPr>
          <w:rFonts w:ascii="仿宋_GB2312" w:eastAsia="仿宋_GB2312" w:hAnsi="TimesNewRoman" w:cs="TimesNewRoman" w:hint="eastAsia"/>
          <w:sz w:val="32"/>
          <w:szCs w:val="32"/>
        </w:rPr>
        <w:t>2024年预算共安排项目支出</w:t>
      </w:r>
      <w:r>
        <w:rPr>
          <w:rFonts w:ascii="仿宋_GB2312" w:eastAsia="仿宋_GB2312" w:hAnsi="TimesNewRoman" w:cs="TimesNewRoman" w:hint="eastAsia"/>
          <w:sz w:val="32"/>
          <w:szCs w:val="32"/>
          <w:lang w:val="en-US" w:eastAsia="zh-CN"/>
        </w:rPr>
        <w:t>70.8</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5.6</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8</w:t>
      </w:r>
      <w:r>
        <w:rPr>
          <w:rFonts w:ascii="仿宋_GB2312" w:eastAsia="仿宋_GB2312" w:hAnsi="TimesNewRoman" w:cs="TimesNewRoman" w:hint="eastAsia"/>
          <w:sz w:val="32"/>
          <w:szCs w:val="32"/>
        </w:rPr>
        <w:t>%，增长原因主要是是</w:t>
      </w:r>
      <w:r>
        <w:rPr>
          <w:rFonts w:ascii="仿宋_GB2312" w:eastAsia="仿宋_GB2312" w:hAnsi="TimesNewRoman" w:cs="TimesNewRoman" w:hint="eastAsia"/>
          <w:sz w:val="32"/>
          <w:szCs w:val="32"/>
          <w:lang w:eastAsia="zh-CN"/>
        </w:rPr>
        <w:t>统战工作专项经费和民族宗教工作经费、宗教团体建设工作经费增加</w:t>
      </w:r>
      <w:r>
        <w:rPr>
          <w:rFonts w:ascii="仿宋_GB2312" w:eastAsia="仿宋_GB2312" w:hAnsi="TimesNewRoman" w:cs="TimesNewRoman" w:hint="eastAsia"/>
          <w:sz w:val="32"/>
          <w:szCs w:val="32"/>
        </w:rPr>
        <w:t>。主要包括：本年财政拨款安排</w:t>
      </w:r>
      <w:r>
        <w:rPr>
          <w:rFonts w:ascii="仿宋_GB2312" w:eastAsia="仿宋_GB2312" w:hAnsi="TimesNewRoman" w:cs="TimesNewRoman" w:hint="eastAsia"/>
          <w:sz w:val="32"/>
          <w:szCs w:val="32"/>
          <w:lang w:val="en-US" w:eastAsia="zh-CN"/>
        </w:rPr>
        <w:t>70.8</w:t>
      </w:r>
      <w:r>
        <w:rPr>
          <w:rFonts w:ascii="仿宋_GB2312" w:eastAsia="仿宋_GB2312" w:hAnsi="TimesNewRoman" w:cs="TimesNewRoman" w:hint="eastAsia"/>
          <w:sz w:val="32"/>
          <w:szCs w:val="32"/>
        </w:rPr>
        <w:t>万元（其中，一般公共预算拨款安排</w:t>
      </w:r>
      <w:r>
        <w:rPr>
          <w:rFonts w:ascii="仿宋_GB2312" w:eastAsia="仿宋_GB2312" w:hAnsi="TimesNewRoman" w:cs="TimesNewRoman" w:hint="eastAsia"/>
          <w:sz w:val="32"/>
          <w:szCs w:val="32"/>
          <w:lang w:val="en-US" w:eastAsia="zh-CN"/>
        </w:rPr>
        <w:t>70.8</w:t>
      </w:r>
      <w:r>
        <w:rPr>
          <w:rFonts w:ascii="仿宋_GB2312" w:eastAsia="仿宋_GB2312" w:hAnsi="TimesNewRoman" w:cs="TimesNewRoman" w:hint="eastAsia"/>
          <w:sz w:val="32"/>
          <w:szCs w:val="32"/>
        </w:rPr>
        <w:t>万元）。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十、关于2024年政府采购支出表的说明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统战部</w:t>
      </w:r>
      <w:r>
        <w:rPr>
          <w:rFonts w:ascii="仿宋_GB2312" w:eastAsia="仿宋_GB2312" w:hAnsi="TimesNewRoman" w:cs="TimesNewRoman" w:hint="eastAsia"/>
          <w:sz w:val="32"/>
          <w:szCs w:val="32"/>
        </w:rPr>
        <w:t>2024年没有使用一般公共预算拨款、政府性基金预算拨款、国有资本经营预算拨款、财政专户管理资金和单位资金安排的政府采购支出。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十一、关于2024年政府购买服务支出表的说明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统战部</w:t>
      </w:r>
      <w:r>
        <w:rPr>
          <w:rFonts w:ascii="仿宋_GB2312" w:eastAsia="仿宋_GB2312" w:hAnsi="TimesNewRoman" w:cs="TimesNewRoman" w:hint="eastAsia"/>
          <w:sz w:val="32"/>
          <w:szCs w:val="32"/>
        </w:rPr>
        <w:t>2024年没有安排政府购买服务支出</w:t>
      </w:r>
      <w:r>
        <w:rPr>
          <w:rFonts w:ascii="仿宋_GB2312" w:eastAsia="仿宋_GB2312" w:hAnsi="TimesNewRoman" w:cs="TimesNewRoman" w:hint="eastAsia"/>
          <w:sz w:val="32"/>
          <w:szCs w:val="32"/>
          <w:lang w:eastAsia="zh-CN"/>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十二、其他重要事项情况说明</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（一）项目及绩效目标情况。</w:t>
      </w:r>
    </w:p>
    <w:p>
      <w:pPr>
        <w:adjustRightInd w:val="0"/>
        <w:snapToGrid w:val="0"/>
        <w:spacing w:line="600" w:lineRule="exact"/>
        <w:ind w:firstLine="800" w:firstLineChars="250"/>
        <w:rPr>
          <w:rFonts w:ascii="仿宋_GB2312" w:eastAsia="仿宋_GB2312" w:hAnsi="楷体" w:hint="eastAsia"/>
          <w:b/>
          <w:sz w:val="32"/>
          <w:szCs w:val="32"/>
        </w:rPr>
      </w:pPr>
      <w:r>
        <w:rPr>
          <w:rFonts w:ascii="仿宋_GB2312" w:eastAsia="仿宋_GB2312" w:hAnsi="楷体" w:hint="eastAsia"/>
          <w:b/>
          <w:sz w:val="32"/>
          <w:szCs w:val="32"/>
        </w:rPr>
        <w:t>1.“</w:t>
      </w:r>
      <w:r>
        <w:rPr>
          <w:rFonts w:ascii="仿宋_GB2312" w:eastAsia="仿宋_GB2312" w:hAnsi="楷体" w:hint="eastAsia"/>
          <w:b/>
          <w:sz w:val="32"/>
          <w:szCs w:val="32"/>
          <w:lang w:eastAsia="zh-CN"/>
        </w:rPr>
        <w:t>阿訇生活补助经费</w:t>
      </w:r>
      <w:r>
        <w:rPr>
          <w:rFonts w:ascii="仿宋_GB2312" w:eastAsia="仿宋_GB2312" w:hAnsi="楷体" w:hint="eastAsia"/>
          <w:b/>
          <w:sz w:val="32"/>
          <w:szCs w:val="32"/>
        </w:rPr>
        <w:t>”项目。</w:t>
      </w:r>
    </w:p>
    <w:p>
      <w:pPr>
        <w:adjustRightInd w:val="0"/>
        <w:snapToGrid w:val="0"/>
        <w:spacing w:line="600" w:lineRule="exact"/>
        <w:ind w:firstLine="640" w:firstLineChars="200"/>
        <w:rPr>
          <w:rFonts w:ascii="仿宋_GB2312" w:eastAsia="仿宋_GB2312" w:hAnsi="仿宋" w:hint="eastAsia"/>
          <w:sz w:val="32"/>
          <w:szCs w:val="32"/>
        </w:rPr>
      </w:pPr>
      <w:r>
        <w:rPr>
          <w:rFonts w:ascii="仿宋_GB2312" w:eastAsia="仿宋_GB2312" w:hAnsi="仿宋" w:hint="eastAsia"/>
          <w:sz w:val="32"/>
          <w:szCs w:val="32"/>
        </w:rPr>
        <w:t>（1）项目概述和内容。主要用于</w:t>
      </w:r>
      <w:r>
        <w:rPr>
          <w:rFonts w:ascii="仿宋_GB2312" w:eastAsia="仿宋_GB2312" w:hAnsi="仿宋" w:hint="eastAsia"/>
          <w:sz w:val="32"/>
          <w:szCs w:val="32"/>
          <w:lang w:eastAsia="zh-CN"/>
        </w:rPr>
        <w:t>本年度全县阿訇生活费补助，</w:t>
      </w:r>
      <w:r>
        <w:rPr>
          <w:rFonts w:ascii="仿宋_GB2312" w:eastAsia="仿宋_GB2312" w:hAnsi="楷体" w:hint="eastAsia"/>
          <w:sz w:val="32"/>
          <w:szCs w:val="32"/>
        </w:rPr>
        <w:t>经县财经领导小组研究决定：纳入县财政预算，全年</w:t>
      </w:r>
      <w:r>
        <w:rPr>
          <w:rFonts w:ascii="仿宋_GB2312" w:eastAsia="仿宋_GB2312" w:hAnsi="楷体" w:hint="eastAsia"/>
          <w:sz w:val="32"/>
          <w:szCs w:val="32"/>
          <w:lang w:val="en-US" w:eastAsia="zh-CN"/>
        </w:rPr>
        <w:t>25.2</w:t>
      </w:r>
      <w:r>
        <w:rPr>
          <w:rFonts w:ascii="仿宋_GB2312" w:eastAsia="仿宋_GB2312" w:hAnsi="楷体" w:hint="eastAsia"/>
          <w:sz w:val="32"/>
          <w:szCs w:val="32"/>
        </w:rPr>
        <w:t>万元。</w:t>
      </w:r>
    </w:p>
    <w:p>
      <w:pPr>
        <w:spacing w:line="600" w:lineRule="exact"/>
        <w:ind w:firstLine="586" w:firstLineChars="183"/>
        <w:rPr>
          <w:rFonts w:ascii="仿宋_GB2312" w:eastAsia="仿宋_GB2312" w:hAnsi="仿宋" w:hint="eastAsia"/>
          <w:sz w:val="32"/>
          <w:szCs w:val="32"/>
          <w:u w:val="single"/>
        </w:rPr>
      </w:pPr>
      <w:r>
        <w:rPr>
          <w:rFonts w:ascii="仿宋_GB2312" w:eastAsia="仿宋_GB2312" w:hAnsi="仿宋" w:hint="eastAsia"/>
          <w:sz w:val="32"/>
          <w:szCs w:val="32"/>
        </w:rPr>
        <w:t>（2）立项依据。</w:t>
      </w:r>
      <w:r>
        <w:rPr>
          <w:rFonts w:ascii="仿宋_GB2312" w:eastAsia="仿宋_GB2312" w:hAnsi="楷体" w:hint="eastAsia"/>
          <w:sz w:val="32"/>
          <w:szCs w:val="32"/>
        </w:rPr>
        <w:t>县财经领导小组研究决定：纳入县财政预算，全年</w:t>
      </w:r>
      <w:r>
        <w:rPr>
          <w:rFonts w:ascii="仿宋_GB2312" w:eastAsia="仿宋_GB2312" w:hAnsi="楷体" w:hint="eastAsia"/>
          <w:sz w:val="32"/>
          <w:szCs w:val="32"/>
          <w:lang w:val="en-US" w:eastAsia="zh-CN"/>
        </w:rPr>
        <w:t>25.2</w:t>
      </w:r>
      <w:r>
        <w:rPr>
          <w:rFonts w:ascii="仿宋_GB2312" w:eastAsia="仿宋_GB2312" w:hAnsi="楷体" w:hint="eastAsia"/>
          <w:sz w:val="32"/>
          <w:szCs w:val="32"/>
        </w:rPr>
        <w:t>万元。</w:t>
      </w:r>
    </w:p>
    <w:p>
      <w:pPr>
        <w:adjustRightInd w:val="0"/>
        <w:snapToGrid w:val="0"/>
        <w:spacing w:line="600" w:lineRule="exact"/>
        <w:ind w:firstLine="640" w:firstLineChars="200"/>
        <w:rPr>
          <w:rFonts w:ascii="仿宋_GB2312" w:eastAsia="仿宋_GB2312" w:hAnsi="仿宋" w:hint="default"/>
          <w:sz w:val="32"/>
          <w:szCs w:val="32"/>
          <w:lang w:val="en-US" w:eastAsia="zh-CN"/>
        </w:rPr>
      </w:pPr>
      <w:r>
        <w:rPr>
          <w:rFonts w:ascii="仿宋_GB2312" w:eastAsia="仿宋_GB2312" w:hAnsi="仿宋" w:hint="eastAsia"/>
          <w:sz w:val="32"/>
          <w:szCs w:val="32"/>
        </w:rPr>
        <w:t>（3）实施主体和起止时间。</w:t>
      </w:r>
      <w:r>
        <w:rPr>
          <w:rFonts w:ascii="仿宋_GB2312" w:eastAsia="仿宋_GB2312" w:hAnsi="仿宋" w:hint="eastAsia"/>
          <w:sz w:val="32"/>
          <w:szCs w:val="32"/>
          <w:lang w:val="en-US" w:eastAsia="zh-CN"/>
        </w:rPr>
        <w:t>2024年1月1日-2024年12月31日</w:t>
      </w:r>
    </w:p>
    <w:p>
      <w:pPr>
        <w:adjustRightInd w:val="0"/>
        <w:snapToGrid w:val="0"/>
        <w:spacing w:line="600" w:lineRule="exact"/>
        <w:ind w:firstLine="640" w:firstLineChars="200"/>
        <w:rPr>
          <w:rFonts w:ascii="仿宋_GB2312" w:eastAsia="仿宋_GB2312" w:hAnsi="仿宋" w:hint="eastAsia"/>
          <w:sz w:val="32"/>
          <w:szCs w:val="32"/>
        </w:rPr>
      </w:pPr>
      <w:r>
        <w:rPr>
          <w:rFonts w:ascii="仿宋_GB2312" w:eastAsia="仿宋_GB2312" w:hAnsi="仿宋" w:hint="eastAsia"/>
          <w:sz w:val="32"/>
          <w:szCs w:val="32"/>
        </w:rPr>
        <w:t>（4）年度预算安排。全年共需资金</w:t>
      </w:r>
      <w:r>
        <w:rPr>
          <w:rFonts w:ascii="仿宋_GB2312" w:eastAsia="仿宋_GB2312" w:hAnsi="仿宋" w:hint="eastAsia"/>
          <w:sz w:val="32"/>
          <w:szCs w:val="32"/>
          <w:lang w:val="en-US" w:eastAsia="zh-CN"/>
        </w:rPr>
        <w:t>25.2</w:t>
      </w:r>
      <w:r>
        <w:rPr>
          <w:rFonts w:ascii="仿宋_GB2312" w:eastAsia="仿宋_GB2312" w:hAnsi="仿宋" w:hint="eastAsia"/>
          <w:sz w:val="32"/>
          <w:szCs w:val="32"/>
        </w:rPr>
        <w:t>万元，纳入年初预算。</w:t>
      </w:r>
    </w:p>
    <w:p>
      <w:pPr>
        <w:adjustRightInd w:val="0"/>
        <w:snapToGrid w:val="0"/>
        <w:spacing w:line="600" w:lineRule="exact"/>
        <w:ind w:firstLine="800" w:firstLineChars="250"/>
        <w:rPr>
          <w:rFonts w:ascii="仿宋_GB2312" w:eastAsia="仿宋_GB2312" w:hAnsi="楷体" w:hint="eastAsia"/>
          <w:b/>
          <w:sz w:val="32"/>
          <w:szCs w:val="32"/>
        </w:rPr>
      </w:pPr>
      <w:r>
        <w:rPr>
          <w:rFonts w:ascii="仿宋_GB2312" w:eastAsia="仿宋_GB2312" w:hAnsi="楷体" w:hint="eastAsia"/>
          <w:b/>
          <w:sz w:val="32"/>
          <w:szCs w:val="32"/>
          <w:lang w:val="en-US" w:eastAsia="zh-CN"/>
        </w:rPr>
        <w:t>2</w:t>
      </w:r>
      <w:r>
        <w:rPr>
          <w:rFonts w:ascii="仿宋_GB2312" w:eastAsia="仿宋_GB2312" w:hAnsi="楷体" w:hint="eastAsia"/>
          <w:b/>
          <w:sz w:val="32"/>
          <w:szCs w:val="32"/>
        </w:rPr>
        <w:t>.“</w:t>
      </w:r>
      <w:r>
        <w:rPr>
          <w:rFonts w:ascii="仿宋_GB2312" w:eastAsia="仿宋_GB2312" w:hAnsi="楷体" w:hint="eastAsia"/>
          <w:b/>
          <w:sz w:val="32"/>
          <w:szCs w:val="32"/>
          <w:lang w:eastAsia="zh-CN"/>
        </w:rPr>
        <w:t>民族宗教工作及团体工作经费</w:t>
      </w:r>
      <w:r>
        <w:rPr>
          <w:rFonts w:ascii="仿宋_GB2312" w:eastAsia="仿宋_GB2312" w:hAnsi="楷体" w:hint="eastAsia"/>
          <w:b/>
          <w:sz w:val="32"/>
          <w:szCs w:val="32"/>
        </w:rPr>
        <w:t>”项目。</w:t>
      </w:r>
    </w:p>
    <w:p>
      <w:pPr>
        <w:adjustRightInd w:val="0"/>
        <w:snapToGrid w:val="0"/>
        <w:spacing w:line="600" w:lineRule="exact"/>
        <w:ind w:firstLine="640" w:firstLineChars="200"/>
        <w:rPr>
          <w:rFonts w:ascii="仿宋_GB2312" w:eastAsia="仿宋_GB2312" w:hAnsi="仿宋" w:hint="eastAsia"/>
          <w:sz w:val="32"/>
          <w:szCs w:val="32"/>
        </w:rPr>
      </w:pPr>
      <w:r>
        <w:rPr>
          <w:rFonts w:ascii="仿宋_GB2312" w:eastAsia="仿宋_GB2312" w:hAnsi="仿宋" w:hint="eastAsia"/>
          <w:sz w:val="32"/>
          <w:szCs w:val="32"/>
        </w:rPr>
        <w:t>（1）项目概述和内容。主要用于</w:t>
      </w:r>
      <w:r>
        <w:rPr>
          <w:rFonts w:ascii="仿宋_GB2312" w:eastAsia="仿宋_GB2312" w:hAnsi="仿宋" w:hint="eastAsia"/>
          <w:sz w:val="32"/>
          <w:szCs w:val="32"/>
          <w:lang w:eastAsia="zh-CN"/>
        </w:rPr>
        <w:t>本年度民族宗教工作及我县四大教派工作经费，</w:t>
      </w:r>
      <w:r>
        <w:rPr>
          <w:rFonts w:ascii="仿宋_GB2312" w:eastAsia="仿宋_GB2312" w:hAnsi="楷体" w:hint="eastAsia"/>
          <w:sz w:val="32"/>
          <w:szCs w:val="32"/>
        </w:rPr>
        <w:t>经县财经领导小组研究决定：纳入县财政预算，全年</w:t>
      </w:r>
      <w:r>
        <w:rPr>
          <w:rFonts w:ascii="仿宋_GB2312" w:eastAsia="仿宋_GB2312" w:hAnsi="楷体" w:hint="eastAsia"/>
          <w:sz w:val="32"/>
          <w:szCs w:val="32"/>
          <w:lang w:val="en-US" w:eastAsia="zh-CN"/>
        </w:rPr>
        <w:t>25.6</w:t>
      </w:r>
      <w:r>
        <w:rPr>
          <w:rFonts w:ascii="仿宋_GB2312" w:eastAsia="仿宋_GB2312" w:hAnsi="楷体" w:hint="eastAsia"/>
          <w:sz w:val="32"/>
          <w:szCs w:val="32"/>
        </w:rPr>
        <w:t>万元。</w:t>
      </w:r>
    </w:p>
    <w:p>
      <w:pPr>
        <w:spacing w:line="600" w:lineRule="exact"/>
        <w:ind w:firstLine="586" w:firstLineChars="183"/>
        <w:rPr>
          <w:rFonts w:ascii="仿宋_GB2312" w:eastAsia="仿宋_GB2312" w:hAnsi="仿宋" w:hint="eastAsia"/>
          <w:sz w:val="32"/>
          <w:szCs w:val="32"/>
          <w:u w:val="single"/>
        </w:rPr>
      </w:pPr>
      <w:r>
        <w:rPr>
          <w:rFonts w:ascii="仿宋_GB2312" w:eastAsia="仿宋_GB2312" w:hAnsi="仿宋" w:hint="eastAsia"/>
          <w:sz w:val="32"/>
          <w:szCs w:val="32"/>
        </w:rPr>
        <w:t>（2）立项依据。</w:t>
      </w:r>
      <w:r>
        <w:rPr>
          <w:rFonts w:ascii="仿宋_GB2312" w:eastAsia="仿宋_GB2312" w:hAnsi="楷体" w:hint="eastAsia"/>
          <w:sz w:val="32"/>
          <w:szCs w:val="32"/>
        </w:rPr>
        <w:t>县财经领导小组研究决定：纳入县财政预算，全年</w:t>
      </w:r>
      <w:r>
        <w:rPr>
          <w:rFonts w:ascii="仿宋_GB2312" w:eastAsia="仿宋_GB2312" w:hAnsi="楷体" w:hint="eastAsia"/>
          <w:sz w:val="32"/>
          <w:szCs w:val="32"/>
          <w:lang w:val="en-US" w:eastAsia="zh-CN"/>
        </w:rPr>
        <w:t>25.6</w:t>
      </w:r>
      <w:r>
        <w:rPr>
          <w:rFonts w:ascii="仿宋_GB2312" w:eastAsia="仿宋_GB2312" w:hAnsi="楷体" w:hint="eastAsia"/>
          <w:sz w:val="32"/>
          <w:szCs w:val="32"/>
        </w:rPr>
        <w:t>万元。</w:t>
      </w:r>
    </w:p>
    <w:p>
      <w:pPr>
        <w:adjustRightInd w:val="0"/>
        <w:snapToGrid w:val="0"/>
        <w:spacing w:line="600" w:lineRule="exact"/>
        <w:ind w:firstLine="640" w:firstLineChars="200"/>
        <w:rPr>
          <w:rFonts w:ascii="仿宋_GB2312" w:eastAsia="仿宋_GB2312" w:hAnsi="仿宋" w:hint="default"/>
          <w:sz w:val="32"/>
          <w:szCs w:val="32"/>
          <w:lang w:val="en-US" w:eastAsia="zh-CN"/>
        </w:rPr>
      </w:pPr>
      <w:r>
        <w:rPr>
          <w:rFonts w:ascii="仿宋_GB2312" w:eastAsia="仿宋_GB2312" w:hAnsi="仿宋" w:hint="eastAsia"/>
          <w:sz w:val="32"/>
          <w:szCs w:val="32"/>
        </w:rPr>
        <w:t>（3）实施主体和起止时间。</w:t>
      </w:r>
      <w:r>
        <w:rPr>
          <w:rFonts w:ascii="仿宋_GB2312" w:eastAsia="仿宋_GB2312" w:hAnsi="仿宋" w:hint="eastAsia"/>
          <w:sz w:val="32"/>
          <w:szCs w:val="32"/>
          <w:lang w:val="en-US" w:eastAsia="zh-CN"/>
        </w:rPr>
        <w:t>2024年1月1日-2024年12月31日</w:t>
      </w:r>
    </w:p>
    <w:p>
      <w:pPr>
        <w:adjustRightInd w:val="0"/>
        <w:snapToGrid w:val="0"/>
        <w:spacing w:line="600" w:lineRule="exact"/>
        <w:ind w:firstLine="640" w:firstLineChars="200"/>
        <w:rPr>
          <w:rFonts w:ascii="仿宋_GB2312" w:eastAsia="仿宋_GB2312" w:hAnsi="仿宋" w:hint="eastAsia"/>
          <w:sz w:val="32"/>
          <w:szCs w:val="32"/>
        </w:rPr>
      </w:pPr>
      <w:r>
        <w:rPr>
          <w:rFonts w:ascii="仿宋_GB2312" w:eastAsia="仿宋_GB2312" w:hAnsi="仿宋" w:hint="eastAsia"/>
          <w:sz w:val="32"/>
          <w:szCs w:val="32"/>
        </w:rPr>
        <w:t>（4）年度预算安排。全年共需资金</w:t>
      </w:r>
      <w:r>
        <w:rPr>
          <w:rFonts w:ascii="仿宋_GB2312" w:eastAsia="仿宋_GB2312" w:hAnsi="仿宋" w:hint="eastAsia"/>
          <w:sz w:val="32"/>
          <w:szCs w:val="32"/>
          <w:lang w:val="en-US" w:eastAsia="zh-CN"/>
        </w:rPr>
        <w:t>25.6</w:t>
      </w:r>
      <w:r>
        <w:rPr>
          <w:rFonts w:ascii="仿宋_GB2312" w:eastAsia="仿宋_GB2312" w:hAnsi="仿宋" w:hint="eastAsia"/>
          <w:sz w:val="32"/>
          <w:szCs w:val="32"/>
        </w:rPr>
        <w:t>万元，纳入年初预算。</w:t>
      </w:r>
    </w:p>
    <w:p>
      <w:pPr>
        <w:adjustRightInd w:val="0"/>
        <w:snapToGrid w:val="0"/>
        <w:spacing w:line="600" w:lineRule="exact"/>
        <w:ind w:firstLine="800" w:firstLineChars="250"/>
        <w:rPr>
          <w:rFonts w:ascii="仿宋_GB2312" w:eastAsia="仿宋_GB2312" w:hAnsi="楷体" w:hint="eastAsia"/>
          <w:b/>
          <w:sz w:val="32"/>
          <w:szCs w:val="32"/>
        </w:rPr>
      </w:pPr>
      <w:r>
        <w:rPr>
          <w:rFonts w:ascii="仿宋_GB2312" w:eastAsia="仿宋_GB2312" w:hAnsi="楷体" w:hint="eastAsia"/>
          <w:b/>
          <w:sz w:val="32"/>
          <w:szCs w:val="32"/>
          <w:lang w:val="en-US" w:eastAsia="zh-CN"/>
        </w:rPr>
        <w:t>3</w:t>
      </w:r>
      <w:r>
        <w:rPr>
          <w:rFonts w:ascii="仿宋_GB2312" w:eastAsia="仿宋_GB2312" w:hAnsi="楷体" w:hint="eastAsia"/>
          <w:b/>
          <w:sz w:val="32"/>
          <w:szCs w:val="32"/>
        </w:rPr>
        <w:t>.“</w:t>
      </w:r>
      <w:r>
        <w:rPr>
          <w:rFonts w:ascii="仿宋_GB2312" w:eastAsia="仿宋_GB2312" w:hAnsi="楷体" w:hint="eastAsia"/>
          <w:b/>
          <w:sz w:val="32"/>
          <w:szCs w:val="32"/>
          <w:lang w:eastAsia="zh-CN"/>
        </w:rPr>
        <w:t>统战工作专项经费</w:t>
      </w:r>
      <w:r>
        <w:rPr>
          <w:rFonts w:ascii="仿宋_GB2312" w:eastAsia="仿宋_GB2312" w:hAnsi="楷体" w:hint="eastAsia"/>
          <w:b/>
          <w:sz w:val="32"/>
          <w:szCs w:val="32"/>
        </w:rPr>
        <w:t>”项目。</w:t>
      </w:r>
    </w:p>
    <w:p>
      <w:pPr>
        <w:adjustRightInd w:val="0"/>
        <w:snapToGrid w:val="0"/>
        <w:spacing w:line="600" w:lineRule="exact"/>
        <w:ind w:firstLine="640" w:firstLineChars="200"/>
        <w:rPr>
          <w:rFonts w:ascii="仿宋_GB2312" w:eastAsia="仿宋_GB2312" w:hAnsi="楷体"/>
          <w:sz w:val="32"/>
          <w:szCs w:val="32"/>
        </w:rPr>
      </w:pPr>
      <w:r>
        <w:rPr>
          <w:rFonts w:ascii="仿宋_GB2312" w:eastAsia="仿宋_GB2312" w:hAnsi="楷体" w:hint="eastAsia"/>
          <w:sz w:val="32"/>
          <w:szCs w:val="32"/>
        </w:rPr>
        <w:t>（1）项目概述。</w:t>
      </w:r>
      <w:r>
        <w:rPr>
          <w:rFonts w:ascii="仿宋_GB2312" w:eastAsia="仿宋_GB2312" w:hAnsi="仿宋" w:hint="eastAsia"/>
          <w:sz w:val="32"/>
          <w:szCs w:val="32"/>
        </w:rPr>
        <w:t>主要用于</w:t>
      </w:r>
      <w:r>
        <w:rPr>
          <w:rFonts w:ascii="仿宋" w:eastAsia="仿宋" w:hAnsi="仿宋" w:hint="eastAsia"/>
          <w:sz w:val="32"/>
          <w:szCs w:val="32"/>
        </w:rPr>
        <w:t>保</w:t>
      </w:r>
      <w:r>
        <w:rPr>
          <w:rFonts w:ascii="仿宋_GB2312" w:eastAsia="仿宋_GB2312" w:hAnsi="仿宋" w:hint="eastAsia"/>
          <w:sz w:val="32"/>
          <w:szCs w:val="32"/>
        </w:rPr>
        <w:t>障机构日常运转、完成日常工作任务</w:t>
      </w:r>
      <w:r>
        <w:rPr>
          <w:rFonts w:ascii="仿宋_GB2312" w:eastAsia="仿宋_GB2312" w:hAnsi="仿宋" w:hint="eastAsia"/>
          <w:sz w:val="32"/>
          <w:szCs w:val="32"/>
          <w:lang w:eastAsia="zh-CN"/>
        </w:rPr>
        <w:t>包括：</w:t>
      </w:r>
      <w:r>
        <w:rPr>
          <w:rFonts w:ascii="仿宋_GB2312" w:eastAsia="仿宋_GB2312" w:hAnsi="楷体" w:hint="eastAsia"/>
          <w:sz w:val="32"/>
          <w:szCs w:val="32"/>
        </w:rPr>
        <w:t>政策调研工作、效能管理工作、目标管理工作等均属于</w:t>
      </w:r>
      <w:r>
        <w:rPr>
          <w:rFonts w:ascii="仿宋_GB2312" w:eastAsia="仿宋_GB2312" w:hAnsi="楷体" w:hint="eastAsia"/>
          <w:sz w:val="32"/>
          <w:szCs w:val="32"/>
          <w:lang w:eastAsia="zh-CN"/>
        </w:rPr>
        <w:t>统战部</w:t>
      </w:r>
      <w:r>
        <w:rPr>
          <w:rFonts w:ascii="仿宋_GB2312" w:eastAsia="仿宋_GB2312" w:hAnsi="楷体" w:hint="eastAsia"/>
          <w:sz w:val="32"/>
          <w:szCs w:val="32"/>
        </w:rPr>
        <w:t>全面工作，工作量大、任务重，需要资金、人力支持，经县财经领导小组研究决定：纳入县财政预算，全年</w:t>
      </w:r>
      <w:r>
        <w:rPr>
          <w:rFonts w:ascii="仿宋_GB2312" w:eastAsia="仿宋_GB2312" w:hAnsi="楷体" w:hint="eastAsia"/>
          <w:sz w:val="32"/>
          <w:szCs w:val="32"/>
          <w:lang w:val="en-US" w:eastAsia="zh-CN"/>
        </w:rPr>
        <w:t>20</w:t>
      </w:r>
      <w:r>
        <w:rPr>
          <w:rFonts w:ascii="仿宋_GB2312" w:eastAsia="仿宋_GB2312" w:hAnsi="楷体" w:hint="eastAsia"/>
          <w:sz w:val="32"/>
          <w:szCs w:val="32"/>
        </w:rPr>
        <w:t>万元。</w:t>
      </w:r>
    </w:p>
    <w:p>
      <w:pPr>
        <w:spacing w:line="600" w:lineRule="exact"/>
        <w:ind w:firstLine="586" w:firstLineChars="183"/>
        <w:rPr>
          <w:rFonts w:ascii="仿宋_GB2312" w:eastAsia="仿宋_GB2312" w:hAnsi="楷体"/>
          <w:sz w:val="32"/>
          <w:szCs w:val="32"/>
        </w:rPr>
      </w:pPr>
      <w:r>
        <w:rPr>
          <w:rFonts w:ascii="仿宋_GB2312" w:eastAsia="仿宋_GB2312" w:hAnsi="楷体" w:hint="eastAsia"/>
          <w:sz w:val="32"/>
          <w:szCs w:val="32"/>
        </w:rPr>
        <w:t>（2）立项依据。县财经领导小组研究决定：纳入县财政预算，全年</w:t>
      </w:r>
      <w:r>
        <w:rPr>
          <w:rFonts w:ascii="仿宋_GB2312" w:eastAsia="仿宋_GB2312" w:hAnsi="楷体" w:hint="eastAsia"/>
          <w:sz w:val="32"/>
          <w:szCs w:val="32"/>
          <w:lang w:val="en-US" w:eastAsia="zh-CN"/>
        </w:rPr>
        <w:t>20</w:t>
      </w:r>
      <w:r>
        <w:rPr>
          <w:rFonts w:ascii="仿宋_GB2312" w:eastAsia="仿宋_GB2312" w:hAnsi="楷体" w:hint="eastAsia"/>
          <w:sz w:val="32"/>
          <w:szCs w:val="32"/>
        </w:rPr>
        <w:t>万元。</w:t>
      </w:r>
    </w:p>
    <w:p>
      <w:pPr>
        <w:spacing w:line="600" w:lineRule="exact"/>
        <w:ind w:firstLine="586" w:firstLineChars="183"/>
        <w:rPr>
          <w:rFonts w:ascii="仿宋_GB2312" w:eastAsia="仿宋_GB2312" w:hAnsi="仿宋"/>
          <w:sz w:val="32"/>
          <w:szCs w:val="32"/>
        </w:rPr>
      </w:pPr>
      <w:r>
        <w:rPr>
          <w:rFonts w:ascii="仿宋_GB2312" w:eastAsia="仿宋_GB2312" w:hAnsi="楷体" w:hint="eastAsia"/>
          <w:sz w:val="32"/>
          <w:szCs w:val="32"/>
        </w:rPr>
        <w:t>（3）实施主体</w:t>
      </w:r>
      <w:r>
        <w:rPr>
          <w:rFonts w:ascii="仿宋_GB2312" w:eastAsia="仿宋_GB2312" w:hAnsi="楷体" w:hint="eastAsia"/>
          <w:sz w:val="32"/>
          <w:szCs w:val="32"/>
          <w:lang w:eastAsia="zh-CN"/>
        </w:rPr>
        <w:t>和</w:t>
      </w:r>
      <w:r>
        <w:rPr>
          <w:rFonts w:ascii="仿宋_GB2312" w:eastAsia="仿宋_GB2312" w:hAnsi="楷体" w:hint="eastAsia"/>
          <w:sz w:val="32"/>
          <w:szCs w:val="32"/>
        </w:rPr>
        <w:t>起止时间。</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年1月1日-202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年12月31日</w:t>
      </w:r>
    </w:p>
    <w:p>
      <w:pPr>
        <w:spacing w:line="600" w:lineRule="exact"/>
        <w:ind w:firstLine="642"/>
        <w:rPr>
          <w:rFonts w:ascii="仿宋_GB2312" w:eastAsia="仿宋_GB2312" w:hAnsi="仿宋" w:hint="eastAsia"/>
          <w:sz w:val="32"/>
          <w:szCs w:val="32"/>
        </w:rPr>
      </w:pPr>
      <w:r>
        <w:rPr>
          <w:rFonts w:ascii="仿宋_GB2312" w:eastAsia="仿宋_GB2312" w:hAnsi="楷体" w:hint="eastAsia"/>
          <w:sz w:val="32"/>
          <w:szCs w:val="32"/>
          <w:lang w:eastAsia="zh-CN"/>
        </w:rPr>
        <w:t>（</w:t>
      </w:r>
      <w:r>
        <w:rPr>
          <w:rFonts w:ascii="仿宋_GB2312" w:eastAsia="仿宋_GB2312" w:hAnsi="楷体" w:hint="eastAsia"/>
          <w:sz w:val="32"/>
          <w:szCs w:val="32"/>
          <w:lang w:val="en-US" w:eastAsia="zh-CN"/>
        </w:rPr>
        <w:t>4</w:t>
      </w:r>
      <w:r>
        <w:rPr>
          <w:rFonts w:ascii="仿宋_GB2312" w:eastAsia="仿宋_GB2312" w:hAnsi="楷体" w:hint="eastAsia"/>
          <w:sz w:val="32"/>
          <w:szCs w:val="32"/>
          <w:lang w:eastAsia="zh-CN"/>
        </w:rPr>
        <w:t>）</w:t>
      </w:r>
      <w:r>
        <w:rPr>
          <w:rFonts w:ascii="仿宋_GB2312" w:eastAsia="仿宋_GB2312" w:hAnsi="楷体" w:hint="eastAsia"/>
          <w:sz w:val="32"/>
          <w:szCs w:val="32"/>
        </w:rPr>
        <w:t>年度预算安排。</w:t>
      </w:r>
      <w:r>
        <w:rPr>
          <w:rFonts w:ascii="仿宋_GB2312" w:eastAsia="仿宋_GB2312" w:hAnsi="仿宋" w:hint="eastAsia"/>
          <w:sz w:val="32"/>
          <w:szCs w:val="32"/>
        </w:rPr>
        <w:t>全年共需资金</w:t>
      </w:r>
      <w:r>
        <w:rPr>
          <w:rFonts w:ascii="仿宋_GB2312" w:eastAsia="仿宋_GB2312" w:hAnsi="仿宋" w:hint="eastAsia"/>
          <w:sz w:val="32"/>
          <w:szCs w:val="32"/>
          <w:lang w:val="en-US" w:eastAsia="zh-CN"/>
        </w:rPr>
        <w:t>20</w:t>
      </w:r>
      <w:r>
        <w:rPr>
          <w:rFonts w:ascii="仿宋_GB2312" w:eastAsia="仿宋_GB2312" w:hAnsi="仿宋" w:hint="eastAsia"/>
          <w:sz w:val="32"/>
          <w:szCs w:val="32"/>
        </w:rPr>
        <w:t>万元，纳入年初预算。</w:t>
      </w:r>
    </w:p>
    <w:p>
      <w:pPr>
        <w:adjustRightInd w:val="0"/>
        <w:snapToGrid w:val="0"/>
        <w:spacing w:line="600" w:lineRule="exact"/>
        <w:rPr>
          <w:rFonts w:ascii="仿宋_GB2312" w:eastAsia="仿宋_GB2312" w:hAnsi="仿宋" w:hint="eastAsia"/>
          <w:sz w:val="32"/>
          <w:szCs w:val="32"/>
        </w:rPr>
      </w:pPr>
    </w:p>
    <w:p>
      <w:pPr>
        <w:adjustRightInd w:val="0"/>
        <w:snapToGrid w:val="0"/>
        <w:spacing w:line="600" w:lineRule="exact"/>
        <w:rPr>
          <w:rFonts w:ascii="仿宋_GB2312" w:eastAsia="仿宋_GB2312" w:hAnsi="仿宋" w:hint="eastAsia"/>
          <w:sz w:val="32"/>
          <w:szCs w:val="32"/>
        </w:rPr>
      </w:pPr>
    </w:p>
    <w:p>
      <w:pPr>
        <w:adjustRightInd w:val="0"/>
        <w:snapToGrid w:val="0"/>
        <w:spacing w:line="600" w:lineRule="exact"/>
        <w:rPr>
          <w:rFonts w:ascii="仿宋_GB2312" w:eastAsia="仿宋_GB2312" w:hAnsi="仿宋" w:hint="eastAsia"/>
          <w:sz w:val="32"/>
          <w:szCs w:val="32"/>
        </w:rPr>
      </w:pPr>
    </w:p>
    <w:p>
      <w:pPr>
        <w:adjustRightInd w:val="0"/>
        <w:snapToGrid w:val="0"/>
        <w:spacing w:line="600" w:lineRule="exact"/>
        <w:ind w:firstLine="640" w:firstLineChars="200"/>
        <w:rPr>
          <w:rFonts w:ascii="仿宋_GB2312" w:eastAsia="仿宋_GB2312" w:hAnsi="仿宋" w:hint="eastAsia"/>
          <w:sz w:val="32"/>
          <w:szCs w:val="32"/>
        </w:rPr>
      </w:pPr>
      <w:r>
        <w:rPr>
          <w:rFonts w:ascii="仿宋_GB2312" w:eastAsia="仿宋_GB2312" w:hAnsi="仿宋" w:hint="eastAsia"/>
          <w:sz w:val="32"/>
          <w:szCs w:val="32"/>
          <w:lang w:eastAsia="zh-CN"/>
        </w:rPr>
        <w:t>（</w:t>
      </w:r>
      <w:r>
        <w:rPr>
          <w:rFonts w:ascii="仿宋_GB2312" w:eastAsia="仿宋_GB2312" w:hAnsi="仿宋" w:hint="eastAsia"/>
          <w:sz w:val="32"/>
          <w:szCs w:val="32"/>
          <w:lang w:val="en-US" w:eastAsia="zh-CN"/>
        </w:rPr>
        <w:t>5</w:t>
      </w:r>
      <w:r>
        <w:rPr>
          <w:rFonts w:ascii="仿宋_GB2312" w:eastAsia="仿宋_GB2312" w:hAnsi="仿宋" w:hint="eastAsia"/>
          <w:sz w:val="32"/>
          <w:szCs w:val="32"/>
          <w:lang w:eastAsia="zh-CN"/>
        </w:rPr>
        <w:t>）</w:t>
      </w:r>
      <w:r>
        <w:rPr>
          <w:rFonts w:ascii="仿宋_GB2312" w:eastAsia="仿宋_GB2312" w:hAnsi="仿宋" w:hint="eastAsia"/>
          <w:sz w:val="32"/>
          <w:szCs w:val="32"/>
        </w:rPr>
        <w:t>绩效目标和指标。</w:t>
      </w:r>
    </w:p>
    <w:p>
      <w:pPr>
        <w:topLinePunct/>
        <w:adjustRightInd w:val="0"/>
        <w:snapToGrid w:val="0"/>
        <w:spacing w:line="580" w:lineRule="exact"/>
        <w:ind w:firstLine="640" w:firstLineChars="200"/>
        <w:rPr>
          <w:rFonts w:ascii="仿宋_GB2312" w:eastAsia="仿宋_GB2312" w:hAnsi="楷体" w:hint="eastAsia"/>
          <w:sz w:val="32"/>
          <w:szCs w:val="32"/>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723"/>
        <w:gridCol w:w="282"/>
        <w:gridCol w:w="477"/>
        <w:gridCol w:w="2872"/>
        <w:gridCol w:w="1848"/>
        <w:gridCol w:w="2380"/>
      </w:tblGrid>
      <w:tr>
        <w:tblPrEx>
          <w:tblW w:w="0" w:type="auto"/>
          <w:tblInd w:w="0" w:type="dxa"/>
          <w:tblLayout w:type="fixed"/>
        </w:tblPrEx>
        <w:trPr>
          <w:trHeight w:val="253"/>
        </w:trPr>
        <w:tc>
          <w:tcPr>
            <w:tcW w:w="9020" w:type="dxa"/>
            <w:gridSpan w:val="7"/>
            <w:tcBorders>
              <w:top w:val="nil"/>
              <w:left w:val="nil"/>
              <w:bottom w:val="nil"/>
              <w:right w:val="nil"/>
            </w:tcBorders>
            <w:noWrap w:val="0"/>
            <w:vAlign w:val="center"/>
          </w:tcPr>
          <w:p>
            <w:pPr>
              <w:widowControl/>
              <w:jc w:val="center"/>
              <w:textAlignment w:val="center"/>
              <w:rPr>
                <w:rFonts w:ascii="宋体" w:cs="宋体"/>
                <w:b/>
                <w:bCs/>
                <w:szCs w:val="32"/>
              </w:rPr>
            </w:pPr>
            <w:r>
              <w:rPr>
                <w:rFonts w:ascii="宋体" w:hAnsi="宋体" w:cs="宋体" w:hint="eastAsia"/>
                <w:b/>
                <w:color w:val="000000"/>
                <w:kern w:val="0"/>
                <w:sz w:val="28"/>
                <w:szCs w:val="28"/>
                <w:lang w:bidi="ar"/>
              </w:rPr>
              <w:t>项目支出绩效目标表</w:t>
            </w:r>
          </w:p>
        </w:tc>
      </w:tr>
      <w:tr>
        <w:tblPrEx>
          <w:tblW w:w="0" w:type="auto"/>
          <w:tblInd w:w="0" w:type="dxa"/>
          <w:tblLayout w:type="fixed"/>
        </w:tblPrEx>
        <w:trPr>
          <w:trHeight w:val="270"/>
        </w:trPr>
        <w:tc>
          <w:tcPr>
            <w:tcW w:w="9020" w:type="dxa"/>
            <w:gridSpan w:val="7"/>
            <w:tcBorders>
              <w:top w:val="nil"/>
              <w:left w:val="nil"/>
              <w:right w:val="nil"/>
            </w:tcBorders>
            <w:noWrap w:val="0"/>
            <w:vAlign w:val="center"/>
          </w:tcPr>
          <w:p>
            <w:pPr>
              <w:widowControl/>
              <w:jc w:val="center"/>
              <w:textAlignment w:val="center"/>
              <w:rPr>
                <w:rFonts w:ascii="宋体" w:cs="宋体"/>
                <w:sz w:val="20"/>
              </w:rPr>
            </w:pPr>
            <w:r>
              <w:rPr>
                <w:rFonts w:ascii="宋体" w:hAnsi="宋体" w:cs="宋体" w:hint="eastAsia"/>
                <w:color w:val="000000"/>
                <w:kern w:val="0"/>
                <w:sz w:val="20"/>
                <w:szCs w:val="20"/>
                <w:lang w:bidi="ar"/>
              </w:rPr>
              <w:t xml:space="preserve"> （2024年度）                                </w:t>
            </w:r>
          </w:p>
        </w:tc>
      </w:tr>
      <w:tr>
        <w:tblPrEx>
          <w:tblW w:w="0" w:type="auto"/>
          <w:tblInd w:w="0" w:type="dxa"/>
          <w:tblLayout w:type="fixed"/>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项目名称</w:t>
            </w:r>
          </w:p>
        </w:tc>
        <w:tc>
          <w:tcPr>
            <w:tcW w:w="7577" w:type="dxa"/>
            <w:gridSpan w:val="4"/>
            <w:noWrap w:val="0"/>
            <w:vAlign w:val="center"/>
          </w:tcPr>
          <w:p>
            <w:pPr>
              <w:spacing w:line="260" w:lineRule="exact"/>
              <w:jc w:val="center"/>
              <w:rPr>
                <w:rFonts w:ascii="宋体" w:eastAsia="宋体" w:cs="宋体" w:hint="eastAsia"/>
                <w:sz w:val="18"/>
                <w:szCs w:val="18"/>
                <w:lang w:eastAsia="zh-CN"/>
              </w:rPr>
            </w:pPr>
            <w:r>
              <w:rPr>
                <w:rFonts w:ascii="宋体" w:cs="宋体" w:hint="eastAsia"/>
                <w:sz w:val="18"/>
                <w:szCs w:val="18"/>
                <w:lang w:eastAsia="zh-CN"/>
              </w:rPr>
              <w:t>阿訇生活补助、民族宗教工作经费、统战工作专项经费、宗教团体建设工作经费</w:t>
            </w:r>
          </w:p>
        </w:tc>
      </w:tr>
      <w:tr>
        <w:tblPrEx>
          <w:tblW w:w="0" w:type="auto"/>
          <w:tblInd w:w="0" w:type="dxa"/>
          <w:tblLayout w:type="fixed"/>
        </w:tblPrEx>
        <w:trPr>
          <w:trHeight w:val="491"/>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主管部门   及代码</w:t>
            </w:r>
          </w:p>
        </w:tc>
        <w:tc>
          <w:tcPr>
            <w:tcW w:w="3349" w:type="dxa"/>
            <w:gridSpan w:val="2"/>
            <w:noWrap w:val="0"/>
            <w:vAlign w:val="center"/>
          </w:tcPr>
          <w:p>
            <w:pPr>
              <w:spacing w:line="260" w:lineRule="exact"/>
              <w:jc w:val="center"/>
              <w:rPr>
                <w:rFonts w:ascii="宋体" w:cs="宋体"/>
                <w:sz w:val="18"/>
                <w:szCs w:val="18"/>
              </w:rPr>
            </w:pP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实施单位</w:t>
            </w:r>
          </w:p>
        </w:tc>
        <w:tc>
          <w:tcPr>
            <w:tcW w:w="2380" w:type="dxa"/>
            <w:noWrap w:val="0"/>
            <w:vAlign w:val="center"/>
          </w:tcPr>
          <w:p>
            <w:pPr>
              <w:spacing w:line="260" w:lineRule="exact"/>
              <w:jc w:val="center"/>
              <w:rPr>
                <w:rFonts w:eastAsia="宋体" w:hint="eastAsia"/>
                <w:sz w:val="18"/>
                <w:szCs w:val="18"/>
                <w:lang w:eastAsia="zh-CN"/>
              </w:rPr>
            </w:pPr>
            <w:r>
              <w:rPr>
                <w:rFonts w:hint="eastAsia"/>
                <w:sz w:val="18"/>
                <w:szCs w:val="18"/>
                <w:lang w:eastAsia="zh-CN"/>
              </w:rPr>
              <w:t>中共寿县县委统战部</w:t>
            </w:r>
          </w:p>
        </w:tc>
      </w:tr>
      <w:tr>
        <w:tblPrEx>
          <w:tblW w:w="0" w:type="auto"/>
          <w:tblInd w:w="0" w:type="dxa"/>
          <w:tblLayout w:type="fixed"/>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项目来源</w:t>
            </w:r>
          </w:p>
        </w:tc>
        <w:tc>
          <w:tcPr>
            <w:tcW w:w="3349" w:type="dxa"/>
            <w:gridSpan w:val="2"/>
            <w:noWrap w:val="0"/>
            <w:vAlign w:val="center"/>
          </w:tcPr>
          <w:p>
            <w:pPr>
              <w:spacing w:line="260" w:lineRule="exact"/>
              <w:jc w:val="center"/>
              <w:rPr>
                <w:rFonts w:ascii="宋体" w:cs="宋体"/>
                <w:sz w:val="18"/>
                <w:szCs w:val="18"/>
              </w:rPr>
            </w:pP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项目期</w:t>
            </w:r>
          </w:p>
        </w:tc>
        <w:tc>
          <w:tcPr>
            <w:tcW w:w="2380" w:type="dxa"/>
            <w:noWrap w:val="0"/>
            <w:vAlign w:val="center"/>
          </w:tcPr>
          <w:p>
            <w:pPr>
              <w:spacing w:line="260" w:lineRule="exact"/>
              <w:jc w:val="center"/>
              <w:rPr>
                <w:rFonts w:eastAsia="宋体" w:hint="default"/>
                <w:sz w:val="18"/>
                <w:szCs w:val="18"/>
                <w:lang w:val="en-US" w:eastAsia="zh-CN"/>
              </w:rPr>
            </w:pPr>
            <w:r>
              <w:rPr>
                <w:rFonts w:hint="eastAsia"/>
                <w:sz w:val="18"/>
                <w:szCs w:val="18"/>
                <w:lang w:val="en-US" w:eastAsia="zh-CN"/>
              </w:rPr>
              <w:t>2024年度</w:t>
            </w:r>
          </w:p>
        </w:tc>
      </w:tr>
      <w:tr>
        <w:tblPrEx>
          <w:tblW w:w="0" w:type="auto"/>
          <w:tblInd w:w="0" w:type="dxa"/>
          <w:tblLayout w:type="fixed"/>
        </w:tblPrEx>
        <w:trPr>
          <w:trHeight w:val="330"/>
        </w:trPr>
        <w:tc>
          <w:tcPr>
            <w:tcW w:w="1443" w:type="dxa"/>
            <w:gridSpan w:val="3"/>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项目资金</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（万元）</w:t>
            </w:r>
          </w:p>
        </w:tc>
        <w:tc>
          <w:tcPr>
            <w:tcW w:w="3349" w:type="dxa"/>
            <w:gridSpan w:val="2"/>
            <w:noWrap w:val="0"/>
            <w:vAlign w:val="center"/>
          </w:tcPr>
          <w:p>
            <w:pPr>
              <w:spacing w:line="260" w:lineRule="exact"/>
              <w:jc w:val="left"/>
              <w:textAlignment w:val="center"/>
              <w:rPr>
                <w:rFonts w:ascii="宋体" w:eastAsia="宋体" w:cs="宋体" w:hint="default"/>
                <w:sz w:val="18"/>
                <w:szCs w:val="18"/>
                <w:lang w:val="en-US" w:eastAsia="zh-CN"/>
              </w:rPr>
            </w:pPr>
            <w:r>
              <w:rPr>
                <w:rFonts w:ascii="宋体" w:hAnsi="宋体" w:cs="宋体" w:hint="eastAsia"/>
                <w:color w:val="000000"/>
                <w:kern w:val="0"/>
                <w:sz w:val="18"/>
                <w:szCs w:val="18"/>
                <w:lang w:bidi="ar"/>
              </w:rPr>
              <w:t xml:space="preserve"> 年度资金总额：</w:t>
            </w:r>
            <w:r>
              <w:rPr>
                <w:rFonts w:ascii="宋体" w:hAnsi="宋体" w:cs="宋体" w:hint="eastAsia"/>
                <w:color w:val="000000"/>
                <w:kern w:val="0"/>
                <w:sz w:val="18"/>
                <w:szCs w:val="18"/>
                <w:lang w:val="en-US" w:eastAsia="zh-CN" w:bidi="ar"/>
              </w:rPr>
              <w:t>70.8</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70.8</w:t>
            </w:r>
          </w:p>
        </w:tc>
      </w:tr>
      <w:tr>
        <w:tblPrEx>
          <w:tblW w:w="0" w:type="auto"/>
          <w:tblInd w:w="0" w:type="dxa"/>
          <w:tblLayout w:type="fixed"/>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其中：财政拨款</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70.8</w:t>
            </w:r>
          </w:p>
        </w:tc>
      </w:tr>
      <w:tr>
        <w:tblPrEx>
          <w:tblW w:w="0" w:type="auto"/>
          <w:tblInd w:w="0" w:type="dxa"/>
          <w:tblLayout w:type="fixed"/>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上年结转</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其他资金</w:t>
            </w:r>
          </w:p>
        </w:tc>
        <w:tc>
          <w:tcPr>
            <w:tcW w:w="4228" w:type="dxa"/>
            <w:gridSpan w:val="2"/>
            <w:noWrap w:val="0"/>
            <w:vAlign w:val="center"/>
          </w:tcPr>
          <w:p>
            <w:pPr>
              <w:spacing w:line="260" w:lineRule="exact"/>
              <w:jc w:val="right"/>
              <w:rPr>
                <w:rFonts w:ascii="宋体" w:cs="宋体"/>
                <w:sz w:val="18"/>
                <w:szCs w:val="18"/>
              </w:rPr>
            </w:pPr>
          </w:p>
        </w:tc>
      </w:tr>
      <w:tr>
        <w:tblPrEx>
          <w:tblW w:w="0" w:type="auto"/>
          <w:tblInd w:w="0" w:type="dxa"/>
          <w:tblLayout w:type="fixed"/>
        </w:tblPrEx>
        <w:trPr>
          <w:trHeight w:val="1015"/>
        </w:trPr>
        <w:tc>
          <w:tcPr>
            <w:tcW w:w="438"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年度</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目标</w:t>
            </w:r>
          </w:p>
        </w:tc>
        <w:tc>
          <w:tcPr>
            <w:tcW w:w="8582" w:type="dxa"/>
            <w:gridSpan w:val="6"/>
            <w:noWrap w:val="0"/>
            <w:vAlign w:val="center"/>
          </w:tcPr>
          <w:p>
            <w:pPr>
              <w:rPr>
                <w:rFonts w:hint="eastAsia"/>
                <w:sz w:val="18"/>
                <w:szCs w:val="18"/>
              </w:rPr>
            </w:pPr>
            <w:r>
              <w:rPr>
                <w:rFonts w:hint="eastAsia"/>
                <w:sz w:val="18"/>
                <w:szCs w:val="18"/>
              </w:rPr>
              <w:t xml:space="preserve"> 目标1：贯彻执行党的路线、方针、政策；围绕县委中心工作，搞好决策服务，组织调查研究，当好县委的参谋助手。</w:t>
            </w:r>
            <w:r>
              <w:rPr>
                <w:rFonts w:hint="eastAsia"/>
                <w:sz w:val="18"/>
                <w:szCs w:val="18"/>
              </w:rPr>
              <w:br/>
            </w:r>
            <w:r>
              <w:rPr>
                <w:rFonts w:hint="eastAsia"/>
                <w:sz w:val="18"/>
                <w:szCs w:val="18"/>
              </w:rPr>
              <w:t xml:space="preserve"> 目标2：围绕县委中心工作、组织力量对全县</w:t>
            </w:r>
            <w:r>
              <w:rPr>
                <w:rFonts w:hint="eastAsia"/>
                <w:sz w:val="18"/>
                <w:szCs w:val="18"/>
                <w:lang w:eastAsia="zh-CN"/>
              </w:rPr>
              <w:t>统战工作</w:t>
            </w:r>
            <w:r>
              <w:rPr>
                <w:rFonts w:hint="eastAsia"/>
                <w:sz w:val="18"/>
                <w:szCs w:val="18"/>
              </w:rPr>
              <w:t>的重大问题进行调查研究，提出意见和建议；及时、准确地向县委负责同志提供省内外和县内外</w:t>
            </w:r>
            <w:r>
              <w:rPr>
                <w:rFonts w:hint="eastAsia"/>
                <w:sz w:val="18"/>
                <w:szCs w:val="18"/>
                <w:lang w:eastAsia="zh-CN"/>
              </w:rPr>
              <w:t>统战工作</w:t>
            </w:r>
            <w:r>
              <w:rPr>
                <w:rFonts w:hint="eastAsia"/>
                <w:sz w:val="18"/>
                <w:szCs w:val="18"/>
              </w:rPr>
              <w:t>等方面的重要信息；组织撰写宣传、阐释党的</w:t>
            </w:r>
            <w:r>
              <w:rPr>
                <w:rFonts w:hint="eastAsia"/>
                <w:sz w:val="18"/>
                <w:szCs w:val="18"/>
                <w:lang w:eastAsia="zh-CN"/>
              </w:rPr>
              <w:t>统一战线相关的</w:t>
            </w:r>
            <w:r>
              <w:rPr>
                <w:rFonts w:hint="eastAsia"/>
                <w:sz w:val="18"/>
                <w:szCs w:val="18"/>
              </w:rPr>
              <w:t>文章。</w:t>
            </w:r>
          </w:p>
          <w:p>
            <w:pPr>
              <w:spacing w:line="240" w:lineRule="auto"/>
              <w:ind w:firstLine="360" w:firstLineChars="200"/>
              <w:rPr>
                <w:rFonts w:ascii="宋体" w:cs="宋体"/>
                <w:sz w:val="18"/>
                <w:szCs w:val="18"/>
              </w:rPr>
            </w:pPr>
            <w:r>
              <w:rPr>
                <w:rFonts w:hint="eastAsia"/>
                <w:sz w:val="18"/>
                <w:szCs w:val="18"/>
              </w:rPr>
              <w:t>目标3：</w:t>
            </w:r>
            <w:r>
              <w:rPr>
                <w:rFonts w:ascii="宋体" w:eastAsia="宋体" w:hAnsi="宋体" w:cs="宋体" w:hint="eastAsia"/>
                <w:sz w:val="18"/>
                <w:szCs w:val="18"/>
              </w:rPr>
              <w:t>开展以祖国统一为重点的海外统战工作；联系海外社团及代表人士，积极开展招商引资工作。</w:t>
            </w:r>
          </w:p>
        </w:tc>
      </w:tr>
      <w:tr>
        <w:tblPrEx>
          <w:tblW w:w="0" w:type="auto"/>
          <w:tblInd w:w="0" w:type="dxa"/>
          <w:tblLayout w:type="fixed"/>
        </w:tblPrEx>
        <w:trPr>
          <w:trHeight w:val="508"/>
        </w:trPr>
        <w:tc>
          <w:tcPr>
            <w:tcW w:w="438"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绩</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效</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标</w:t>
            </w:r>
          </w:p>
        </w:tc>
        <w:tc>
          <w:tcPr>
            <w:tcW w:w="723"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一级</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指标</w:t>
            </w: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二级指标</w:t>
            </w:r>
          </w:p>
        </w:tc>
        <w:tc>
          <w:tcPr>
            <w:tcW w:w="2872"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三级指标</w:t>
            </w:r>
          </w:p>
        </w:tc>
        <w:tc>
          <w:tcPr>
            <w:tcW w:w="4228"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指标值</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产出指标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数量指标</w:t>
            </w:r>
          </w:p>
        </w:tc>
        <w:tc>
          <w:tcPr>
            <w:tcW w:w="2872" w:type="dxa"/>
            <w:noWrap w:val="0"/>
            <w:vAlign w:val="center"/>
          </w:tcPr>
          <w:p>
            <w:pPr>
              <w:spacing w:line="260" w:lineRule="exact"/>
              <w:jc w:val="left"/>
              <w:textAlignment w:val="center"/>
              <w:rPr>
                <w:rFonts w:ascii="宋体" w:eastAsia="宋体" w:cs="宋体" w:hint="eastAsia"/>
                <w:sz w:val="18"/>
                <w:szCs w:val="18"/>
                <w:lang w:eastAsia="zh-CN"/>
              </w:rPr>
            </w:pPr>
            <w:r>
              <w:rPr>
                <w:rFonts w:ascii="宋体" w:hAnsi="宋体" w:cs="宋体" w:hint="eastAsia"/>
                <w:color w:val="000000"/>
                <w:kern w:val="0"/>
                <w:sz w:val="18"/>
                <w:szCs w:val="18"/>
                <w:lang w:bidi="ar"/>
              </w:rPr>
              <w:t>指标1：</w:t>
            </w:r>
            <w:r>
              <w:rPr>
                <w:rFonts w:ascii="宋体" w:hAnsi="宋体" w:cs="宋体" w:hint="eastAsia"/>
                <w:color w:val="000000"/>
                <w:kern w:val="0"/>
                <w:sz w:val="18"/>
                <w:szCs w:val="18"/>
                <w:lang w:eastAsia="zh-CN" w:bidi="ar"/>
              </w:rPr>
              <w:t>阿訇补助费支付率</w:t>
            </w:r>
          </w:p>
        </w:tc>
        <w:tc>
          <w:tcPr>
            <w:tcW w:w="4228" w:type="dxa"/>
            <w:gridSpan w:val="2"/>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eastAsia="zh-CN"/>
              </w:rPr>
              <w:t>≥</w:t>
            </w:r>
            <w:r>
              <w:rPr>
                <w:rFonts w:ascii="宋体" w:cs="宋体" w:hint="eastAsia"/>
                <w:sz w:val="18"/>
                <w:szCs w:val="18"/>
                <w:lang w:val="en-US" w:eastAsia="zh-CN"/>
              </w:rPr>
              <w:t>100%</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eastAsia="汉仪中秀体简" w:cs="宋体" w:hint="eastAsia"/>
                <w:sz w:val="18"/>
                <w:szCs w:val="18"/>
                <w:lang w:eastAsia="zh-CN"/>
              </w:rPr>
            </w:pPr>
            <w:r>
              <w:rPr>
                <w:rFonts w:ascii="宋体" w:eastAsia="汉仪中秀体简" w:cs="宋体" w:hint="eastAsia"/>
                <w:sz w:val="18"/>
                <w:szCs w:val="18"/>
                <w:lang w:val="en-US" w:eastAsia="zh-CN"/>
              </w:rPr>
              <w:t>2:</w:t>
            </w:r>
            <w:r>
              <w:rPr>
                <w:rFonts w:ascii="宋体" w:eastAsia="汉仪中秀体简" w:cs="宋体" w:hint="eastAsia"/>
                <w:sz w:val="18"/>
                <w:szCs w:val="18"/>
                <w:lang w:eastAsia="zh-CN"/>
              </w:rPr>
              <w:t>开展党外人士培训</w:t>
            </w:r>
          </w:p>
        </w:tc>
        <w:tc>
          <w:tcPr>
            <w:tcW w:w="4228" w:type="dxa"/>
            <w:gridSpan w:val="2"/>
            <w:noWrap w:val="0"/>
            <w:vAlign w:val="center"/>
          </w:tcPr>
          <w:p>
            <w:pPr>
              <w:spacing w:line="260" w:lineRule="exact"/>
              <w:jc w:val="center"/>
              <w:rPr>
                <w:rFonts w:ascii="宋体" w:cs="宋体" w:hint="default"/>
                <w:sz w:val="18"/>
                <w:szCs w:val="18"/>
                <w:lang w:val="en-US"/>
              </w:rPr>
            </w:pPr>
            <w:r>
              <w:rPr>
                <w:rFonts w:ascii="宋体" w:cs="宋体" w:hint="eastAsia"/>
                <w:sz w:val="18"/>
                <w:szCs w:val="18"/>
                <w:lang w:eastAsia="zh-CN"/>
              </w:rPr>
              <w:t>≥</w:t>
            </w:r>
            <w:r>
              <w:rPr>
                <w:rFonts w:ascii="宋体" w:cs="宋体" w:hint="eastAsia"/>
                <w:sz w:val="18"/>
                <w:szCs w:val="18"/>
                <w:lang w:val="en-US" w:eastAsia="zh-CN"/>
              </w:rPr>
              <w:t>3期</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质量指标</w:t>
            </w:r>
          </w:p>
        </w:tc>
        <w:tc>
          <w:tcPr>
            <w:tcW w:w="2872" w:type="dxa"/>
            <w:noWrap w:val="0"/>
            <w:vAlign w:val="center"/>
          </w:tcPr>
          <w:p>
            <w:pPr>
              <w:spacing w:line="260" w:lineRule="exact"/>
              <w:jc w:val="left"/>
              <w:textAlignment w:val="center"/>
              <w:rPr>
                <w:rFonts w:ascii="宋体" w:eastAsia="宋体" w:cs="宋体" w:hint="eastAsia"/>
                <w:sz w:val="18"/>
                <w:szCs w:val="18"/>
                <w:lang w:eastAsia="zh-CN"/>
              </w:rPr>
            </w:pPr>
            <w:r>
              <w:rPr>
                <w:rFonts w:ascii="宋体" w:hAnsi="宋体" w:cs="宋体" w:hint="eastAsia"/>
                <w:color w:val="000000"/>
                <w:kern w:val="0"/>
                <w:sz w:val="18"/>
                <w:szCs w:val="18"/>
                <w:lang w:bidi="ar"/>
              </w:rPr>
              <w:t>指标1：</w:t>
            </w:r>
            <w:r>
              <w:rPr>
                <w:rFonts w:ascii="宋体" w:hAnsi="宋体" w:cs="宋体" w:hint="eastAsia"/>
                <w:color w:val="000000"/>
                <w:kern w:val="0"/>
                <w:sz w:val="18"/>
                <w:szCs w:val="18"/>
                <w:lang w:eastAsia="zh-CN" w:bidi="ar"/>
              </w:rPr>
              <w:t>及时完成率</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lang w:eastAsia="zh-CN"/>
              </w:rPr>
              <w:t>≥</w:t>
            </w:r>
            <w:r>
              <w:rPr>
                <w:rFonts w:ascii="宋体" w:cs="宋体" w:hint="eastAsia"/>
                <w:sz w:val="18"/>
                <w:szCs w:val="18"/>
                <w:lang w:val="en-US" w:eastAsia="zh-CN"/>
              </w:rPr>
              <w:t>100%</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eastAsia="汉仪中秀体简" w:cs="宋体" w:hint="eastAsia"/>
                <w:sz w:val="18"/>
                <w:szCs w:val="18"/>
                <w:lang w:eastAsia="zh-CN"/>
              </w:rPr>
            </w:pPr>
            <w:r>
              <w:rPr>
                <w:rFonts w:ascii="汉仪中秀体简" w:eastAsia="汉仪中秀体简" w:hAnsi="汉仪中秀体简" w:cs="汉仪中秀体简" w:hint="eastAsia"/>
                <w:color w:val="000000"/>
                <w:kern w:val="0"/>
                <w:sz w:val="18"/>
                <w:szCs w:val="18"/>
                <w:lang w:val="en-US" w:eastAsia="zh-CN" w:bidi="ar"/>
              </w:rPr>
              <w:t>2:</w:t>
            </w:r>
            <w:r>
              <w:rPr>
                <w:rFonts w:ascii="汉仪中秀体简" w:eastAsia="汉仪中秀体简" w:hAnsi="汉仪中秀体简" w:cs="汉仪中秀体简" w:hint="eastAsia"/>
                <w:color w:val="000000"/>
                <w:kern w:val="0"/>
                <w:sz w:val="18"/>
                <w:szCs w:val="18"/>
                <w:lang w:eastAsia="zh-CN" w:bidi="ar"/>
              </w:rPr>
              <w:t>涉及民族关系问题办结率</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lang w:eastAsia="zh-CN"/>
              </w:rPr>
              <w:t>≥</w:t>
            </w:r>
            <w:r>
              <w:rPr>
                <w:rFonts w:ascii="宋体" w:cs="宋体" w:hint="eastAsia"/>
                <w:sz w:val="18"/>
                <w:szCs w:val="18"/>
                <w:lang w:val="en-US" w:eastAsia="zh-CN"/>
              </w:rPr>
              <w:t>95%</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时效指标</w:t>
            </w:r>
          </w:p>
        </w:tc>
        <w:tc>
          <w:tcPr>
            <w:tcW w:w="2872" w:type="dxa"/>
            <w:noWrap w:val="0"/>
            <w:vAlign w:val="center"/>
          </w:tcPr>
          <w:p>
            <w:pPr>
              <w:spacing w:line="260" w:lineRule="exact"/>
              <w:jc w:val="left"/>
              <w:textAlignment w:val="center"/>
              <w:rPr>
                <w:rFonts w:ascii="宋体" w:eastAsia="宋体" w:cs="宋体" w:hint="eastAsia"/>
                <w:sz w:val="18"/>
                <w:szCs w:val="18"/>
                <w:lang w:eastAsia="zh-CN"/>
              </w:rPr>
            </w:pPr>
            <w:r>
              <w:rPr>
                <w:rFonts w:ascii="宋体" w:hAnsi="宋体" w:cs="宋体" w:hint="eastAsia"/>
                <w:color w:val="000000"/>
                <w:kern w:val="0"/>
                <w:sz w:val="18"/>
                <w:szCs w:val="18"/>
                <w:lang w:bidi="ar"/>
              </w:rPr>
              <w:t>指标1：</w:t>
            </w:r>
            <w:r>
              <w:rPr>
                <w:rFonts w:ascii="宋体" w:hAnsi="宋体" w:cs="宋体" w:hint="eastAsia"/>
                <w:color w:val="000000"/>
                <w:kern w:val="0"/>
                <w:sz w:val="18"/>
                <w:szCs w:val="18"/>
                <w:lang w:eastAsia="zh-CN" w:bidi="ar"/>
              </w:rPr>
              <w:t>事件完成时间</w:t>
            </w:r>
          </w:p>
        </w:tc>
        <w:tc>
          <w:tcPr>
            <w:tcW w:w="4228" w:type="dxa"/>
            <w:gridSpan w:val="2"/>
            <w:noWrap w:val="0"/>
            <w:vAlign w:val="center"/>
          </w:tcPr>
          <w:p>
            <w:pPr>
              <w:spacing w:line="260" w:lineRule="exact"/>
              <w:jc w:val="center"/>
              <w:rPr>
                <w:rFonts w:ascii="宋体" w:eastAsia="宋体" w:cs="宋体" w:hint="eastAsia"/>
                <w:sz w:val="18"/>
                <w:szCs w:val="18"/>
                <w:lang w:eastAsia="zh-CN"/>
              </w:rPr>
            </w:pPr>
            <w:r>
              <w:rPr>
                <w:rFonts w:ascii="宋体" w:cs="宋体" w:hint="eastAsia"/>
                <w:sz w:val="18"/>
                <w:szCs w:val="18"/>
                <w:lang w:eastAsia="zh-CN"/>
              </w:rPr>
              <w:t>及时完成</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eastAsia="宋体" w:cs="宋体" w:hint="eastAsia"/>
                <w:sz w:val="18"/>
                <w:szCs w:val="18"/>
                <w:lang w:val="en-US" w:eastAsia="zh-CN"/>
              </w:rPr>
            </w:pPr>
            <w:r>
              <w:rPr>
                <w:rFonts w:ascii="宋体" w:cs="宋体" w:hint="eastAsia"/>
                <w:sz w:val="18"/>
                <w:szCs w:val="18"/>
                <w:lang w:val="en-US" w:eastAsia="zh-CN"/>
              </w:rPr>
              <w:t>2:资金到位率</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lang w:eastAsia="zh-CN"/>
              </w:rPr>
              <w:t>≥</w:t>
            </w:r>
            <w:r>
              <w:rPr>
                <w:rFonts w:ascii="宋体" w:cs="宋体" w:hint="eastAsia"/>
                <w:sz w:val="18"/>
                <w:szCs w:val="18"/>
                <w:lang w:val="en-US" w:eastAsia="zh-CN"/>
              </w:rPr>
              <w:t>95%</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成本指标</w:t>
            </w:r>
          </w:p>
        </w:tc>
        <w:tc>
          <w:tcPr>
            <w:tcW w:w="2872" w:type="dxa"/>
            <w:noWrap w:val="0"/>
            <w:vAlign w:val="center"/>
          </w:tcPr>
          <w:p>
            <w:pPr>
              <w:spacing w:line="260" w:lineRule="exact"/>
              <w:jc w:val="left"/>
              <w:textAlignment w:val="center"/>
              <w:rPr>
                <w:rFonts w:ascii="宋体" w:eastAsia="宋体" w:cs="宋体" w:hint="eastAsia"/>
                <w:sz w:val="18"/>
                <w:szCs w:val="18"/>
                <w:lang w:eastAsia="zh-CN"/>
              </w:rPr>
            </w:pPr>
            <w:r>
              <w:rPr>
                <w:rFonts w:ascii="宋体" w:hAnsi="宋体" w:cs="宋体" w:hint="eastAsia"/>
                <w:color w:val="000000"/>
                <w:kern w:val="0"/>
                <w:sz w:val="18"/>
                <w:szCs w:val="18"/>
                <w:lang w:bidi="ar"/>
              </w:rPr>
              <w:t>指标1：</w:t>
            </w:r>
            <w:r>
              <w:rPr>
                <w:rFonts w:ascii="宋体" w:hAnsi="宋体" w:cs="宋体" w:hint="eastAsia"/>
                <w:color w:val="000000"/>
                <w:kern w:val="0"/>
                <w:sz w:val="18"/>
                <w:szCs w:val="18"/>
                <w:lang w:eastAsia="zh-CN" w:bidi="ar"/>
              </w:rPr>
              <w:t>预算控制率</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lang w:eastAsia="zh-CN"/>
              </w:rPr>
              <w:t>≥</w:t>
            </w:r>
            <w:r>
              <w:rPr>
                <w:rFonts w:ascii="宋体" w:cs="宋体" w:hint="eastAsia"/>
                <w:sz w:val="18"/>
                <w:szCs w:val="18"/>
                <w:lang w:val="en-US" w:eastAsia="zh-CN"/>
              </w:rPr>
              <w:t>96%</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eastAsia="宋体" w:cs="宋体" w:hint="eastAsia"/>
                <w:sz w:val="18"/>
                <w:szCs w:val="18"/>
                <w:lang w:val="en-US" w:eastAsia="zh-CN"/>
              </w:rPr>
            </w:pPr>
            <w:r>
              <w:rPr>
                <w:rFonts w:ascii="宋体" w:cs="宋体" w:hint="eastAsia"/>
                <w:sz w:val="18"/>
                <w:szCs w:val="18"/>
                <w:lang w:val="en-US" w:eastAsia="zh-CN"/>
              </w:rPr>
              <w:t>2：项目单项成本</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lang w:eastAsia="zh-CN"/>
              </w:rPr>
              <w:t>≥</w:t>
            </w:r>
            <w:r>
              <w:rPr>
                <w:rFonts w:ascii="宋体" w:cs="宋体" w:hint="eastAsia"/>
                <w:sz w:val="18"/>
                <w:szCs w:val="18"/>
                <w:lang w:val="en-US" w:eastAsia="zh-CN"/>
              </w:rPr>
              <w:t>95%</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w:t>
            </w:r>
          </w:p>
        </w:tc>
        <w:tc>
          <w:tcPr>
            <w:tcW w:w="2872" w:type="dxa"/>
            <w:noWrap w:val="0"/>
            <w:vAlign w:val="center"/>
          </w:tcPr>
          <w:p>
            <w:pPr>
              <w:spacing w:line="260" w:lineRule="exact"/>
              <w:jc w:val="left"/>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效益指标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经济效益指标</w:t>
            </w:r>
          </w:p>
        </w:tc>
        <w:tc>
          <w:tcPr>
            <w:tcW w:w="2872" w:type="dxa"/>
            <w:noWrap w:val="0"/>
            <w:vAlign w:val="center"/>
          </w:tcPr>
          <w:p>
            <w:pPr>
              <w:spacing w:line="260" w:lineRule="exact"/>
              <w:jc w:val="left"/>
              <w:textAlignment w:val="center"/>
              <w:rPr>
                <w:rFonts w:ascii="宋体" w:eastAsia="宋体" w:cs="宋体" w:hint="eastAsia"/>
                <w:sz w:val="18"/>
                <w:szCs w:val="18"/>
                <w:lang w:eastAsia="zh-CN"/>
              </w:rPr>
            </w:pPr>
            <w:r>
              <w:rPr>
                <w:rFonts w:ascii="宋体" w:hAnsi="宋体" w:cs="宋体" w:hint="eastAsia"/>
                <w:color w:val="000000"/>
                <w:kern w:val="0"/>
                <w:sz w:val="18"/>
                <w:szCs w:val="18"/>
                <w:lang w:bidi="ar"/>
              </w:rPr>
              <w:t>指标1：</w:t>
            </w:r>
            <w:r>
              <w:rPr>
                <w:rFonts w:ascii="宋体" w:hAnsi="宋体" w:cs="宋体" w:hint="eastAsia"/>
                <w:color w:val="000000"/>
                <w:kern w:val="0"/>
                <w:sz w:val="18"/>
                <w:szCs w:val="18"/>
                <w:lang w:eastAsia="zh-CN" w:bidi="ar"/>
              </w:rPr>
              <w:t>提升社会认可度</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lang w:eastAsia="zh-CN"/>
              </w:rPr>
              <w:t>≥</w:t>
            </w:r>
            <w:r>
              <w:rPr>
                <w:rFonts w:ascii="宋体" w:cs="宋体" w:hint="eastAsia"/>
                <w:sz w:val="18"/>
                <w:szCs w:val="18"/>
                <w:lang w:val="en-US" w:eastAsia="zh-CN"/>
              </w:rPr>
              <w:t>85%</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eastAsia="汉仪中秀体简" w:cs="宋体" w:hint="eastAsia"/>
                <w:sz w:val="18"/>
                <w:szCs w:val="18"/>
                <w:lang w:eastAsia="zh-CN"/>
              </w:rPr>
            </w:pPr>
            <w:r>
              <w:rPr>
                <w:rFonts w:ascii="汉仪中秀体简" w:eastAsia="汉仪中秀体简" w:hAnsi="汉仪中秀体简" w:cs="汉仪中秀体简" w:hint="eastAsia"/>
                <w:color w:val="000000"/>
                <w:kern w:val="0"/>
                <w:sz w:val="18"/>
                <w:szCs w:val="18"/>
                <w:lang w:val="en-US" w:eastAsia="zh-CN" w:bidi="ar"/>
              </w:rPr>
              <w:t>2：</w:t>
            </w:r>
            <w:r>
              <w:rPr>
                <w:rFonts w:ascii="汉仪中秀体简" w:eastAsia="汉仪中秀体简" w:hAnsi="汉仪中秀体简" w:cs="汉仪中秀体简" w:hint="eastAsia"/>
                <w:color w:val="000000"/>
                <w:kern w:val="0"/>
                <w:sz w:val="18"/>
                <w:szCs w:val="18"/>
                <w:lang w:eastAsia="zh-CN" w:bidi="ar"/>
              </w:rPr>
              <w:t>效益增长率</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lang w:eastAsia="zh-CN"/>
              </w:rPr>
              <w:t>≥</w:t>
            </w:r>
            <w:r>
              <w:rPr>
                <w:rFonts w:ascii="宋体" w:cs="宋体" w:hint="eastAsia"/>
                <w:sz w:val="18"/>
                <w:szCs w:val="18"/>
                <w:lang w:val="en-US" w:eastAsia="zh-CN"/>
              </w:rPr>
              <w:t>5%</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社会效益指标</w:t>
            </w:r>
          </w:p>
        </w:tc>
        <w:tc>
          <w:tcPr>
            <w:tcW w:w="2872" w:type="dxa"/>
            <w:noWrap w:val="0"/>
            <w:vAlign w:val="center"/>
          </w:tcPr>
          <w:p>
            <w:pPr>
              <w:spacing w:line="260" w:lineRule="exact"/>
              <w:jc w:val="left"/>
              <w:textAlignment w:val="center"/>
              <w:rPr>
                <w:rFonts w:ascii="宋体" w:eastAsia="宋体" w:cs="宋体" w:hint="eastAsia"/>
                <w:sz w:val="18"/>
                <w:szCs w:val="18"/>
                <w:lang w:eastAsia="zh-CN"/>
              </w:rPr>
            </w:pPr>
            <w:r>
              <w:rPr>
                <w:rFonts w:ascii="宋体" w:hAnsi="宋体" w:cs="宋体" w:hint="eastAsia"/>
                <w:color w:val="000000"/>
                <w:kern w:val="0"/>
                <w:sz w:val="18"/>
                <w:szCs w:val="18"/>
                <w:lang w:bidi="ar"/>
              </w:rPr>
              <w:t>指标1：</w:t>
            </w:r>
            <w:r>
              <w:rPr>
                <w:rFonts w:ascii="宋体" w:hAnsi="宋体" w:cs="宋体" w:hint="eastAsia"/>
                <w:color w:val="000000"/>
                <w:kern w:val="0"/>
                <w:sz w:val="18"/>
                <w:szCs w:val="18"/>
                <w:lang w:eastAsia="zh-CN" w:bidi="ar"/>
              </w:rPr>
              <w:t>对保障机构运转影响度</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lang w:eastAsia="zh-CN"/>
              </w:rPr>
              <w:t>≥</w:t>
            </w:r>
            <w:r>
              <w:rPr>
                <w:rFonts w:ascii="宋体" w:cs="宋体" w:hint="eastAsia"/>
                <w:sz w:val="18"/>
                <w:szCs w:val="18"/>
                <w:lang w:val="en-US" w:eastAsia="zh-CN"/>
              </w:rPr>
              <w:t>95%</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eastAsia="宋体" w:cs="宋体" w:hint="eastAsia"/>
                <w:sz w:val="18"/>
                <w:szCs w:val="18"/>
                <w:lang w:val="en-US" w:eastAsia="zh-CN"/>
              </w:rPr>
            </w:pPr>
            <w:r>
              <w:rPr>
                <w:rFonts w:ascii="宋体" w:cs="宋体" w:hint="eastAsia"/>
                <w:sz w:val="18"/>
                <w:szCs w:val="18"/>
                <w:lang w:val="en-US" w:eastAsia="zh-CN"/>
              </w:rPr>
              <w:t>2：带动就业增长</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lang w:eastAsia="zh-CN"/>
              </w:rPr>
              <w:t>≥</w:t>
            </w:r>
            <w:r>
              <w:rPr>
                <w:rFonts w:ascii="宋体" w:cs="宋体" w:hint="eastAsia"/>
                <w:sz w:val="18"/>
                <w:szCs w:val="18"/>
                <w:lang w:val="en-US" w:eastAsia="zh-CN"/>
              </w:rPr>
              <w:t>5人</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生态效益指标</w:t>
            </w:r>
          </w:p>
        </w:tc>
        <w:tc>
          <w:tcPr>
            <w:tcW w:w="2872" w:type="dxa"/>
            <w:noWrap w:val="0"/>
            <w:vAlign w:val="center"/>
          </w:tcPr>
          <w:p>
            <w:pPr>
              <w:spacing w:line="260" w:lineRule="exact"/>
              <w:jc w:val="left"/>
              <w:textAlignment w:val="center"/>
              <w:rPr>
                <w:rFonts w:ascii="宋体" w:eastAsia="宋体" w:cs="宋体" w:hint="eastAsia"/>
                <w:sz w:val="18"/>
                <w:szCs w:val="18"/>
                <w:lang w:eastAsia="zh-CN"/>
              </w:rPr>
            </w:pPr>
            <w:r>
              <w:rPr>
                <w:rFonts w:ascii="宋体" w:hAnsi="宋体" w:cs="宋体" w:hint="eastAsia"/>
                <w:color w:val="000000"/>
                <w:kern w:val="0"/>
                <w:sz w:val="18"/>
                <w:szCs w:val="18"/>
                <w:lang w:bidi="ar"/>
              </w:rPr>
              <w:t>指标1：</w:t>
            </w:r>
            <w:r>
              <w:rPr>
                <w:rFonts w:ascii="宋体" w:hAnsi="宋体" w:cs="宋体" w:hint="eastAsia"/>
                <w:color w:val="000000"/>
                <w:kern w:val="0"/>
                <w:sz w:val="18"/>
                <w:szCs w:val="18"/>
                <w:lang w:eastAsia="zh-CN" w:bidi="ar"/>
              </w:rPr>
              <w:t>环境质量优良率</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lang w:eastAsia="zh-CN"/>
              </w:rPr>
              <w:t>≥</w:t>
            </w:r>
            <w:r>
              <w:rPr>
                <w:rFonts w:ascii="宋体" w:cs="宋体" w:hint="eastAsia"/>
                <w:sz w:val="18"/>
                <w:szCs w:val="18"/>
                <w:lang w:val="en-US" w:eastAsia="zh-CN"/>
              </w:rPr>
              <w:t>95%</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汉仪中秀体简" w:eastAsia="汉仪中秀体简" w:hAnsi="汉仪中秀体简" w:cs="汉仪中秀体简" w:hint="eastAsia"/>
                <w:color w:val="000000"/>
                <w:kern w:val="0"/>
                <w:sz w:val="18"/>
                <w:szCs w:val="18"/>
                <w:lang w:val="en-US" w:eastAsia="zh-CN" w:bidi="ar"/>
              </w:rPr>
            </w:pPr>
            <w:r>
              <w:rPr>
                <w:rFonts w:ascii="汉仪中秀体简" w:eastAsia="汉仪中秀体简" w:hAnsi="汉仪中秀体简" w:cs="汉仪中秀体简" w:hint="eastAsia"/>
                <w:color w:val="000000"/>
                <w:kern w:val="0"/>
                <w:sz w:val="18"/>
                <w:szCs w:val="18"/>
                <w:lang w:val="en-US" w:eastAsia="zh-CN" w:bidi="ar"/>
              </w:rPr>
              <w:t>2：生态污染降低率</w:t>
            </w:r>
          </w:p>
        </w:tc>
        <w:tc>
          <w:tcPr>
            <w:tcW w:w="4228" w:type="dxa"/>
            <w:gridSpan w:val="2"/>
            <w:noWrap w:val="0"/>
            <w:vAlign w:val="center"/>
          </w:tcPr>
          <w:p>
            <w:pPr>
              <w:spacing w:line="260" w:lineRule="exact"/>
              <w:jc w:val="center"/>
              <w:textAlignment w:val="center"/>
              <w:rPr>
                <w:rFonts w:ascii="汉仪中秀体简" w:eastAsia="汉仪中秀体简" w:hAnsi="汉仪中秀体简" w:cs="汉仪中秀体简"/>
                <w:color w:val="000000"/>
                <w:kern w:val="0"/>
                <w:sz w:val="18"/>
                <w:szCs w:val="18"/>
                <w:lang w:bidi="ar"/>
              </w:rPr>
            </w:pPr>
            <w:r>
              <w:rPr>
                <w:rFonts w:ascii="宋体" w:cs="宋体" w:hint="eastAsia"/>
                <w:sz w:val="18"/>
                <w:szCs w:val="18"/>
                <w:lang w:eastAsia="zh-CN"/>
              </w:rPr>
              <w:t>≥</w:t>
            </w:r>
            <w:r>
              <w:rPr>
                <w:rFonts w:ascii="宋体" w:cs="宋体" w:hint="eastAsia"/>
                <w:sz w:val="18"/>
                <w:szCs w:val="18"/>
                <w:lang w:val="en-US" w:eastAsia="zh-CN"/>
              </w:rPr>
              <w:t>10%</w:t>
            </w:r>
          </w:p>
        </w:tc>
      </w:tr>
      <w:tr>
        <w:tblPrEx>
          <w:tblW w:w="0" w:type="auto"/>
          <w:tblInd w:w="0" w:type="dxa"/>
          <w:tblLayout w:type="fixed"/>
        </w:tblPrEx>
        <w:trPr>
          <w:trHeight w:val="420"/>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可持续影响指标</w:t>
            </w:r>
          </w:p>
        </w:tc>
        <w:tc>
          <w:tcPr>
            <w:tcW w:w="2872" w:type="dxa"/>
            <w:noWrap w:val="0"/>
            <w:vAlign w:val="center"/>
          </w:tcPr>
          <w:p>
            <w:pPr>
              <w:spacing w:line="260" w:lineRule="exact"/>
              <w:jc w:val="left"/>
              <w:textAlignment w:val="center"/>
              <w:rPr>
                <w:rFonts w:ascii="宋体" w:eastAsia="宋体" w:hAnsi="宋体" w:cs="宋体" w:hint="eastAsia"/>
                <w:sz w:val="18"/>
                <w:szCs w:val="18"/>
                <w:lang w:eastAsia="zh-CN"/>
              </w:rPr>
            </w:pPr>
            <w:r>
              <w:rPr>
                <w:rFonts w:ascii="宋体" w:hAnsi="宋体" w:cs="宋体" w:hint="eastAsia"/>
                <w:color w:val="000000"/>
                <w:kern w:val="0"/>
                <w:sz w:val="18"/>
                <w:szCs w:val="18"/>
                <w:lang w:bidi="ar"/>
              </w:rPr>
              <w:t>指标1：</w:t>
            </w:r>
            <w:r>
              <w:rPr>
                <w:rFonts w:ascii="宋体" w:hAnsi="宋体" w:cs="宋体" w:hint="eastAsia"/>
                <w:color w:val="000000"/>
                <w:kern w:val="0"/>
                <w:sz w:val="18"/>
                <w:szCs w:val="18"/>
                <w:lang w:eastAsia="zh-CN" w:bidi="ar"/>
              </w:rPr>
              <w:t>综合利用率</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lang w:eastAsia="zh-CN"/>
              </w:rPr>
              <w:t>≥</w:t>
            </w:r>
            <w:r>
              <w:rPr>
                <w:rFonts w:ascii="宋体" w:cs="宋体" w:hint="eastAsia"/>
                <w:sz w:val="18"/>
                <w:szCs w:val="18"/>
                <w:lang w:val="en-US" w:eastAsia="zh-CN"/>
              </w:rPr>
              <w:t>95%</w:t>
            </w:r>
          </w:p>
        </w:tc>
      </w:tr>
      <w:tr>
        <w:tblPrEx>
          <w:tblW w:w="0" w:type="auto"/>
          <w:tblInd w:w="0" w:type="dxa"/>
          <w:tblLayout w:type="fixed"/>
        </w:tblPrEx>
        <w:trPr>
          <w:trHeight w:val="444"/>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eastAsia="宋体" w:hAnsi="宋体" w:cs="宋体" w:hint="eastAsia"/>
                <w:color w:val="000000"/>
                <w:kern w:val="0"/>
                <w:sz w:val="18"/>
                <w:szCs w:val="18"/>
                <w:lang w:val="en-US" w:eastAsia="zh-CN" w:bidi="ar"/>
              </w:rPr>
            </w:pPr>
            <w:r>
              <w:rPr>
                <w:rFonts w:ascii="宋体" w:hAnsi="宋体" w:cs="宋体" w:hint="eastAsia"/>
                <w:color w:val="000000"/>
                <w:kern w:val="0"/>
                <w:sz w:val="18"/>
                <w:szCs w:val="18"/>
                <w:lang w:val="en-US" w:eastAsia="zh-CN" w:bidi="ar"/>
              </w:rPr>
              <w:t>2：综合评价等级达标率</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lang w:eastAsia="zh-CN"/>
              </w:rPr>
              <w:t>≥</w:t>
            </w:r>
            <w:r>
              <w:rPr>
                <w:rFonts w:ascii="宋体" w:cs="宋体" w:hint="eastAsia"/>
                <w:sz w:val="18"/>
                <w:szCs w:val="18"/>
                <w:lang w:val="en-US" w:eastAsia="zh-CN"/>
              </w:rPr>
              <w:t>95%</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rPr>
                <w:rFonts w:ascii="宋体" w:hAnsi="宋体" w:cs="宋体" w:hint="eastAsia"/>
                <w:sz w:val="18"/>
                <w:szCs w:val="18"/>
              </w:rPr>
            </w:pPr>
            <w:r>
              <w:rPr>
                <w:rFonts w:ascii="宋体" w:hAnsi="宋体" w:cs="宋体" w:hint="eastAsia"/>
                <w:color w:val="000000"/>
                <w:kern w:val="0"/>
                <w:sz w:val="18"/>
                <w:szCs w:val="18"/>
                <w:lang w:bidi="ar"/>
              </w:rPr>
              <w:t>…</w:t>
            </w: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2872" w:type="dxa"/>
            <w:noWrap w:val="0"/>
            <w:vAlign w:val="center"/>
          </w:tcPr>
          <w:p>
            <w:pPr>
              <w:spacing w:line="260" w:lineRule="exact"/>
              <w:jc w:val="left"/>
              <w:textAlignment w:val="center"/>
              <w:rPr>
                <w:rFonts w:ascii="宋体" w:eastAsia="宋体" w:hAnsi="宋体" w:cs="宋体" w:hint="eastAsia"/>
                <w:sz w:val="18"/>
                <w:szCs w:val="18"/>
                <w:lang w:eastAsia="zh-CN"/>
              </w:rPr>
            </w:pPr>
            <w:r>
              <w:rPr>
                <w:rFonts w:ascii="宋体" w:hAnsi="宋体" w:cs="宋体" w:hint="eastAsia"/>
                <w:color w:val="000000"/>
                <w:kern w:val="0"/>
                <w:sz w:val="18"/>
                <w:szCs w:val="18"/>
                <w:lang w:bidi="ar"/>
              </w:rPr>
              <w:t>指标1：</w:t>
            </w:r>
            <w:r>
              <w:rPr>
                <w:rFonts w:ascii="宋体" w:hAnsi="宋体" w:cs="宋体" w:hint="eastAsia"/>
                <w:color w:val="000000"/>
                <w:kern w:val="0"/>
                <w:sz w:val="18"/>
                <w:szCs w:val="18"/>
                <w:lang w:eastAsia="zh-CN" w:bidi="ar"/>
              </w:rPr>
              <w:t>群众满意度</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lang w:eastAsia="zh-CN"/>
              </w:rPr>
              <w:t>≥</w:t>
            </w:r>
            <w:r>
              <w:rPr>
                <w:rFonts w:ascii="宋体" w:cs="宋体" w:hint="eastAsia"/>
                <w:sz w:val="18"/>
                <w:szCs w:val="18"/>
                <w:lang w:val="en-US" w:eastAsia="zh-CN"/>
              </w:rPr>
              <w:t>95%</w:t>
            </w:r>
          </w:p>
        </w:tc>
      </w:tr>
      <w:tr>
        <w:tblPrEx>
          <w:tblW w:w="0" w:type="auto"/>
          <w:tblInd w:w="0" w:type="dxa"/>
          <w:tblLayout w:type="fixed"/>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hAnsi="宋体" w:cs="宋体" w:hint="eastAsia"/>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eastAsia="宋体" w:hAnsi="宋体" w:cs="宋体" w:hint="eastAsia"/>
                <w:sz w:val="18"/>
                <w:szCs w:val="18"/>
                <w:lang w:val="en-US" w:eastAsia="zh-CN"/>
              </w:rPr>
            </w:pPr>
            <w:r>
              <w:rPr>
                <w:rFonts w:ascii="宋体" w:hAnsi="宋体" w:cs="宋体" w:hint="eastAsia"/>
                <w:sz w:val="18"/>
                <w:szCs w:val="18"/>
                <w:lang w:val="en-US" w:eastAsia="zh-CN"/>
              </w:rPr>
              <w:t>2：社会公众满意度</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lang w:eastAsia="zh-CN"/>
              </w:rPr>
              <w:t>≥</w:t>
            </w:r>
            <w:r>
              <w:rPr>
                <w:rFonts w:ascii="宋体" w:cs="宋体" w:hint="eastAsia"/>
                <w:sz w:val="18"/>
                <w:szCs w:val="18"/>
                <w:lang w:val="en-US" w:eastAsia="zh-CN"/>
              </w:rPr>
              <w:t>95%</w:t>
            </w:r>
          </w:p>
        </w:tc>
      </w:tr>
    </w:tbl>
    <w:p>
      <w:pPr>
        <w:topLinePunct/>
        <w:adjustRightInd w:val="0"/>
        <w:snapToGrid w:val="0"/>
        <w:spacing w:line="560" w:lineRule="exact"/>
        <w:ind w:firstLine="640" w:firstLineChars="200"/>
        <w:rPr>
          <w:rFonts w:ascii="仿宋_GB2312" w:eastAsia="仿宋_GB2312" w:hAnsi="楷体" w:hint="eastAsia"/>
          <w:b/>
          <w:sz w:val="32"/>
          <w:szCs w:val="32"/>
        </w:rPr>
      </w:pPr>
      <w:r>
        <w:rPr>
          <w:rFonts w:ascii="仿宋_GB2312" w:eastAsia="仿宋_GB2312" w:hAnsi="TimesNewRoman" w:cs="TimesNewRoman" w:hint="eastAsia"/>
          <w:b/>
          <w:sz w:val="32"/>
          <w:szCs w:val="32"/>
        </w:rPr>
        <w:t>2.</w:t>
      </w:r>
      <w:r>
        <w:rPr>
          <w:rFonts w:ascii="仿宋_GB2312" w:eastAsia="仿宋_GB2312" w:hAnsi="楷体" w:hint="eastAsia"/>
          <w:b/>
          <w:sz w:val="32"/>
          <w:szCs w:val="32"/>
        </w:rPr>
        <w:t>“</w:t>
      </w:r>
      <w:r>
        <w:rPr>
          <w:rFonts w:ascii="仿宋_GB2312" w:eastAsia="仿宋_GB2312" w:hAnsi="楷体" w:hint="eastAsia"/>
          <w:b/>
          <w:sz w:val="32"/>
          <w:szCs w:val="32"/>
          <w:lang w:eastAsia="zh-CN"/>
        </w:rPr>
        <w:t>阿訇生活补助经费</w:t>
      </w:r>
      <w:r>
        <w:rPr>
          <w:rFonts w:ascii="仿宋_GB2312" w:eastAsia="仿宋_GB2312" w:hAnsi="楷体" w:hint="eastAsia"/>
          <w:b/>
          <w:sz w:val="32"/>
          <w:szCs w:val="32"/>
        </w:rPr>
        <w:t>”项目。</w:t>
      </w:r>
    </w:p>
    <w:p>
      <w:pPr>
        <w:adjustRightInd w:val="0"/>
        <w:snapToGrid w:val="0"/>
        <w:spacing w:line="600" w:lineRule="exact"/>
        <w:ind w:firstLine="640" w:firstLineChars="200"/>
        <w:rPr>
          <w:rFonts w:ascii="仿宋_GB2312" w:eastAsia="仿宋_GB2312" w:hAnsi="仿宋" w:hint="eastAsia"/>
          <w:sz w:val="32"/>
          <w:szCs w:val="32"/>
        </w:rPr>
      </w:pPr>
      <w:r>
        <w:rPr>
          <w:rFonts w:ascii="仿宋_GB2312" w:eastAsia="仿宋_GB2312" w:hAnsi="仿宋" w:hint="eastAsia"/>
          <w:sz w:val="32"/>
          <w:szCs w:val="32"/>
        </w:rPr>
        <w:t>（1）项目概述和内容。主要用于</w:t>
      </w:r>
      <w:r>
        <w:rPr>
          <w:rFonts w:ascii="仿宋_GB2312" w:eastAsia="仿宋_GB2312" w:hAnsi="仿宋" w:hint="eastAsia"/>
          <w:sz w:val="32"/>
          <w:szCs w:val="32"/>
          <w:lang w:eastAsia="zh-CN"/>
        </w:rPr>
        <w:t>本年度全县阿訇生活费补助，</w:t>
      </w:r>
      <w:r>
        <w:rPr>
          <w:rFonts w:ascii="仿宋_GB2312" w:eastAsia="仿宋_GB2312" w:hAnsi="楷体" w:hint="eastAsia"/>
          <w:sz w:val="32"/>
          <w:szCs w:val="32"/>
        </w:rPr>
        <w:t>经县财经领导小组研究决定：纳入县财政预算，全年</w:t>
      </w:r>
      <w:r>
        <w:rPr>
          <w:rFonts w:ascii="仿宋_GB2312" w:eastAsia="仿宋_GB2312" w:hAnsi="楷体" w:hint="eastAsia"/>
          <w:sz w:val="32"/>
          <w:szCs w:val="32"/>
          <w:lang w:val="en-US" w:eastAsia="zh-CN"/>
        </w:rPr>
        <w:t>25.2</w:t>
      </w:r>
      <w:r>
        <w:rPr>
          <w:rFonts w:ascii="仿宋_GB2312" w:eastAsia="仿宋_GB2312" w:hAnsi="楷体" w:hint="eastAsia"/>
          <w:sz w:val="32"/>
          <w:szCs w:val="32"/>
        </w:rPr>
        <w:t>万元。</w:t>
      </w:r>
    </w:p>
    <w:p>
      <w:pPr>
        <w:spacing w:line="600" w:lineRule="exact"/>
        <w:ind w:firstLine="586" w:firstLineChars="183"/>
        <w:rPr>
          <w:rFonts w:ascii="仿宋_GB2312" w:eastAsia="仿宋_GB2312" w:hAnsi="仿宋" w:hint="eastAsia"/>
          <w:sz w:val="32"/>
          <w:szCs w:val="32"/>
          <w:u w:val="single"/>
        </w:rPr>
      </w:pPr>
      <w:r>
        <w:rPr>
          <w:rFonts w:ascii="仿宋_GB2312" w:eastAsia="仿宋_GB2312" w:hAnsi="仿宋" w:hint="eastAsia"/>
          <w:sz w:val="32"/>
          <w:szCs w:val="32"/>
        </w:rPr>
        <w:t>（2）立项依据。</w:t>
      </w:r>
      <w:r>
        <w:rPr>
          <w:rFonts w:ascii="仿宋_GB2312" w:eastAsia="仿宋_GB2312" w:hAnsi="楷体" w:hint="eastAsia"/>
          <w:sz w:val="32"/>
          <w:szCs w:val="32"/>
        </w:rPr>
        <w:t>县财经领导小组研究决定：纳入县财政预算，全年</w:t>
      </w:r>
      <w:r>
        <w:rPr>
          <w:rFonts w:ascii="仿宋_GB2312" w:eastAsia="仿宋_GB2312" w:hAnsi="楷体" w:hint="eastAsia"/>
          <w:sz w:val="32"/>
          <w:szCs w:val="32"/>
          <w:lang w:val="en-US" w:eastAsia="zh-CN"/>
        </w:rPr>
        <w:t>25.2</w:t>
      </w:r>
      <w:r>
        <w:rPr>
          <w:rFonts w:ascii="仿宋_GB2312" w:eastAsia="仿宋_GB2312" w:hAnsi="楷体" w:hint="eastAsia"/>
          <w:sz w:val="32"/>
          <w:szCs w:val="32"/>
        </w:rPr>
        <w:t>万元。</w:t>
      </w:r>
    </w:p>
    <w:p>
      <w:pPr>
        <w:adjustRightInd w:val="0"/>
        <w:snapToGrid w:val="0"/>
        <w:spacing w:line="600" w:lineRule="exact"/>
        <w:ind w:firstLine="640" w:firstLineChars="200"/>
        <w:rPr>
          <w:rFonts w:ascii="仿宋_GB2312" w:eastAsia="仿宋_GB2312" w:hAnsi="仿宋" w:hint="default"/>
          <w:sz w:val="32"/>
          <w:szCs w:val="32"/>
          <w:lang w:val="en-US" w:eastAsia="zh-CN"/>
        </w:rPr>
      </w:pPr>
      <w:r>
        <w:rPr>
          <w:rFonts w:ascii="仿宋_GB2312" w:eastAsia="仿宋_GB2312" w:hAnsi="仿宋" w:hint="eastAsia"/>
          <w:sz w:val="32"/>
          <w:szCs w:val="32"/>
        </w:rPr>
        <w:t>（3）实施主体和起止时间。</w:t>
      </w:r>
      <w:r>
        <w:rPr>
          <w:rFonts w:ascii="仿宋_GB2312" w:eastAsia="仿宋_GB2312" w:hAnsi="仿宋" w:hint="eastAsia"/>
          <w:sz w:val="32"/>
          <w:szCs w:val="32"/>
          <w:lang w:val="en-US" w:eastAsia="zh-CN"/>
        </w:rPr>
        <w:t>2024年1月1日-2024年12月31日</w:t>
      </w:r>
    </w:p>
    <w:p>
      <w:pPr>
        <w:adjustRightInd w:val="0"/>
        <w:snapToGrid w:val="0"/>
        <w:spacing w:line="600" w:lineRule="exact"/>
        <w:ind w:firstLine="640" w:firstLineChars="200"/>
        <w:rPr>
          <w:rFonts w:ascii="仿宋_GB2312" w:eastAsia="仿宋_GB2312" w:hAnsi="仿宋" w:hint="eastAsia"/>
          <w:sz w:val="32"/>
          <w:szCs w:val="32"/>
        </w:rPr>
      </w:pPr>
      <w:r>
        <w:rPr>
          <w:rFonts w:ascii="仿宋_GB2312" w:eastAsia="仿宋_GB2312" w:hAnsi="仿宋" w:hint="eastAsia"/>
          <w:sz w:val="32"/>
          <w:szCs w:val="32"/>
        </w:rPr>
        <w:t>（4）年度预算安排。全年共需资金</w:t>
      </w:r>
      <w:r>
        <w:rPr>
          <w:rFonts w:ascii="仿宋_GB2312" w:eastAsia="仿宋_GB2312" w:hAnsi="仿宋" w:hint="eastAsia"/>
          <w:sz w:val="32"/>
          <w:szCs w:val="32"/>
          <w:lang w:val="en-US" w:eastAsia="zh-CN"/>
        </w:rPr>
        <w:t>25.2</w:t>
      </w:r>
      <w:r>
        <w:rPr>
          <w:rFonts w:ascii="仿宋_GB2312" w:eastAsia="仿宋_GB2312" w:hAnsi="仿宋" w:hint="eastAsia"/>
          <w:sz w:val="32"/>
          <w:szCs w:val="32"/>
        </w:rPr>
        <w:t>万元，纳入年初预算。</w:t>
      </w:r>
    </w:p>
    <w:p>
      <w:pPr>
        <w:adjustRightInd w:val="0"/>
        <w:snapToGrid w:val="0"/>
        <w:spacing w:line="600" w:lineRule="exact"/>
        <w:ind w:firstLine="800" w:firstLineChars="250"/>
        <w:rPr>
          <w:rFonts w:ascii="仿宋_GB2312" w:eastAsia="仿宋_GB2312" w:hAnsi="楷体" w:hint="eastAsia"/>
          <w:b/>
          <w:sz w:val="32"/>
          <w:szCs w:val="32"/>
        </w:rPr>
      </w:pPr>
      <w:r>
        <w:rPr>
          <w:rFonts w:ascii="仿宋_GB2312" w:eastAsia="仿宋_GB2312" w:hAnsi="TimesNewRoman" w:cs="TimesNewRoman" w:hint="eastAsia"/>
          <w:b/>
          <w:sz w:val="32"/>
          <w:szCs w:val="32"/>
          <w:lang w:val="en-US" w:eastAsia="zh-CN"/>
        </w:rPr>
        <w:t>3</w:t>
      </w:r>
      <w:r>
        <w:rPr>
          <w:rFonts w:ascii="仿宋_GB2312" w:eastAsia="仿宋_GB2312" w:hAnsi="TimesNewRoman" w:cs="TimesNewRoman" w:hint="eastAsia"/>
          <w:b/>
          <w:sz w:val="32"/>
          <w:szCs w:val="32"/>
        </w:rPr>
        <w:t>.</w:t>
      </w:r>
      <w:r>
        <w:rPr>
          <w:rFonts w:ascii="仿宋_GB2312" w:eastAsia="仿宋_GB2312" w:hAnsi="楷体" w:hint="eastAsia"/>
          <w:b/>
          <w:sz w:val="32"/>
          <w:szCs w:val="32"/>
        </w:rPr>
        <w:t>“</w:t>
      </w:r>
      <w:r>
        <w:rPr>
          <w:rFonts w:ascii="仿宋_GB2312" w:eastAsia="仿宋_GB2312" w:hAnsi="楷体" w:hint="eastAsia"/>
          <w:b/>
          <w:sz w:val="32"/>
          <w:szCs w:val="32"/>
          <w:lang w:eastAsia="zh-CN"/>
        </w:rPr>
        <w:t>民族宗教工作及团体工作经费</w:t>
      </w:r>
      <w:r>
        <w:rPr>
          <w:rFonts w:ascii="仿宋_GB2312" w:eastAsia="仿宋_GB2312" w:hAnsi="楷体" w:hint="eastAsia"/>
          <w:b/>
          <w:sz w:val="32"/>
          <w:szCs w:val="32"/>
        </w:rPr>
        <w:t>”项目。</w:t>
      </w:r>
    </w:p>
    <w:p>
      <w:pPr>
        <w:adjustRightInd w:val="0"/>
        <w:snapToGrid w:val="0"/>
        <w:spacing w:line="600" w:lineRule="exact"/>
        <w:ind w:firstLine="640" w:firstLineChars="200"/>
        <w:rPr>
          <w:rFonts w:ascii="仿宋_GB2312" w:eastAsia="仿宋_GB2312" w:hAnsi="仿宋" w:hint="eastAsia"/>
          <w:sz w:val="32"/>
          <w:szCs w:val="32"/>
        </w:rPr>
      </w:pPr>
      <w:r>
        <w:rPr>
          <w:rFonts w:ascii="仿宋_GB2312" w:eastAsia="仿宋_GB2312" w:hAnsi="仿宋" w:hint="eastAsia"/>
          <w:sz w:val="32"/>
          <w:szCs w:val="32"/>
        </w:rPr>
        <w:t>（1）项目概述和内容。主要用于</w:t>
      </w:r>
      <w:r>
        <w:rPr>
          <w:rFonts w:ascii="仿宋_GB2312" w:eastAsia="仿宋_GB2312" w:hAnsi="仿宋" w:hint="eastAsia"/>
          <w:sz w:val="32"/>
          <w:szCs w:val="32"/>
          <w:lang w:eastAsia="zh-CN"/>
        </w:rPr>
        <w:t>本年度民族宗教工作及我县四大教派工作经费，</w:t>
      </w:r>
      <w:r>
        <w:rPr>
          <w:rFonts w:ascii="仿宋_GB2312" w:eastAsia="仿宋_GB2312" w:hAnsi="楷体" w:hint="eastAsia"/>
          <w:sz w:val="32"/>
          <w:szCs w:val="32"/>
        </w:rPr>
        <w:t>经县财经领导小组研究决定：纳入县财政预算，全年</w:t>
      </w:r>
      <w:r>
        <w:rPr>
          <w:rFonts w:ascii="仿宋_GB2312" w:eastAsia="仿宋_GB2312" w:hAnsi="楷体" w:hint="eastAsia"/>
          <w:sz w:val="32"/>
          <w:szCs w:val="32"/>
          <w:lang w:val="en-US" w:eastAsia="zh-CN"/>
        </w:rPr>
        <w:t>25.6</w:t>
      </w:r>
      <w:r>
        <w:rPr>
          <w:rFonts w:ascii="仿宋_GB2312" w:eastAsia="仿宋_GB2312" w:hAnsi="楷体" w:hint="eastAsia"/>
          <w:sz w:val="32"/>
          <w:szCs w:val="32"/>
        </w:rPr>
        <w:t>万元。</w:t>
      </w:r>
    </w:p>
    <w:p>
      <w:pPr>
        <w:spacing w:line="600" w:lineRule="exact"/>
        <w:ind w:firstLine="586" w:firstLineChars="183"/>
        <w:rPr>
          <w:rFonts w:ascii="仿宋_GB2312" w:eastAsia="仿宋_GB2312" w:hAnsi="仿宋" w:hint="eastAsia"/>
          <w:sz w:val="32"/>
          <w:szCs w:val="32"/>
          <w:u w:val="single"/>
        </w:rPr>
      </w:pPr>
      <w:r>
        <w:rPr>
          <w:rFonts w:ascii="仿宋_GB2312" w:eastAsia="仿宋_GB2312" w:hAnsi="仿宋" w:hint="eastAsia"/>
          <w:sz w:val="32"/>
          <w:szCs w:val="32"/>
        </w:rPr>
        <w:t>（2）立项依据。</w:t>
      </w:r>
      <w:r>
        <w:rPr>
          <w:rFonts w:ascii="仿宋_GB2312" w:eastAsia="仿宋_GB2312" w:hAnsi="楷体" w:hint="eastAsia"/>
          <w:sz w:val="32"/>
          <w:szCs w:val="32"/>
        </w:rPr>
        <w:t>县财经领导小组研究决定：纳入县财政预算，全年</w:t>
      </w:r>
      <w:r>
        <w:rPr>
          <w:rFonts w:ascii="仿宋_GB2312" w:eastAsia="仿宋_GB2312" w:hAnsi="楷体" w:hint="eastAsia"/>
          <w:sz w:val="32"/>
          <w:szCs w:val="32"/>
          <w:lang w:val="en-US" w:eastAsia="zh-CN"/>
        </w:rPr>
        <w:t>25.6</w:t>
      </w:r>
      <w:r>
        <w:rPr>
          <w:rFonts w:ascii="仿宋_GB2312" w:eastAsia="仿宋_GB2312" w:hAnsi="楷体" w:hint="eastAsia"/>
          <w:sz w:val="32"/>
          <w:szCs w:val="32"/>
        </w:rPr>
        <w:t>万元。</w:t>
      </w:r>
    </w:p>
    <w:p>
      <w:pPr>
        <w:adjustRightInd w:val="0"/>
        <w:snapToGrid w:val="0"/>
        <w:spacing w:line="600" w:lineRule="exact"/>
        <w:ind w:firstLine="640" w:firstLineChars="200"/>
        <w:rPr>
          <w:rFonts w:ascii="仿宋_GB2312" w:eastAsia="仿宋_GB2312" w:hAnsi="仿宋" w:hint="default"/>
          <w:sz w:val="32"/>
          <w:szCs w:val="32"/>
          <w:lang w:val="en-US" w:eastAsia="zh-CN"/>
        </w:rPr>
      </w:pPr>
      <w:r>
        <w:rPr>
          <w:rFonts w:ascii="仿宋_GB2312" w:eastAsia="仿宋_GB2312" w:hAnsi="仿宋" w:hint="eastAsia"/>
          <w:sz w:val="32"/>
          <w:szCs w:val="32"/>
        </w:rPr>
        <w:t>（3）实施主体和起止时间。</w:t>
      </w:r>
      <w:r>
        <w:rPr>
          <w:rFonts w:ascii="仿宋_GB2312" w:eastAsia="仿宋_GB2312" w:hAnsi="仿宋" w:hint="eastAsia"/>
          <w:sz w:val="32"/>
          <w:szCs w:val="32"/>
          <w:lang w:val="en-US" w:eastAsia="zh-CN"/>
        </w:rPr>
        <w:t>2024年1月1日-2024年12月31日</w:t>
      </w:r>
    </w:p>
    <w:p>
      <w:pPr>
        <w:adjustRightInd w:val="0"/>
        <w:snapToGrid w:val="0"/>
        <w:spacing w:line="600" w:lineRule="exact"/>
        <w:ind w:firstLine="640" w:firstLineChars="200"/>
        <w:rPr>
          <w:rFonts w:ascii="仿宋_GB2312" w:eastAsia="仿宋_GB2312" w:hAnsi="仿宋" w:hint="eastAsia"/>
          <w:sz w:val="32"/>
          <w:szCs w:val="32"/>
        </w:rPr>
      </w:pPr>
      <w:r>
        <w:rPr>
          <w:rFonts w:ascii="仿宋_GB2312" w:eastAsia="仿宋_GB2312" w:hAnsi="仿宋" w:hint="eastAsia"/>
          <w:sz w:val="32"/>
          <w:szCs w:val="32"/>
        </w:rPr>
        <w:t>（4）年度预算安排。全年共需资金</w:t>
      </w:r>
      <w:r>
        <w:rPr>
          <w:rFonts w:ascii="仿宋_GB2312" w:eastAsia="仿宋_GB2312" w:hAnsi="仿宋" w:hint="eastAsia"/>
          <w:sz w:val="32"/>
          <w:szCs w:val="32"/>
          <w:lang w:val="en-US" w:eastAsia="zh-CN"/>
        </w:rPr>
        <w:t>25.6</w:t>
      </w:r>
      <w:r>
        <w:rPr>
          <w:rFonts w:ascii="仿宋_GB2312" w:eastAsia="仿宋_GB2312" w:hAnsi="仿宋" w:hint="eastAsia"/>
          <w:sz w:val="32"/>
          <w:szCs w:val="32"/>
        </w:rPr>
        <w:t>万元，纳入年初预算。</w:t>
      </w:r>
    </w:p>
    <w:p>
      <w:pPr>
        <w:adjustRightInd w:val="0"/>
        <w:snapToGrid w:val="0"/>
        <w:spacing w:line="600" w:lineRule="exact"/>
        <w:ind w:firstLine="800" w:firstLineChars="250"/>
        <w:rPr>
          <w:rFonts w:ascii="仿宋_GB2312" w:eastAsia="仿宋_GB2312" w:hAnsi="楷体" w:hint="eastAsia"/>
          <w:b/>
          <w:sz w:val="32"/>
          <w:szCs w:val="32"/>
        </w:rPr>
      </w:pPr>
      <w:r>
        <w:rPr>
          <w:rFonts w:ascii="仿宋_GB2312" w:eastAsia="仿宋_GB2312" w:hAnsi="楷体" w:hint="eastAsia"/>
          <w:b/>
          <w:sz w:val="32"/>
          <w:szCs w:val="32"/>
          <w:lang w:val="en-US" w:eastAsia="zh-CN"/>
        </w:rPr>
        <w:t>4</w:t>
      </w:r>
      <w:r>
        <w:rPr>
          <w:rFonts w:ascii="仿宋_GB2312" w:eastAsia="仿宋_GB2312" w:hAnsi="楷体" w:hint="eastAsia"/>
          <w:b/>
          <w:sz w:val="32"/>
          <w:szCs w:val="32"/>
        </w:rPr>
        <w:t>.“</w:t>
      </w:r>
      <w:r>
        <w:rPr>
          <w:rFonts w:ascii="仿宋_GB2312" w:eastAsia="仿宋_GB2312" w:hAnsi="楷体" w:hint="eastAsia"/>
          <w:b/>
          <w:sz w:val="32"/>
          <w:szCs w:val="32"/>
          <w:lang w:eastAsia="zh-CN"/>
        </w:rPr>
        <w:t>统战工作专项经费</w:t>
      </w:r>
      <w:r>
        <w:rPr>
          <w:rFonts w:ascii="仿宋_GB2312" w:eastAsia="仿宋_GB2312" w:hAnsi="楷体" w:hint="eastAsia"/>
          <w:b/>
          <w:sz w:val="32"/>
          <w:szCs w:val="32"/>
        </w:rPr>
        <w:t>”项目。</w:t>
      </w:r>
    </w:p>
    <w:p>
      <w:pPr>
        <w:adjustRightInd w:val="0"/>
        <w:snapToGrid w:val="0"/>
        <w:spacing w:line="600" w:lineRule="exact"/>
        <w:ind w:firstLine="640" w:firstLineChars="200"/>
        <w:rPr>
          <w:rFonts w:ascii="仿宋_GB2312" w:eastAsia="仿宋_GB2312" w:hAnsi="楷体"/>
          <w:sz w:val="32"/>
          <w:szCs w:val="32"/>
        </w:rPr>
      </w:pPr>
      <w:r>
        <w:rPr>
          <w:rFonts w:ascii="仿宋_GB2312" w:eastAsia="仿宋_GB2312" w:hAnsi="楷体" w:hint="eastAsia"/>
          <w:sz w:val="32"/>
          <w:szCs w:val="32"/>
        </w:rPr>
        <w:t>（1）项目概述。</w:t>
      </w:r>
      <w:r>
        <w:rPr>
          <w:rFonts w:ascii="仿宋_GB2312" w:eastAsia="仿宋_GB2312" w:hAnsi="仿宋" w:hint="eastAsia"/>
          <w:sz w:val="32"/>
          <w:szCs w:val="32"/>
        </w:rPr>
        <w:t>主要用于</w:t>
      </w:r>
      <w:r>
        <w:rPr>
          <w:rFonts w:ascii="仿宋" w:eastAsia="仿宋" w:hAnsi="仿宋" w:hint="eastAsia"/>
          <w:sz w:val="32"/>
          <w:szCs w:val="32"/>
        </w:rPr>
        <w:t>保</w:t>
      </w:r>
      <w:r>
        <w:rPr>
          <w:rFonts w:ascii="仿宋_GB2312" w:eastAsia="仿宋_GB2312" w:hAnsi="仿宋" w:hint="eastAsia"/>
          <w:sz w:val="32"/>
          <w:szCs w:val="32"/>
        </w:rPr>
        <w:t>障机构日常运转、完成日常工作任务</w:t>
      </w:r>
      <w:r>
        <w:rPr>
          <w:rFonts w:ascii="仿宋_GB2312" w:eastAsia="仿宋_GB2312" w:hAnsi="仿宋" w:hint="eastAsia"/>
          <w:sz w:val="32"/>
          <w:szCs w:val="32"/>
          <w:lang w:eastAsia="zh-CN"/>
        </w:rPr>
        <w:t>包括：</w:t>
      </w:r>
      <w:r>
        <w:rPr>
          <w:rFonts w:ascii="仿宋_GB2312" w:eastAsia="仿宋_GB2312" w:hAnsi="楷体" w:hint="eastAsia"/>
          <w:sz w:val="32"/>
          <w:szCs w:val="32"/>
        </w:rPr>
        <w:t>政策调研工作、效能管理工作、目标管理工作等均属于</w:t>
      </w:r>
      <w:r>
        <w:rPr>
          <w:rFonts w:ascii="仿宋_GB2312" w:eastAsia="仿宋_GB2312" w:hAnsi="楷体" w:hint="eastAsia"/>
          <w:sz w:val="32"/>
          <w:szCs w:val="32"/>
          <w:lang w:eastAsia="zh-CN"/>
        </w:rPr>
        <w:t>统战部</w:t>
      </w:r>
      <w:r>
        <w:rPr>
          <w:rFonts w:ascii="仿宋_GB2312" w:eastAsia="仿宋_GB2312" w:hAnsi="楷体" w:hint="eastAsia"/>
          <w:sz w:val="32"/>
          <w:szCs w:val="32"/>
        </w:rPr>
        <w:t>全面工作，工作量大、任务重，需要资金、人力支持，经县财经领导小组研究决定：纳入县财政预算，全年</w:t>
      </w:r>
      <w:r>
        <w:rPr>
          <w:rFonts w:ascii="仿宋_GB2312" w:eastAsia="仿宋_GB2312" w:hAnsi="楷体" w:hint="eastAsia"/>
          <w:sz w:val="32"/>
          <w:szCs w:val="32"/>
          <w:lang w:val="en-US" w:eastAsia="zh-CN"/>
        </w:rPr>
        <w:t>20</w:t>
      </w:r>
      <w:r>
        <w:rPr>
          <w:rFonts w:ascii="仿宋_GB2312" w:eastAsia="仿宋_GB2312" w:hAnsi="楷体" w:hint="eastAsia"/>
          <w:sz w:val="32"/>
          <w:szCs w:val="32"/>
        </w:rPr>
        <w:t>万元。</w:t>
      </w:r>
    </w:p>
    <w:p>
      <w:pPr>
        <w:spacing w:line="600" w:lineRule="exact"/>
        <w:ind w:firstLine="586" w:firstLineChars="183"/>
        <w:rPr>
          <w:rFonts w:ascii="仿宋_GB2312" w:eastAsia="仿宋_GB2312" w:hAnsi="楷体"/>
          <w:sz w:val="32"/>
          <w:szCs w:val="32"/>
        </w:rPr>
      </w:pPr>
      <w:r>
        <w:rPr>
          <w:rFonts w:ascii="仿宋_GB2312" w:eastAsia="仿宋_GB2312" w:hAnsi="楷体" w:hint="eastAsia"/>
          <w:sz w:val="32"/>
          <w:szCs w:val="32"/>
        </w:rPr>
        <w:t>（2）立项依据。县财经领导小组研究决定：纳入县财政预算，全年</w:t>
      </w:r>
      <w:r>
        <w:rPr>
          <w:rFonts w:ascii="仿宋_GB2312" w:eastAsia="仿宋_GB2312" w:hAnsi="楷体" w:hint="eastAsia"/>
          <w:sz w:val="32"/>
          <w:szCs w:val="32"/>
          <w:lang w:val="en-US" w:eastAsia="zh-CN"/>
        </w:rPr>
        <w:t>20</w:t>
      </w:r>
      <w:r>
        <w:rPr>
          <w:rFonts w:ascii="仿宋_GB2312" w:eastAsia="仿宋_GB2312" w:hAnsi="楷体" w:hint="eastAsia"/>
          <w:sz w:val="32"/>
          <w:szCs w:val="32"/>
        </w:rPr>
        <w:t>万元。</w:t>
      </w:r>
    </w:p>
    <w:p>
      <w:pPr>
        <w:spacing w:line="600" w:lineRule="exact"/>
        <w:ind w:firstLine="586" w:firstLineChars="183"/>
        <w:rPr>
          <w:rFonts w:ascii="仿宋_GB2312" w:eastAsia="仿宋_GB2312" w:hAnsi="仿宋"/>
          <w:sz w:val="32"/>
          <w:szCs w:val="32"/>
        </w:rPr>
      </w:pPr>
      <w:r>
        <w:rPr>
          <w:rFonts w:ascii="仿宋_GB2312" w:eastAsia="仿宋_GB2312" w:hAnsi="楷体" w:hint="eastAsia"/>
          <w:sz w:val="32"/>
          <w:szCs w:val="32"/>
        </w:rPr>
        <w:t>（3）实施主体</w:t>
      </w:r>
      <w:r>
        <w:rPr>
          <w:rFonts w:ascii="仿宋_GB2312" w:eastAsia="仿宋_GB2312" w:hAnsi="楷体" w:hint="eastAsia"/>
          <w:sz w:val="32"/>
          <w:szCs w:val="32"/>
          <w:lang w:eastAsia="zh-CN"/>
        </w:rPr>
        <w:t>和</w:t>
      </w:r>
      <w:r>
        <w:rPr>
          <w:rFonts w:ascii="仿宋_GB2312" w:eastAsia="仿宋_GB2312" w:hAnsi="楷体" w:hint="eastAsia"/>
          <w:sz w:val="32"/>
          <w:szCs w:val="32"/>
        </w:rPr>
        <w:t>起止时间。</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年1月1日-202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年12月31日</w:t>
      </w:r>
    </w:p>
    <w:p>
      <w:pPr>
        <w:spacing w:line="600" w:lineRule="exact"/>
        <w:ind w:firstLine="642"/>
        <w:rPr>
          <w:rFonts w:ascii="仿宋_GB2312" w:eastAsia="仿宋_GB2312" w:hAnsi="仿宋" w:hint="eastAsia"/>
          <w:sz w:val="32"/>
          <w:szCs w:val="32"/>
        </w:rPr>
      </w:pPr>
      <w:r>
        <w:rPr>
          <w:rFonts w:ascii="仿宋_GB2312" w:eastAsia="仿宋_GB2312" w:hAnsi="楷体" w:hint="eastAsia"/>
          <w:sz w:val="32"/>
          <w:szCs w:val="32"/>
          <w:lang w:eastAsia="zh-CN"/>
        </w:rPr>
        <w:t>（</w:t>
      </w:r>
      <w:r>
        <w:rPr>
          <w:rFonts w:ascii="仿宋_GB2312" w:eastAsia="仿宋_GB2312" w:hAnsi="楷体" w:hint="eastAsia"/>
          <w:sz w:val="32"/>
          <w:szCs w:val="32"/>
          <w:lang w:val="en-US" w:eastAsia="zh-CN"/>
        </w:rPr>
        <w:t>4</w:t>
      </w:r>
      <w:r>
        <w:rPr>
          <w:rFonts w:ascii="仿宋_GB2312" w:eastAsia="仿宋_GB2312" w:hAnsi="楷体" w:hint="eastAsia"/>
          <w:sz w:val="32"/>
          <w:szCs w:val="32"/>
          <w:lang w:eastAsia="zh-CN"/>
        </w:rPr>
        <w:t>）</w:t>
      </w:r>
      <w:r>
        <w:rPr>
          <w:rFonts w:ascii="仿宋_GB2312" w:eastAsia="仿宋_GB2312" w:hAnsi="楷体" w:hint="eastAsia"/>
          <w:sz w:val="32"/>
          <w:szCs w:val="32"/>
        </w:rPr>
        <w:t>年度预算安排。</w:t>
      </w:r>
      <w:r>
        <w:rPr>
          <w:rFonts w:ascii="仿宋_GB2312" w:eastAsia="仿宋_GB2312" w:hAnsi="仿宋" w:hint="eastAsia"/>
          <w:sz w:val="32"/>
          <w:szCs w:val="32"/>
        </w:rPr>
        <w:t>全年共需资金</w:t>
      </w:r>
      <w:r>
        <w:rPr>
          <w:rFonts w:ascii="仿宋_GB2312" w:eastAsia="仿宋_GB2312" w:hAnsi="仿宋" w:hint="eastAsia"/>
          <w:sz w:val="32"/>
          <w:szCs w:val="32"/>
          <w:lang w:val="en-US" w:eastAsia="zh-CN"/>
        </w:rPr>
        <w:t>20</w:t>
      </w:r>
      <w:r>
        <w:rPr>
          <w:rFonts w:ascii="仿宋_GB2312" w:eastAsia="仿宋_GB2312" w:hAnsi="仿宋" w:hint="eastAsia"/>
          <w:sz w:val="32"/>
          <w:szCs w:val="32"/>
        </w:rPr>
        <w:t>万元，纳入年初预算。</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楷体" w:hint="eastAsia"/>
          <w:sz w:val="32"/>
          <w:szCs w:val="32"/>
        </w:rPr>
        <w:t>【部门（单位）预算重点项目（预算金额在50万元以上的项目）必须公开项目情况和绩效目标表。没有预算金额在50万元以上项目的部门（单位），自行选择1-2个项目公开项目情况及绩效目标表。对不涉及绩效目标公开的部门（单位），本项内容不予说明。“十二、其他重要事项情况说明”第一项公开内容递延为“（一）机关运行经费”，其他公开内容序号依次调整</w:t>
      </w:r>
      <w:r>
        <w:rPr>
          <w:rFonts w:ascii="仿宋_GB2312" w:eastAsia="仿宋_GB2312" w:hAnsi="黑体" w:hint="eastAsia"/>
          <w:sz w:val="32"/>
          <w:szCs w:val="32"/>
        </w:rPr>
        <w:t>】</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（二）机关运行经费。</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统战部</w:t>
      </w:r>
      <w:r>
        <w:rPr>
          <w:rFonts w:ascii="仿宋_GB2312" w:eastAsia="仿宋_GB2312" w:hAnsi="TimesNewRoman" w:cs="TimesNewRoman" w:hint="eastAsia"/>
          <w:sz w:val="32"/>
          <w:szCs w:val="32"/>
        </w:rPr>
        <w:t>2024年机关运行经费财政拨款预算</w:t>
      </w:r>
      <w:r>
        <w:rPr>
          <w:rFonts w:ascii="仿宋_GB2312" w:eastAsia="仿宋_GB2312" w:hAnsi="TimesNewRoman" w:cs="TimesNewRoman" w:hint="eastAsia"/>
          <w:sz w:val="32"/>
          <w:szCs w:val="32"/>
          <w:lang w:val="en-US" w:eastAsia="zh-CN"/>
        </w:rPr>
        <w:t>203.04</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10.35</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%，增长主要原因是</w:t>
      </w:r>
      <w:r>
        <w:rPr>
          <w:rFonts w:ascii="仿宋_GB2312" w:eastAsia="仿宋_GB2312" w:hAnsi="TimesNewRoman" w:cs="TimesNewRoman" w:hint="eastAsia"/>
          <w:sz w:val="32"/>
          <w:szCs w:val="32"/>
          <w:lang w:eastAsia="zh-CN"/>
        </w:rPr>
        <w:t>公用经费和项目支出增加</w:t>
      </w:r>
      <w:r>
        <w:rPr>
          <w:rFonts w:ascii="仿宋_GB2312" w:eastAsia="仿宋_GB2312" w:hAnsi="TimesNewRoman" w:cs="TimesNewRoman" w:hint="eastAsia"/>
          <w:sz w:val="32"/>
          <w:szCs w:val="32"/>
        </w:rPr>
        <w:t>。</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（三）政府采购情况。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统战部</w:t>
      </w:r>
      <w:r>
        <w:rPr>
          <w:rFonts w:ascii="仿宋_GB2312" w:eastAsia="仿宋_GB2312" w:hAnsi="TimesNewRoman" w:cs="TimesNewRoman" w:hint="eastAsia"/>
          <w:sz w:val="32"/>
          <w:szCs w:val="32"/>
        </w:rPr>
        <w:t>2024年</w:t>
      </w:r>
      <w:r>
        <w:rPr>
          <w:rFonts w:ascii="仿宋_GB2312" w:eastAsia="仿宋_GB2312" w:hAnsi="TimesNewRoman" w:cs="TimesNewRoman" w:hint="eastAsia"/>
          <w:sz w:val="32"/>
          <w:szCs w:val="32"/>
          <w:lang w:eastAsia="zh-CN"/>
        </w:rPr>
        <w:t>没有</w:t>
      </w:r>
      <w:r>
        <w:rPr>
          <w:rFonts w:ascii="仿宋_GB2312" w:eastAsia="仿宋_GB2312" w:hAnsi="TimesNewRoman" w:cs="TimesNewRoman" w:hint="eastAsia"/>
          <w:sz w:val="32"/>
          <w:szCs w:val="32"/>
        </w:rPr>
        <w:t>政府采购预算。</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（四）国有资产占有使用情况。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截至2023年12月31日，</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统战部</w:t>
      </w:r>
      <w:r>
        <w:rPr>
          <w:rFonts w:ascii="仿宋_GB2312" w:eastAsia="仿宋_GB2312" w:hAnsi="TimesNewRoman" w:cs="TimesNewRoman" w:hint="eastAsia"/>
          <w:sz w:val="32"/>
          <w:szCs w:val="32"/>
        </w:rPr>
        <w:t>共有车辆</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辆，其中：副处（县）级及以上领导用车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辆、主要领导干部用车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辆、机要通信用车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辆、应急保障用车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辆、执法执勤用车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辆、特种专业技术用车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辆、离退休干部用车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辆、其他用车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辆（只列报车辆不为0的车型）。单价50万元以上的通用设备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台（套），单价100万元以上的专用设备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2024年部门</w:t>
      </w:r>
      <w:r>
        <w:rPr>
          <w:rFonts w:ascii="仿宋_GB2312" w:eastAsia="仿宋_GB2312" w:hAnsi="TimesNewRoman" w:cs="TimesNewRoman" w:hint="eastAsia"/>
          <w:sz w:val="32"/>
          <w:szCs w:val="32"/>
          <w:u w:val="single"/>
        </w:rPr>
        <w:t>（单位）</w:t>
      </w:r>
      <w:r>
        <w:rPr>
          <w:rFonts w:ascii="仿宋_GB2312" w:eastAsia="仿宋_GB2312" w:hAnsi="TimesNewRoman" w:cs="TimesNewRoman" w:hint="eastAsia"/>
          <w:sz w:val="32"/>
          <w:szCs w:val="32"/>
        </w:rPr>
        <w:t>预算安排购置公务用车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辆，其中：副处（县）级及以上领导用车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辆、主要领导干部用车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辆、机要通信用车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辆、应急保障用车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辆、执法执勤用车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辆、特种专业技术用车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辆、离退休干部用车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辆、其他用车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辆（只列报车辆不为0的车型）；安排购置单价50万元以上的通用设备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rPr>
        <w:t>购置费0万元；安排购置单价100万元以上专用设备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rPr>
        <w:t>购置费0万元。</w:t>
      </w:r>
    </w:p>
    <w:p>
      <w:pPr>
        <w:topLinePunct/>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【对未安排公务用车、通用设备、专用设备购置预算的部门</w:t>
      </w:r>
      <w:r>
        <w:rPr>
          <w:rFonts w:ascii="仿宋_GB2312" w:eastAsia="仿宋_GB2312" w:hAnsi="TimesNewRoman" w:cs="TimesNewRoman" w:hint="eastAsia"/>
          <w:sz w:val="32"/>
          <w:szCs w:val="32"/>
          <w:u w:val="single"/>
        </w:rPr>
        <w:t>（单位）</w:t>
      </w:r>
      <w:r>
        <w:rPr>
          <w:rFonts w:ascii="仿宋_GB2312" w:eastAsia="仿宋_GB2312" w:hAnsi="TimesNewRoman" w:cs="TimesNewRoman" w:hint="eastAsia"/>
          <w:sz w:val="32"/>
          <w:szCs w:val="32"/>
        </w:rPr>
        <w:t>，也需要说明公务用车、通用设备、专用设备辆数、台（套）数以及购置费情况，分别填列公务用车、通用设备、专用设备0辆、0台（套）、购置费0万元】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（五）绩效目标设置情况。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统战部</w:t>
      </w:r>
      <w:r>
        <w:rPr>
          <w:rFonts w:ascii="仿宋_GB2312" w:eastAsia="仿宋_GB2312" w:hAnsi="TimesNewRoman" w:cs="TimesNewRoman" w:hint="eastAsia"/>
          <w:kern w:val="0"/>
          <w:sz w:val="32"/>
          <w:szCs w:val="32"/>
          <w:lang w:val="en-US" w:eastAsia="zh-CN"/>
        </w:rPr>
        <w:t>4</w:t>
      </w:r>
      <w:r>
        <w:rPr>
          <w:rFonts w:ascii="仿宋_GB2312" w:eastAsia="仿宋_GB2312" w:hAnsi="TimesNewRoman" w:cs="TimesNewRoman" w:hint="eastAsia"/>
          <w:sz w:val="32"/>
          <w:szCs w:val="32"/>
        </w:rPr>
        <w:t>个项目实行了绩效目标管理，涉及一般公共预算当年财政拨款</w:t>
      </w:r>
      <w:r>
        <w:rPr>
          <w:rFonts w:ascii="仿宋_GB2312" w:eastAsia="仿宋_GB2312" w:hAnsi="TimesNewRoman" w:cs="TimesNewRoman" w:hint="eastAsia"/>
          <w:sz w:val="32"/>
          <w:szCs w:val="32"/>
          <w:lang w:val="en-US" w:eastAsia="zh-CN"/>
        </w:rPr>
        <w:t>70.8</w:t>
      </w:r>
      <w:r>
        <w:rPr>
          <w:rFonts w:ascii="仿宋_GB2312" w:eastAsia="仿宋_GB2312" w:hAnsi="TimesNewRoman" w:cs="TimesNewRoman" w:hint="eastAsia"/>
          <w:sz w:val="32"/>
          <w:szCs w:val="32"/>
        </w:rPr>
        <w:t>万元。</w:t>
      </w:r>
    </w:p>
    <w:p>
      <w:pPr>
        <w:topLinePunct/>
        <w:adjustRightInd w:val="0"/>
        <w:snapToGrid w:val="0"/>
        <w:spacing w:line="560" w:lineRule="exact"/>
        <w:rPr>
          <w:rFonts w:ascii="TimesNewRoman" w:eastAsia="黑体" w:hAnsi="TimesNewRoman" w:cs="TimesNewRoman"/>
          <w:sz w:val="36"/>
          <w:szCs w:val="36"/>
        </w:rPr>
      </w:pPr>
    </w:p>
    <w:p>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 名词解释</w:t>
      </w:r>
    </w:p>
    <w:p>
      <w:pPr>
        <w:topLinePunct/>
        <w:adjustRightInd w:val="0"/>
        <w:snapToGrid w:val="0"/>
        <w:spacing w:line="560" w:lineRule="exact"/>
        <w:rPr>
          <w:rFonts w:ascii="TimesNewRoman" w:eastAsia="黑体" w:hAnsi="TimesNewRoman" w:cs="TimesNewRoman"/>
          <w:szCs w:val="32"/>
        </w:rPr>
      </w:pPr>
    </w:p>
    <w:p>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指部门或单位从同级财政部门取得的财政预算资金。</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r>
        <w:rPr>
          <w:rFonts w:ascii="TimesNewRoman" w:eastAsia="楷体_GB2312" w:hAnsi="TimesNewRoman" w:cs="TimesNewRoman"/>
          <w:sz w:val="32"/>
          <w:szCs w:val="32"/>
        </w:rPr>
        <w:t>根据部门预算实际对重要的支出功能科目进行解释</w:t>
      </w:r>
      <w:r>
        <w:rPr>
          <w:rFonts w:ascii="TimesNewRoman" w:eastAsia="仿宋_GB2312" w:hAnsi="TimesNewRoman" w:cs="TimesNewRoman"/>
          <w:sz w:val="32"/>
          <w:szCs w:val="32"/>
        </w:rPr>
        <w:t>）</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十二、</w:t>
      </w:r>
      <w:r>
        <w:rPr>
          <w:rFonts w:ascii="TimesNewRoman" w:eastAsia="仿宋_GB2312" w:hAnsi="TimesNewRoman" w:cs="TimesNewRoman"/>
          <w:sz w:val="32"/>
          <w:szCs w:val="32"/>
        </w:rPr>
        <w:t>……。</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TimesNewRoman" w:eastAsia="仿宋_GB2312" w:hAnsi="TimesNewRoman" w:cs="TimesNewRoman"/>
          <w:sz w:val="32"/>
          <w:szCs w:val="32"/>
        </w:rPr>
        <w:t>……</w:t>
      </w:r>
    </w:p>
    <w:p>
      <w:pPr>
        <w:pStyle w:val="NormalWeb"/>
        <w:topLinePunct/>
        <w:spacing w:beforeAutospacing="0" w:afterAutospacing="0" w:line="560" w:lineRule="exact"/>
        <w:ind w:firstLine="480" w:firstLineChars="150"/>
        <w:jc w:val="both"/>
        <w:rPr>
          <w:rFonts w:ascii="TimesNewRoman" w:eastAsia="楷体_GB2312" w:hAnsi="TimesNewRoman" w:cs="TimesNewRoman"/>
          <w:sz w:val="32"/>
          <w:szCs w:val="32"/>
        </w:rPr>
        <w:sectPr>
          <w:pgSz w:w="11907" w:h="16840"/>
          <w:pgMar w:top="2098" w:right="1474" w:bottom="1985" w:left="1588" w:header="851" w:footer="1021" w:gutter="0"/>
          <w:cols w:num="1" w:space="425"/>
          <w:docGrid w:type="lines" w:linePitch="312" w:charSpace="0"/>
        </w:sectPr>
      </w:pPr>
      <w:r>
        <w:rPr>
          <w:rFonts w:ascii="TimesNewRoman" w:eastAsia="楷体_GB2312" w:hAnsi="TimesNewRoman" w:cs="TimesNewRoman"/>
          <w:sz w:val="32"/>
          <w:szCs w:val="32"/>
        </w:rPr>
        <w:t>（各部门、单位均应公开名词解释，并可根据实际情况增减）</w:t>
      </w:r>
    </w:p>
    <w:p>
      <w:pPr>
        <w:pStyle w:val="NormalWeb"/>
        <w:topLinePunct/>
        <w:spacing w:beforeAutospacing="0" w:afterAutospacing="0" w:line="560" w:lineRule="exact"/>
        <w:ind w:firstLine="480" w:firstLineChars="150"/>
        <w:jc w:val="both"/>
        <w:rPr>
          <w:rStyle w:val="Strong"/>
          <w:rFonts w:ascii="TimesNewRoman" w:eastAsia="楷体_GB2312" w:hAnsi="TimesNewRoman" w:cs="TimesNewRoman"/>
          <w:b w:val="0"/>
          <w:sz w:val="32"/>
          <w:szCs w:val="32"/>
        </w:rPr>
      </w:pPr>
    </w:p>
    <w:p/>
    <w:sectPr>
      <w:footerReference w:type="default" r:id="rId6"/>
      <w:type w:val="oddPage"/>
      <w:pgSz w:w="11907" w:h="16840"/>
      <w:pgMar w:top="2098" w:right="1474" w:bottom="1985" w:left="1588" w:header="851" w:footer="1021"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NewRoman">
    <w:altName w:val="Simplified Arabic"/>
    <w:panose1 w:val="02020603050405020304"/>
    <w:charset w:val="00"/>
    <w:family w:val="auto"/>
    <w:pitch w:val="default"/>
    <w:sig w:usb0="00000000" w:usb1="00000000" w:usb2="00000029" w:usb3="00000000" w:csb0="600001FF" w:csb1="FFFF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汉仪中秀体简">
    <w:altName w:val="微软雅黑"/>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Simplified Arabic">
    <w:panose1 w:val="02020603050405020304"/>
    <w:charset w:val="00"/>
    <w:family w:val="auto"/>
    <w:pitch w:val="default"/>
    <w:sig w:usb0="00002003" w:usb1="00000000" w:usb2="00000000" w:usb3="00000000" w:csb0="00000041" w:csb1="2008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left="420" w:leftChars="20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180"/>
      <w:jc w:val="right"/>
    </w:pPr>
    <w:r>
      <w:rPr>
        <w:rFonts w:ascii="宋体" w:hAnsi="宋体" w:hint="eastAsia"/>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37</w:t>
    </w:r>
    <w:r>
      <w:rPr>
        <w:sz w:val="28"/>
        <w:szCs w:val="28"/>
      </w:rPr>
      <w:fldChar w:fldCharType="end"/>
    </w:r>
    <w:r>
      <w:rPr>
        <w:rFonts w:hint="eastAsia"/>
        <w:sz w:val="28"/>
        <w:szCs w:val="28"/>
      </w:rPr>
      <w:t xml:space="preserve"> </w:t>
    </w:r>
    <w:r>
      <w:rPr>
        <w:rFonts w:ascii="宋体" w:hAnsi="宋体" w:hint="eastAsia"/>
        <w:sz w:val="28"/>
        <w:szCs w:val="28"/>
      </w:rPr>
      <w:t xml:space="preserve">— </w:t>
    </w:r>
  </w:p>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3070ADA"/>
    <w:multiLevelType w:val="singleLevel"/>
    <w:tmpl w:val="E3070ADA"/>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C97AC9"/>
    <w:rsid w:val="02E2219F"/>
    <w:rsid w:val="0B2A71DE"/>
    <w:rsid w:val="0BD51D2A"/>
    <w:rsid w:val="10ED3781"/>
    <w:rsid w:val="13D81682"/>
    <w:rsid w:val="169B17F7"/>
    <w:rsid w:val="1A96310D"/>
    <w:rsid w:val="219B41D9"/>
    <w:rsid w:val="25564B46"/>
    <w:rsid w:val="304740E0"/>
    <w:rsid w:val="32FB6FA9"/>
    <w:rsid w:val="34C97AC9"/>
    <w:rsid w:val="35100F08"/>
    <w:rsid w:val="3C02701B"/>
    <w:rsid w:val="3E0C00E1"/>
    <w:rsid w:val="3E46721D"/>
    <w:rsid w:val="424F088C"/>
    <w:rsid w:val="459C6C53"/>
    <w:rsid w:val="4DD53BED"/>
    <w:rsid w:val="4E905C4A"/>
    <w:rsid w:val="4F591A70"/>
    <w:rsid w:val="516F66B9"/>
    <w:rsid w:val="561643B6"/>
    <w:rsid w:val="56771B90"/>
    <w:rsid w:val="607E3445"/>
    <w:rsid w:val="677F4E53"/>
    <w:rsid w:val="689F7F96"/>
    <w:rsid w:val="6F0661DF"/>
    <w:rsid w:val="6FDD654D"/>
    <w:rsid w:val="72AC4779"/>
    <w:rsid w:val="73F35B36"/>
    <w:rsid w:val="79186987"/>
    <w:rsid w:val="7D825826"/>
  </w:rsids>
  <w:docVars>
    <w:docVar w:name="commondata" w:val="eyJoZGlkIjoiNmU2NWY4ODExYTVkNzBhODZjNzhiNWE2YzBlOTkyMzU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autoRedefine/>
    <w:semiHidden/>
    <w:qFormat/>
  </w:style>
  <w:style w:type="table" w:default="1" w:styleId="TableNormal">
    <w:name w:val="Normal Table"/>
    <w:autoRedefine/>
    <w:semiHidden/>
    <w:qFormat/>
    <w:tblPr>
      <w:tblInd w:w="0" w:type="dxa"/>
      <w:tblCellMar>
        <w:top w:w="0" w:type="dxa"/>
        <w:left w:w="108" w:type="dxa"/>
        <w:bottom w:w="0" w:type="dxa"/>
        <w:right w:w="108" w:type="dxa"/>
      </w:tblCellMar>
    </w:tblPr>
  </w:style>
  <w:style w:type="paragraph" w:styleId="Footer">
    <w:name w:val="footer"/>
    <w:basedOn w:val="Normal"/>
    <w:autoRedefine/>
    <w:qFormat/>
    <w:pPr>
      <w:tabs>
        <w:tab w:val="center" w:pos="4153"/>
        <w:tab w:val="right" w:pos="8306"/>
      </w:tabs>
      <w:snapToGrid w:val="0"/>
      <w:jc w:val="left"/>
    </w:pPr>
    <w:rPr>
      <w:sz w:val="18"/>
      <w:szCs w:val="18"/>
    </w:rPr>
  </w:style>
  <w:style w:type="paragraph" w:styleId="NormalWeb">
    <w:name w:val="Normal (Web)"/>
    <w:basedOn w:val="Normal"/>
    <w:autoRedefine/>
    <w:qFormat/>
    <w:pPr>
      <w:spacing w:beforeAutospacing="1" w:afterAutospacing="1"/>
      <w:jc w:val="left"/>
    </w:pPr>
    <w:rPr>
      <w:rFonts w:ascii="Calibri" w:hAnsi="Calibri"/>
      <w:kern w:val="0"/>
      <w:sz w:val="24"/>
    </w:rPr>
  </w:style>
  <w:style w:type="character" w:styleId="Strong">
    <w:name w:val="Strong"/>
    <w:basedOn w:val="DefaultParagraphFont"/>
    <w:autoRedefine/>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Administrator</cp:lastModifiedBy>
  <cp:revision>1</cp:revision>
  <dcterms:created xsi:type="dcterms:W3CDTF">2024-01-16T02:39:00Z</dcterms:created>
  <dcterms:modified xsi:type="dcterms:W3CDTF">2024-01-24T00:34:41Z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2052-12.1.0.16250</vt:lpwstr>
  </property>
</Properties>
</file>