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NewRoman"/>
          <w:sz w:val="32"/>
          <w:szCs w:val="32"/>
        </w:rPr>
      </w:pPr>
      <w:r>
        <w:rPr>
          <w:rFonts w:hint="eastAsia" w:ascii="黑体" w:hAnsi="黑体" w:eastAsia="黑体" w:cs="TimesNewRoman"/>
          <w:sz w:val="32"/>
          <w:szCs w:val="32"/>
          <w:lang w:val="en"/>
        </w:rPr>
        <w:t>附件</w:t>
      </w:r>
      <w:r>
        <w:rPr>
          <w:rFonts w:hint="eastAsia" w:ascii="黑体" w:hAnsi="黑体" w:eastAsia="黑体" w:cs="TimesNewRoman"/>
          <w:sz w:val="32"/>
          <w:szCs w:val="32"/>
        </w:rPr>
        <w:t>1</w:t>
      </w:r>
    </w:p>
    <w:p>
      <w:pPr>
        <w:spacing w:line="560" w:lineRule="exact"/>
        <w:rPr>
          <w:rFonts w:hint="eastAsia" w:ascii="TimesNewRoman" w:hAnsi="TimesNewRoman" w:eastAsia="黑体" w:cs="TimesNewRoman"/>
          <w:szCs w:val="32"/>
        </w:rPr>
      </w:pPr>
    </w:p>
    <w:p>
      <w:pPr>
        <w:spacing w:line="560" w:lineRule="exact"/>
        <w:jc w:val="center"/>
        <w:rPr>
          <w:rFonts w:hint="eastAsia" w:ascii="方正小标宋_GBK" w:hAnsi="TimesNewRoman" w:eastAsia="方正小标宋_GBK" w:cs="TimesNewRoman"/>
          <w:szCs w:val="32"/>
        </w:rPr>
      </w:pPr>
    </w:p>
    <w:p>
      <w:pPr>
        <w:spacing w:line="560" w:lineRule="exact"/>
        <w:jc w:val="center"/>
        <w:rPr>
          <w:rFonts w:hint="eastAsia" w:ascii="方正小标宋_GBK" w:hAnsi="TimesNewRoman" w:eastAsia="方正小标宋_GBK" w:cs="TimesNewRoman"/>
          <w:sz w:val="44"/>
          <w:szCs w:val="44"/>
        </w:rPr>
      </w:pPr>
      <w:r>
        <w:rPr>
          <w:rFonts w:hint="eastAsia" w:ascii="方正小标宋_GBK" w:hAnsi="TimesNewRoman" w:eastAsia="方正小标宋_GBK" w:cs="TimesNewRoman"/>
          <w:sz w:val="44"/>
          <w:szCs w:val="44"/>
        </w:rPr>
        <w:t>寿县</w:t>
      </w:r>
      <w:r>
        <w:rPr>
          <w:rFonts w:hint="eastAsia" w:ascii="方正小标宋_GBK" w:hAnsi="TimesNewRoman" w:eastAsia="方正小标宋_GBK" w:cs="TimesNewRoman"/>
          <w:sz w:val="44"/>
          <w:szCs w:val="44"/>
          <w:lang w:val="en-US" w:eastAsia="zh-CN"/>
        </w:rPr>
        <w:t>县委党校</w:t>
      </w:r>
      <w:r>
        <w:rPr>
          <w:rFonts w:hint="eastAsia" w:ascii="方正小标宋_GBK" w:hAnsi="TimesNewRoman" w:eastAsia="方正小标宋_GBK" w:cs="TimesNewRoman"/>
          <w:sz w:val="44"/>
          <w:szCs w:val="44"/>
        </w:rPr>
        <w:t>2024年</w:t>
      </w:r>
    </w:p>
    <w:p>
      <w:pPr>
        <w:spacing w:line="560" w:lineRule="exact"/>
        <w:jc w:val="center"/>
        <w:rPr>
          <w:rFonts w:hint="eastAsia" w:ascii="方正小标宋_GBK" w:hAnsi="TimesNewRoman" w:eastAsia="方正小标宋_GBK" w:cs="TimesNewRoman"/>
          <w:sz w:val="44"/>
          <w:szCs w:val="44"/>
        </w:rPr>
      </w:pPr>
      <w:r>
        <w:rPr>
          <w:rFonts w:hint="eastAsia" w:ascii="方正小标宋_GBK" w:hAnsi="TimesNewRoman" w:eastAsia="方正小标宋_GBK" w:cs="TimesNewRoman"/>
          <w:sz w:val="44"/>
          <w:szCs w:val="44"/>
          <w:lang w:val="en-US" w:eastAsia="zh-CN"/>
        </w:rPr>
        <w:t>单位</w:t>
      </w:r>
      <w:r>
        <w:rPr>
          <w:rFonts w:hint="eastAsia" w:ascii="方正小标宋_GBK" w:hAnsi="TimesNewRoman" w:eastAsia="方正小标宋_GBK" w:cs="TimesNewRoman"/>
          <w:sz w:val="44"/>
          <w:szCs w:val="44"/>
        </w:rPr>
        <w:t>预算</w:t>
      </w:r>
    </w:p>
    <w:p>
      <w:pPr>
        <w:pStyle w:val="3"/>
        <w:adjustRightInd w:val="0"/>
        <w:snapToGrid w:val="0"/>
        <w:spacing w:line="560" w:lineRule="exact"/>
        <w:jc w:val="center"/>
        <w:outlineLvl w:val="0"/>
        <w:rPr>
          <w:rFonts w:hint="eastAsia" w:ascii="方正小标宋_GBK" w:hAnsi="TimesNewRoman" w:eastAsia="方正小标宋_GBK" w:cs="TimesNewRoman"/>
          <w:sz w:val="32"/>
          <w:szCs w:val="32"/>
        </w:rPr>
      </w:pPr>
    </w:p>
    <w:p>
      <w:pPr>
        <w:pStyle w:val="3"/>
        <w:adjustRightInd w:val="0"/>
        <w:snapToGrid w:val="0"/>
        <w:spacing w:line="560" w:lineRule="exact"/>
        <w:jc w:val="center"/>
        <w:outlineLvl w:val="0"/>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6"/>
          <w:szCs w:val="36"/>
        </w:rPr>
      </w:pPr>
    </w:p>
    <w:p>
      <w:pPr>
        <w:pStyle w:val="3"/>
        <w:adjustRightInd w:val="0"/>
        <w:snapToGrid w:val="0"/>
        <w:spacing w:line="560" w:lineRule="exact"/>
        <w:jc w:val="center"/>
        <w:rPr>
          <w:rFonts w:hint="eastAsia" w:ascii="TimesNewRoman" w:hAnsi="TimesNewRoman" w:eastAsia="黑体" w:cs="TimesNewRoman"/>
          <w:bCs/>
          <w:sz w:val="36"/>
          <w:szCs w:val="36"/>
        </w:rPr>
      </w:pPr>
    </w:p>
    <w:p>
      <w:pPr>
        <w:pStyle w:val="3"/>
        <w:adjustRightInd w:val="0"/>
        <w:snapToGrid w:val="0"/>
        <w:spacing w:line="560" w:lineRule="exact"/>
        <w:jc w:val="center"/>
        <w:rPr>
          <w:rFonts w:ascii="TimesNewRoman" w:hAnsi="TimesNewRoman" w:eastAsia="黑体"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6"/>
          <w:szCs w:val="32"/>
        </w:rPr>
      </w:pPr>
    </w:p>
    <w:p>
      <w:pPr>
        <w:pStyle w:val="3"/>
        <w:adjustRightInd w:val="0"/>
        <w:snapToGrid w:val="0"/>
        <w:spacing w:line="560" w:lineRule="exact"/>
        <w:jc w:val="center"/>
        <w:rPr>
          <w:rFonts w:hint="eastAsia" w:ascii="仿宋_GB2312" w:hAnsi="TimesNewRoman" w:eastAsia="仿宋_GB2312" w:cs="TimesNewRoman"/>
          <w:bCs/>
          <w:sz w:val="36"/>
          <w:szCs w:val="32"/>
        </w:rPr>
      </w:pPr>
      <w:r>
        <w:rPr>
          <w:rFonts w:hint="eastAsia" w:ascii="仿宋_GB2312" w:hAnsi="TimesNewRoman" w:eastAsia="仿宋_GB2312" w:cs="TimesNewRoman"/>
          <w:bCs/>
          <w:sz w:val="36"/>
          <w:szCs w:val="32"/>
        </w:rPr>
        <w:t>2024年</w:t>
      </w:r>
      <w:r>
        <w:rPr>
          <w:rFonts w:hint="eastAsia" w:ascii="仿宋_GB2312" w:hAnsi="TimesNewRoman" w:eastAsia="仿宋_GB2312" w:cs="TimesNewRoman"/>
          <w:bCs/>
          <w:sz w:val="36"/>
          <w:szCs w:val="32"/>
          <w:lang w:val="en-US" w:eastAsia="zh-CN"/>
        </w:rPr>
        <w:t>1</w:t>
      </w:r>
      <w:r>
        <w:rPr>
          <w:rFonts w:hint="eastAsia" w:ascii="仿宋_GB2312" w:hAnsi="TimesNewRoman" w:eastAsia="仿宋_GB2312" w:cs="TimesNewRoman"/>
          <w:bCs/>
          <w:sz w:val="36"/>
          <w:szCs w:val="32"/>
        </w:rPr>
        <w:t>月</w:t>
      </w:r>
    </w:p>
    <w:p>
      <w:pPr>
        <w:pStyle w:val="3"/>
        <w:adjustRightInd w:val="0"/>
        <w:snapToGrid w:val="0"/>
        <w:spacing w:line="560" w:lineRule="exact"/>
        <w:jc w:val="center"/>
        <w:rPr>
          <w:rFonts w:hint="eastAsia" w:ascii="方正小标宋_GBK" w:hAnsi="TimesNewRoman" w:eastAsia="方正小标宋_GBK" w:cs="TimesNewRoman"/>
          <w:bCs/>
          <w:sz w:val="44"/>
          <w:szCs w:val="44"/>
        </w:rPr>
      </w:pPr>
      <w:r>
        <w:rPr>
          <w:rFonts w:hint="eastAsia" w:ascii="方正小标宋_GBK" w:hAnsi="TimesNewRoman" w:eastAsia="方正小标宋_GBK" w:cs="TimesNewRoman"/>
          <w:bCs/>
          <w:sz w:val="44"/>
          <w:szCs w:val="44"/>
        </w:rPr>
        <w:t>目  录</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ascii="黑体" w:hAnsi="黑体" w:eastAsia="黑体" w:cs="TimesNewRoman"/>
          <w:sz w:val="32"/>
          <w:szCs w:val="32"/>
          <w:u w:val="none"/>
        </w:rPr>
        <w:t>单位</w:t>
      </w:r>
      <w:r>
        <w:rPr>
          <w:rFonts w:ascii="黑体" w:hAnsi="黑体" w:eastAsia="黑体" w:cs="TimesNewRoman"/>
          <w:sz w:val="32"/>
          <w:szCs w:val="32"/>
        </w:rPr>
        <w:t>概况</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u w:val="none"/>
        </w:rPr>
        <w:t>单位</w:t>
      </w:r>
      <w:r>
        <w:rPr>
          <w:rFonts w:hint="eastAsia" w:ascii="仿宋_GB2312" w:hAnsi="TimesNewRoman" w:eastAsia="仿宋_GB2312" w:cs="TimesNewRoman"/>
          <w:bCs/>
          <w:sz w:val="32"/>
          <w:szCs w:val="32"/>
        </w:rPr>
        <w:t>预算构成</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3.2024年度主要工作任务</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第二部分 </w:t>
      </w:r>
      <w:r>
        <w:rPr>
          <w:rFonts w:hint="eastAsia" w:ascii="黑体" w:hAnsi="黑体" w:eastAsia="黑体" w:cs="TimesNewRoman"/>
          <w:sz w:val="32"/>
          <w:szCs w:val="32"/>
        </w:rPr>
        <w:t>2024</w:t>
      </w:r>
      <w:r>
        <w:rPr>
          <w:rFonts w:ascii="黑体" w:hAnsi="黑体" w:eastAsia="黑体" w:cs="TimesNewRoman"/>
          <w:sz w:val="32"/>
          <w:szCs w:val="32"/>
        </w:rPr>
        <w:t>年单位预算表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县委党校</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第三部分 </w:t>
      </w:r>
      <w:r>
        <w:rPr>
          <w:rFonts w:hint="eastAsia" w:ascii="黑体" w:hAnsi="黑体" w:eastAsia="黑体" w:cs="TimesNewRoman"/>
          <w:sz w:val="32"/>
          <w:szCs w:val="32"/>
        </w:rPr>
        <w:t>2024</w:t>
      </w:r>
      <w:r>
        <w:rPr>
          <w:rFonts w:ascii="黑体" w:hAnsi="黑体" w:eastAsia="黑体" w:cs="TimesNewRoman"/>
          <w:sz w:val="32"/>
          <w:szCs w:val="32"/>
        </w:rPr>
        <w:t>年单位预算情况说明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年收入总表的说明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年支出总表的说明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年财政拨款收支总表的说明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年一般公共预算基本支出表的说明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年政府性基金预算支出表的说明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年国有资本经营预算支出表的说明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年项目支出表的说明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年政府采购支出表的说明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2024</w:t>
      </w:r>
      <w:r>
        <w:rPr>
          <w:rFonts w:ascii="仿宋_GB2312" w:hAnsi="TimesNewRoman" w:eastAsia="仿宋_GB2312" w:cs="TimesNewRoman"/>
          <w:bCs/>
          <w:sz w:val="32"/>
          <w:szCs w:val="32"/>
        </w:rPr>
        <w:t>年政府购买服务支出表的说明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12.其他重要事项情况说明</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第四部分 名词解释</w:t>
      </w: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640"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ind w:firstLine="200"/>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ascii="TimesNewRoman" w:hAnsi="TimesNewRoman" w:eastAsia="黑体" w:cs="TimesNewRoman"/>
          <w:bCs/>
          <w:sz w:val="36"/>
          <w:szCs w:val="36"/>
          <w:u w:val="none"/>
        </w:rPr>
        <w:t>单位</w:t>
      </w:r>
      <w:r>
        <w:rPr>
          <w:rFonts w:ascii="TimesNewRoman" w:hAnsi="TimesNewRoman" w:eastAsia="黑体" w:cs="TimesNewRoman"/>
          <w:bCs/>
          <w:sz w:val="36"/>
          <w:szCs w:val="36"/>
        </w:rPr>
        <w:t>概况</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pPr>
        <w:pStyle w:val="3"/>
        <w:keepNext w:val="0"/>
        <w:keepLines w:val="0"/>
        <w:pageBreakBefore w:val="0"/>
        <w:widowControl w:val="0"/>
        <w:kinsoku/>
        <w:wordWrap/>
        <w:overflowPunct/>
        <w:topLinePunct/>
        <w:autoSpaceDE/>
        <w:autoSpaceDN/>
        <w:bidi w:val="0"/>
        <w:adjustRightInd w:val="0"/>
        <w:snapToGrid w:val="0"/>
        <w:spacing w:beforeAutospacing="0" w:afterAutospacing="0" w:line="580" w:lineRule="exact"/>
        <w:ind w:firstLine="640" w:firstLineChars="200"/>
        <w:jc w:val="both"/>
        <w:textAlignment w:val="auto"/>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TimesNewRoman" w:eastAsia="仿宋_GB2312" w:cs="TimesNewRoman"/>
          <w:sz w:val="32"/>
          <w:szCs w:val="32"/>
        </w:rPr>
      </w:pPr>
      <w:r>
        <w:rPr>
          <w:rFonts w:ascii="TimesNewRoman" w:hAnsi="TimesNewRoman" w:eastAsia="仿宋_GB2312" w:cs="TimesNewRoman"/>
          <w:bCs/>
          <w:sz w:val="32"/>
          <w:szCs w:val="32"/>
        </w:rPr>
        <w:t>（一）</w:t>
      </w:r>
      <w:r>
        <w:rPr>
          <w:rFonts w:hint="eastAsia" w:ascii="仿宋_GB2312" w:hAnsi="TimesNewRoman" w:eastAsia="仿宋_GB2312" w:cs="TimesNewRoman"/>
          <w:sz w:val="32"/>
          <w:szCs w:val="32"/>
          <w:lang w:val="en-US" w:eastAsia="zh-CN"/>
        </w:rPr>
        <w:t>宣传马克思列宁主义、毛泽东思想、邓小平理论、“三个代表”重要思想、科学发展观和党的基本路线、方针、政策，加强学员的党性教育和党性锻炼，提高学员的理论素养。</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（二）</w:t>
      </w:r>
      <w:r>
        <w:rPr>
          <w:rFonts w:hint="eastAsia" w:ascii="仿宋_GB2312" w:hAnsi="仿宋" w:eastAsia="仿宋_GB2312"/>
          <w:sz w:val="32"/>
          <w:szCs w:val="32"/>
          <w:lang w:val="en-US" w:eastAsia="zh-CN"/>
        </w:rPr>
        <w:t>根据中央和省、市及县委对干部队伍建设的要求，有计划地轮训和培训党员领导干部、青年后备干部、理论宣传骨干和农村基层干部，培养造就一大批适应新时期经济社会发展需要的领导干部，特别是中青年干部。</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（三）围绕党的中心任务和国际国内出现的新情况、新问题以及县委、县政府的重大战略部署，积极开展相关知识讲座和重大现实问题理论研究，为县委、县政府科学决策服务，为教学服务，为社会实践服务。</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（四）配合组织人事部门对学员在校期间表现情况进行考核、考察。</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（五）完成上级党校和县委交办的其他工作。</w:t>
      </w:r>
    </w:p>
    <w:p>
      <w:pPr>
        <w:pStyle w:val="3"/>
        <w:keepNext w:val="0"/>
        <w:keepLines w:val="0"/>
        <w:pageBreakBefore w:val="0"/>
        <w:widowControl w:val="0"/>
        <w:kinsoku/>
        <w:wordWrap/>
        <w:overflowPunct/>
        <w:topLinePunct/>
        <w:autoSpaceDE/>
        <w:autoSpaceDN/>
        <w:bidi w:val="0"/>
        <w:adjustRightInd w:val="0"/>
        <w:snapToGrid w:val="0"/>
        <w:spacing w:beforeAutospacing="0" w:afterAutospacing="0" w:line="580" w:lineRule="exact"/>
        <w:ind w:firstLine="640" w:firstLineChars="200"/>
        <w:jc w:val="both"/>
        <w:textAlignment w:val="auto"/>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部门（单位）预算构成</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lang w:val="en-US" w:eastAsia="zh-CN"/>
        </w:rPr>
        <w:t>中共寿县县委党校</w:t>
      </w:r>
      <w:r>
        <w:rPr>
          <w:rFonts w:hint="eastAsia" w:ascii="仿宋_GB2312" w:hAnsi="TimesNewRoman" w:eastAsia="仿宋_GB2312" w:cs="TimesNewRoman"/>
          <w:sz w:val="32"/>
          <w:szCs w:val="32"/>
        </w:rPr>
        <w:t>2024年度部门预算仅包括本级预算，无其他下属单位预算。</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三、2024年度主要工作任务</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rPr>
      </w:pPr>
      <w:r>
        <w:rPr>
          <w:rFonts w:ascii="TimesNewRoman" w:hAnsi="TimesNewRoman" w:eastAsia="仿宋_GB2312" w:cs="TimesNewRoman"/>
          <w:bCs/>
          <w:sz w:val="32"/>
          <w:szCs w:val="32"/>
        </w:rPr>
        <w:t>（一）</w:t>
      </w:r>
      <w:r>
        <w:rPr>
          <w:rFonts w:hint="eastAsia" w:ascii="TimesNewRoman" w:hAnsi="TimesNewRoman" w:eastAsia="仿宋_GB2312" w:cs="TimesNewRoman"/>
          <w:bCs/>
          <w:sz w:val="32"/>
          <w:szCs w:val="32"/>
          <w:lang w:val="en-US" w:eastAsia="zh-CN"/>
        </w:rPr>
        <w:t>培训、轮训科级党员领导干部、后备干部、乡镇一般干部、行政村（社区）党组织负责人、村委会主任等。</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rPr>
      </w:pPr>
      <w:r>
        <w:rPr>
          <w:rFonts w:hint="eastAsia" w:ascii="TimesNewRoman" w:hAnsi="TimesNewRoman" w:eastAsia="仿宋_GB2312" w:cs="TimesNewRoman"/>
          <w:bCs/>
          <w:sz w:val="32"/>
          <w:szCs w:val="32"/>
        </w:rPr>
        <w:t>（二）</w:t>
      </w:r>
      <w:r>
        <w:rPr>
          <w:rFonts w:hint="eastAsia" w:ascii="TimesNewRoman" w:hAnsi="TimesNewRoman" w:eastAsia="仿宋_GB2312" w:cs="TimesNewRoman"/>
          <w:bCs/>
          <w:sz w:val="32"/>
          <w:szCs w:val="32"/>
          <w:lang w:val="en-US" w:eastAsia="zh-CN"/>
        </w:rPr>
        <w:t>承办县委、县政府和县有关部门举办的专题研讨班</w:t>
      </w:r>
      <w:r>
        <w:rPr>
          <w:rFonts w:hint="eastAsia" w:ascii="TimesNewRoman" w:hAnsi="TimesNewRoman" w:eastAsia="仿宋_GB2312" w:cs="TimesNewRoman"/>
          <w:bCs/>
          <w:sz w:val="32"/>
          <w:szCs w:val="32"/>
        </w:rPr>
        <w:t>。</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（三）围绕党的中心工作，积极开展咨政研究，承担县委、县政府下达的调研任务，推进理论创新。</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（四）针对改革开放和社会主义现代化建设进程中的重大理论问题和现实问题，开展马克思主义中国化最新成果的理论宣传，开展党的路线、方针、政策的宣传。</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（五）办好主体班，开展形式多样的干部教育培训，搞好县、乡、村党员干部的培训，切实提高全县干部素质。</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r>
        <w:rPr>
          <w:rFonts w:hint="eastAsia" w:ascii="TimesNewRoman" w:hAnsi="TimesNewRoman" w:eastAsia="仿宋_GB2312" w:cs="TimesNewRoman"/>
          <w:bCs/>
          <w:sz w:val="32"/>
          <w:szCs w:val="32"/>
          <w:lang w:val="en-US" w:eastAsia="zh-CN"/>
        </w:rPr>
        <w:t>（六）完成县委、县政府交办的其他任务。</w:t>
      </w: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pPr>
        <w:pStyle w:val="3"/>
        <w:keepNext w:val="0"/>
        <w:keepLines w:val="0"/>
        <w:pageBreakBefore w:val="0"/>
        <w:widowControl w:val="0"/>
        <w:kinsoku/>
        <w:wordWrap/>
        <w:overflowPunct/>
        <w:autoSpaceDE/>
        <w:autoSpaceDN/>
        <w:bidi w:val="0"/>
        <w:adjustRightInd w:val="0"/>
        <w:snapToGrid w:val="0"/>
        <w:spacing w:before="0" w:beforeAutospacing="0" w:after="0" w:afterAutospacing="0" w:line="580" w:lineRule="exact"/>
        <w:ind w:firstLine="627" w:firstLineChars="196"/>
        <w:jc w:val="both"/>
        <w:textAlignment w:val="auto"/>
        <w:rPr>
          <w:rFonts w:hint="eastAsia" w:ascii="TimesNewRoman" w:hAnsi="TimesNewRoman" w:eastAsia="仿宋_GB2312" w:cs="TimesNewRoman"/>
          <w:bCs/>
          <w:sz w:val="32"/>
          <w:szCs w:val="32"/>
          <w:lang w:val="en-US" w:eastAsia="zh-CN"/>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adjustRightInd w:val="0"/>
        <w:snapToGrid w:val="0"/>
        <w:spacing w:line="560" w:lineRule="exact"/>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第二部分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年单位预算表</w:t>
      </w:r>
    </w:p>
    <w:p>
      <w:pPr>
        <w:spacing w:line="560" w:lineRule="exact"/>
        <w:ind w:firstLine="7400" w:firstLineChars="3700"/>
        <w:jc w:val="left"/>
        <w:rPr>
          <w:rFonts w:hint="eastAsia" w:ascii="TimesNewRoman" w:hAnsi="TimesNewRoman" w:cs="TimesNewRoman"/>
          <w:kern w:val="0"/>
          <w:sz w:val="20"/>
        </w:rPr>
      </w:pPr>
      <w:r>
        <w:rPr>
          <w:rFonts w:ascii="TimesNewRoman" w:hAnsi="TimesNewRoman" w:cs="TimesNewRoman"/>
          <w:kern w:val="0"/>
          <w:sz w:val="20"/>
          <w:u w:val="none"/>
        </w:rPr>
        <w:t>单位</w:t>
      </w:r>
      <w:r>
        <w:rPr>
          <w:rFonts w:ascii="TimesNewRoman" w:hAnsi="TimesNewRoman" w:cs="TimesNewRoman"/>
          <w:kern w:val="0"/>
          <w:sz w:val="20"/>
        </w:rPr>
        <w:t>公开表1</w:t>
      </w:r>
    </w:p>
    <w:p>
      <w:pPr>
        <w:spacing w:line="560" w:lineRule="exact"/>
        <w:jc w:val="center"/>
        <w:rPr>
          <w:rFonts w:ascii="宋体" w:hAnsi="宋体" w:cs="TimesNewRoman"/>
          <w:kern w:val="0"/>
          <w:sz w:val="24"/>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年收支总表</w:t>
      </w:r>
    </w:p>
    <w:p>
      <w:pPr>
        <w:spacing w:line="560" w:lineRule="exact"/>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9220" w:type="dxa"/>
        <w:tblInd w:w="0" w:type="dxa"/>
        <w:tblLayout w:type="fixed"/>
        <w:tblCellMar>
          <w:top w:w="0" w:type="dxa"/>
          <w:left w:w="108" w:type="dxa"/>
          <w:bottom w:w="0" w:type="dxa"/>
          <w:right w:w="108" w:type="dxa"/>
        </w:tblCellMar>
      </w:tblPr>
      <w:tblGrid>
        <w:gridCol w:w="3728"/>
        <w:gridCol w:w="1089"/>
        <w:gridCol w:w="3470"/>
        <w:gridCol w:w="933"/>
      </w:tblGrid>
      <w:tr>
        <w:tblPrEx>
          <w:tblCellMar>
            <w:top w:w="0" w:type="dxa"/>
            <w:left w:w="108" w:type="dxa"/>
            <w:bottom w:w="0" w:type="dxa"/>
            <w:right w:w="108" w:type="dxa"/>
          </w:tblCellMar>
        </w:tblPrEx>
        <w:trPr>
          <w:trHeight w:val="12" w:hRule="atLeast"/>
        </w:trPr>
        <w:tc>
          <w:tcPr>
            <w:tcW w:w="481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 xml:space="preserve">          收            入             </w:t>
            </w:r>
          </w:p>
        </w:tc>
        <w:tc>
          <w:tcPr>
            <w:tcW w:w="4403" w:type="dxa"/>
            <w:gridSpan w:val="2"/>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          出</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收 入 项 目</w:t>
            </w:r>
          </w:p>
        </w:tc>
        <w:tc>
          <w:tcPr>
            <w:tcW w:w="1089"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支出功能分类科目</w:t>
            </w:r>
          </w:p>
        </w:tc>
        <w:tc>
          <w:tcPr>
            <w:tcW w:w="933"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预算数</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一、一般公共预算拨款收入</w:t>
            </w:r>
          </w:p>
        </w:tc>
        <w:tc>
          <w:tcPr>
            <w:tcW w:w="10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933" w:type="dxa"/>
            <w:tcBorders>
              <w:top w:val="single" w:color="auto" w:sz="4" w:space="0"/>
              <w:left w:val="single" w:color="auto" w:sz="4" w:space="0"/>
              <w:bottom w:val="nil"/>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496.09</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rPr>
                <w:rFonts w:ascii="TimesNewRoman" w:hAnsi="TimesNewRoman" w:cs="TimesNewRoman"/>
                <w:kern w:val="0"/>
                <w:sz w:val="18"/>
                <w:szCs w:val="18"/>
              </w:rPr>
            </w:pPr>
            <w:r>
              <w:rPr>
                <w:rFonts w:ascii="TimesNewRoman" w:hAnsi="TimesNewRoman" w:cs="TimesNewRoman"/>
                <w:kern w:val="0"/>
                <w:sz w:val="18"/>
                <w:szCs w:val="18"/>
              </w:rPr>
              <w:t>三、国有资本经营预算拨款收入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其中：中央转移支付收入</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933" w:type="dxa"/>
            <w:tcBorders>
              <w:top w:val="single" w:color="auto" w:sz="4" w:space="0"/>
              <w:left w:val="single" w:color="auto" w:sz="4" w:space="0"/>
              <w:bottom w:val="nil"/>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52.00</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933" w:type="dxa"/>
            <w:tcBorders>
              <w:top w:val="single" w:color="auto" w:sz="4" w:space="0"/>
              <w:left w:val="single" w:color="auto" w:sz="4" w:space="0"/>
              <w:bottom w:val="nil"/>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13.83</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四、财政专户管理资金收入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五、单位资金收入</w:t>
            </w:r>
          </w:p>
        </w:tc>
        <w:tc>
          <w:tcPr>
            <w:tcW w:w="108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60.00</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其中：事业收入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933" w:type="dxa"/>
            <w:tcBorders>
              <w:top w:val="single" w:color="auto" w:sz="4" w:space="0"/>
              <w:left w:val="single" w:color="auto" w:sz="4" w:space="0"/>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事业单位经营收入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上级补助收入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附属单位上缴收入</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其他收入</w:t>
            </w:r>
          </w:p>
        </w:tc>
        <w:tc>
          <w:tcPr>
            <w:tcW w:w="108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60.00</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933" w:type="dxa"/>
            <w:tcBorders>
              <w:top w:val="single" w:color="auto" w:sz="4" w:space="0"/>
              <w:left w:val="nil"/>
              <w:bottom w:val="nil"/>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933" w:type="dxa"/>
            <w:tcBorders>
              <w:top w:val="single" w:color="auto" w:sz="4" w:space="0"/>
              <w:left w:val="nil"/>
              <w:bottom w:val="nil"/>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25.54</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933"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nil"/>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089" w:type="dxa"/>
            <w:tcBorders>
              <w:top w:val="nil"/>
              <w:left w:val="single" w:color="auto" w:sz="4" w:space="0"/>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  年  收  入  小  计</w:t>
            </w:r>
          </w:p>
        </w:tc>
        <w:tc>
          <w:tcPr>
            <w:tcW w:w="108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kern w:val="0"/>
                <w:sz w:val="18"/>
                <w:szCs w:val="18"/>
              </w:rPr>
            </w:pPr>
            <w:r>
              <w:rPr>
                <w:rFonts w:ascii="TimesNewRoman" w:hAnsi="TimesNewRoman" w:cs="TimesNewRoman"/>
                <w:kern w:val="0"/>
                <w:sz w:val="18"/>
                <w:szCs w:val="18"/>
              </w:rPr>
              <w:t>本  年  支  出  小  计</w:t>
            </w:r>
          </w:p>
        </w:tc>
        <w:tc>
          <w:tcPr>
            <w:tcW w:w="93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TimesNewRoman" w:hAnsi="TimesNewRoman" w:eastAsia="仿宋_GB2312" w:cs="TimesNewRoman"/>
                <w:kern w:val="0"/>
                <w:sz w:val="18"/>
                <w:szCs w:val="18"/>
              </w:rPr>
            </w:pPr>
            <w:r>
              <w:rPr>
                <w:rFonts w:ascii="TimesNewRoman" w:hAnsi="TimesNewRoman" w:cs="TimesNewRoman"/>
                <w:kern w:val="0"/>
                <w:sz w:val="18"/>
                <w:szCs w:val="18"/>
              </w:rPr>
              <w:t>上年</w:t>
            </w:r>
            <w:r>
              <w:rPr>
                <w:rFonts w:hint="eastAsia" w:ascii="TimesNewRoman" w:hAnsi="TimesNewRoman" w:cs="TimesNewRoman"/>
                <w:kern w:val="0"/>
                <w:sz w:val="18"/>
                <w:szCs w:val="18"/>
              </w:rPr>
              <w:t>结转数</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TimesNewRoman" w:hAnsi="TimesNewRoman" w:eastAsia="仿宋_GB2312" w:cs="TimesNewRoman"/>
                <w:kern w:val="0"/>
                <w:sz w:val="18"/>
                <w:szCs w:val="18"/>
              </w:rPr>
            </w:pPr>
            <w:r>
              <w:rPr>
                <w:rFonts w:hint="eastAsia" w:ascii="TimesNewRoman" w:hAnsi="TimesNewRoman" w:cs="TimesNewRoman"/>
                <w:kern w:val="0"/>
                <w:sz w:val="18"/>
                <w:szCs w:val="18"/>
              </w:rPr>
              <w:t>结转下年</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一般公共预算</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一般公共预算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政府性基金预算</w:t>
            </w:r>
          </w:p>
        </w:tc>
        <w:tc>
          <w:tcPr>
            <w:tcW w:w="108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政府性基金预算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国有资本经营预算</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国有资本经营预算</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财政专户管理资金</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财政专户管理资金</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单位资金</w:t>
            </w:r>
          </w:p>
        </w:tc>
        <w:tc>
          <w:tcPr>
            <w:tcW w:w="1089" w:type="dxa"/>
            <w:tcBorders>
              <w:top w:val="nil"/>
              <w:left w:val="nil"/>
              <w:bottom w:val="single" w:color="auto" w:sz="4" w:space="0"/>
              <w:right w:val="single" w:color="auto" w:sz="4" w:space="0"/>
            </w:tcBorders>
            <w:noWrap w:val="0"/>
            <w:vAlign w:val="bottom"/>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单位资金</w:t>
            </w:r>
          </w:p>
        </w:tc>
        <w:tc>
          <w:tcPr>
            <w:tcW w:w="93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2" w:hRule="atLeast"/>
        </w:trPr>
        <w:tc>
          <w:tcPr>
            <w:tcW w:w="372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   总   计</w:t>
            </w:r>
          </w:p>
        </w:tc>
        <w:tc>
          <w:tcPr>
            <w:tcW w:w="108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c>
          <w:tcPr>
            <w:tcW w:w="347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  总　计</w:t>
            </w:r>
          </w:p>
        </w:tc>
        <w:tc>
          <w:tcPr>
            <w:tcW w:w="93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r>
    </w:tbl>
    <w:p>
      <w:pPr>
        <w:spacing w:line="560" w:lineRule="exact"/>
        <w:jc w:val="center"/>
        <w:rPr>
          <w:rFonts w:ascii="TimesNewRoman" w:hAnsi="TimesNewRoman" w:cs="TimesNewRoman"/>
          <w:kern w:val="0"/>
          <w:sz w:val="20"/>
        </w:rPr>
        <w:sectPr>
          <w:footerReference r:id="rId3" w:type="default"/>
          <w:footerReference r:id="rId4" w:type="even"/>
          <w:pgSz w:w="11907" w:h="16840"/>
          <w:pgMar w:top="2098" w:right="1474" w:bottom="1985" w:left="1588" w:header="851" w:footer="1021" w:gutter="0"/>
          <w:cols w:space="425" w:num="1"/>
          <w:titlePg/>
          <w:docGrid w:type="linesAndChars" w:linePitch="312" w:charSpace="0"/>
        </w:sectPr>
      </w:pPr>
    </w:p>
    <w:p>
      <w:pPr>
        <w:spacing w:line="560" w:lineRule="exact"/>
        <w:jc w:val="center"/>
        <w:rPr>
          <w:rFonts w:ascii="TimesNewRoman" w:hAnsi="TimesNewRoman" w:cs="TimesNewRoman"/>
          <w:kern w:val="0"/>
          <w:sz w:val="20"/>
        </w:rPr>
      </w:pPr>
      <w:r>
        <w:rPr>
          <w:rFonts w:hint="eastAsia" w:ascii="TimesNewRoman" w:hAnsi="TimesNewRoman" w:cs="TimesNewRoman"/>
          <w:kern w:val="0"/>
          <w:sz w:val="20"/>
        </w:rPr>
        <w:t xml:space="preserve">                                                                                                        </w:t>
      </w:r>
      <w:r>
        <w:rPr>
          <w:rFonts w:hint="eastAsia" w:ascii="TimesNewRoman" w:hAnsi="TimesNewRoman" w:cs="TimesNewRoman"/>
          <w:kern w:val="0"/>
          <w:sz w:val="20"/>
          <w:u w:val="none"/>
        </w:rPr>
        <w:t xml:space="preserve">  </w:t>
      </w:r>
      <w:r>
        <w:rPr>
          <w:rFonts w:hint="eastAsia" w:ascii="TimesNewRoman" w:hAnsi="TimesNewRoman" w:cs="TimesNewRoman"/>
          <w:kern w:val="0"/>
          <w:sz w:val="20"/>
          <w:u w:val="none"/>
          <w:lang w:val="en-US" w:eastAsia="zh-CN"/>
        </w:rPr>
        <w:t xml:space="preserve">        </w:t>
      </w:r>
      <w:r>
        <w:rPr>
          <w:rFonts w:ascii="TimesNewRoman" w:hAnsi="TimesNewRoman" w:cs="TimesNewRoman"/>
          <w:kern w:val="0"/>
          <w:sz w:val="20"/>
          <w:u w:val="none"/>
        </w:rPr>
        <w:t>单位</w:t>
      </w:r>
      <w:r>
        <w:rPr>
          <w:rFonts w:ascii="TimesNewRoman" w:hAnsi="TimesNewRoman" w:cs="TimesNewRoman"/>
          <w:kern w:val="0"/>
          <w:sz w:val="20"/>
        </w:rPr>
        <w:t>公开表2</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年收入总表</w:t>
      </w:r>
    </w:p>
    <w:p>
      <w:pPr>
        <w:spacing w:line="560" w:lineRule="exact"/>
        <w:jc w:val="center"/>
        <w:rPr>
          <w:rFonts w:ascii="TimesNewRoman" w:hAnsi="TimesNewRoman" w:cs="TimesNewRoman"/>
          <w:kern w:val="0"/>
          <w:sz w:val="20"/>
        </w:rPr>
      </w:pPr>
      <w:r>
        <w:rPr>
          <w:rFonts w:ascii="TimesNewRoman" w:hAnsi="TimesNewRoman" w:cs="TimesNewRoman"/>
          <w:kern w:val="0"/>
          <w:sz w:val="20"/>
        </w:rPr>
        <w:t>单位：万元</w:t>
      </w:r>
    </w:p>
    <w:tbl>
      <w:tblPr>
        <w:tblStyle w:val="4"/>
        <w:tblW w:w="13577" w:type="dxa"/>
        <w:tblInd w:w="-431" w:type="dxa"/>
        <w:tblLayout w:type="fixed"/>
        <w:tblCellMar>
          <w:top w:w="0" w:type="dxa"/>
          <w:left w:w="108" w:type="dxa"/>
          <w:bottom w:w="0" w:type="dxa"/>
          <w:right w:w="108" w:type="dxa"/>
        </w:tblCellMar>
      </w:tblPr>
      <w:tblGrid>
        <w:gridCol w:w="1482"/>
        <w:gridCol w:w="1125"/>
        <w:gridCol w:w="906"/>
        <w:gridCol w:w="1016"/>
        <w:gridCol w:w="703"/>
        <w:gridCol w:w="500"/>
        <w:gridCol w:w="547"/>
        <w:gridCol w:w="797"/>
        <w:gridCol w:w="640"/>
        <w:gridCol w:w="610"/>
        <w:gridCol w:w="797"/>
        <w:gridCol w:w="609"/>
        <w:gridCol w:w="844"/>
        <w:gridCol w:w="422"/>
        <w:gridCol w:w="468"/>
        <w:gridCol w:w="500"/>
        <w:gridCol w:w="516"/>
        <w:gridCol w:w="531"/>
        <w:gridCol w:w="564"/>
      </w:tblGrid>
      <w:tr>
        <w:tblPrEx>
          <w:tblCellMar>
            <w:top w:w="0" w:type="dxa"/>
            <w:left w:w="108" w:type="dxa"/>
            <w:bottom w:w="0" w:type="dxa"/>
            <w:right w:w="108" w:type="dxa"/>
          </w:tblCellMar>
        </w:tblPrEx>
        <w:trPr>
          <w:trHeight w:val="513" w:hRule="atLeast"/>
        </w:trPr>
        <w:tc>
          <w:tcPr>
            <w:tcW w:w="14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部门（单位）名称</w:t>
            </w:r>
          </w:p>
        </w:tc>
        <w:tc>
          <w:tcPr>
            <w:tcW w:w="112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合计</w:t>
            </w:r>
          </w:p>
        </w:tc>
        <w:tc>
          <w:tcPr>
            <w:tcW w:w="7969" w:type="dxa"/>
            <w:gridSpan w:val="11"/>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本年收入</w:t>
            </w:r>
          </w:p>
        </w:tc>
        <w:tc>
          <w:tcPr>
            <w:tcW w:w="3001" w:type="dxa"/>
            <w:gridSpan w:val="6"/>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上年结转结余</w:t>
            </w:r>
          </w:p>
        </w:tc>
      </w:tr>
      <w:tr>
        <w:tblPrEx>
          <w:tblCellMar>
            <w:top w:w="0" w:type="dxa"/>
            <w:left w:w="108" w:type="dxa"/>
            <w:bottom w:w="0" w:type="dxa"/>
            <w:right w:w="108" w:type="dxa"/>
          </w:tblCellMar>
        </w:tblPrEx>
        <w:trPr>
          <w:trHeight w:val="436" w:hRule="atLeast"/>
        </w:trPr>
        <w:tc>
          <w:tcPr>
            <w:tcW w:w="14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b/>
                <w:kern w:val="0"/>
                <w:sz w:val="18"/>
                <w:szCs w:val="18"/>
              </w:rPr>
            </w:pPr>
          </w:p>
        </w:tc>
        <w:tc>
          <w:tcPr>
            <w:tcW w:w="11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b/>
                <w:kern w:val="0"/>
                <w:sz w:val="18"/>
                <w:szCs w:val="18"/>
              </w:rPr>
            </w:pPr>
          </w:p>
        </w:tc>
        <w:tc>
          <w:tcPr>
            <w:tcW w:w="906"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1016"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703"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500"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547"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4297" w:type="dxa"/>
            <w:gridSpan w:val="6"/>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c>
          <w:tcPr>
            <w:tcW w:w="422"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468"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一般公共预算</w:t>
            </w:r>
          </w:p>
        </w:tc>
        <w:tc>
          <w:tcPr>
            <w:tcW w:w="500"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政府性基金预算</w:t>
            </w:r>
          </w:p>
        </w:tc>
        <w:tc>
          <w:tcPr>
            <w:tcW w:w="516"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国有资本经营预算</w:t>
            </w:r>
          </w:p>
        </w:tc>
        <w:tc>
          <w:tcPr>
            <w:tcW w:w="531"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财政专户管理资金</w:t>
            </w:r>
          </w:p>
        </w:tc>
        <w:tc>
          <w:tcPr>
            <w:tcW w:w="564" w:type="dxa"/>
            <w:vMerge w:val="restart"/>
            <w:tcBorders>
              <w:top w:val="nil"/>
              <w:left w:val="single" w:color="auto" w:sz="4" w:space="0"/>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单位资金</w:t>
            </w:r>
          </w:p>
        </w:tc>
      </w:tr>
      <w:tr>
        <w:tblPrEx>
          <w:tblCellMar>
            <w:top w:w="0" w:type="dxa"/>
            <w:left w:w="108" w:type="dxa"/>
            <w:bottom w:w="0" w:type="dxa"/>
            <w:right w:w="108" w:type="dxa"/>
          </w:tblCellMar>
        </w:tblPrEx>
        <w:trPr>
          <w:trHeight w:val="2602" w:hRule="atLeast"/>
        </w:trPr>
        <w:tc>
          <w:tcPr>
            <w:tcW w:w="14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1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906"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016"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703"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00"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797"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小计</w:t>
            </w:r>
          </w:p>
        </w:tc>
        <w:tc>
          <w:tcPr>
            <w:tcW w:w="64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     收入</w:t>
            </w:r>
          </w:p>
        </w:tc>
        <w:tc>
          <w:tcPr>
            <w:tcW w:w="610" w:type="dxa"/>
            <w:tcBorders>
              <w:top w:val="nil"/>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事业单位经营收入</w:t>
            </w:r>
          </w:p>
        </w:tc>
        <w:tc>
          <w:tcPr>
            <w:tcW w:w="797"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上级补助收入</w:t>
            </w:r>
          </w:p>
        </w:tc>
        <w:tc>
          <w:tcPr>
            <w:tcW w:w="609"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附属单位上缴收入</w:t>
            </w:r>
          </w:p>
        </w:tc>
        <w:tc>
          <w:tcPr>
            <w:tcW w:w="844" w:type="dxa"/>
            <w:tcBorders>
              <w:top w:val="nil"/>
              <w:left w:val="nil"/>
              <w:bottom w:val="nil"/>
              <w:right w:val="single" w:color="auto" w:sz="4" w:space="0"/>
            </w:tcBorders>
            <w:noWrap w:val="0"/>
            <w:vAlign w:val="center"/>
          </w:tcPr>
          <w:p>
            <w:pPr>
              <w:widowControl/>
              <w:spacing w:line="260" w:lineRule="exact"/>
              <w:jc w:val="center"/>
              <w:rPr>
                <w:rFonts w:ascii="TimesNewRoman" w:hAnsi="TimesNewRoman" w:cs="TimesNewRoman"/>
                <w:b/>
                <w:kern w:val="0"/>
                <w:sz w:val="18"/>
                <w:szCs w:val="18"/>
              </w:rPr>
            </w:pPr>
            <w:r>
              <w:rPr>
                <w:rFonts w:ascii="TimesNewRoman" w:hAnsi="TimesNewRoman" w:cs="TimesNewRoman"/>
                <w:b/>
                <w:kern w:val="0"/>
                <w:sz w:val="18"/>
                <w:szCs w:val="18"/>
              </w:rPr>
              <w:t>其他   收入</w:t>
            </w:r>
          </w:p>
        </w:tc>
        <w:tc>
          <w:tcPr>
            <w:tcW w:w="422"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468"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00"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16"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31"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564" w:type="dxa"/>
            <w:vMerge w:val="continue"/>
            <w:tcBorders>
              <w:top w:val="nil"/>
              <w:left w:val="single" w:color="auto" w:sz="4" w:space="0"/>
              <w:bottom w:val="nil"/>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trHeight w:val="441" w:hRule="atLeast"/>
        </w:trPr>
        <w:tc>
          <w:tcPr>
            <w:tcW w:w="1482"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default" w:ascii="TimesNewRoman" w:hAnsi="TimesNewRoman" w:eastAsia="宋体" w:cs="TimesNewRoman"/>
                <w:kern w:val="0"/>
                <w:sz w:val="18"/>
                <w:szCs w:val="18"/>
                <w:lang w:val="en-US" w:eastAsia="zh-CN"/>
              </w:rPr>
            </w:pPr>
            <w:r>
              <w:rPr>
                <w:rFonts w:hint="eastAsia" w:ascii="TimesNewRoman" w:hAnsi="TimesNewRoman" w:cs="TimesNewRoman"/>
                <w:kern w:val="0"/>
                <w:sz w:val="18"/>
                <w:szCs w:val="18"/>
                <w:lang w:val="en-US" w:eastAsia="zh-CN"/>
              </w:rPr>
              <w:t>中共寿县县委党校</w:t>
            </w:r>
          </w:p>
        </w:tc>
        <w:tc>
          <w:tcPr>
            <w:tcW w:w="11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587.45</w:t>
            </w:r>
          </w:p>
        </w:tc>
        <w:tc>
          <w:tcPr>
            <w:tcW w:w="90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587.45</w:t>
            </w:r>
          </w:p>
        </w:tc>
        <w:tc>
          <w:tcPr>
            <w:tcW w:w="101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527.45</w:t>
            </w:r>
          </w:p>
        </w:tc>
        <w:tc>
          <w:tcPr>
            <w:tcW w:w="703"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50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54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79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60.00</w:t>
            </w:r>
          </w:p>
        </w:tc>
        <w:tc>
          <w:tcPr>
            <w:tcW w:w="6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1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09"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44"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60.00</w:t>
            </w:r>
            <w:r>
              <w:rPr>
                <w:rFonts w:ascii="TimesNewRoman" w:hAnsi="TimesNewRoman" w:cs="TimesNewRoman"/>
                <w:kern w:val="0"/>
                <w:sz w:val="18"/>
                <w:szCs w:val="18"/>
              </w:rPr>
              <w:t>　</w:t>
            </w:r>
          </w:p>
        </w:tc>
        <w:tc>
          <w:tcPr>
            <w:tcW w:w="422"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8"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16"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31"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64" w:type="dxa"/>
            <w:tcBorders>
              <w:top w:val="single" w:color="auto" w:sz="4" w:space="0"/>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1" w:hRule="atLeast"/>
        </w:trPr>
        <w:tc>
          <w:tcPr>
            <w:tcW w:w="1482"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TimesNewRoman" w:hAnsi="TimesNewRoman" w:eastAsia="宋体" w:cs="TimesNewRoman"/>
                <w:kern w:val="0"/>
                <w:sz w:val="18"/>
                <w:szCs w:val="18"/>
                <w:lang w:val="en-US" w:eastAsia="zh-CN"/>
              </w:rPr>
            </w:pPr>
            <w:r>
              <w:rPr>
                <w:rFonts w:hint="eastAsia" w:ascii="TimesNewRoman" w:hAnsi="TimesNewRoman" w:cs="TimesNewRoman"/>
                <w:kern w:val="0"/>
                <w:sz w:val="18"/>
                <w:szCs w:val="18"/>
                <w:lang w:val="en-US" w:eastAsia="zh-CN"/>
              </w:rPr>
              <w:t>中共寿县县委党校</w:t>
            </w:r>
            <w:r>
              <w:rPr>
                <w:rFonts w:ascii="TimesNewRoman" w:hAnsi="TimesNewRoman" w:cs="TimesNewRoman"/>
                <w:kern w:val="0"/>
                <w:sz w:val="18"/>
                <w:szCs w:val="18"/>
              </w:rPr>
              <w:t>本</w:t>
            </w:r>
            <w:r>
              <w:rPr>
                <w:rFonts w:hint="eastAsia" w:ascii="TimesNewRoman" w:hAnsi="TimesNewRoman" w:cs="TimesNewRoman"/>
                <w:kern w:val="0"/>
                <w:sz w:val="18"/>
                <w:szCs w:val="18"/>
                <w:lang w:val="en-US" w:eastAsia="zh-CN"/>
              </w:rPr>
              <w:t>级</w:t>
            </w:r>
          </w:p>
        </w:tc>
        <w:tc>
          <w:tcPr>
            <w:tcW w:w="11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c>
          <w:tcPr>
            <w:tcW w:w="9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587.45</w:t>
            </w:r>
          </w:p>
        </w:tc>
        <w:tc>
          <w:tcPr>
            <w:tcW w:w="10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527.45</w:t>
            </w:r>
          </w:p>
        </w:tc>
        <w:tc>
          <w:tcPr>
            <w:tcW w:w="703"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500"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547"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79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60.00</w:t>
            </w:r>
          </w:p>
        </w:tc>
        <w:tc>
          <w:tcPr>
            <w:tcW w:w="6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1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0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4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60.00</w:t>
            </w:r>
            <w:r>
              <w:rPr>
                <w:rFonts w:ascii="TimesNewRoman" w:hAnsi="TimesNewRoman" w:cs="TimesNewRoman"/>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6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32" w:hRule="atLeast"/>
        </w:trPr>
        <w:tc>
          <w:tcPr>
            <w:tcW w:w="1482"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12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90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0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1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0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4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6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32" w:hRule="atLeast"/>
        </w:trPr>
        <w:tc>
          <w:tcPr>
            <w:tcW w:w="1482"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12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90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0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1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0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4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6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51" w:hRule="atLeast"/>
        </w:trPr>
        <w:tc>
          <w:tcPr>
            <w:tcW w:w="1482"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ascii="TimesNewRoman" w:hAnsi="TimesNewRoman" w:cs="TimesNewRoman"/>
                <w:kern w:val="0"/>
                <w:sz w:val="18"/>
                <w:szCs w:val="18"/>
              </w:rPr>
            </w:pPr>
          </w:p>
        </w:tc>
        <w:tc>
          <w:tcPr>
            <w:tcW w:w="1125"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90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0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0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4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4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1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797"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609"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84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22"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468"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0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16"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564"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bl>
    <w:p>
      <w:pPr>
        <w:spacing w:line="560" w:lineRule="exact"/>
        <w:jc w:val="right"/>
        <w:rPr>
          <w:rFonts w:hint="eastAsia"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sectPr>
          <w:pgSz w:w="16840" w:h="11907" w:orient="landscape"/>
          <w:pgMar w:top="1588" w:right="2098" w:bottom="1474" w:left="1985" w:header="851" w:footer="1021" w:gutter="0"/>
          <w:cols w:space="425" w:num="1"/>
          <w:docGrid w:type="lines" w:linePitch="312" w:charSpace="0"/>
        </w:sectPr>
      </w:pPr>
    </w:p>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r>
        <w:rPr>
          <w:rFonts w:hint="eastAsia" w:ascii="TimesNewRoman" w:hAnsi="TimesNewRoman" w:cs="TimesNewRoman"/>
          <w:kern w:val="0"/>
          <w:sz w:val="20"/>
          <w:u w:val="none"/>
        </w:rPr>
        <w:t xml:space="preserve"> </w:t>
      </w:r>
      <w:r>
        <w:rPr>
          <w:rFonts w:ascii="TimesNewRoman" w:hAnsi="TimesNewRoman" w:cs="TimesNewRoman"/>
          <w:kern w:val="0"/>
          <w:sz w:val="20"/>
          <w:u w:val="none"/>
        </w:rPr>
        <w:t>单位</w:t>
      </w:r>
      <w:r>
        <w:rPr>
          <w:rFonts w:ascii="TimesNewRoman" w:hAnsi="TimesNewRoman" w:cs="TimesNewRoman"/>
          <w:kern w:val="0"/>
          <w:sz w:val="20"/>
        </w:rPr>
        <w:t>公开表3</w:t>
      </w:r>
    </w:p>
    <w:p>
      <w:pPr>
        <w:spacing w:line="560" w:lineRule="exact"/>
        <w:jc w:val="center"/>
        <w:rPr>
          <w:rFonts w:hint="eastAsia" w:ascii="TimesNewRoman" w:hAnsi="TimesNewRoman" w:cs="TimesNewRoman"/>
          <w:kern w:val="0"/>
          <w:sz w:val="20"/>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 xml:space="preserve">年支出总表                 </w:t>
      </w:r>
      <w:r>
        <w:rPr>
          <w:rFonts w:ascii="TimesNewRoman" w:hAnsi="TimesNewRoman" w:cs="TimesNewRoman"/>
          <w:kern w:val="0"/>
          <w:sz w:val="20"/>
        </w:rPr>
        <w:t xml:space="preserve">                                                                          </w:t>
      </w: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r>
        <w:rPr>
          <w:rFonts w:hint="eastAsia" w:ascii="TimesNewRoman" w:hAnsi="TimesNewRoman" w:cs="TimesNewRoman"/>
          <w:kern w:val="0"/>
          <w:sz w:val="20"/>
        </w:rPr>
        <w:t xml:space="preserve">      </w:t>
      </w:r>
      <w:r>
        <w:rPr>
          <w:rFonts w:ascii="TimesNewRoman" w:hAnsi="TimesNewRoman" w:cs="TimesNewRoman"/>
          <w:kern w:val="0"/>
          <w:sz w:val="20"/>
        </w:rPr>
        <w:t>单位：万元</w:t>
      </w:r>
    </w:p>
    <w:tbl>
      <w:tblPr>
        <w:tblStyle w:val="4"/>
        <w:tblW w:w="14192" w:type="dxa"/>
        <w:tblInd w:w="0" w:type="dxa"/>
        <w:tblLayout w:type="fixed"/>
        <w:tblCellMar>
          <w:top w:w="0" w:type="dxa"/>
          <w:left w:w="108" w:type="dxa"/>
          <w:bottom w:w="0" w:type="dxa"/>
          <w:right w:w="108" w:type="dxa"/>
        </w:tblCellMar>
      </w:tblPr>
      <w:tblGrid>
        <w:gridCol w:w="1639"/>
        <w:gridCol w:w="4495"/>
        <w:gridCol w:w="1213"/>
        <w:gridCol w:w="1181"/>
        <w:gridCol w:w="1150"/>
        <w:gridCol w:w="1430"/>
        <w:gridCol w:w="1353"/>
        <w:gridCol w:w="1731"/>
      </w:tblGrid>
      <w:tr>
        <w:tblPrEx>
          <w:tblCellMar>
            <w:top w:w="0" w:type="dxa"/>
            <w:left w:w="108" w:type="dxa"/>
            <w:bottom w:w="0" w:type="dxa"/>
            <w:right w:w="108" w:type="dxa"/>
          </w:tblCellMar>
        </w:tblPrEx>
        <w:trPr>
          <w:trHeight w:val="744" w:hRule="atLeast"/>
        </w:trPr>
        <w:tc>
          <w:tcPr>
            <w:tcW w:w="16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95"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213"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1181"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150"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c>
          <w:tcPr>
            <w:tcW w:w="1430"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事业单位经营支出</w:t>
            </w:r>
          </w:p>
        </w:tc>
        <w:tc>
          <w:tcPr>
            <w:tcW w:w="1353"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上缴上级支出</w:t>
            </w:r>
          </w:p>
        </w:tc>
        <w:tc>
          <w:tcPr>
            <w:tcW w:w="1731"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对附属单位补助支出</w:t>
            </w:r>
          </w:p>
        </w:tc>
      </w:tr>
      <w:tr>
        <w:tblPrEx>
          <w:tblCellMar>
            <w:top w:w="0" w:type="dxa"/>
            <w:left w:w="108" w:type="dxa"/>
            <w:bottom w:w="0" w:type="dxa"/>
            <w:right w:w="108" w:type="dxa"/>
          </w:tblCellMar>
        </w:tblPrEx>
        <w:trPr>
          <w:trHeight w:val="90"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205</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教育支出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496.09</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293.93</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202.16</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20508</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进修及培训</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496.09</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293.93</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202.16</w:t>
            </w: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2050802</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干部教育</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496.09</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293.93</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202.16</w:t>
            </w: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51.08</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51.08</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2080505</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34.05</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34.05</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2080506</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17.03</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17.03</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2089999</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卫生健康支出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行政事业单位医疗</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行政单位医疗</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3.08</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3.08</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2101102</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事业单位医疗</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8.14</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8.14</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2101103</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公务员医疗补助</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2.60</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2.60</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住房保障支出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住房改革支出</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8" w:hRule="atLeast"/>
        </w:trPr>
        <w:tc>
          <w:tcPr>
            <w:tcW w:w="163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2210201</w:t>
            </w:r>
          </w:p>
        </w:tc>
        <w:tc>
          <w:tcPr>
            <w:tcW w:w="449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住房公积金</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w:t>
            </w:r>
          </w:p>
        </w:tc>
        <w:tc>
          <w:tcPr>
            <w:tcW w:w="115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i w:val="0"/>
                <w:iCs w:val="0"/>
                <w:color w:val="000000"/>
                <w:kern w:val="0"/>
                <w:sz w:val="20"/>
                <w:szCs w:val="20"/>
                <w:u w:val="none"/>
                <w:lang w:val="en-US" w:eastAsia="zh-CN" w:bidi="ar"/>
              </w:rPr>
            </w:pP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c>
          <w:tcPr>
            <w:tcW w:w="1731"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w:t>
            </w:r>
          </w:p>
        </w:tc>
      </w:tr>
      <w:tr>
        <w:tblPrEx>
          <w:tblCellMar>
            <w:top w:w="0" w:type="dxa"/>
            <w:left w:w="108" w:type="dxa"/>
            <w:bottom w:w="0" w:type="dxa"/>
            <w:right w:w="108" w:type="dxa"/>
          </w:tblCellMar>
        </w:tblPrEx>
        <w:trPr>
          <w:trHeight w:val="388" w:hRule="atLeast"/>
        </w:trPr>
        <w:tc>
          <w:tcPr>
            <w:tcW w:w="6134" w:type="dxa"/>
            <w:gridSpan w:val="2"/>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21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587.45</w:t>
            </w:r>
          </w:p>
        </w:tc>
        <w:tc>
          <w:tcPr>
            <w:tcW w:w="118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385.29</w:t>
            </w:r>
          </w:p>
        </w:tc>
        <w:tc>
          <w:tcPr>
            <w:tcW w:w="115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202.16</w:t>
            </w:r>
          </w:p>
        </w:tc>
        <w:tc>
          <w:tcPr>
            <w:tcW w:w="1430"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353"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1731" w:type="dxa"/>
            <w:tcBorders>
              <w:top w:val="nil"/>
              <w:left w:val="nil"/>
              <w:bottom w:val="single" w:color="auto" w:sz="4" w:space="0"/>
              <w:right w:val="single" w:color="auto" w:sz="4" w:space="0"/>
            </w:tcBorders>
            <w:noWrap w:val="0"/>
            <w:vAlign w:val="center"/>
          </w:tcPr>
          <w:p>
            <w:pPr>
              <w:widowControl/>
              <w:spacing w:line="26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spacing w:line="560" w:lineRule="exact"/>
        <w:rPr>
          <w:rFonts w:ascii="TimesNewRoman" w:hAnsi="TimesNewRoman" w:cs="TimesNewRoman"/>
        </w:rPr>
      </w:pPr>
    </w:p>
    <w:p>
      <w:pPr>
        <w:spacing w:line="560" w:lineRule="exact"/>
        <w:rPr>
          <w:rFonts w:ascii="TimesNewRoman" w:hAnsi="TimesNewRoman" w:cs="TimesNewRoman"/>
          <w:kern w:val="0"/>
          <w:sz w:val="20"/>
        </w:rPr>
        <w:sectPr>
          <w:pgSz w:w="16840" w:h="11907" w:orient="landscape"/>
          <w:pgMar w:top="1588" w:right="1389" w:bottom="1474" w:left="1418" w:header="851" w:footer="1021" w:gutter="0"/>
          <w:cols w:space="425" w:num="1"/>
          <w:docGrid w:type="linesAndChars" w:linePitch="312" w:charSpace="0"/>
        </w:sectPr>
      </w:pPr>
    </w:p>
    <w:p>
      <w:pPr>
        <w:spacing w:line="560" w:lineRule="exac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r>
        <w:rPr>
          <w:rFonts w:hint="eastAsia" w:ascii="TimesNewRoman" w:hAnsi="TimesNewRoman" w:cs="TimesNewRoman"/>
          <w:kern w:val="0"/>
          <w:sz w:val="20"/>
          <w:lang w:val="en-US" w:eastAsia="zh-CN"/>
        </w:rPr>
        <w:t xml:space="preserve">        </w:t>
      </w:r>
      <w:r>
        <w:rPr>
          <w:rFonts w:hint="eastAsia" w:ascii="TimesNewRoman" w:hAnsi="TimesNewRoman" w:cs="TimesNewRoman"/>
          <w:kern w:val="0"/>
          <w:sz w:val="20"/>
        </w:rPr>
        <w:t xml:space="preserve"> </w:t>
      </w:r>
      <w:r>
        <w:rPr>
          <w:rFonts w:ascii="TimesNewRoman" w:hAnsi="TimesNewRoman" w:cs="TimesNewRoman"/>
          <w:kern w:val="0"/>
          <w:sz w:val="20"/>
          <w:u w:val="none"/>
        </w:rPr>
        <w:t>单位</w:t>
      </w:r>
      <w:r>
        <w:rPr>
          <w:rFonts w:ascii="TimesNewRoman" w:hAnsi="TimesNewRoman" w:cs="TimesNewRoman"/>
          <w:kern w:val="0"/>
          <w:sz w:val="20"/>
        </w:rPr>
        <w:t>公开表4</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年财政拨款收支总表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9274" w:type="dxa"/>
        <w:tblInd w:w="0" w:type="dxa"/>
        <w:tblLayout w:type="fixed"/>
        <w:tblCellMar>
          <w:top w:w="0" w:type="dxa"/>
          <w:left w:w="108" w:type="dxa"/>
          <w:bottom w:w="0" w:type="dxa"/>
          <w:right w:w="108" w:type="dxa"/>
        </w:tblCellMar>
      </w:tblPr>
      <w:tblGrid>
        <w:gridCol w:w="2995"/>
        <w:gridCol w:w="1167"/>
        <w:gridCol w:w="3821"/>
        <w:gridCol w:w="1291"/>
      </w:tblGrid>
      <w:tr>
        <w:tblPrEx>
          <w:tblCellMar>
            <w:top w:w="0" w:type="dxa"/>
            <w:left w:w="108" w:type="dxa"/>
            <w:bottom w:w="0" w:type="dxa"/>
            <w:right w:w="108" w:type="dxa"/>
          </w:tblCellMar>
        </w:tblPrEx>
        <w:trPr>
          <w:trHeight w:val="167" w:hRule="atLeast"/>
        </w:trPr>
        <w:tc>
          <w:tcPr>
            <w:tcW w:w="416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w:t>
            </w:r>
          </w:p>
        </w:tc>
        <w:tc>
          <w:tcPr>
            <w:tcW w:w="5112"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预算数</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一、本年收入</w:t>
            </w:r>
          </w:p>
        </w:tc>
        <w:tc>
          <w:tcPr>
            <w:tcW w:w="11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一、本年支出</w:t>
            </w:r>
          </w:p>
        </w:tc>
        <w:tc>
          <w:tcPr>
            <w:tcW w:w="129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（一）一般公共服务支出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（二）外交支出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（三）国防支出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（四）公共安全支出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二、上年结转</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（五）教育支出</w:t>
            </w:r>
          </w:p>
        </w:tc>
        <w:tc>
          <w:tcPr>
            <w:tcW w:w="129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436.09</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（一）一般公共预算拨款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（六）科学技术支出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（二）政府性基金预算拨款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（七）文化旅游体育与传媒支出</w:t>
            </w:r>
          </w:p>
        </w:tc>
        <w:tc>
          <w:tcPr>
            <w:tcW w:w="129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r>
              <w:rPr>
                <w:rFonts w:ascii="TimesNewRoman" w:hAnsi="TimesNewRoman" w:cs="TimesNewRoman"/>
                <w:kern w:val="0"/>
                <w:sz w:val="18"/>
                <w:szCs w:val="18"/>
              </w:rPr>
              <w:t>（三）国有资本经营预算拨款</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（八）社会保障和就业支出</w:t>
            </w:r>
          </w:p>
        </w:tc>
        <w:tc>
          <w:tcPr>
            <w:tcW w:w="129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52.00</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（九）卫生健康支出</w:t>
            </w:r>
          </w:p>
        </w:tc>
        <w:tc>
          <w:tcPr>
            <w:tcW w:w="129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13.83</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（十）节能环保支出</w:t>
            </w:r>
          </w:p>
        </w:tc>
        <w:tc>
          <w:tcPr>
            <w:tcW w:w="129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（十一）城乡社区支出</w:t>
            </w:r>
          </w:p>
        </w:tc>
        <w:tc>
          <w:tcPr>
            <w:tcW w:w="129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（十二）农林水支出</w:t>
            </w:r>
          </w:p>
        </w:tc>
        <w:tc>
          <w:tcPr>
            <w:tcW w:w="129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nil"/>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（十三）交通运输支出</w:t>
            </w:r>
          </w:p>
        </w:tc>
        <w:tc>
          <w:tcPr>
            <w:tcW w:w="129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（十四）资源勘探工业信息等支出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（十五）商业服务业等支出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（十六）金融支出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（十七）援助其他地区支出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（十八）自然资源海洋气象等支出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（十九）住房保障支出</w:t>
            </w:r>
          </w:p>
        </w:tc>
        <w:tc>
          <w:tcPr>
            <w:tcW w:w="129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25.54</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（二十）粮油物资储备支出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（二十一）灾害防治及应急管理支出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（二十二）预备费</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（二十三）其他支出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（二十四）转移性支出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（二十五）债务还本支出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（二十六）债务付息支出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（二十七）债务发行费用支出</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二、年终结转结余</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（一）一般公共预算结转结余</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（二）政府性基金预算结转结余</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（三）国有资本经营预算结转结余</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16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29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167" w:hRule="atLeast"/>
        </w:trPr>
        <w:tc>
          <w:tcPr>
            <w:tcW w:w="29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收    入    总    计</w:t>
            </w:r>
          </w:p>
        </w:tc>
        <w:tc>
          <w:tcPr>
            <w:tcW w:w="11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c>
          <w:tcPr>
            <w:tcW w:w="382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支    出    总    计</w:t>
            </w:r>
          </w:p>
        </w:tc>
        <w:tc>
          <w:tcPr>
            <w:tcW w:w="129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527.45</w:t>
            </w:r>
          </w:p>
        </w:tc>
      </w:tr>
    </w:tbl>
    <w:p>
      <w:pPr>
        <w:spacing w:line="560" w:lineRule="exact"/>
        <w:jc w:val="right"/>
        <w:rPr>
          <w:rFonts w:ascii="TimesNewRoman" w:hAnsi="TimesNewRoman" w:cs="TimesNewRoman"/>
          <w:kern w:val="0"/>
          <w:sz w:val="20"/>
        </w:rPr>
        <w:sectPr>
          <w:pgSz w:w="11907" w:h="16840"/>
          <w:pgMar w:top="2098" w:right="1474" w:bottom="1985" w:left="1588" w:header="851" w:footer="1021" w:gutter="0"/>
          <w:cols w:space="425" w:num="1"/>
          <w:docGrid w:type="lines" w:linePitch="312" w:charSpace="0"/>
        </w:sectPr>
      </w:pPr>
    </w:p>
    <w:p>
      <w:pPr>
        <w:spacing w:line="560" w:lineRule="exact"/>
        <w:jc w:val="right"/>
        <w:rPr>
          <w:rFonts w:ascii="TimesNewRoman" w:hAnsi="TimesNewRoman" w:cs="TimesNewRoman"/>
          <w:kern w:val="0"/>
          <w:sz w:val="20"/>
        </w:rPr>
      </w:pPr>
      <w:r>
        <w:rPr>
          <w:rFonts w:ascii="TimesNewRoman" w:hAnsi="TimesNewRoman" w:cs="TimesNewRoman"/>
          <w:kern w:val="0"/>
          <w:sz w:val="20"/>
          <w:u w:val="none"/>
        </w:rPr>
        <w:t>单位</w:t>
      </w:r>
      <w:r>
        <w:rPr>
          <w:rFonts w:ascii="TimesNewRoman" w:hAnsi="TimesNewRoman" w:cs="TimesNewRoman"/>
          <w:kern w:val="0"/>
          <w:sz w:val="20"/>
        </w:rPr>
        <w:t>公开表5</w:t>
      </w:r>
    </w:p>
    <w:p>
      <w:pPr>
        <w:widowControl/>
        <w:spacing w:before="156" w:beforeLines="50" w:after="156" w:afterLines="50" w:line="560" w:lineRule="exact"/>
        <w:jc w:val="center"/>
        <w:rPr>
          <w:rFonts w:ascii="TimesNewRoman" w:hAnsi="TimesNewRoman" w:eastAsia="华文中宋" w:cs="TimesNewRoman"/>
          <w:b/>
          <w:bCs/>
          <w:kern w:val="0"/>
          <w:sz w:val="30"/>
          <w:szCs w:val="30"/>
        </w:rPr>
      </w:pPr>
      <w:r>
        <w:rPr>
          <w:rFonts w:hint="eastAsia" w:ascii="TimesNewRoman" w:hAnsi="TimesNewRoman" w:eastAsia="华文中宋" w:cs="TimesNewRoman"/>
          <w:b/>
          <w:bCs/>
          <w:kern w:val="0"/>
          <w:sz w:val="30"/>
          <w:szCs w:val="30"/>
        </w:rPr>
        <w:t xml:space="preserve">  </w:t>
      </w:r>
      <w:r>
        <w:rPr>
          <w:rFonts w:hint="eastAsia" w:ascii="TimesNewRoman" w:hAnsi="TimesNewRoman" w:eastAsia="华文中宋" w:cs="TimesNewRoman"/>
          <w:b/>
          <w:bCs/>
          <w:kern w:val="0"/>
          <w:sz w:val="30"/>
          <w:szCs w:val="30"/>
          <w:lang w:val="en-US" w:eastAsia="zh-CN"/>
        </w:rPr>
        <w:t>中共寿县县委党校</w:t>
      </w:r>
      <w:r>
        <w:rPr>
          <w:rFonts w:hint="eastAsia" w:ascii="TimesNewRoman" w:hAnsi="TimesNewRoman" w:eastAsia="华文中宋" w:cs="TimesNewRoman"/>
          <w:b/>
          <w:bCs/>
          <w:kern w:val="0"/>
          <w:sz w:val="30"/>
          <w:szCs w:val="30"/>
        </w:rPr>
        <w:t>2024</w:t>
      </w:r>
      <w:r>
        <w:rPr>
          <w:rFonts w:ascii="TimesNewRoman" w:hAnsi="TimesNewRoman" w:eastAsia="华文中宋" w:cs="TimesNewRoman"/>
          <w:b/>
          <w:bCs/>
          <w:kern w:val="0"/>
          <w:sz w:val="30"/>
          <w:szCs w:val="30"/>
        </w:rPr>
        <w:t>年一般公共预算支出表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3840" w:type="dxa"/>
        <w:tblInd w:w="0" w:type="dxa"/>
        <w:tblLayout w:type="fixed"/>
        <w:tblCellMar>
          <w:top w:w="0" w:type="dxa"/>
          <w:left w:w="108" w:type="dxa"/>
          <w:bottom w:w="0" w:type="dxa"/>
          <w:right w:w="108" w:type="dxa"/>
        </w:tblCellMar>
      </w:tblPr>
      <w:tblGrid>
        <w:gridCol w:w="1603"/>
        <w:gridCol w:w="4482"/>
        <w:gridCol w:w="1303"/>
        <w:gridCol w:w="1287"/>
        <w:gridCol w:w="1752"/>
        <w:gridCol w:w="1706"/>
        <w:gridCol w:w="1707"/>
      </w:tblGrid>
      <w:tr>
        <w:tblPrEx>
          <w:tblCellMar>
            <w:top w:w="0" w:type="dxa"/>
            <w:left w:w="108" w:type="dxa"/>
            <w:bottom w:w="0" w:type="dxa"/>
            <w:right w:w="108" w:type="dxa"/>
          </w:tblCellMar>
        </w:tblPrEx>
        <w:trPr>
          <w:trHeight w:val="383" w:hRule="atLeast"/>
        </w:trPr>
        <w:tc>
          <w:tcPr>
            <w:tcW w:w="1603"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编码</w:t>
            </w:r>
          </w:p>
        </w:tc>
        <w:tc>
          <w:tcPr>
            <w:tcW w:w="4482"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30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4745"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1707"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trHeight w:val="383" w:hRule="atLeast"/>
        </w:trPr>
        <w:tc>
          <w:tcPr>
            <w:tcW w:w="1603"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4482"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303"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287"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小计</w:t>
            </w:r>
          </w:p>
        </w:tc>
        <w:tc>
          <w:tcPr>
            <w:tcW w:w="1752"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c>
          <w:tcPr>
            <w:tcW w:w="1707"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205</w:t>
            </w:r>
          </w:p>
        </w:tc>
        <w:tc>
          <w:tcPr>
            <w:tcW w:w="448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教育支出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436.09</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293.93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264.94</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28.99</w:t>
            </w:r>
          </w:p>
        </w:tc>
        <w:tc>
          <w:tcPr>
            <w:tcW w:w="17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142.16</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20508</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进修及培训</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436.09</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293.93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264.94</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28.99</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142.16</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2050802</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干部教育</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436.09</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293.93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264.94</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28.99</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142.16</w:t>
            </w: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208</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51.08</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2080505</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34.05</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34.05</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34.05</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2080506</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17.03</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17.03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17.03</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2089999</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其他社会保障和就业支出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0.92</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210</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卫生健康支出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21011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行政事业单位医疗</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13.83</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2101101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行政单位医疗</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3.08</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3.08</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3.08</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2101102</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事业单位医疗</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8.14</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8.14</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8.14</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2101103</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公务员医疗补助</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2.60</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2.60</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2.60</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221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住房保障支出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22102</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住房改革支出</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16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2210201</w:t>
            </w:r>
          </w:p>
        </w:tc>
        <w:tc>
          <w:tcPr>
            <w:tcW w:w="4482"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　　住房公积金</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25.54</w:t>
            </w:r>
          </w:p>
        </w:tc>
        <w:tc>
          <w:tcPr>
            <w:tcW w:w="170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c>
          <w:tcPr>
            <w:tcW w:w="1707"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383" w:hRule="atLeast"/>
        </w:trPr>
        <w:tc>
          <w:tcPr>
            <w:tcW w:w="6085"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30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527.45</w:t>
            </w:r>
          </w:p>
        </w:tc>
        <w:tc>
          <w:tcPr>
            <w:tcW w:w="128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385.29</w:t>
            </w:r>
          </w:p>
        </w:tc>
        <w:tc>
          <w:tcPr>
            <w:tcW w:w="175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356.30</w:t>
            </w:r>
          </w:p>
        </w:tc>
        <w:tc>
          <w:tcPr>
            <w:tcW w:w="170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28.99</w:t>
            </w:r>
          </w:p>
        </w:tc>
        <w:tc>
          <w:tcPr>
            <w:tcW w:w="170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142.16</w:t>
            </w:r>
          </w:p>
        </w:tc>
      </w:tr>
    </w:tbl>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ascii="TimesNewRoman" w:hAnsi="TimesNewRoman" w:cs="TimesNewRoman"/>
          <w:kern w:val="0"/>
          <w:sz w:val="20"/>
        </w:rPr>
      </w:pPr>
    </w:p>
    <w:p>
      <w:pPr>
        <w:spacing w:line="560" w:lineRule="exact"/>
        <w:ind w:left="903" w:leftChars="430"/>
        <w:jc w:val="right"/>
        <w:rPr>
          <w:rFonts w:hint="eastAsia" w:ascii="宋体" w:hAnsi="宋体" w:cs="TimesNewRoman"/>
          <w:b/>
          <w:bCs/>
          <w:kern w:val="0"/>
          <w:sz w:val="28"/>
          <w:szCs w:val="32"/>
        </w:rPr>
      </w:pPr>
      <w:r>
        <w:rPr>
          <w:rFonts w:ascii="TimesNewRoman" w:hAnsi="TimesNewRoman" w:cs="TimesNewRoman"/>
          <w:kern w:val="0"/>
          <w:sz w:val="20"/>
        </w:rPr>
        <w:t>部门</w:t>
      </w:r>
      <w:r>
        <w:rPr>
          <w:rFonts w:ascii="TimesNewRoman" w:hAnsi="TimesNewRoman" w:cs="TimesNewRoman"/>
          <w:kern w:val="0"/>
          <w:sz w:val="20"/>
          <w:u w:val="single"/>
        </w:rPr>
        <w:t>（单位）</w:t>
      </w:r>
      <w:r>
        <w:rPr>
          <w:rFonts w:ascii="TimesNewRoman" w:hAnsi="TimesNewRoman" w:cs="TimesNewRoman"/>
          <w:kern w:val="0"/>
          <w:sz w:val="20"/>
        </w:rPr>
        <w:t>公开表6</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年一般公共预算基本支出表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4005" w:type="dxa"/>
        <w:tblInd w:w="0" w:type="dxa"/>
        <w:tblLayout w:type="fixed"/>
        <w:tblCellMar>
          <w:top w:w="0" w:type="dxa"/>
          <w:left w:w="108" w:type="dxa"/>
          <w:bottom w:w="0" w:type="dxa"/>
          <w:right w:w="108" w:type="dxa"/>
        </w:tblCellMar>
      </w:tblPr>
      <w:tblGrid>
        <w:gridCol w:w="2930"/>
        <w:gridCol w:w="4350"/>
        <w:gridCol w:w="1530"/>
        <w:gridCol w:w="2631"/>
        <w:gridCol w:w="2564"/>
      </w:tblGrid>
      <w:tr>
        <w:tblPrEx>
          <w:tblCellMar>
            <w:top w:w="0" w:type="dxa"/>
            <w:left w:w="108" w:type="dxa"/>
            <w:bottom w:w="0" w:type="dxa"/>
            <w:right w:w="108" w:type="dxa"/>
          </w:tblCellMar>
        </w:tblPrEx>
        <w:trPr>
          <w:trHeight w:val="365" w:hRule="atLeast"/>
        </w:trPr>
        <w:tc>
          <w:tcPr>
            <w:tcW w:w="72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部门预算支出经济分类科目</w:t>
            </w:r>
          </w:p>
        </w:tc>
        <w:tc>
          <w:tcPr>
            <w:tcW w:w="6725"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本年一般公共预算基本支出</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人员经费</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公用经费</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301</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工资福利支出</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304.20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304.20</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30101</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基本工资</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108.56</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108.56</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30102</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津贴补贴</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14.31</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14.31</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30103</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奖金</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52.50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52.50</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30107</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绩效工资</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37.47</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37.47</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30108</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机关事业单位基本养老保险缴费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34.05</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34.05</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30109</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职业年金缴费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17.03</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17.03</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30110</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职工基本医疗保险缴费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11.22</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11.22</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30111</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公务员医疗补助缴费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2.60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2.60</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30112</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其他社会保障缴费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0.92</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0.92</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30113</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住房公积金</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25.54</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25.54</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302</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商品和服务支出</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28.39</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28.39</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30201</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办公费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0.22</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0.22</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30205</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水费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30206</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电费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30207</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邮电费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4.10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4.10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30213</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维修（护）费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2.00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2.00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30215</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会议费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1.80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1.80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30217</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公务接待费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4.30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4.30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30228</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工会经费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2.55</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2.55</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30239</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其他交通费用</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7.92</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7.92</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303</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对个人和家庭的补助</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52.10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52.10</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30302</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退休费</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49.28</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49.28</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30305</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生活补助</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2.82</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2.82</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310</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资本性支出</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0.60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0.60</w:t>
            </w:r>
          </w:p>
        </w:tc>
      </w:tr>
      <w:tr>
        <w:tblPrEx>
          <w:tblCellMar>
            <w:top w:w="0" w:type="dxa"/>
            <w:left w:w="108" w:type="dxa"/>
            <w:bottom w:w="0" w:type="dxa"/>
            <w:right w:w="108" w:type="dxa"/>
          </w:tblCellMar>
        </w:tblPrEx>
        <w:trPr>
          <w:trHeight w:val="365" w:hRule="atLeast"/>
        </w:trPr>
        <w:tc>
          <w:tcPr>
            <w:tcW w:w="293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31002</w:t>
            </w:r>
          </w:p>
        </w:tc>
        <w:tc>
          <w:tcPr>
            <w:tcW w:w="435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　办公设备购置</w:t>
            </w:r>
          </w:p>
        </w:tc>
        <w:tc>
          <w:tcPr>
            <w:tcW w:w="15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0.60</w:t>
            </w:r>
          </w:p>
        </w:tc>
        <w:tc>
          <w:tcPr>
            <w:tcW w:w="26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p>
        </w:tc>
        <w:tc>
          <w:tcPr>
            <w:tcW w:w="256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inorEastAsia" w:hAnsiTheme="minorEastAsia" w:eastAsiaTheme="minorEastAsia" w:cstheme="minorEastAsia"/>
                <w:b w:val="0"/>
                <w:bCs w:val="0"/>
                <w:kern w:val="0"/>
                <w:sz w:val="20"/>
                <w:szCs w:val="20"/>
              </w:rPr>
            </w:pPr>
            <w:r>
              <w:rPr>
                <w:rFonts w:hint="eastAsia" w:asciiTheme="minorEastAsia" w:hAnsiTheme="minorEastAsia" w:eastAsiaTheme="minorEastAsia" w:cstheme="minorEastAsia"/>
                <w:b w:val="0"/>
                <w:bCs w:val="0"/>
                <w:kern w:val="0"/>
                <w:sz w:val="20"/>
                <w:szCs w:val="20"/>
                <w:lang w:val="en-US" w:eastAsia="zh-CN"/>
              </w:rPr>
              <w:t>0.60</w:t>
            </w:r>
          </w:p>
        </w:tc>
      </w:tr>
      <w:tr>
        <w:tblPrEx>
          <w:tblCellMar>
            <w:top w:w="0" w:type="dxa"/>
            <w:left w:w="108" w:type="dxa"/>
            <w:bottom w:w="0" w:type="dxa"/>
            <w:right w:w="108" w:type="dxa"/>
          </w:tblCellMar>
        </w:tblPrEx>
        <w:trPr>
          <w:trHeight w:val="365" w:hRule="atLeast"/>
        </w:trPr>
        <w:tc>
          <w:tcPr>
            <w:tcW w:w="7280"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5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385.29</w:t>
            </w:r>
          </w:p>
        </w:tc>
        <w:tc>
          <w:tcPr>
            <w:tcW w:w="263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356.30</w:t>
            </w:r>
          </w:p>
        </w:tc>
        <w:tc>
          <w:tcPr>
            <w:tcW w:w="256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28.99</w:t>
            </w:r>
          </w:p>
        </w:tc>
      </w:tr>
    </w:tbl>
    <w:p>
      <w:pPr>
        <w:spacing w:line="560" w:lineRule="exact"/>
        <w:rPr>
          <w:rFonts w:ascii="TimesNewRoman" w:hAnsi="TimesNewRoman" w:cs="TimesNewRoman"/>
        </w:rPr>
      </w:pPr>
    </w:p>
    <w:p>
      <w:pPr>
        <w:spacing w:line="560" w:lineRule="exact"/>
        <w:jc w:val="right"/>
        <w:rPr>
          <w:rFonts w:ascii="TimesNewRoman" w:hAnsi="TimesNewRoman" w:cs="TimesNewRoman"/>
          <w:kern w:val="0"/>
          <w:sz w:val="20"/>
        </w:rPr>
      </w:pPr>
      <w:r>
        <w:rPr>
          <w:rFonts w:ascii="TimesNewRoman" w:hAnsi="TimesNewRoman" w:cs="TimesNewRoman"/>
          <w:kern w:val="0"/>
          <w:sz w:val="20"/>
        </w:rPr>
        <w:t xml:space="preserve">                                                        </w:t>
      </w:r>
      <w:r>
        <w:rPr>
          <w:rFonts w:hint="eastAsia" w:ascii="TimesNewRoman" w:hAnsi="TimesNewRoman" w:cs="TimesNewRoman"/>
          <w:kern w:val="0"/>
          <w:sz w:val="20"/>
        </w:rPr>
        <w:t xml:space="preserve">     </w:t>
      </w:r>
      <w:r>
        <w:rPr>
          <w:rFonts w:ascii="TimesNewRoman" w:hAnsi="TimesNewRoman" w:cs="TimesNewRoman"/>
          <w:kern w:val="0"/>
          <w:sz w:val="20"/>
          <w:u w:val="none"/>
        </w:rPr>
        <w:t>单位</w:t>
      </w:r>
      <w:r>
        <w:rPr>
          <w:rFonts w:ascii="TimesNewRoman" w:hAnsi="TimesNewRoman" w:cs="TimesNewRoman"/>
          <w:kern w:val="0"/>
          <w:sz w:val="20"/>
        </w:rPr>
        <w:t>公开表7</w:t>
      </w: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hint="eastAsia" w:ascii="宋体" w:hAnsi="宋体" w:cs="TimesNewRoman"/>
          <w:b/>
          <w:bCs/>
          <w:kern w:val="0"/>
          <w:sz w:val="28"/>
          <w:szCs w:val="32"/>
          <w:lang w:val="en-US" w:eastAsia="zh-CN"/>
        </w:rPr>
      </w:pP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年政府性基金预算支出表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3951" w:type="dxa"/>
        <w:tblInd w:w="0" w:type="dxa"/>
        <w:tblLayout w:type="fixed"/>
        <w:tblCellMar>
          <w:top w:w="0" w:type="dxa"/>
          <w:left w:w="108" w:type="dxa"/>
          <w:bottom w:w="0" w:type="dxa"/>
          <w:right w:w="108" w:type="dxa"/>
        </w:tblCellMar>
      </w:tblPr>
      <w:tblGrid>
        <w:gridCol w:w="1911"/>
        <w:gridCol w:w="6266"/>
        <w:gridCol w:w="1640"/>
        <w:gridCol w:w="2018"/>
        <w:gridCol w:w="2116"/>
      </w:tblGrid>
      <w:tr>
        <w:tblPrEx>
          <w:tblCellMar>
            <w:top w:w="0" w:type="dxa"/>
            <w:left w:w="108" w:type="dxa"/>
            <w:bottom w:w="0" w:type="dxa"/>
            <w:right w:w="108" w:type="dxa"/>
          </w:tblCellMar>
        </w:tblPrEx>
        <w:trPr>
          <w:trHeight w:val="570" w:hRule="atLeast"/>
        </w:trPr>
        <w:tc>
          <w:tcPr>
            <w:tcW w:w="191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626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5774"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本年政府性基金预算支出</w:t>
            </w:r>
          </w:p>
        </w:tc>
      </w:tr>
      <w:tr>
        <w:tblPrEx>
          <w:tblCellMar>
            <w:top w:w="0" w:type="dxa"/>
            <w:left w:w="108" w:type="dxa"/>
            <w:bottom w:w="0" w:type="dxa"/>
            <w:right w:w="108" w:type="dxa"/>
          </w:tblCellMar>
        </w:tblPrEx>
        <w:trPr>
          <w:trHeight w:val="570" w:hRule="atLeast"/>
        </w:trPr>
        <w:tc>
          <w:tcPr>
            <w:tcW w:w="191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626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ind w:firstLine="360" w:firstLineChars="200"/>
              <w:jc w:val="left"/>
              <w:rPr>
                <w:rFonts w:ascii="TimesNewRoman" w:hAnsi="TimesNewRoman" w:cs="TimesNewRoman"/>
                <w:kern w:val="0"/>
                <w:sz w:val="18"/>
                <w:szCs w:val="18"/>
              </w:rPr>
            </w:pP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576"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eastAsia="仿宋_GB2312"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TimesNewRoman" w:hAnsi="TimesNewRoman" w:cs="TimesNewRoman"/>
                <w:kern w:val="0"/>
                <w:sz w:val="18"/>
                <w:szCs w:val="18"/>
              </w:rPr>
            </w:pP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6266"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trHeight w:val="442" w:hRule="atLeast"/>
        </w:trPr>
        <w:tc>
          <w:tcPr>
            <w:tcW w:w="817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总</w:t>
            </w:r>
            <w:r>
              <w:rPr>
                <w:rFonts w:ascii="TimesNewRoman" w:hAnsi="TimesNewRoman" w:cs="TimesNewRoman"/>
                <w:b/>
                <w:bCs/>
                <w:kern w:val="0"/>
                <w:sz w:val="18"/>
                <w:szCs w:val="18"/>
              </w:rPr>
              <w:t xml:space="preserve"> 计</w:t>
            </w:r>
          </w:p>
        </w:tc>
        <w:tc>
          <w:tcPr>
            <w:tcW w:w="164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01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c>
          <w:tcPr>
            <w:tcW w:w="2116"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w:t>
            </w:r>
          </w:p>
        </w:tc>
      </w:tr>
    </w:tbl>
    <w:p>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Pr>
          <w:rFonts w:hint="eastAsia" w:ascii="TimesNewRoman" w:hAnsi="TimesNewRoman" w:cs="TimesNewRoman"/>
          <w:kern w:val="0"/>
          <w:sz w:val="24"/>
          <w:lang w:val="en-US" w:eastAsia="zh-CN"/>
        </w:rPr>
        <w:t>中共寿县县委党校</w:t>
      </w:r>
      <w:r>
        <w:rPr>
          <w:rFonts w:ascii="TimesNewRoman" w:hAnsi="TimesNewRoman" w:cs="TimesNewRoman"/>
          <w:kern w:val="0"/>
          <w:sz w:val="24"/>
        </w:rPr>
        <w:t>没有政府性基金预算拨款收入，也没有政府性基金预算拨款安排的支出，故本表无数据。</w:t>
      </w:r>
    </w:p>
    <w:p>
      <w:pPr>
        <w:pStyle w:val="3"/>
        <w:adjustRightInd w:val="0"/>
        <w:snapToGrid w:val="0"/>
        <w:spacing w:after="156" w:afterLines="50" w:line="560" w:lineRule="exact"/>
        <w:ind w:right="102"/>
        <w:jc w:val="right"/>
        <w:rPr>
          <w:rFonts w:ascii="TimesNewRoman" w:hAnsi="TimesNewRoman" w:cs="TimesNewRoman"/>
          <w:sz w:val="20"/>
          <w:szCs w:val="20"/>
        </w:rPr>
      </w:pPr>
      <w:r>
        <w:rPr>
          <w:rFonts w:ascii="TimesNewRoman" w:hAnsi="TimesNewRoman" w:cs="TimesNewRoman"/>
          <w:sz w:val="20"/>
          <w:szCs w:val="20"/>
        </w:rPr>
        <w:t xml:space="preserve"> </w:t>
      </w:r>
    </w:p>
    <w:p>
      <w:pPr>
        <w:pStyle w:val="3"/>
        <w:adjustRightInd w:val="0"/>
        <w:snapToGrid w:val="0"/>
        <w:spacing w:after="156" w:afterLines="50" w:line="560" w:lineRule="exact"/>
        <w:ind w:right="102"/>
        <w:jc w:val="right"/>
        <w:rPr>
          <w:rFonts w:ascii="TimesNewRoman" w:hAnsi="TimesNewRoman" w:eastAsia="黑体" w:cs="TimesNewRoman"/>
          <w:bCs/>
          <w:sz w:val="36"/>
          <w:szCs w:val="36"/>
        </w:rPr>
      </w:pPr>
      <w:r>
        <w:rPr>
          <w:rFonts w:ascii="TimesNewRoman" w:hAnsi="TimesNewRoman" w:eastAsia="仿宋_GB2312" w:cs="TimesNewRoman"/>
          <w:sz w:val="20"/>
          <w:szCs w:val="20"/>
          <w:u w:val="none"/>
        </w:rPr>
        <w:t>单位</w:t>
      </w:r>
      <w:r>
        <w:rPr>
          <w:rFonts w:ascii="TimesNewRoman" w:hAnsi="TimesNewRoman" w:eastAsia="仿宋_GB2312" w:cs="TimesNewRoman"/>
          <w:sz w:val="20"/>
          <w:szCs w:val="20"/>
        </w:rPr>
        <w:t>公开表8</w:t>
      </w:r>
    </w:p>
    <w:tbl>
      <w:tblPr>
        <w:tblStyle w:val="4"/>
        <w:tblW w:w="13876" w:type="dxa"/>
        <w:tblInd w:w="0" w:type="dxa"/>
        <w:tblLayout w:type="fixed"/>
        <w:tblCellMar>
          <w:top w:w="0" w:type="dxa"/>
          <w:left w:w="108" w:type="dxa"/>
          <w:bottom w:w="0" w:type="dxa"/>
          <w:right w:w="108" w:type="dxa"/>
        </w:tblCellMar>
      </w:tblPr>
      <w:tblGrid>
        <w:gridCol w:w="710"/>
        <w:gridCol w:w="902"/>
        <w:gridCol w:w="1870"/>
        <w:gridCol w:w="4312"/>
        <w:gridCol w:w="342"/>
        <w:gridCol w:w="1153"/>
        <w:gridCol w:w="2013"/>
        <w:gridCol w:w="666"/>
        <w:gridCol w:w="1224"/>
        <w:gridCol w:w="559"/>
        <w:gridCol w:w="125"/>
      </w:tblGrid>
      <w:tr>
        <w:tblPrEx>
          <w:tblCellMar>
            <w:top w:w="0" w:type="dxa"/>
            <w:left w:w="108" w:type="dxa"/>
            <w:bottom w:w="0" w:type="dxa"/>
            <w:right w:w="108" w:type="dxa"/>
          </w:tblCellMar>
        </w:tblPrEx>
        <w:trPr>
          <w:gridAfter w:val="2"/>
          <w:wAfter w:w="683" w:type="dxa"/>
          <w:trHeight w:val="441" w:hRule="atLeast"/>
        </w:trPr>
        <w:tc>
          <w:tcPr>
            <w:tcW w:w="13193" w:type="dxa"/>
            <w:gridSpan w:val="9"/>
            <w:tcBorders>
              <w:top w:val="nil"/>
              <w:left w:val="nil"/>
              <w:bottom w:val="nil"/>
              <w:right w:val="nil"/>
            </w:tcBorders>
            <w:noWrap w:val="0"/>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年国有资本经营预算支出表</w:t>
            </w:r>
          </w:p>
        </w:tc>
      </w:tr>
      <w:tr>
        <w:tblPrEx>
          <w:tblCellMar>
            <w:top w:w="0" w:type="dxa"/>
            <w:left w:w="108" w:type="dxa"/>
            <w:bottom w:w="0" w:type="dxa"/>
            <w:right w:w="108" w:type="dxa"/>
          </w:tblCellMar>
        </w:tblPrEx>
        <w:trPr>
          <w:trHeight w:val="299" w:hRule="atLeast"/>
        </w:trPr>
        <w:tc>
          <w:tcPr>
            <w:tcW w:w="711" w:type="dxa"/>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18"/>
                <w:szCs w:val="18"/>
              </w:rPr>
            </w:pPr>
          </w:p>
        </w:tc>
        <w:tc>
          <w:tcPr>
            <w:tcW w:w="902" w:type="dxa"/>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20"/>
              </w:rPr>
            </w:pPr>
          </w:p>
        </w:tc>
        <w:tc>
          <w:tcPr>
            <w:tcW w:w="6182" w:type="dxa"/>
            <w:gridSpan w:val="2"/>
            <w:tcBorders>
              <w:top w:val="nil"/>
              <w:left w:val="nil"/>
              <w:bottom w:val="single" w:color="auto" w:sz="4" w:space="0"/>
              <w:right w:val="nil"/>
            </w:tcBorders>
            <w:noWrap w:val="0"/>
            <w:vAlign w:val="center"/>
          </w:tcPr>
          <w:p>
            <w:pPr>
              <w:widowControl/>
              <w:spacing w:line="560" w:lineRule="exact"/>
              <w:jc w:val="left"/>
              <w:rPr>
                <w:rFonts w:ascii="TimesNewRoman" w:hAnsi="TimesNewRoman" w:cs="TimesNewRoman"/>
                <w:kern w:val="0"/>
                <w:sz w:val="20"/>
              </w:rPr>
            </w:pPr>
          </w:p>
        </w:tc>
        <w:tc>
          <w:tcPr>
            <w:tcW w:w="342" w:type="dxa"/>
            <w:tcBorders>
              <w:top w:val="nil"/>
              <w:left w:val="nil"/>
              <w:bottom w:val="nil"/>
              <w:right w:val="nil"/>
            </w:tcBorders>
            <w:noWrap w:val="0"/>
            <w:vAlign w:val="center"/>
          </w:tcPr>
          <w:p>
            <w:pPr>
              <w:widowControl/>
              <w:spacing w:line="560" w:lineRule="exact"/>
              <w:jc w:val="left"/>
              <w:rPr>
                <w:rFonts w:ascii="TimesNewRoman" w:hAnsi="TimesNewRoman" w:cs="TimesNewRoman"/>
                <w:kern w:val="0"/>
                <w:sz w:val="20"/>
              </w:rPr>
            </w:pPr>
          </w:p>
        </w:tc>
        <w:tc>
          <w:tcPr>
            <w:tcW w:w="3832" w:type="dxa"/>
            <w:gridSpan w:val="3"/>
            <w:tcBorders>
              <w:top w:val="nil"/>
              <w:left w:val="nil"/>
              <w:bottom w:val="nil"/>
              <w:right w:val="nil"/>
            </w:tcBorders>
            <w:noWrap w:val="0"/>
            <w:vAlign w:val="center"/>
          </w:tcPr>
          <w:p>
            <w:pPr>
              <w:widowControl/>
              <w:spacing w:line="560" w:lineRule="exact"/>
              <w:jc w:val="left"/>
              <w:rPr>
                <w:rFonts w:ascii="TimesNewRoman" w:hAnsi="TimesNewRoman" w:cs="TimesNewRoman"/>
                <w:kern w:val="0"/>
                <w:sz w:val="20"/>
              </w:rPr>
            </w:pPr>
          </w:p>
        </w:tc>
        <w:tc>
          <w:tcPr>
            <w:tcW w:w="1907" w:type="dxa"/>
            <w:gridSpan w:val="3"/>
            <w:tcBorders>
              <w:top w:val="nil"/>
              <w:left w:val="nil"/>
              <w:bottom w:val="nil"/>
              <w:right w:val="nil"/>
            </w:tcBorders>
            <w:noWrap w:val="0"/>
            <w:vAlign w:val="center"/>
          </w:tcPr>
          <w:p>
            <w:pPr>
              <w:widowControl/>
              <w:spacing w:line="560" w:lineRule="exact"/>
              <w:ind w:right="100"/>
              <w:jc w:val="right"/>
              <w:rPr>
                <w:rFonts w:ascii="TimesNewRoman" w:hAnsi="TimesNewRoman" w:cs="TimesNewRoman"/>
                <w:kern w:val="0"/>
                <w:sz w:val="20"/>
              </w:rPr>
            </w:pPr>
            <w:r>
              <w:rPr>
                <w:rFonts w:ascii="TimesNewRoman" w:hAnsi="TimesNewRoman" w:cs="TimesNewRoman"/>
                <w:kern w:val="0"/>
                <w:sz w:val="20"/>
              </w:rPr>
              <w:t>单位：万元</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kern w:val="0"/>
                <w:sz w:val="18"/>
                <w:szCs w:val="18"/>
              </w:rPr>
            </w:pPr>
            <w:r>
              <w:rPr>
                <w:rFonts w:ascii="TimesNewRoman" w:hAnsi="TimesNewRoman" w:cs="TimesNewRoman"/>
                <w:b/>
                <w:kern w:val="0"/>
                <w:sz w:val="18"/>
                <w:szCs w:val="18"/>
              </w:rPr>
              <w:t>功能分类科目</w:t>
            </w:r>
          </w:p>
        </w:tc>
        <w:tc>
          <w:tcPr>
            <w:tcW w:w="5956"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b/>
                <w:bCs/>
                <w:kern w:val="0"/>
                <w:sz w:val="18"/>
                <w:szCs w:val="18"/>
              </w:rPr>
              <w:t>国有资本经营预算拨款支出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科目编码</w:t>
            </w: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科目名称</w:t>
            </w: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201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基本支出</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项目支出</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Cs/>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bCs/>
                <w:kern w:val="0"/>
                <w:sz w:val="18"/>
                <w:szCs w:val="18"/>
              </w:rPr>
            </w:pP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TimesNewRoman" w:hAnsi="TimesNewRoman" w:cs="TimesNewRoman"/>
                <w:kern w:val="0"/>
                <w:sz w:val="18"/>
                <w:szCs w:val="18"/>
              </w:rPr>
            </w:pPr>
          </w:p>
        </w:tc>
        <w:tc>
          <w:tcPr>
            <w:tcW w:w="4312" w:type="dxa"/>
            <w:tcBorders>
              <w:top w:val="single" w:color="auto" w:sz="4" w:space="0"/>
              <w:left w:val="nil"/>
              <w:bottom w:val="single" w:color="auto" w:sz="4" w:space="0"/>
              <w:right w:val="single" w:color="auto" w:sz="4" w:space="0"/>
            </w:tcBorders>
            <w:noWrap w:val="0"/>
            <w:vAlign w:val="center"/>
          </w:tcPr>
          <w:p>
            <w:pPr>
              <w:widowControl/>
              <w:spacing w:line="280" w:lineRule="exact"/>
              <w:jc w:val="both"/>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TimesNewRoman" w:hAnsi="TimesNewRoman" w:cs="TimesNewRoman"/>
                <w:kern w:val="0"/>
                <w:sz w:val="18"/>
                <w:szCs w:val="18"/>
              </w:rPr>
            </w:pPr>
          </w:p>
        </w:tc>
        <w:tc>
          <w:tcPr>
            <w:tcW w:w="4312" w:type="dxa"/>
            <w:tcBorders>
              <w:top w:val="nil"/>
              <w:left w:val="nil"/>
              <w:bottom w:val="single" w:color="auto" w:sz="4" w:space="0"/>
              <w:right w:val="single" w:color="auto" w:sz="4" w:space="0"/>
            </w:tcBorders>
            <w:noWrap w:val="0"/>
            <w:vAlign w:val="bottom"/>
          </w:tcPr>
          <w:p>
            <w:pPr>
              <w:widowControl/>
              <w:spacing w:line="280" w:lineRule="exact"/>
              <w:jc w:val="center"/>
              <w:rPr>
                <w:rFonts w:ascii="TimesNewRoman" w:hAnsi="TimesNewRoman" w:cs="TimesNewRoman"/>
                <w:kern w:val="0"/>
                <w:sz w:val="18"/>
                <w:szCs w:val="18"/>
              </w:rPr>
            </w:pP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34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4312"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left"/>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5" w:type="dxa"/>
          <w:trHeight w:val="323" w:hRule="atLeast"/>
        </w:trPr>
        <w:tc>
          <w:tcPr>
            <w:tcW w:w="77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hint="eastAsia" w:ascii="汉仪中秀体简" w:hAnsi="汉仪中秀体简" w:eastAsia="汉仪中秀体简" w:cs="汉仪中秀体简"/>
                <w:sz w:val="18"/>
                <w:szCs w:val="18"/>
              </w:rPr>
              <w:t>总</w:t>
            </w:r>
            <w:r>
              <w:rPr>
                <w:rFonts w:ascii="汉仪中秀体简" w:hAnsi="汉仪中秀体简" w:eastAsia="汉仪中秀体简" w:cs="汉仪中秀体简"/>
                <w:sz w:val="18"/>
                <w:szCs w:val="18"/>
              </w:rPr>
              <w:t xml:space="preserve"> 计</w:t>
            </w:r>
          </w:p>
        </w:tc>
        <w:tc>
          <w:tcPr>
            <w:tcW w:w="149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013" w:type="dxa"/>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c>
          <w:tcPr>
            <w:tcW w:w="2448" w:type="dxa"/>
            <w:gridSpan w:val="3"/>
            <w:tcBorders>
              <w:top w:val="nil"/>
              <w:left w:val="nil"/>
              <w:bottom w:val="single" w:color="auto" w:sz="4" w:space="0"/>
              <w:right w:val="single" w:color="auto" w:sz="4" w:space="0"/>
            </w:tcBorders>
            <w:noWrap w:val="0"/>
            <w:vAlign w:val="center"/>
          </w:tcPr>
          <w:p>
            <w:pPr>
              <w:widowControl/>
              <w:spacing w:line="280" w:lineRule="exact"/>
              <w:jc w:val="center"/>
              <w:rPr>
                <w:rFonts w:ascii="汉仪中秀体简" w:hAnsi="汉仪中秀体简" w:eastAsia="汉仪中秀体简" w:cs="汉仪中秀体简"/>
                <w:sz w:val="18"/>
                <w:szCs w:val="18"/>
              </w:rPr>
            </w:pPr>
            <w:r>
              <w:rPr>
                <w:rFonts w:ascii="汉仪中秀体简" w:hAnsi="汉仪中秀体简" w:eastAsia="汉仪中秀体简" w:cs="汉仪中秀体简"/>
                <w:sz w:val="18"/>
                <w:szCs w:val="18"/>
              </w:rPr>
              <w:t>　</w:t>
            </w:r>
          </w:p>
        </w:tc>
      </w:tr>
      <w:tr>
        <w:tblPrEx>
          <w:tblCellMar>
            <w:top w:w="0" w:type="dxa"/>
            <w:left w:w="108" w:type="dxa"/>
            <w:bottom w:w="0" w:type="dxa"/>
            <w:right w:w="108" w:type="dxa"/>
          </w:tblCellMar>
        </w:tblPrEx>
        <w:trPr>
          <w:gridAfter w:val="1"/>
          <w:wAfter w:w="124" w:type="dxa"/>
          <w:trHeight w:val="633" w:hRule="atLeast"/>
        </w:trPr>
        <w:tc>
          <w:tcPr>
            <w:tcW w:w="13752" w:type="dxa"/>
            <w:gridSpan w:val="10"/>
            <w:tcBorders>
              <w:top w:val="single" w:color="auto" w:sz="4" w:space="0"/>
              <w:left w:val="nil"/>
              <w:bottom w:val="nil"/>
              <w:right w:val="nil"/>
            </w:tcBorders>
            <w:noWrap w:val="0"/>
            <w:vAlign w:val="center"/>
          </w:tcPr>
          <w:p>
            <w:pPr>
              <w:widowControl/>
              <w:spacing w:line="560" w:lineRule="exact"/>
              <w:jc w:val="left"/>
              <w:rPr>
                <w:rFonts w:ascii="TimesNewRoman" w:hAnsi="TimesNewRoman" w:cs="TimesNewRoman"/>
                <w:kern w:val="0"/>
                <w:sz w:val="24"/>
              </w:rPr>
            </w:pPr>
            <w:r>
              <w:rPr>
                <w:rFonts w:ascii="TimesNewRoman" w:hAnsi="TimesNewRoman" w:cs="TimesNewRoman"/>
                <w:kern w:val="0"/>
                <w:sz w:val="24"/>
              </w:rPr>
              <w:t>注：</w:t>
            </w:r>
            <w:r>
              <w:rPr>
                <w:rFonts w:hint="eastAsia" w:ascii="TimesNewRoman" w:hAnsi="TimesNewRoman" w:cs="TimesNewRoman"/>
                <w:kern w:val="0"/>
                <w:sz w:val="24"/>
                <w:lang w:val="en-US" w:eastAsia="zh-CN"/>
              </w:rPr>
              <w:t>中共寿县县委党校</w:t>
            </w:r>
            <w:r>
              <w:rPr>
                <w:rFonts w:ascii="TimesNewRoman" w:hAnsi="TimesNewRoman" w:cs="TimesNewRoman"/>
                <w:kern w:val="0"/>
                <w:sz w:val="24"/>
              </w:rPr>
              <w:t>没有国有资本经营预算拨款收入，也没有国有资本经营预算拨款安排的支出，故本表无数据。</w:t>
            </w:r>
          </w:p>
        </w:tc>
      </w:tr>
    </w:tbl>
    <w:p>
      <w:pPr>
        <w:spacing w:line="560" w:lineRule="exact"/>
        <w:jc w:val="center"/>
        <w:rPr>
          <w:rFonts w:hint="eastAsia" w:ascii="TimesNewRoman" w:hAnsi="TimesNewRoman" w:cs="TimesNewRoman"/>
          <w:kern w:val="0"/>
          <w:sz w:val="20"/>
        </w:rPr>
      </w:pPr>
    </w:p>
    <w:p>
      <w:pPr>
        <w:spacing w:line="560" w:lineRule="exact"/>
        <w:jc w:val="center"/>
        <w:rPr>
          <w:rFonts w:hint="eastAsia" w:ascii="TimesNewRoman" w:hAnsi="TimesNewRoman" w:cs="TimesNewRoman"/>
          <w:kern w:val="0"/>
          <w:sz w:val="20"/>
        </w:rPr>
      </w:pPr>
      <w:r>
        <w:rPr>
          <w:rFonts w:hint="eastAsia" w:ascii="TimesNewRoman" w:hAnsi="TimesNewRoman" w:cs="TimesNewRoman"/>
          <w:kern w:val="0"/>
          <w:sz w:val="20"/>
        </w:rPr>
        <w:t xml:space="preserve">                                                                                                          </w:t>
      </w:r>
    </w:p>
    <w:p>
      <w:pPr>
        <w:spacing w:line="560" w:lineRule="exact"/>
        <w:jc w:val="right"/>
        <w:rPr>
          <w:rFonts w:ascii="TimesNewRoman" w:hAnsi="TimesNewRoman" w:cs="TimesNewRoman"/>
          <w:kern w:val="0"/>
          <w:sz w:val="20"/>
        </w:rPr>
      </w:pPr>
      <w:r>
        <w:rPr>
          <w:rFonts w:hint="eastAsia" w:ascii="TimesNewRoman" w:hAnsi="TimesNewRoman" w:cs="TimesNewRoman"/>
          <w:kern w:val="0"/>
          <w:sz w:val="20"/>
          <w:lang w:val="en-US" w:eastAsia="zh-CN"/>
        </w:rPr>
        <w:t xml:space="preserve">                                               </w:t>
      </w:r>
      <w:r>
        <w:rPr>
          <w:rFonts w:ascii="TimesNewRoman" w:hAnsi="TimesNewRoman" w:cs="TimesNewRoman"/>
          <w:kern w:val="0"/>
          <w:sz w:val="20"/>
          <w:u w:val="none"/>
        </w:rPr>
        <w:t>单位</w:t>
      </w:r>
      <w:r>
        <w:rPr>
          <w:rFonts w:hint="eastAsia" w:ascii="TimesNewRoman" w:hAnsi="TimesNewRoman" w:cs="TimesNewRoman"/>
          <w:kern w:val="0"/>
          <w:sz w:val="20"/>
          <w:u w:val="none"/>
          <w:lang w:val="en-US" w:eastAsia="zh-CN"/>
        </w:rPr>
        <w:t xml:space="preserve"> </w:t>
      </w:r>
      <w:r>
        <w:rPr>
          <w:rFonts w:ascii="TimesNewRoman" w:hAnsi="TimesNewRoman" w:cs="TimesNewRoman"/>
          <w:kern w:val="0"/>
          <w:sz w:val="20"/>
        </w:rPr>
        <w:t>公开表9</w:t>
      </w:r>
    </w:p>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年项目支出表</w:t>
      </w:r>
    </w:p>
    <w:p>
      <w:pPr>
        <w:spacing w:line="560" w:lineRule="exact"/>
        <w:ind w:left="7400" w:hanging="7400" w:hangingChars="3700"/>
        <w:rPr>
          <w:rFonts w:ascii="TimesNewRoman" w:hAnsi="TimesNewRoman" w:cs="TimesNewRoman"/>
          <w:kern w:val="0"/>
          <w:sz w:val="20"/>
        </w:rPr>
      </w:pPr>
      <w:r>
        <w:rPr>
          <w:rFonts w:ascii="TimesNewRoman" w:hAnsi="TimesNewRoman" w:cs="TimesNewRoman"/>
          <w:kern w:val="0"/>
          <w:sz w:val="20"/>
        </w:rPr>
        <w:t xml:space="preserve">                                                                                                                       单位：万元</w:t>
      </w:r>
    </w:p>
    <w:tbl>
      <w:tblPr>
        <w:tblStyle w:val="4"/>
        <w:tblW w:w="14071" w:type="dxa"/>
        <w:tblInd w:w="0" w:type="dxa"/>
        <w:tblLayout w:type="fixed"/>
        <w:tblCellMar>
          <w:top w:w="0" w:type="dxa"/>
          <w:left w:w="108" w:type="dxa"/>
          <w:bottom w:w="0" w:type="dxa"/>
          <w:right w:w="108" w:type="dxa"/>
        </w:tblCellMar>
      </w:tblPr>
      <w:tblGrid>
        <w:gridCol w:w="1194"/>
        <w:gridCol w:w="1433"/>
        <w:gridCol w:w="1353"/>
        <w:gridCol w:w="916"/>
        <w:gridCol w:w="1214"/>
        <w:gridCol w:w="1214"/>
        <w:gridCol w:w="1214"/>
        <w:gridCol w:w="1214"/>
        <w:gridCol w:w="1214"/>
        <w:gridCol w:w="1214"/>
        <w:gridCol w:w="1015"/>
        <w:gridCol w:w="876"/>
      </w:tblGrid>
      <w:tr>
        <w:tblPrEx>
          <w:tblCellMar>
            <w:top w:w="0" w:type="dxa"/>
            <w:left w:w="108" w:type="dxa"/>
            <w:bottom w:w="0" w:type="dxa"/>
            <w:right w:w="108" w:type="dxa"/>
          </w:tblCellMar>
        </w:tblPrEx>
        <w:trPr>
          <w:trHeight w:val="1124" w:hRule="atLeast"/>
        </w:trPr>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类型</w:t>
            </w:r>
          </w:p>
        </w:tc>
        <w:tc>
          <w:tcPr>
            <w:tcW w:w="1433" w:type="dxa"/>
            <w:vMerge w:val="restart"/>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项目名称</w:t>
            </w:r>
          </w:p>
        </w:tc>
        <w:tc>
          <w:tcPr>
            <w:tcW w:w="135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项目单位</w:t>
            </w:r>
          </w:p>
        </w:tc>
        <w:tc>
          <w:tcPr>
            <w:tcW w:w="91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合计</w:t>
            </w:r>
          </w:p>
        </w:tc>
        <w:tc>
          <w:tcPr>
            <w:tcW w:w="36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本年财政拨款</w:t>
            </w:r>
          </w:p>
        </w:tc>
        <w:tc>
          <w:tcPr>
            <w:tcW w:w="36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财政拨款结转结余</w:t>
            </w:r>
          </w:p>
        </w:tc>
        <w:tc>
          <w:tcPr>
            <w:tcW w:w="1015"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财政专户管理资金</w:t>
            </w:r>
          </w:p>
        </w:tc>
        <w:tc>
          <w:tcPr>
            <w:tcW w:w="87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单位</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资金</w:t>
            </w:r>
          </w:p>
        </w:tc>
      </w:tr>
      <w:tr>
        <w:tblPrEx>
          <w:tblCellMar>
            <w:top w:w="0" w:type="dxa"/>
            <w:left w:w="108" w:type="dxa"/>
            <w:bottom w:w="0" w:type="dxa"/>
            <w:right w:w="108" w:type="dxa"/>
          </w:tblCellMar>
        </w:tblPrEx>
        <w:trPr>
          <w:trHeight w:val="1124" w:hRule="atLeast"/>
        </w:trPr>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433" w:type="dxa"/>
            <w:vMerge w:val="continue"/>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9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一般公共预算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政府性</w:t>
            </w:r>
          </w:p>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基金预算</w:t>
            </w:r>
          </w:p>
        </w:tc>
        <w:tc>
          <w:tcPr>
            <w:tcW w:w="1214" w:type="dxa"/>
            <w:tcBorders>
              <w:top w:val="nil"/>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ascii="TimesNewRoman" w:hAnsi="TimesNewRoman" w:cs="TimesNewRoman"/>
                <w:b/>
                <w:bCs/>
                <w:kern w:val="0"/>
                <w:sz w:val="18"/>
                <w:szCs w:val="18"/>
              </w:rPr>
              <w:t>国有资本经营预算</w:t>
            </w:r>
          </w:p>
        </w:tc>
        <w:tc>
          <w:tcPr>
            <w:tcW w:w="101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c>
          <w:tcPr>
            <w:tcW w:w="87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80" w:lineRule="exact"/>
              <w:jc w:val="left"/>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特定目标类</w:t>
            </w:r>
          </w:p>
        </w:tc>
        <w:tc>
          <w:tcPr>
            <w:tcW w:w="143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党校后勤服务社会化</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中共寿县县委党校</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115.00</w:t>
            </w:r>
          </w:p>
        </w:tc>
        <w:tc>
          <w:tcPr>
            <w:tcW w:w="121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115.00</w:t>
            </w:r>
          </w:p>
        </w:tc>
        <w:tc>
          <w:tcPr>
            <w:tcW w:w="1214"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single" w:color="auto" w:sz="4" w:space="0"/>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015"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876"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特定目标类</w:t>
            </w:r>
          </w:p>
        </w:tc>
        <w:tc>
          <w:tcPr>
            <w:tcW w:w="143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党校教育事业发展</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中共寿县县委党校</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60.00</w:t>
            </w: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015"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87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60.00</w:t>
            </w: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特定目标类</w:t>
            </w:r>
          </w:p>
        </w:tc>
        <w:tc>
          <w:tcPr>
            <w:tcW w:w="143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党校事业费</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中共寿县县委党校</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25.84</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25.84</w:t>
            </w: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015"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87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531" w:hRule="atLeast"/>
        </w:trPr>
        <w:tc>
          <w:tcPr>
            <w:tcW w:w="119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特定目标类</w:t>
            </w:r>
          </w:p>
        </w:tc>
        <w:tc>
          <w:tcPr>
            <w:tcW w:w="143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工勤人员补助经费</w:t>
            </w:r>
          </w:p>
        </w:tc>
        <w:tc>
          <w:tcPr>
            <w:tcW w:w="1353"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中共寿县县委党校</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1.32</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kern w:val="0"/>
                <w:sz w:val="18"/>
                <w:szCs w:val="18"/>
              </w:rPr>
            </w:pPr>
            <w:r>
              <w:rPr>
                <w:rFonts w:hint="eastAsia" w:ascii="宋体" w:hAnsi="宋体" w:eastAsia="宋体" w:cs="宋体"/>
                <w:i w:val="0"/>
                <w:iCs w:val="0"/>
                <w:color w:val="000000"/>
                <w:kern w:val="0"/>
                <w:sz w:val="20"/>
                <w:szCs w:val="20"/>
                <w:u w:val="none"/>
                <w:lang w:val="en-US" w:eastAsia="zh-CN" w:bidi="ar"/>
              </w:rPr>
              <w:t>1.32</w:t>
            </w: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1015"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c>
          <w:tcPr>
            <w:tcW w:w="876" w:type="dxa"/>
            <w:tcBorders>
              <w:top w:val="nil"/>
              <w:left w:val="nil"/>
              <w:bottom w:val="single" w:color="auto" w:sz="4" w:space="0"/>
              <w:right w:val="single" w:color="auto" w:sz="4" w:space="0"/>
            </w:tcBorders>
            <w:noWrap w:val="0"/>
            <w:vAlign w:val="center"/>
          </w:tcPr>
          <w:p>
            <w:pPr>
              <w:jc w:val="right"/>
              <w:rPr>
                <w:rFonts w:ascii="TimesNewRoman" w:hAnsi="TimesNewRoman" w:cs="TimesNewRoman"/>
                <w:kern w:val="0"/>
                <w:sz w:val="18"/>
                <w:szCs w:val="18"/>
              </w:rPr>
            </w:pPr>
          </w:p>
        </w:tc>
      </w:tr>
      <w:tr>
        <w:tblPrEx>
          <w:tblCellMar>
            <w:top w:w="0" w:type="dxa"/>
            <w:left w:w="108" w:type="dxa"/>
            <w:bottom w:w="0" w:type="dxa"/>
            <w:right w:w="108" w:type="dxa"/>
          </w:tblCellMar>
        </w:tblPrEx>
        <w:trPr>
          <w:trHeight w:val="531" w:hRule="atLeast"/>
        </w:trPr>
        <w:tc>
          <w:tcPr>
            <w:tcW w:w="3980" w:type="dxa"/>
            <w:gridSpan w:val="3"/>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b/>
                <w:bCs/>
                <w:kern w:val="0"/>
                <w:sz w:val="18"/>
                <w:szCs w:val="18"/>
              </w:rPr>
            </w:pPr>
            <w:r>
              <w:rPr>
                <w:rFonts w:hint="eastAsia" w:ascii="TimesNewRoman" w:hAnsi="TimesNewRoman" w:cs="TimesNewRoman"/>
                <w:b/>
                <w:bCs/>
                <w:kern w:val="0"/>
                <w:sz w:val="18"/>
                <w:szCs w:val="18"/>
              </w:rPr>
              <w:t xml:space="preserve">总 </w:t>
            </w:r>
            <w:r>
              <w:rPr>
                <w:rFonts w:ascii="TimesNewRoman" w:hAnsi="TimesNewRoman" w:cs="TimesNewRoman"/>
                <w:b/>
                <w:bCs/>
                <w:kern w:val="0"/>
                <w:sz w:val="18"/>
                <w:szCs w:val="18"/>
              </w:rPr>
              <w:t>计　</w:t>
            </w:r>
          </w:p>
        </w:tc>
        <w:tc>
          <w:tcPr>
            <w:tcW w:w="91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202.16</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142.16</w:t>
            </w: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214"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1015" w:type="dxa"/>
            <w:tcBorders>
              <w:top w:val="nil"/>
              <w:left w:val="nil"/>
              <w:bottom w:val="single" w:color="auto" w:sz="4" w:space="0"/>
              <w:right w:val="single" w:color="auto" w:sz="4" w:space="0"/>
            </w:tcBorders>
            <w:noWrap w:val="0"/>
            <w:vAlign w:val="center"/>
          </w:tcPr>
          <w:p>
            <w:pPr>
              <w:jc w:val="right"/>
              <w:rPr>
                <w:rFonts w:ascii="TimesNewRoman" w:hAnsi="TimesNewRoman" w:cs="TimesNewRoman"/>
                <w:b/>
                <w:bCs/>
                <w:kern w:val="0"/>
                <w:sz w:val="18"/>
                <w:szCs w:val="18"/>
              </w:rPr>
            </w:pPr>
          </w:p>
        </w:tc>
        <w:tc>
          <w:tcPr>
            <w:tcW w:w="87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NewRoman" w:hAnsi="TimesNewRoman" w:cs="TimesNewRoman"/>
                <w:b/>
                <w:bCs/>
                <w:kern w:val="0"/>
                <w:sz w:val="18"/>
                <w:szCs w:val="18"/>
              </w:rPr>
            </w:pPr>
            <w:r>
              <w:rPr>
                <w:rFonts w:hint="eastAsia" w:ascii="宋体" w:hAnsi="宋体" w:eastAsia="宋体" w:cs="宋体"/>
                <w:i w:val="0"/>
                <w:iCs w:val="0"/>
                <w:color w:val="000000"/>
                <w:kern w:val="0"/>
                <w:sz w:val="20"/>
                <w:szCs w:val="20"/>
                <w:u w:val="none"/>
                <w:lang w:val="en-US" w:eastAsia="zh-CN" w:bidi="ar"/>
              </w:rPr>
              <w:t>60.00</w:t>
            </w:r>
          </w:p>
        </w:tc>
      </w:tr>
    </w:tbl>
    <w:p>
      <w:pPr>
        <w:pStyle w:val="3"/>
        <w:wordWrap w:val="0"/>
        <w:adjustRightInd w:val="0"/>
        <w:snapToGrid w:val="0"/>
        <w:spacing w:after="156" w:afterLines="50" w:line="560" w:lineRule="exact"/>
        <w:jc w:val="right"/>
        <w:rPr>
          <w:rFonts w:hint="eastAsia" w:ascii="TimesNewRoman" w:hAnsi="TimesNewRoman" w:cs="TimesNewRoman"/>
          <w:sz w:val="20"/>
          <w:szCs w:val="20"/>
        </w:rPr>
      </w:pPr>
      <w:r>
        <w:rPr>
          <w:rFonts w:hint="eastAsia" w:ascii="TimesNewRoman" w:hAnsi="TimesNewRoman" w:cs="TimesNewRoman"/>
          <w:sz w:val="20"/>
          <w:szCs w:val="20"/>
        </w:rPr>
        <w:t xml:space="preserve">                                                 </w:t>
      </w:r>
      <w:r>
        <w:rPr>
          <w:rFonts w:ascii="TimesNewRoman" w:hAnsi="TimesNewRoman" w:cs="TimesNewRoman"/>
          <w:sz w:val="20"/>
          <w:szCs w:val="20"/>
        </w:rPr>
        <w:t xml:space="preserve">    </w:t>
      </w:r>
      <w:r>
        <w:rPr>
          <w:rFonts w:hint="eastAsia" w:ascii="TimesNewRoman" w:hAnsi="TimesNewRoman" w:cs="TimesNewRoman"/>
          <w:sz w:val="20"/>
          <w:szCs w:val="20"/>
        </w:rPr>
        <w:t xml:space="preserve">                                                     </w:t>
      </w:r>
    </w:p>
    <w:p>
      <w:pPr>
        <w:pStyle w:val="3"/>
        <w:wordWrap w:val="0"/>
        <w:adjustRightInd w:val="0"/>
        <w:snapToGrid w:val="0"/>
        <w:spacing w:after="156" w:afterLines="50" w:line="560" w:lineRule="exact"/>
        <w:jc w:val="right"/>
        <w:rPr>
          <w:rFonts w:ascii="TimesNewRoman" w:hAnsi="TimesNewRoman" w:cs="TimesNewRoman"/>
          <w:sz w:val="20"/>
          <w:szCs w:val="20"/>
        </w:rPr>
      </w:pPr>
      <w:r>
        <w:rPr>
          <w:rFonts w:hint="eastAsia" w:ascii="TimesNewRoman" w:hAnsi="TimesNewRoman" w:cs="TimesNewRoman"/>
          <w:sz w:val="20"/>
          <w:szCs w:val="20"/>
          <w:u w:val="none"/>
        </w:rPr>
        <w:t xml:space="preserve"> </w:t>
      </w:r>
      <w:r>
        <w:rPr>
          <w:rFonts w:ascii="TimesNewRoman" w:hAnsi="TimesNewRoman" w:cs="TimesNewRoman"/>
          <w:sz w:val="20"/>
          <w:szCs w:val="20"/>
          <w:u w:val="none"/>
        </w:rPr>
        <w:t>单位</w:t>
      </w:r>
      <w:r>
        <w:rPr>
          <w:rFonts w:ascii="TimesNewRoman" w:hAnsi="TimesNewRoman" w:cs="TimesNewRoman"/>
          <w:sz w:val="20"/>
          <w:szCs w:val="20"/>
        </w:rPr>
        <w:t>公开表10</w:t>
      </w:r>
    </w:p>
    <w:tbl>
      <w:tblPr>
        <w:tblStyle w:val="4"/>
        <w:tblW w:w="14109" w:type="dxa"/>
        <w:tblInd w:w="0" w:type="dxa"/>
        <w:tblLayout w:type="fixed"/>
        <w:tblCellMar>
          <w:top w:w="0" w:type="dxa"/>
          <w:left w:w="108" w:type="dxa"/>
          <w:bottom w:w="0" w:type="dxa"/>
          <w:right w:w="108" w:type="dxa"/>
        </w:tblCellMar>
      </w:tblPr>
      <w:tblGrid>
        <w:gridCol w:w="1907"/>
        <w:gridCol w:w="1827"/>
        <w:gridCol w:w="1430"/>
        <w:gridCol w:w="1643"/>
        <w:gridCol w:w="1823"/>
        <w:gridCol w:w="1811"/>
        <w:gridCol w:w="1780"/>
        <w:gridCol w:w="1888"/>
      </w:tblGrid>
      <w:tr>
        <w:tblPrEx>
          <w:tblCellMar>
            <w:top w:w="0" w:type="dxa"/>
            <w:left w:w="108" w:type="dxa"/>
            <w:bottom w:w="0" w:type="dxa"/>
            <w:right w:w="108" w:type="dxa"/>
          </w:tblCellMar>
        </w:tblPrEx>
        <w:trPr>
          <w:trHeight w:val="482" w:hRule="atLeast"/>
        </w:trPr>
        <w:tc>
          <w:tcPr>
            <w:tcW w:w="14109" w:type="dxa"/>
            <w:gridSpan w:val="8"/>
            <w:tcBorders>
              <w:top w:val="nil"/>
              <w:left w:val="nil"/>
              <w:bottom w:val="nil"/>
              <w:right w:val="nil"/>
            </w:tcBorders>
            <w:noWrap w:val="0"/>
            <w:vAlign w:val="center"/>
          </w:tcPr>
          <w:p>
            <w:pPr>
              <w:widowControl/>
              <w:spacing w:line="280" w:lineRule="exact"/>
              <w:jc w:val="center"/>
              <w:rPr>
                <w:rFonts w:ascii="TimesNewRoman" w:hAnsi="TimesNewRoman" w:eastAsia="华文中宋" w:cs="TimesNewRoman"/>
                <w:b/>
                <w:bCs/>
                <w:kern w:val="0"/>
                <w:szCs w:val="32"/>
              </w:rPr>
            </w:pPr>
            <w:r>
              <w:rPr>
                <w:rFonts w:hint="eastAsia" w:ascii="TimesNewRoman" w:hAnsi="TimesNewRoman" w:eastAsia="华文中宋" w:cs="TimesNewRoman"/>
                <w:b/>
                <w:bCs/>
                <w:kern w:val="0"/>
                <w:szCs w:val="32"/>
                <w:lang w:val="en-US" w:eastAsia="zh-CN"/>
              </w:rPr>
              <w:t>中共寿县县委党校</w:t>
            </w:r>
            <w:r>
              <w:rPr>
                <w:rFonts w:hint="eastAsia" w:ascii="TimesNewRoman" w:hAnsi="TimesNewRoman" w:eastAsia="华文中宋" w:cs="TimesNewRoman"/>
                <w:b/>
                <w:bCs/>
                <w:kern w:val="0"/>
                <w:szCs w:val="32"/>
              </w:rPr>
              <w:t>2024</w:t>
            </w:r>
            <w:r>
              <w:rPr>
                <w:rFonts w:ascii="TimesNewRoman" w:hAnsi="TimesNewRoman" w:eastAsia="华文中宋" w:cs="TimesNewRoman"/>
                <w:b/>
                <w:bCs/>
                <w:kern w:val="0"/>
                <w:szCs w:val="32"/>
              </w:rPr>
              <w:t>年政府采购支出表</w:t>
            </w:r>
          </w:p>
          <w:p>
            <w:pPr>
              <w:widowControl/>
              <w:spacing w:line="280" w:lineRule="exact"/>
              <w:jc w:val="center"/>
              <w:rPr>
                <w:rFonts w:ascii="TimesNewRoman" w:hAnsi="TimesNewRoman" w:cs="TimesNewRoman"/>
                <w:b/>
                <w:bCs/>
                <w:kern w:val="0"/>
                <w:szCs w:val="32"/>
              </w:rPr>
            </w:pPr>
            <w:r>
              <w:rPr>
                <w:rFonts w:ascii="TimesNewRoman" w:hAnsi="TimesNewRoman" w:cs="TimesNewRoman"/>
                <w:kern w:val="0"/>
                <w:sz w:val="20"/>
              </w:rPr>
              <w:t xml:space="preserve">                                                                      单位：万元</w:t>
            </w:r>
          </w:p>
        </w:tc>
      </w:tr>
      <w:tr>
        <w:tblPrEx>
          <w:tblCellMar>
            <w:top w:w="0" w:type="dxa"/>
            <w:left w:w="108" w:type="dxa"/>
            <w:bottom w:w="0" w:type="dxa"/>
            <w:right w:w="108" w:type="dxa"/>
          </w:tblCellMar>
        </w:tblPrEx>
        <w:trPr>
          <w:trHeight w:val="800" w:hRule="atLeast"/>
        </w:trPr>
        <w:tc>
          <w:tcPr>
            <w:tcW w:w="1907" w:type="dxa"/>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项目名称</w:t>
            </w:r>
          </w:p>
        </w:tc>
        <w:tc>
          <w:tcPr>
            <w:tcW w:w="1827"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政府采购品目</w:t>
            </w:r>
          </w:p>
        </w:tc>
        <w:tc>
          <w:tcPr>
            <w:tcW w:w="1430"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合计</w:t>
            </w:r>
          </w:p>
        </w:tc>
        <w:tc>
          <w:tcPr>
            <w:tcW w:w="1643"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一般公共预算</w:t>
            </w:r>
          </w:p>
        </w:tc>
        <w:tc>
          <w:tcPr>
            <w:tcW w:w="1823"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政府性</w:t>
            </w:r>
          </w:p>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基金预算</w:t>
            </w:r>
          </w:p>
        </w:tc>
        <w:tc>
          <w:tcPr>
            <w:tcW w:w="1811"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国有资本经营预算</w:t>
            </w:r>
          </w:p>
        </w:tc>
        <w:tc>
          <w:tcPr>
            <w:tcW w:w="1780"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财政专户管理资金</w:t>
            </w:r>
          </w:p>
        </w:tc>
        <w:tc>
          <w:tcPr>
            <w:tcW w:w="1888" w:type="dxa"/>
            <w:tcBorders>
              <w:top w:val="single" w:color="auto" w:sz="4" w:space="0"/>
              <w:left w:val="nil"/>
              <w:bottom w:val="nil"/>
              <w:right w:val="single" w:color="auto" w:sz="4" w:space="0"/>
            </w:tcBorders>
            <w:noWrap w:val="0"/>
            <w:vAlign w:val="center"/>
          </w:tcPr>
          <w:p>
            <w:pPr>
              <w:widowControl/>
              <w:spacing w:line="280" w:lineRule="exact"/>
              <w:jc w:val="center"/>
              <w:rPr>
                <w:rFonts w:ascii="TimesNewRoman" w:hAnsi="TimesNewRoman" w:cs="TimesNewRoman"/>
                <w:b/>
                <w:bCs/>
                <w:kern w:val="0"/>
                <w:sz w:val="20"/>
              </w:rPr>
            </w:pPr>
            <w:r>
              <w:rPr>
                <w:rFonts w:ascii="TimesNewRoman" w:hAnsi="TimesNewRoman" w:cs="TimesNewRoman"/>
                <w:b/>
                <w:bCs/>
                <w:kern w:val="0"/>
                <w:sz w:val="20"/>
              </w:rPr>
              <w:t>单位资金</w:t>
            </w:r>
          </w:p>
        </w:tc>
      </w:tr>
      <w:tr>
        <w:tblPrEx>
          <w:tblCellMar>
            <w:top w:w="0" w:type="dxa"/>
            <w:left w:w="108" w:type="dxa"/>
            <w:bottom w:w="0" w:type="dxa"/>
            <w:right w:w="108" w:type="dxa"/>
          </w:tblCellMar>
        </w:tblPrEx>
        <w:trPr>
          <w:trHeight w:val="496" w:hRule="atLeast"/>
        </w:trPr>
        <w:tc>
          <w:tcPr>
            <w:tcW w:w="1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中共寿县县委党校_在职人员综合定额公务费（一）</w:t>
            </w:r>
          </w:p>
        </w:tc>
        <w:tc>
          <w:tcPr>
            <w:tcW w:w="182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台式计算机</w:t>
            </w:r>
          </w:p>
        </w:tc>
        <w:tc>
          <w:tcPr>
            <w:tcW w:w="143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0.6　</w:t>
            </w:r>
          </w:p>
        </w:tc>
        <w:tc>
          <w:tcPr>
            <w:tcW w:w="164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0.6　</w:t>
            </w:r>
          </w:p>
        </w:tc>
        <w:tc>
          <w:tcPr>
            <w:tcW w:w="1823"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r>
        <w:tblPrEx>
          <w:tblCellMar>
            <w:top w:w="0" w:type="dxa"/>
            <w:left w:w="108" w:type="dxa"/>
            <w:bottom w:w="0" w:type="dxa"/>
            <w:right w:w="108" w:type="dxa"/>
          </w:tblCellMar>
        </w:tblPrEx>
        <w:trPr>
          <w:trHeight w:val="496" w:hRule="atLeast"/>
        </w:trPr>
        <w:tc>
          <w:tcPr>
            <w:tcW w:w="3734"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TimesNewRoman" w:hAnsi="TimesNewRoman" w:cs="TimesNewRoman"/>
                <w:kern w:val="0"/>
                <w:sz w:val="20"/>
              </w:rPr>
            </w:pPr>
            <w:r>
              <w:rPr>
                <w:rFonts w:hint="eastAsia" w:ascii="TimesNewRoman" w:hAnsi="TimesNewRoman" w:cs="TimesNewRoman"/>
                <w:b/>
                <w:sz w:val="20"/>
              </w:rPr>
              <w:t>总</w:t>
            </w:r>
            <w:r>
              <w:rPr>
                <w:rFonts w:ascii="TimesNewRoman" w:hAnsi="TimesNewRoman" w:cs="TimesNewRoman"/>
                <w:b/>
                <w:sz w:val="20"/>
              </w:rPr>
              <w:t xml:space="preserve"> 计</w:t>
            </w:r>
          </w:p>
        </w:tc>
        <w:tc>
          <w:tcPr>
            <w:tcW w:w="143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0.6　</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0.6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11"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c>
          <w:tcPr>
            <w:tcW w:w="1888" w:type="dxa"/>
            <w:tcBorders>
              <w:top w:val="nil"/>
              <w:left w:val="nil"/>
              <w:bottom w:val="single" w:color="auto" w:sz="4" w:space="0"/>
              <w:right w:val="single" w:color="auto" w:sz="4" w:space="0"/>
            </w:tcBorders>
            <w:noWrap w:val="0"/>
            <w:vAlign w:val="center"/>
          </w:tcPr>
          <w:p>
            <w:pPr>
              <w:widowControl/>
              <w:spacing w:line="280" w:lineRule="exact"/>
              <w:jc w:val="right"/>
              <w:rPr>
                <w:rFonts w:ascii="TimesNewRoman" w:hAnsi="TimesNewRoman" w:cs="TimesNewRoman"/>
                <w:kern w:val="0"/>
                <w:sz w:val="20"/>
              </w:rPr>
            </w:pPr>
            <w:r>
              <w:rPr>
                <w:rFonts w:ascii="TimesNewRoman" w:hAnsi="TimesNewRoman" w:cs="TimesNewRoman"/>
                <w:kern w:val="0"/>
                <w:sz w:val="20"/>
              </w:rPr>
              <w:t>　</w:t>
            </w:r>
          </w:p>
        </w:tc>
      </w:tr>
    </w:tbl>
    <w:p>
      <w:pPr>
        <w:spacing w:line="560" w:lineRule="exact"/>
        <w:rPr>
          <w:rFonts w:ascii="TimesNewRoman" w:hAnsi="TimesNewRoman" w:cs="TimesNewRoman"/>
        </w:rPr>
      </w:pPr>
    </w:p>
    <w:p>
      <w:pPr>
        <w:spacing w:line="560" w:lineRule="exact"/>
        <w:rPr>
          <w:rFonts w:ascii="TimesNewRoman" w:hAnsi="TimesNewRoman" w:cs="TimesNewRoman"/>
        </w:rPr>
      </w:pPr>
    </w:p>
    <w:p>
      <w:pPr>
        <w:pStyle w:val="3"/>
        <w:wordWrap w:val="0"/>
        <w:adjustRightInd w:val="0"/>
        <w:snapToGrid w:val="0"/>
        <w:spacing w:line="560" w:lineRule="exact"/>
        <w:jc w:val="center"/>
        <w:rPr>
          <w:rFonts w:hint="eastAsia" w:ascii="TimesNewRoman" w:hAnsi="TimesNewRoman" w:cs="TimesNewRoman"/>
          <w:sz w:val="20"/>
          <w:szCs w:val="20"/>
        </w:rPr>
      </w:pPr>
      <w:r>
        <w:rPr>
          <w:rFonts w:hint="eastAsia" w:ascii="TimesNewRoman" w:hAnsi="TimesNewRoman" w:cs="TimesNewRoman"/>
          <w:sz w:val="20"/>
          <w:szCs w:val="20"/>
        </w:rPr>
        <w:t xml:space="preserve">                                                                                                    </w:t>
      </w:r>
    </w:p>
    <w:p>
      <w:pPr>
        <w:pStyle w:val="3"/>
        <w:wordWrap w:val="0"/>
        <w:adjustRightInd w:val="0"/>
        <w:snapToGrid w:val="0"/>
        <w:spacing w:line="560" w:lineRule="exact"/>
        <w:jc w:val="center"/>
        <w:rPr>
          <w:rFonts w:hint="eastAsia" w:ascii="TimesNewRoman" w:hAnsi="TimesNewRoman" w:cs="TimesNewRoman"/>
          <w:sz w:val="20"/>
          <w:szCs w:val="20"/>
        </w:rPr>
      </w:pPr>
    </w:p>
    <w:p>
      <w:pPr>
        <w:pStyle w:val="3"/>
        <w:wordWrap w:val="0"/>
        <w:adjustRightInd w:val="0"/>
        <w:snapToGrid w:val="0"/>
        <w:spacing w:line="560" w:lineRule="exact"/>
        <w:jc w:val="center"/>
        <w:rPr>
          <w:rFonts w:hint="eastAsia" w:ascii="TimesNewRoman" w:hAnsi="TimesNewRoman" w:cs="TimesNewRoman"/>
          <w:sz w:val="20"/>
          <w:szCs w:val="20"/>
        </w:rPr>
      </w:pPr>
    </w:p>
    <w:p>
      <w:pPr>
        <w:pStyle w:val="3"/>
        <w:wordWrap w:val="0"/>
        <w:adjustRightInd w:val="0"/>
        <w:snapToGrid w:val="0"/>
        <w:spacing w:line="560" w:lineRule="exact"/>
        <w:jc w:val="center"/>
        <w:rPr>
          <w:rFonts w:hint="eastAsia" w:ascii="TimesNewRoman" w:hAnsi="TimesNewRoman" w:cs="TimesNewRoman"/>
          <w:sz w:val="20"/>
          <w:szCs w:val="20"/>
        </w:rPr>
      </w:pPr>
    </w:p>
    <w:p>
      <w:pPr>
        <w:pStyle w:val="3"/>
        <w:wordWrap w:val="0"/>
        <w:adjustRightInd w:val="0"/>
        <w:snapToGrid w:val="0"/>
        <w:spacing w:line="560" w:lineRule="exact"/>
        <w:jc w:val="right"/>
        <w:rPr>
          <w:rFonts w:ascii="TimesNewRoman" w:hAnsi="TimesNewRoman" w:cs="TimesNewRoman"/>
          <w:sz w:val="20"/>
          <w:szCs w:val="20"/>
        </w:rPr>
      </w:pPr>
      <w:r>
        <w:rPr>
          <w:rFonts w:hint="eastAsia" w:ascii="TimesNewRoman" w:hAnsi="TimesNewRoman" w:cs="TimesNewRoman"/>
          <w:sz w:val="20"/>
          <w:szCs w:val="20"/>
        </w:rPr>
        <w:t xml:space="preserve">     </w:t>
      </w:r>
      <w:r>
        <w:rPr>
          <w:rFonts w:hint="eastAsia" w:ascii="TimesNewRoman" w:hAnsi="TimesNewRoman" w:cs="TimesNewRoman"/>
          <w:sz w:val="20"/>
          <w:szCs w:val="20"/>
          <w:lang w:val="en-US" w:eastAsia="zh-CN"/>
        </w:rPr>
        <w:t>单位</w:t>
      </w:r>
      <w:r>
        <w:rPr>
          <w:rFonts w:ascii="TimesNewRoman" w:hAnsi="TimesNewRoman" w:cs="TimesNewRoman"/>
          <w:sz w:val="20"/>
          <w:szCs w:val="20"/>
        </w:rPr>
        <w:t>公开表11</w:t>
      </w:r>
    </w:p>
    <w:tbl>
      <w:tblPr>
        <w:tblStyle w:val="4"/>
        <w:tblW w:w="13709" w:type="dxa"/>
        <w:jc w:val="center"/>
        <w:tblLayout w:type="fixed"/>
        <w:tblCellMar>
          <w:top w:w="0" w:type="dxa"/>
          <w:left w:w="108" w:type="dxa"/>
          <w:bottom w:w="0" w:type="dxa"/>
          <w:right w:w="108" w:type="dxa"/>
        </w:tblCellMar>
      </w:tblPr>
      <w:tblGrid>
        <w:gridCol w:w="2068"/>
        <w:gridCol w:w="1948"/>
        <w:gridCol w:w="1780"/>
        <w:gridCol w:w="1928"/>
        <w:gridCol w:w="2477"/>
        <w:gridCol w:w="1680"/>
        <w:gridCol w:w="1811"/>
        <w:gridCol w:w="17"/>
      </w:tblGrid>
      <w:tr>
        <w:tblPrEx>
          <w:tblCellMar>
            <w:top w:w="0" w:type="dxa"/>
            <w:left w:w="108" w:type="dxa"/>
            <w:bottom w:w="0" w:type="dxa"/>
            <w:right w:w="108" w:type="dxa"/>
          </w:tblCellMar>
        </w:tblPrEx>
        <w:trPr>
          <w:gridAfter w:val="1"/>
          <w:wAfter w:w="17" w:type="dxa"/>
          <w:trHeight w:val="673" w:hRule="atLeast"/>
          <w:jc w:val="center"/>
        </w:trPr>
        <w:tc>
          <w:tcPr>
            <w:tcW w:w="13692" w:type="dxa"/>
            <w:gridSpan w:val="7"/>
            <w:tcBorders>
              <w:top w:val="nil"/>
              <w:left w:val="nil"/>
              <w:bottom w:val="nil"/>
              <w:right w:val="nil"/>
            </w:tcBorders>
            <w:noWrap w:val="0"/>
            <w:vAlign w:val="center"/>
          </w:tcPr>
          <w:p>
            <w:pPr>
              <w:spacing w:line="560" w:lineRule="exact"/>
              <w:jc w:val="center"/>
              <w:rPr>
                <w:rFonts w:ascii="宋体" w:hAnsi="宋体" w:cs="TimesNewRoman"/>
                <w:b/>
                <w:bCs/>
                <w:kern w:val="0"/>
                <w:sz w:val="28"/>
                <w:szCs w:val="32"/>
              </w:rPr>
            </w:pPr>
            <w:r>
              <w:rPr>
                <w:rFonts w:hint="eastAsia" w:ascii="宋体" w:hAnsi="宋体" w:cs="TimesNewRoman"/>
                <w:b/>
                <w:bCs/>
                <w:kern w:val="0"/>
                <w:sz w:val="28"/>
                <w:szCs w:val="32"/>
                <w:lang w:val="en-US" w:eastAsia="zh-CN"/>
              </w:rPr>
              <w:t>中共寿县县委党校</w:t>
            </w:r>
            <w:r>
              <w:rPr>
                <w:rFonts w:hint="eastAsia" w:ascii="宋体" w:hAnsi="宋体" w:cs="TimesNewRoman"/>
                <w:b/>
                <w:bCs/>
                <w:kern w:val="0"/>
                <w:sz w:val="28"/>
                <w:szCs w:val="32"/>
              </w:rPr>
              <w:t>2024</w:t>
            </w:r>
            <w:r>
              <w:rPr>
                <w:rFonts w:ascii="宋体" w:hAnsi="宋体" w:cs="TimesNewRoman"/>
                <w:b/>
                <w:bCs/>
                <w:kern w:val="0"/>
                <w:sz w:val="28"/>
                <w:szCs w:val="32"/>
              </w:rPr>
              <w:t>年政府购买服务支出表</w:t>
            </w:r>
          </w:p>
          <w:p>
            <w:pPr>
              <w:widowControl/>
              <w:spacing w:line="560" w:lineRule="exact"/>
              <w:jc w:val="center"/>
              <w:rPr>
                <w:rFonts w:ascii="TimesNewRoman" w:hAnsi="TimesNewRoman" w:cs="TimesNewRoman"/>
                <w:kern w:val="0"/>
                <w:sz w:val="20"/>
              </w:rPr>
            </w:pPr>
            <w:r>
              <w:rPr>
                <w:rFonts w:ascii="TimesNewRoman" w:hAnsi="TimesNewRoman" w:cs="TimesNewRoman"/>
                <w:kern w:val="0"/>
                <w:sz w:val="20"/>
              </w:rPr>
              <w:t xml:space="preserve">                                                                                                                    单位：万元</w:t>
            </w:r>
          </w:p>
        </w:tc>
      </w:tr>
      <w:tr>
        <w:tblPrEx>
          <w:tblCellMar>
            <w:top w:w="15" w:type="dxa"/>
            <w:left w:w="15" w:type="dxa"/>
            <w:bottom w:w="15" w:type="dxa"/>
            <w:right w:w="15" w:type="dxa"/>
          </w:tblCellMar>
        </w:tblPrEx>
        <w:trPr>
          <w:trHeight w:val="922"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项目名称</w:t>
            </w:r>
          </w:p>
        </w:tc>
        <w:tc>
          <w:tcPr>
            <w:tcW w:w="194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一级目录名称</w:t>
            </w:r>
          </w:p>
        </w:tc>
        <w:tc>
          <w:tcPr>
            <w:tcW w:w="17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二级目录名称</w:t>
            </w:r>
          </w:p>
        </w:tc>
        <w:tc>
          <w:tcPr>
            <w:tcW w:w="19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三级目录名称</w:t>
            </w:r>
          </w:p>
        </w:tc>
        <w:tc>
          <w:tcPr>
            <w:tcW w:w="247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政府购买服务内容</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购买数量</w:t>
            </w:r>
          </w:p>
        </w:tc>
        <w:tc>
          <w:tcPr>
            <w:tcW w:w="18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textAlignment w:val="center"/>
              <w:rPr>
                <w:rFonts w:ascii="TimesNewRoman" w:hAnsi="TimesNewRoman" w:cs="TimesNewRoman"/>
                <w:b/>
                <w:sz w:val="18"/>
                <w:szCs w:val="18"/>
              </w:rPr>
            </w:pPr>
            <w:r>
              <w:rPr>
                <w:rFonts w:ascii="TimesNewRoman" w:hAnsi="TimesNewRoman" w:cs="TimesNewRoman"/>
                <w:b/>
                <w:kern w:val="0"/>
                <w:sz w:val="18"/>
                <w:szCs w:val="18"/>
                <w:lang w:bidi="ar"/>
              </w:rPr>
              <w:t>购买金额</w:t>
            </w: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中共寿县县委党校</w:t>
            </w:r>
          </w:p>
        </w:tc>
        <w:tc>
          <w:tcPr>
            <w:tcW w:w="19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9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24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NewRoman" w:hAnsi="TimesNewRoman" w:eastAsia="宋体" w:cs="TimesNewRoman"/>
                <w:sz w:val="18"/>
                <w:szCs w:val="18"/>
                <w:lang w:val="en-US" w:eastAsia="zh-CN"/>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NewRoman" w:hAnsi="TimesNewRoman" w:eastAsia="宋体" w:cs="TimesNewRoman"/>
                <w:sz w:val="18"/>
                <w:szCs w:val="18"/>
                <w:lang w:val="en-US" w:eastAsia="zh-CN"/>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b/>
                <w:sz w:val="18"/>
                <w:szCs w:val="18"/>
              </w:rPr>
            </w:pPr>
            <w:r>
              <w:rPr>
                <w:rFonts w:hint="eastAsia" w:ascii="宋体" w:hAnsi="宋体" w:eastAsia="宋体" w:cs="宋体"/>
                <w:i w:val="0"/>
                <w:iCs w:val="0"/>
                <w:color w:val="000000"/>
                <w:kern w:val="0"/>
                <w:sz w:val="20"/>
                <w:szCs w:val="20"/>
                <w:u w:val="none"/>
                <w:lang w:val="en-US" w:eastAsia="zh-CN" w:bidi="ar"/>
              </w:rPr>
              <w:t>　党校后勤服务社会化</w:t>
            </w:r>
          </w:p>
        </w:tc>
        <w:tc>
          <w:tcPr>
            <w:tcW w:w="194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b/>
                <w:sz w:val="18"/>
                <w:szCs w:val="18"/>
              </w:rPr>
            </w:pPr>
            <w:r>
              <w:rPr>
                <w:rFonts w:hint="eastAsia" w:ascii="宋体" w:hAnsi="宋体" w:eastAsia="宋体" w:cs="宋体"/>
                <w:i w:val="0"/>
                <w:iCs w:val="0"/>
                <w:color w:val="000000"/>
                <w:kern w:val="0"/>
                <w:sz w:val="20"/>
                <w:szCs w:val="20"/>
                <w:u w:val="none"/>
                <w:lang w:val="en-US" w:eastAsia="zh-CN" w:bidi="ar"/>
              </w:rPr>
              <w:t>　　党校后勤服务社会化</w:t>
            </w:r>
          </w:p>
        </w:tc>
        <w:tc>
          <w:tcPr>
            <w:tcW w:w="19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政府履职辅助性服务</w:t>
            </w:r>
          </w:p>
        </w:tc>
        <w:tc>
          <w:tcPr>
            <w:tcW w:w="1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后勤服务</w:t>
            </w:r>
          </w:p>
        </w:tc>
        <w:tc>
          <w:tcPr>
            <w:tcW w:w="19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物业管理服务</w:t>
            </w:r>
          </w:p>
        </w:tc>
        <w:tc>
          <w:tcPr>
            <w:tcW w:w="24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党校后勤服务社会化</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1</w:t>
            </w:r>
          </w:p>
        </w:tc>
        <w:tc>
          <w:tcPr>
            <w:tcW w:w="18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ascii="TimesNewRoman" w:hAnsi="TimesNewRoman" w:cs="TimesNewRoman"/>
                <w:sz w:val="18"/>
                <w:szCs w:val="18"/>
              </w:rPr>
            </w:pPr>
            <w:r>
              <w:rPr>
                <w:rFonts w:hint="eastAsia" w:ascii="宋体" w:hAnsi="宋体" w:eastAsia="宋体" w:cs="宋体"/>
                <w:i w:val="0"/>
                <w:iCs w:val="0"/>
                <w:color w:val="000000"/>
                <w:kern w:val="0"/>
                <w:sz w:val="20"/>
                <w:szCs w:val="20"/>
                <w:u w:val="none"/>
                <w:lang w:val="en-US" w:eastAsia="zh-CN" w:bidi="ar"/>
              </w:rPr>
              <w:t>115.00</w:t>
            </w:r>
          </w:p>
        </w:tc>
      </w:tr>
      <w:tr>
        <w:tblPrEx>
          <w:tblCellMar>
            <w:top w:w="15" w:type="dxa"/>
            <w:left w:w="15" w:type="dxa"/>
            <w:bottom w:w="15" w:type="dxa"/>
            <w:right w:w="15" w:type="dxa"/>
          </w:tblCellMar>
        </w:tblPrEx>
        <w:trPr>
          <w:trHeight w:val="711" w:hRule="atLeast"/>
          <w:jc w:val="center"/>
        </w:trPr>
        <w:tc>
          <w:tcPr>
            <w:tcW w:w="2068" w:type="dxa"/>
            <w:tcBorders>
              <w:top w:val="single" w:color="000000" w:sz="4" w:space="0"/>
              <w:left w:val="single" w:color="000000" w:sz="4" w:space="0"/>
              <w:bottom w:val="single" w:color="000000" w:sz="4" w:space="0"/>
              <w:right w:val="single" w:color="000000" w:sz="4" w:space="0"/>
            </w:tcBorders>
            <w:noWrap w:val="0"/>
            <w:vAlign w:val="center"/>
          </w:tcPr>
          <w:p>
            <w:pPr>
              <w:spacing w:line="280" w:lineRule="exact"/>
              <w:jc w:val="center"/>
              <w:rPr>
                <w:rFonts w:ascii="TimesNewRoman" w:hAnsi="TimesNewRoman" w:cs="TimesNewRoman"/>
                <w:b/>
                <w:sz w:val="18"/>
                <w:szCs w:val="18"/>
              </w:rPr>
            </w:pPr>
            <w:r>
              <w:rPr>
                <w:rFonts w:ascii="TimesNewRoman" w:hAnsi="TimesNewRoman" w:cs="TimesNewRoman"/>
                <w:b/>
                <w:sz w:val="18"/>
                <w:szCs w:val="18"/>
              </w:rPr>
              <w:t>合</w:t>
            </w:r>
            <w:r>
              <w:rPr>
                <w:rFonts w:hint="eastAsia" w:ascii="TimesNewRoman" w:hAnsi="TimesNewRoman" w:cs="TimesNewRoman"/>
                <w:b/>
                <w:sz w:val="18"/>
                <w:szCs w:val="18"/>
              </w:rPr>
              <w:t xml:space="preserve"> </w:t>
            </w:r>
            <w:r>
              <w:rPr>
                <w:rFonts w:ascii="TimesNewRoman" w:hAnsi="TimesNewRoman" w:cs="TimesNewRoman"/>
                <w:b/>
                <w:sz w:val="18"/>
                <w:szCs w:val="18"/>
              </w:rPr>
              <w:t>计</w:t>
            </w:r>
          </w:p>
        </w:tc>
        <w:tc>
          <w:tcPr>
            <w:tcW w:w="194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7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928"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2477"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680" w:type="dxa"/>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80" w:lineRule="exact"/>
              <w:rPr>
                <w:rFonts w:ascii="TimesNewRoman" w:hAnsi="TimesNewRoman" w:cs="TimesNewRoman"/>
                <w:sz w:val="18"/>
                <w:szCs w:val="18"/>
              </w:rPr>
            </w:pPr>
          </w:p>
        </w:tc>
      </w:tr>
    </w:tbl>
    <w:p>
      <w:pPr>
        <w:spacing w:line="560" w:lineRule="exact"/>
        <w:rPr>
          <w:rFonts w:ascii="TimesNewRoman" w:hAnsi="TimesNewRoman" w:cs="TimesNewRoman"/>
          <w:kern w:val="0"/>
          <w:sz w:val="22"/>
        </w:rPr>
      </w:pPr>
      <w:r>
        <w:rPr>
          <w:rFonts w:ascii="TimesNewRoman" w:hAnsi="TimesNewRoman" w:cs="TimesNewRoman"/>
          <w:kern w:val="0"/>
          <w:sz w:val="22"/>
        </w:rPr>
        <w:t>。</w:t>
      </w:r>
    </w:p>
    <w:p>
      <w:pPr>
        <w:pStyle w:val="3"/>
        <w:adjustRightInd w:val="0"/>
        <w:snapToGrid w:val="0"/>
        <w:spacing w:before="100" w:after="100" w:line="560" w:lineRule="exact"/>
        <w:ind w:firstLine="640" w:firstLineChars="200"/>
        <w:rPr>
          <w:rFonts w:ascii="TimesNewRoman" w:hAnsi="TimesNewRoman" w:eastAsia="楷体_GB2312" w:cs="TimesNewRoman"/>
          <w:bCs/>
          <w:sz w:val="32"/>
          <w:szCs w:val="32"/>
        </w:rPr>
        <w:sectPr>
          <w:pgSz w:w="16840" w:h="11907" w:orient="landscape"/>
          <w:pgMar w:top="1588" w:right="1531" w:bottom="1474" w:left="1560" w:header="851" w:footer="1021" w:gutter="0"/>
          <w:cols w:space="425" w:num="1"/>
          <w:docGrid w:type="linesAndChars" w:linePitch="312" w:charSpace="0"/>
        </w:sectPr>
      </w:pPr>
    </w:p>
    <w:p>
      <w:pPr>
        <w:pStyle w:val="3"/>
        <w:topLinePunct/>
        <w:adjustRightInd w:val="0"/>
        <w:snapToGrid w:val="0"/>
        <w:spacing w:beforeAutospacing="0" w:afterAutospacing="0" w:line="560" w:lineRule="exact"/>
        <w:jc w:val="center"/>
        <w:rPr>
          <w:rFonts w:hint="eastAsia" w:ascii="TimesNewRoman" w:hAnsi="TimesNewRoman" w:eastAsia="黑体" w:cs="TimesNewRoman"/>
          <w:bCs/>
          <w:sz w:val="36"/>
          <w:szCs w:val="36"/>
        </w:rPr>
      </w:pP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第三部分 </w:t>
      </w:r>
      <w:r>
        <w:rPr>
          <w:rFonts w:hint="eastAsia" w:ascii="TimesNewRoman" w:hAnsi="TimesNewRoman" w:eastAsia="黑体" w:cs="TimesNewRoman"/>
          <w:bCs/>
          <w:sz w:val="36"/>
          <w:szCs w:val="36"/>
        </w:rPr>
        <w:t>2024</w:t>
      </w:r>
      <w:r>
        <w:rPr>
          <w:rFonts w:ascii="TimesNewRoman" w:hAnsi="TimesNewRoman" w:eastAsia="黑体" w:cs="TimesNewRoman"/>
          <w:bCs/>
          <w:sz w:val="36"/>
          <w:szCs w:val="36"/>
        </w:rPr>
        <w:t>年单位预算情况说明</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一、关于2024年收支总表的说明</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w:t>
      </w: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所有收入和支出均纳入</w:t>
      </w:r>
      <w:r>
        <w:rPr>
          <w:rFonts w:hint="eastAsia" w:ascii="仿宋_GB2312" w:hAnsi="TimesNewRoman" w:eastAsia="仿宋_GB2312" w:cs="TimesNewRoman"/>
          <w:sz w:val="32"/>
          <w:szCs w:val="32"/>
          <w:u w:val="none"/>
        </w:rPr>
        <w:t>单位</w:t>
      </w:r>
      <w:r>
        <w:rPr>
          <w:rFonts w:hint="eastAsia" w:ascii="仿宋_GB2312" w:hAnsi="TimesNewRoman" w:eastAsia="仿宋_GB2312" w:cs="TimesNewRoman"/>
          <w:sz w:val="32"/>
          <w:szCs w:val="32"/>
        </w:rPr>
        <w:t>预算管理。</w:t>
      </w: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2024年收支总预算</w:t>
      </w:r>
      <w:r>
        <w:rPr>
          <w:rFonts w:hint="eastAsia" w:ascii="仿宋_GB2312" w:hAnsi="TimesNewRoman" w:eastAsia="仿宋_GB2312" w:cs="TimesNewRoman"/>
          <w:sz w:val="32"/>
          <w:szCs w:val="32"/>
          <w:lang w:val="en-US" w:eastAsia="zh-CN"/>
        </w:rPr>
        <w:t>587.45</w:t>
      </w:r>
      <w:r>
        <w:rPr>
          <w:rFonts w:hint="eastAsia" w:ascii="仿宋_GB2312" w:hAnsi="TimesNewRoman" w:eastAsia="仿宋_GB2312" w:cs="TimesNewRoman"/>
          <w:sz w:val="32"/>
          <w:szCs w:val="32"/>
        </w:rPr>
        <w:t>万元，收入包括一般公共预算拨款收入、单位资金收入，支出包括：</w:t>
      </w:r>
      <w:r>
        <w:rPr>
          <w:rFonts w:hint="eastAsia" w:ascii="仿宋_GB2312" w:hAnsi="TimesNewRoman" w:eastAsia="仿宋_GB2312" w:cs="TimesNewRoman"/>
          <w:sz w:val="32"/>
          <w:szCs w:val="32"/>
          <w:lang w:val="en-US" w:eastAsia="zh-CN"/>
        </w:rPr>
        <w:t>教育</w:t>
      </w:r>
      <w:r>
        <w:rPr>
          <w:rFonts w:hint="eastAsia" w:ascii="仿宋_GB2312" w:hAnsi="TimesNewRoman" w:eastAsia="仿宋_GB2312" w:cs="TimesNewRoman"/>
          <w:sz w:val="32"/>
          <w:szCs w:val="32"/>
        </w:rPr>
        <w:t>支出、社会保障和就业支出、卫生健康支出、住房保障支出。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二、关于2024年收入总表的说明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lang w:val="en-US" w:eastAsia="zh-CN"/>
        </w:rPr>
        <w:t>中共寿县县委党校</w:t>
      </w:r>
      <w:r>
        <w:rPr>
          <w:rFonts w:hint="eastAsia" w:ascii="仿宋_GB2312" w:hAnsi="TimesNewRoman" w:eastAsia="仿宋_GB2312" w:cs="TimesNewRoman"/>
          <w:sz w:val="32"/>
          <w:szCs w:val="32"/>
        </w:rPr>
        <w:t>2024年收入预算</w:t>
      </w:r>
      <w:r>
        <w:rPr>
          <w:rFonts w:hint="eastAsia" w:ascii="仿宋_GB2312" w:hAnsi="TimesNewRoman" w:eastAsia="仿宋_GB2312" w:cs="TimesNewRoman"/>
          <w:sz w:val="32"/>
          <w:szCs w:val="32"/>
          <w:lang w:val="en-US" w:eastAsia="zh-CN"/>
        </w:rPr>
        <w:t>587.45</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587.45</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本年收入</w:t>
      </w:r>
      <w:r>
        <w:rPr>
          <w:rFonts w:hint="eastAsia" w:ascii="仿宋_GB2312" w:hAnsi="TimesNewRoman" w:eastAsia="仿宋_GB2312" w:cs="TimesNewRoman"/>
          <w:sz w:val="32"/>
          <w:szCs w:val="32"/>
          <w:lang w:val="en-US" w:eastAsia="zh-CN"/>
        </w:rPr>
        <w:t>587.45</w:t>
      </w:r>
      <w:r>
        <w:rPr>
          <w:rFonts w:hint="eastAsia" w:ascii="仿宋_GB2312" w:hAnsi="TimesNewRoman" w:eastAsia="仿宋_GB2312" w:cs="TimesNewRoman"/>
          <w:sz w:val="32"/>
          <w:szCs w:val="32"/>
        </w:rPr>
        <w:t>万元，主要包括：一般公共预算拨款收入</w:t>
      </w:r>
      <w:r>
        <w:rPr>
          <w:rFonts w:hint="eastAsia" w:ascii="仿宋_GB2312" w:hAnsi="TimesNewRoman" w:eastAsia="仿宋_GB2312" w:cs="TimesNewRoman"/>
          <w:sz w:val="32"/>
          <w:szCs w:val="32"/>
          <w:lang w:val="en-US" w:eastAsia="zh-CN"/>
        </w:rPr>
        <w:t>527.45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89.79</w:t>
      </w:r>
      <w:r>
        <w:rPr>
          <w:rFonts w:hint="eastAsia" w:ascii="仿宋_GB2312" w:hAnsi="TimesNewRoman" w:eastAsia="仿宋_GB2312" w:cs="TimesNewRoman"/>
          <w:sz w:val="32"/>
          <w:szCs w:val="32"/>
        </w:rPr>
        <w:t>%，比2023年预算增加</w:t>
      </w:r>
      <w:r>
        <w:rPr>
          <w:rFonts w:hint="eastAsia" w:ascii="仿宋_GB2312" w:hAnsi="TimesNewRoman" w:eastAsia="仿宋_GB2312" w:cs="TimesNewRoman"/>
          <w:sz w:val="32"/>
          <w:szCs w:val="32"/>
          <w:lang w:val="en-US" w:eastAsia="zh-CN"/>
        </w:rPr>
        <w:t>15.26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2.98</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；单位资金收入</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10.21</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与</w:t>
      </w:r>
      <w:r>
        <w:rPr>
          <w:rFonts w:hint="eastAsia" w:ascii="仿宋_GB2312" w:hAnsi="TimesNewRoman" w:eastAsia="仿宋_GB2312" w:cs="TimesNewRoman"/>
          <w:sz w:val="32"/>
          <w:szCs w:val="32"/>
        </w:rPr>
        <w:t>2023年预算</w:t>
      </w:r>
      <w:r>
        <w:rPr>
          <w:rFonts w:hint="eastAsia" w:ascii="仿宋_GB2312" w:hAnsi="TimesNewRoman" w:eastAsia="仿宋_GB2312" w:cs="TimesNewRoman"/>
          <w:sz w:val="32"/>
          <w:szCs w:val="32"/>
          <w:lang w:val="en-US" w:eastAsia="zh-CN"/>
        </w:rPr>
        <w:t>持平</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党校正常办学，培训费预算收入未调整</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三、关于2024年支出总表的说明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2024年支出预算</w:t>
      </w:r>
      <w:r>
        <w:rPr>
          <w:rFonts w:hint="eastAsia" w:ascii="仿宋_GB2312" w:hAnsi="TimesNewRoman" w:eastAsia="仿宋_GB2312" w:cs="TimesNewRoman"/>
          <w:sz w:val="32"/>
          <w:szCs w:val="32"/>
          <w:lang w:val="en-US" w:eastAsia="zh-CN"/>
        </w:rPr>
        <w:t>587.45</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15.26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2.67</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385.29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65.59</w:t>
      </w:r>
      <w:r>
        <w:rPr>
          <w:rFonts w:hint="eastAsia" w:ascii="仿宋_GB2312" w:hAnsi="TimesNewRoman" w:eastAsia="仿宋_GB2312" w:cs="TimesNewRoman"/>
          <w:sz w:val="32"/>
          <w:szCs w:val="32"/>
        </w:rPr>
        <w:t>%，主要用于保障机构日常运转、完成日常</w:t>
      </w:r>
      <w:r>
        <w:rPr>
          <w:rFonts w:hint="eastAsia" w:ascii="仿宋_GB2312" w:hAnsi="TimesNewRoman" w:eastAsia="仿宋_GB2312" w:cs="TimesNewRoman"/>
          <w:sz w:val="32"/>
          <w:szCs w:val="32"/>
          <w:lang w:val="en-US" w:eastAsia="zh-CN"/>
        </w:rPr>
        <w:t>培训办学任务</w:t>
      </w:r>
      <w:r>
        <w:rPr>
          <w:rFonts w:hint="eastAsia" w:ascii="仿宋_GB2312" w:hAnsi="TimesNewRoman" w:eastAsia="仿宋_GB2312" w:cs="TimesNewRoman"/>
          <w:sz w:val="32"/>
          <w:szCs w:val="32"/>
        </w:rPr>
        <w:t>；项目支出</w:t>
      </w:r>
      <w:r>
        <w:rPr>
          <w:rFonts w:hint="eastAsia" w:ascii="仿宋_GB2312" w:hAnsi="TimesNewRoman" w:eastAsia="仿宋_GB2312" w:cs="TimesNewRoman"/>
          <w:sz w:val="32"/>
          <w:szCs w:val="32"/>
          <w:lang w:val="en-US" w:eastAsia="zh-CN"/>
        </w:rPr>
        <w:t>202.16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34.41</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党校后勤服务社会化，党校事业费等项目</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四、关于2024年财政拨款收支总表的说明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2024年财政拨款收支预算</w:t>
      </w:r>
      <w:r>
        <w:rPr>
          <w:rFonts w:hint="eastAsia" w:ascii="仿宋_GB2312" w:hAnsi="TimesNewRoman" w:eastAsia="仿宋_GB2312" w:cs="TimesNewRoman"/>
          <w:sz w:val="32"/>
          <w:szCs w:val="32"/>
          <w:lang w:val="en-US" w:eastAsia="zh-CN"/>
        </w:rPr>
        <w:t>527.45</w:t>
      </w:r>
      <w:r>
        <w:rPr>
          <w:rFonts w:hint="eastAsia" w:ascii="仿宋_GB2312" w:hAnsi="TimesNewRoman" w:eastAsia="仿宋_GB2312" w:cs="TimesNewRoman"/>
          <w:sz w:val="32"/>
          <w:szCs w:val="32"/>
        </w:rPr>
        <w:t>万元。收入按资金来源分全部为一般公共预算拨款。</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五、关于2024年一般公共预算支出表的说明</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2024年一般公共预算支出</w:t>
      </w:r>
      <w:r>
        <w:rPr>
          <w:rFonts w:hint="eastAsia" w:ascii="仿宋_GB2312" w:hAnsi="TimesNewRoman" w:eastAsia="仿宋_GB2312" w:cs="TimesNewRoman"/>
          <w:sz w:val="32"/>
          <w:szCs w:val="32"/>
          <w:lang w:val="en-US" w:eastAsia="zh-CN"/>
        </w:rPr>
        <w:t>527.45</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15.26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2.98</w:t>
      </w:r>
      <w:r>
        <w:rPr>
          <w:rFonts w:hint="eastAsia" w:ascii="仿宋_GB2312" w:hAnsi="TimesNewRoman" w:eastAsia="仿宋_GB2312" w:cs="TimesNewRoman"/>
          <w:sz w:val="32"/>
          <w:szCs w:val="32"/>
        </w:rPr>
        <w:t>%，主要原因：一是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；二是</w:t>
      </w:r>
      <w:r>
        <w:rPr>
          <w:rFonts w:hint="eastAsia" w:ascii="仿宋_GB2312" w:hAnsi="TimesNewRoman" w:eastAsia="仿宋_GB2312" w:cs="TimesNewRoman"/>
          <w:sz w:val="32"/>
          <w:szCs w:val="32"/>
          <w:lang w:val="en-US" w:eastAsia="zh-CN"/>
        </w:rPr>
        <w:t>薪资正常调整</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教育支出436.09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82.68</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9.86</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13.83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2.62</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25.54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4.84</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1.</w:t>
      </w:r>
      <w:r>
        <w:rPr>
          <w:rFonts w:hint="eastAsia" w:ascii="仿宋_GB2312" w:hAnsi="仿宋" w:eastAsia="仿宋_GB2312"/>
          <w:b/>
          <w:sz w:val="32"/>
          <w:szCs w:val="32"/>
          <w:lang w:val="en-US" w:eastAsia="zh-CN"/>
        </w:rPr>
        <w:t>教育</w:t>
      </w:r>
      <w:r>
        <w:rPr>
          <w:rFonts w:hint="eastAsia" w:ascii="仿宋_GB2312" w:hAnsi="仿宋" w:eastAsia="仿宋_GB2312"/>
          <w:b/>
          <w:sz w:val="32"/>
          <w:szCs w:val="32"/>
        </w:rPr>
        <w:t>支出（类）</w:t>
      </w:r>
      <w:r>
        <w:rPr>
          <w:rFonts w:hint="eastAsia" w:ascii="仿宋_GB2312" w:hAnsi="仿宋" w:eastAsia="仿宋_GB2312"/>
          <w:b/>
          <w:sz w:val="32"/>
          <w:szCs w:val="32"/>
          <w:lang w:val="en-US" w:eastAsia="zh-CN"/>
        </w:rPr>
        <w:t>进修及培训</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干部教育</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436.09</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31.54</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7.80</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党校招录新人</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2.</w:t>
      </w:r>
      <w:r>
        <w:rPr>
          <w:rFonts w:hint="eastAsia" w:ascii="仿宋_GB2312" w:hAnsi="仿宋" w:eastAsia="仿宋_GB2312"/>
          <w:b/>
          <w:sz w:val="32"/>
          <w:szCs w:val="32"/>
        </w:rPr>
        <w:t>社会保障和就业支出（类）行政事业单位</w:t>
      </w:r>
      <w:r>
        <w:rPr>
          <w:rFonts w:hint="eastAsia" w:ascii="仿宋_GB2312" w:hAnsi="仿宋" w:eastAsia="仿宋_GB2312"/>
          <w:b/>
          <w:sz w:val="32"/>
          <w:szCs w:val="32"/>
          <w:lang w:val="en-US" w:eastAsia="zh-CN"/>
        </w:rPr>
        <w:t>养老支出</w:t>
      </w:r>
      <w:r>
        <w:rPr>
          <w:rFonts w:hint="eastAsia" w:ascii="仿宋_GB2312" w:hAnsi="仿宋" w:eastAsia="仿宋_GB2312"/>
          <w:b/>
          <w:sz w:val="32"/>
          <w:szCs w:val="32"/>
        </w:rPr>
        <w:t>（款）机关事业单位基本养老保险缴费支出（项）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34.05</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6.68</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16.40</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3.</w:t>
      </w:r>
      <w:r>
        <w:rPr>
          <w:rFonts w:hint="eastAsia" w:ascii="仿宋_GB2312" w:hAnsi="仿宋" w:eastAsia="仿宋_GB2312"/>
          <w:b/>
          <w:sz w:val="32"/>
          <w:szCs w:val="32"/>
        </w:rPr>
        <w:t>社会保障和就业支出（类）行政事业单位</w:t>
      </w:r>
      <w:r>
        <w:rPr>
          <w:rFonts w:hint="eastAsia" w:ascii="仿宋_GB2312" w:hAnsi="仿宋" w:eastAsia="仿宋_GB2312"/>
          <w:b/>
          <w:sz w:val="32"/>
          <w:szCs w:val="32"/>
          <w:lang w:val="en-US" w:eastAsia="zh-CN"/>
        </w:rPr>
        <w:t>养老支出</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机关事业单位职业年金缴费支出</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17.03</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3.33</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16.36</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仿宋" w:eastAsia="仿宋_GB2312"/>
          <w:b/>
          <w:sz w:val="32"/>
          <w:szCs w:val="32"/>
        </w:rPr>
      </w:pPr>
      <w:r>
        <w:rPr>
          <w:rFonts w:hint="eastAsia" w:ascii="仿宋_GB2312" w:hAnsi="TimesNewRoman" w:eastAsia="仿宋_GB2312" w:cs="TimesNewRoman"/>
          <w:b/>
          <w:sz w:val="32"/>
          <w:szCs w:val="32"/>
        </w:rPr>
        <w:t>4.</w:t>
      </w:r>
      <w:r>
        <w:rPr>
          <w:rFonts w:hint="eastAsia" w:ascii="仿宋_GB2312" w:hAnsi="仿宋" w:eastAsia="仿宋_GB2312"/>
          <w:b/>
          <w:sz w:val="32"/>
          <w:szCs w:val="32"/>
        </w:rPr>
        <w:t>社会保障和就业支出（类）</w:t>
      </w:r>
      <w:r>
        <w:rPr>
          <w:rFonts w:hint="eastAsia" w:ascii="仿宋_GB2312" w:hAnsi="仿宋" w:eastAsia="仿宋_GB2312"/>
          <w:b/>
          <w:sz w:val="32"/>
          <w:szCs w:val="32"/>
          <w:lang w:val="en-US" w:eastAsia="zh-CN"/>
        </w:rPr>
        <w:t>其他</w:t>
      </w:r>
      <w:r>
        <w:rPr>
          <w:rFonts w:hint="eastAsia" w:ascii="仿宋_GB2312" w:hAnsi="仿宋" w:eastAsia="仿宋_GB2312"/>
          <w:b/>
          <w:sz w:val="32"/>
          <w:szCs w:val="32"/>
        </w:rPr>
        <w:t>社会保障和就业支出（款）</w:t>
      </w:r>
      <w:r>
        <w:rPr>
          <w:rFonts w:hint="eastAsia" w:ascii="仿宋_GB2312" w:hAnsi="仿宋" w:eastAsia="仿宋_GB2312"/>
          <w:b/>
          <w:sz w:val="32"/>
          <w:szCs w:val="32"/>
          <w:lang w:val="en-US" w:eastAsia="zh-CN"/>
        </w:rPr>
        <w:t>其他</w:t>
      </w:r>
      <w:r>
        <w:rPr>
          <w:rFonts w:hint="eastAsia" w:ascii="仿宋_GB2312" w:hAnsi="仿宋" w:eastAsia="仿宋_GB2312"/>
          <w:b/>
          <w:sz w:val="32"/>
          <w:szCs w:val="32"/>
        </w:rPr>
        <w:t>社会保障和就业支出（项）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0.92</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0.18</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16.36</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lang w:val="en-US" w:eastAsia="zh-CN"/>
        </w:rPr>
      </w:pPr>
      <w:r>
        <w:rPr>
          <w:rFonts w:hint="eastAsia" w:ascii="仿宋_GB2312" w:hAnsi="TimesNewRoman" w:eastAsia="仿宋_GB2312" w:cs="TimesNewRoman"/>
          <w:b/>
          <w:sz w:val="32"/>
          <w:szCs w:val="32"/>
          <w:lang w:val="en-US" w:eastAsia="zh-CN"/>
        </w:rPr>
        <w:t>5.</w:t>
      </w:r>
      <w:r>
        <w:rPr>
          <w:rFonts w:hint="eastAsia" w:ascii="仿宋_GB2312" w:hAnsi="仿宋" w:eastAsia="仿宋_GB2312"/>
          <w:b/>
          <w:sz w:val="32"/>
          <w:szCs w:val="32"/>
          <w:lang w:val="en-US"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val="en-US" w:eastAsia="zh-CN"/>
        </w:rPr>
        <w:t>行政事业单位医疗</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行政单位医疗</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3.08</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0.71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18.73</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lang w:val="en-US" w:eastAsia="zh-CN"/>
        </w:rPr>
      </w:pPr>
      <w:r>
        <w:rPr>
          <w:rFonts w:hint="eastAsia" w:ascii="仿宋_GB2312" w:hAnsi="TimesNewRoman" w:eastAsia="仿宋_GB2312" w:cs="TimesNewRoman"/>
          <w:b/>
          <w:sz w:val="32"/>
          <w:szCs w:val="32"/>
          <w:lang w:val="en-US" w:eastAsia="zh-CN"/>
        </w:rPr>
        <w:t>6.</w:t>
      </w:r>
      <w:r>
        <w:rPr>
          <w:rFonts w:hint="eastAsia" w:ascii="仿宋_GB2312" w:hAnsi="仿宋" w:eastAsia="仿宋_GB2312"/>
          <w:b/>
          <w:sz w:val="32"/>
          <w:szCs w:val="32"/>
          <w:lang w:val="en-US"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val="en-US" w:eastAsia="zh-CN"/>
        </w:rPr>
        <w:t>行政事业单位医疗</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事业单位医疗</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8.14</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1.66</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16.94</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b/>
          <w:sz w:val="32"/>
          <w:szCs w:val="32"/>
          <w:lang w:val="en-US" w:eastAsia="zh-CN"/>
        </w:rPr>
      </w:pPr>
      <w:r>
        <w:rPr>
          <w:rFonts w:hint="eastAsia" w:ascii="仿宋_GB2312" w:hAnsi="TimesNewRoman" w:eastAsia="仿宋_GB2312" w:cs="TimesNewRoman"/>
          <w:b/>
          <w:sz w:val="32"/>
          <w:szCs w:val="32"/>
          <w:lang w:val="en-US" w:eastAsia="zh-CN"/>
        </w:rPr>
        <w:t>7.</w:t>
      </w:r>
      <w:r>
        <w:rPr>
          <w:rFonts w:hint="eastAsia" w:ascii="仿宋_GB2312" w:hAnsi="仿宋" w:eastAsia="仿宋_GB2312"/>
          <w:b/>
          <w:sz w:val="32"/>
          <w:szCs w:val="32"/>
          <w:lang w:val="en-US"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val="en-US" w:eastAsia="zh-CN"/>
        </w:rPr>
        <w:t>行政事业单位医疗</w:t>
      </w:r>
      <w:r>
        <w:rPr>
          <w:rFonts w:hint="eastAsia" w:ascii="仿宋_GB2312" w:hAnsi="仿宋" w:eastAsia="仿宋_GB2312"/>
          <w:b/>
          <w:sz w:val="32"/>
          <w:szCs w:val="32"/>
        </w:rPr>
        <w:t>（款）</w:t>
      </w:r>
      <w:r>
        <w:rPr>
          <w:rFonts w:hint="eastAsia" w:ascii="仿宋_GB2312" w:hAnsi="仿宋" w:eastAsia="仿宋_GB2312"/>
          <w:b/>
          <w:sz w:val="32"/>
          <w:szCs w:val="32"/>
          <w:lang w:val="en-US" w:eastAsia="zh-CN"/>
        </w:rPr>
        <w:t>公务员医疗补助</w:t>
      </w:r>
      <w:r>
        <w:rPr>
          <w:rFonts w:hint="eastAsia" w:ascii="仿宋_GB2312" w:hAnsi="仿宋" w:eastAsia="仿宋_GB2312"/>
          <w:b/>
          <w:sz w:val="32"/>
          <w:szCs w:val="32"/>
        </w:rPr>
        <w:t>（项）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2.60</w:t>
      </w:r>
      <w:r>
        <w:rPr>
          <w:rFonts w:hint="eastAsia" w:ascii="仿宋_GB2312" w:hAnsi="TimesNewRoman" w:eastAsia="仿宋_GB2312" w:cs="TimesNewRoman"/>
          <w:sz w:val="32"/>
          <w:szCs w:val="32"/>
        </w:rPr>
        <w:t>万元，比2023年预算</w:t>
      </w:r>
      <w:r>
        <w:rPr>
          <w:rFonts w:hint="eastAsia" w:ascii="仿宋_GB2312" w:hAnsi="TimesNewRoman" w:eastAsia="仿宋_GB2312" w:cs="TimesNewRoman"/>
          <w:sz w:val="32"/>
          <w:szCs w:val="32"/>
          <w:lang w:val="en-US" w:eastAsia="zh-CN"/>
        </w:rPr>
        <w:t>增加1.30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增加100</w:t>
      </w:r>
      <w:r>
        <w:rPr>
          <w:rFonts w:hint="eastAsia" w:ascii="仿宋_GB2312" w:hAnsi="TimesNewRoman" w:eastAsia="仿宋_GB2312" w:cs="TimesNewRoman"/>
          <w:sz w:val="32"/>
          <w:szCs w:val="32"/>
        </w:rPr>
        <w:t>%，下降主要原因</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一</w:t>
      </w:r>
      <w:r>
        <w:rPr>
          <w:rFonts w:hint="eastAsia" w:ascii="仿宋_GB2312" w:hAnsi="TimesNewRoman" w:eastAsia="仿宋_GB2312" w:cs="TimesNewRoman"/>
          <w:sz w:val="32"/>
          <w:szCs w:val="32"/>
        </w:rPr>
        <w:t>是</w:t>
      </w:r>
      <w:r>
        <w:rPr>
          <w:rFonts w:hint="eastAsia" w:ascii="仿宋_GB2312" w:hAnsi="TimesNewRoman" w:eastAsia="仿宋_GB2312" w:cs="TimesNewRoman"/>
          <w:sz w:val="32"/>
          <w:szCs w:val="32"/>
          <w:lang w:val="en-US" w:eastAsia="zh-CN"/>
        </w:rPr>
        <w:t>上年度人员调动；二是医疗保险基数调整</w:t>
      </w:r>
      <w:r>
        <w:rPr>
          <w:rFonts w:hint="eastAsia" w:ascii="仿宋_GB2312" w:hAnsi="TimesNewRoman" w:eastAsia="仿宋_GB2312" w:cs="TimesNewRoman"/>
          <w:sz w:val="32"/>
          <w:szCs w:val="32"/>
        </w:rPr>
        <w:t>。</w:t>
      </w:r>
    </w:p>
    <w:p>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8.</w:t>
      </w:r>
      <w:r>
        <w:rPr>
          <w:rFonts w:hint="eastAsia" w:ascii="仿宋_GB2312" w:hAnsi="TimesNewRoman" w:eastAsia="仿宋_GB2312" w:cs="TimesNewRoman"/>
          <w:b/>
          <w:sz w:val="32"/>
          <w:szCs w:val="32"/>
        </w:rPr>
        <w:t>住房保障支出（类）住房改革支出（款）住房公积金（项）</w:t>
      </w:r>
      <w:r>
        <w:rPr>
          <w:rFonts w:hint="eastAsia" w:ascii="仿宋_GB2312" w:hAnsi="TimesNewRoman" w:eastAsia="仿宋_GB2312" w:cs="TimesNewRoman"/>
          <w:sz w:val="32"/>
          <w:szCs w:val="32"/>
        </w:rPr>
        <w:t>2024年预算</w:t>
      </w:r>
      <w:r>
        <w:rPr>
          <w:rFonts w:hint="eastAsia" w:ascii="仿宋_GB2312" w:hAnsi="TimesNewRoman" w:eastAsia="仿宋_GB2312" w:cs="TimesNewRoman"/>
          <w:sz w:val="32"/>
          <w:szCs w:val="32"/>
          <w:lang w:val="en-US" w:eastAsia="zh-CN"/>
        </w:rPr>
        <w:t>25.54</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5.01</w:t>
      </w:r>
      <w:r>
        <w:rPr>
          <w:rFonts w:hint="eastAsia" w:ascii="仿宋_GB2312" w:hAnsi="TimesNewRoman" w:eastAsia="仿宋_GB2312" w:cs="TimesNewRoman"/>
          <w:sz w:val="32"/>
          <w:szCs w:val="32"/>
        </w:rPr>
        <w:t>万元，增长下降</w:t>
      </w:r>
      <w:r>
        <w:rPr>
          <w:rFonts w:hint="eastAsia" w:ascii="仿宋_GB2312" w:hAnsi="TimesNewRoman" w:eastAsia="仿宋_GB2312" w:cs="TimesNewRoman"/>
          <w:sz w:val="32"/>
          <w:szCs w:val="32"/>
          <w:lang w:val="en-US" w:eastAsia="zh-CN"/>
        </w:rPr>
        <w:t>16.40</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党校上年度退休人员较多</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六、关于2024年一般公共预算基本支出表的说明</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2024年一般公共预算基本支出</w:t>
      </w:r>
      <w:r>
        <w:rPr>
          <w:rFonts w:hint="eastAsia" w:ascii="仿宋_GB2312" w:hAnsi="TimesNewRoman" w:eastAsia="仿宋_GB2312" w:cs="TimesNewRoman"/>
          <w:sz w:val="32"/>
          <w:szCs w:val="32"/>
          <w:lang w:val="en-US" w:eastAsia="zh-CN"/>
        </w:rPr>
        <w:t>385.29</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356.30</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28.99</w:t>
      </w:r>
      <w:r>
        <w:rPr>
          <w:rFonts w:hint="eastAsia" w:ascii="仿宋_GB2312" w:hAnsi="TimesNewRoman" w:eastAsia="仿宋_GB2312" w:cs="TimesNewRoman"/>
          <w:sz w:val="32"/>
          <w:szCs w:val="32"/>
        </w:rPr>
        <w:t>万元。</w:t>
      </w:r>
    </w:p>
    <w:p>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356.30</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基本工资、津贴补贴、奖金、、绩效工资、机关事业单位基本养老保险费、职业年金缴费、职工基本医疗保险缴费、公务员医疗补助缴费、其他社会保障缴费、住房公积金、退休费、生活补助。</w:t>
      </w:r>
    </w:p>
    <w:p>
      <w:pPr>
        <w:topLinePunct/>
        <w:spacing w:line="580" w:lineRule="exact"/>
        <w:ind w:firstLine="640" w:firstLineChars="200"/>
        <w:rPr>
          <w:rFonts w:hint="eastAsia" w:ascii="仿宋_GB2312" w:hAnsi="TimesNewRoman" w:eastAsia="仿宋_GB2312" w:cs="TimesNewRoman"/>
          <w:color w:val="auto"/>
          <w:sz w:val="32"/>
          <w:szCs w:val="32"/>
          <w:u w:val="none"/>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28.99</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color w:val="auto"/>
          <w:sz w:val="32"/>
          <w:szCs w:val="32"/>
          <w:u w:val="none"/>
        </w:rPr>
        <w:t>办公费、水费、电费、邮电费、维修（护）费、会议费、公务接待费、工会经费、其他交通费用、办公设备购置。</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七、关于2024年政府性基金预算支出表的说明</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2024年没有政府性基金预算拨款收入，也没有使用政府性基金预算拨款安排的支出。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八、关于2024年国有资本经营预算支出表的说明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2024年没有国有资本经营预算拨款收入，也没有使用国有资本经营预算拨款安排的支出。</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九、关于2024年项目支出表的说明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2024年预算共安排项目支出</w:t>
      </w:r>
      <w:r>
        <w:rPr>
          <w:rFonts w:hint="eastAsia" w:ascii="仿宋_GB2312" w:hAnsi="TimesNewRoman" w:eastAsia="仿宋_GB2312" w:cs="TimesNewRoman"/>
          <w:sz w:val="32"/>
          <w:szCs w:val="32"/>
          <w:lang w:val="en-US" w:eastAsia="zh-CN"/>
        </w:rPr>
        <w:t>202.16</w:t>
      </w:r>
      <w:r>
        <w:rPr>
          <w:rFonts w:hint="eastAsia" w:ascii="仿宋_GB2312" w:hAnsi="TimesNewRoman" w:eastAsia="仿宋_GB2312" w:cs="TimesNewRoman"/>
          <w:sz w:val="32"/>
          <w:szCs w:val="32"/>
        </w:rPr>
        <w:t>万元，比2023年预算</w:t>
      </w:r>
      <w:r>
        <w:rPr>
          <w:rFonts w:hint="eastAsia" w:ascii="仿宋_GB2312" w:hAnsi="TimesNewRoman" w:eastAsia="仿宋_GB2312" w:cs="TimesNewRoman"/>
          <w:sz w:val="32"/>
          <w:szCs w:val="32"/>
          <w:lang w:val="en-US" w:eastAsia="zh-CN"/>
        </w:rPr>
        <w:t>增加18.64</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10.16</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的党校后勤服务社会化项目费用增加</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142.16</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142.16</w:t>
      </w:r>
      <w:r>
        <w:rPr>
          <w:rFonts w:hint="eastAsia" w:ascii="仿宋_GB2312" w:hAnsi="TimesNewRoman" w:eastAsia="仿宋_GB2312" w:cs="TimesNewRoman"/>
          <w:sz w:val="32"/>
          <w:szCs w:val="32"/>
        </w:rPr>
        <w:t>万元），单位资金安排</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十、关于2024年政府采购支出表的说明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2024年预算安排政府采购支出</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万元，比2023年预算减少</w:t>
      </w:r>
      <w:r>
        <w:rPr>
          <w:rFonts w:hint="eastAsia" w:ascii="仿宋_GB2312" w:hAnsi="TimesNewRoman" w:eastAsia="仿宋_GB2312" w:cs="TimesNewRoman"/>
          <w:sz w:val="32"/>
          <w:szCs w:val="32"/>
          <w:lang w:val="en-US" w:eastAsia="zh-CN"/>
        </w:rPr>
        <w:t>0.46</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43.40</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正常采购固定资产</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十一、关于2024年政府购买服务支出表的说明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2024年预算安排政府购买服务支出</w:t>
      </w:r>
      <w:r>
        <w:rPr>
          <w:rFonts w:hint="eastAsia" w:ascii="仿宋_GB2312" w:hAnsi="TimesNewRoman" w:eastAsia="仿宋_GB2312" w:cs="TimesNewRoman"/>
          <w:sz w:val="32"/>
          <w:szCs w:val="32"/>
          <w:lang w:val="en-US" w:eastAsia="zh-CN"/>
        </w:rPr>
        <w:t>115</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10</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10.53</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该项目到期重新招投标后，中标价格上涨</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十二、其他重要事项情况说明</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1.“党校后勤服务社会化”项目。</w:t>
      </w:r>
    </w:p>
    <w:p>
      <w:pPr>
        <w:topLinePunct/>
        <w:adjustRightInd w:val="0"/>
        <w:snapToGrid w:val="0"/>
        <w:spacing w:line="580" w:lineRule="exact"/>
        <w:ind w:firstLine="640" w:firstLineChars="200"/>
        <w:rPr>
          <w:rFonts w:hint="eastAsia" w:ascii="仿宋_GB2312" w:hAnsi="楷体" w:eastAsia="仿宋_GB2312"/>
          <w:sz w:val="32"/>
          <w:szCs w:val="32"/>
        </w:rPr>
      </w:pPr>
      <w:r>
        <w:rPr>
          <w:rFonts w:hint="eastAsia" w:ascii="仿宋_GB2312" w:hAnsi="TimesNewRoman" w:eastAsia="仿宋_GB2312" w:cs="TimesNewRoman"/>
          <w:sz w:val="32"/>
          <w:szCs w:val="32"/>
        </w:rPr>
        <w:t>（1）项目概述。</w:t>
      </w:r>
      <w:r>
        <w:rPr>
          <w:rFonts w:hint="eastAsia" w:ascii="仿宋_GB2312" w:hAnsi="楷体" w:eastAsia="仿宋_GB2312"/>
          <w:sz w:val="32"/>
          <w:szCs w:val="32"/>
        </w:rPr>
        <w:t>以政府购买服务方式，将住宿、保洁、安保、绿化等后勤服务实行一体化委托管理。公开招标选择有专业资质的公司提供规范化、标准化、精细化后勤服务，提升办学条件，促进党校事业发展。</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（2）立项依据。</w:t>
      </w:r>
      <w:r>
        <w:rPr>
          <w:rFonts w:hint="eastAsia" w:ascii="仿宋_GB2312" w:hAnsi="楷体" w:eastAsia="仿宋_GB2312"/>
          <w:sz w:val="32"/>
          <w:szCs w:val="32"/>
          <w:lang w:val="en-US" w:eastAsia="zh-CN"/>
        </w:rPr>
        <w:t>公开招投标手续及物业管理合同。</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中共寿县县委党校</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2024年度</w:t>
      </w:r>
    </w:p>
    <w:p>
      <w:pPr>
        <w:topLinePunct/>
        <w:adjustRightInd w:val="0"/>
        <w:snapToGrid w:val="0"/>
        <w:spacing w:line="580" w:lineRule="exact"/>
        <w:ind w:firstLine="640" w:firstLineChars="200"/>
        <w:rPr>
          <w:rFonts w:hint="eastAsia" w:ascii="仿宋_GB2312" w:hAnsi="楷体" w:eastAsia="仿宋_GB2312"/>
          <w:sz w:val="32"/>
          <w:szCs w:val="32"/>
          <w:lang w:val="en-US" w:eastAsia="zh-CN"/>
        </w:rPr>
      </w:pPr>
      <w:r>
        <w:rPr>
          <w:rFonts w:hint="eastAsia" w:ascii="仿宋_GB2312" w:hAnsi="TimesNewRoman" w:eastAsia="仿宋_GB2312" w:cs="TimesNewRoman"/>
          <w:sz w:val="32"/>
          <w:szCs w:val="32"/>
        </w:rPr>
        <w:t>（5）项目内容。</w:t>
      </w:r>
      <w:r>
        <w:rPr>
          <w:rFonts w:hint="eastAsia" w:ascii="仿宋_GB2312" w:hAnsi="楷体" w:eastAsia="仿宋_GB2312"/>
          <w:sz w:val="32"/>
          <w:szCs w:val="32"/>
        </w:rPr>
        <w:t>住宿、保洁、安保、绿化等后勤服</w:t>
      </w:r>
      <w:r>
        <w:rPr>
          <w:rFonts w:hint="eastAsia" w:ascii="仿宋_GB2312" w:hAnsi="楷体" w:eastAsia="仿宋_GB2312"/>
          <w:sz w:val="32"/>
          <w:szCs w:val="32"/>
          <w:lang w:val="en-US" w:eastAsia="zh-CN"/>
        </w:rPr>
        <w:t>务。</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115万元</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pPr>
        <w:topLinePunct/>
        <w:adjustRightInd w:val="0"/>
        <w:snapToGrid w:val="0"/>
        <w:spacing w:line="580" w:lineRule="exact"/>
        <w:ind w:firstLine="640" w:firstLineChars="200"/>
        <w:rPr>
          <w:rFonts w:hint="eastAsia" w:ascii="仿宋_GB2312" w:hAnsi="楷体" w:eastAsia="仿宋_GB2312"/>
          <w:sz w:val="32"/>
          <w:szCs w:val="3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ascii="宋体" w:cs="宋体"/>
                <w:sz w:val="18"/>
                <w:szCs w:val="18"/>
              </w:rPr>
            </w:pPr>
            <w:r>
              <w:rPr>
                <w:rFonts w:hint="eastAsia" w:ascii="宋体" w:cs="宋体"/>
                <w:sz w:val="18"/>
                <w:szCs w:val="18"/>
              </w:rPr>
              <w:t>党校后勤服务社会化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sz w:val="18"/>
                <w:szCs w:val="18"/>
              </w:rPr>
            </w:pPr>
            <w:r>
              <w:rPr>
                <w:rFonts w:hint="eastAsia"/>
                <w:sz w:val="18"/>
                <w:szCs w:val="18"/>
              </w:rPr>
              <w:t>中共寿县县委党校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default" w:eastAsia="宋体"/>
                <w:sz w:val="18"/>
                <w:szCs w:val="18"/>
                <w:lang w:val="en-US" w:eastAsia="zh-CN"/>
              </w:rPr>
            </w:pPr>
            <w:r>
              <w:rPr>
                <w:rFonts w:hint="eastAsia"/>
                <w:sz w:val="18"/>
                <w:szCs w:val="18"/>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ind w:firstLine="360" w:firstLineChars="200"/>
              <w:jc w:val="left"/>
              <w:rPr>
                <w:rFonts w:ascii="宋体" w:cs="宋体"/>
                <w:sz w:val="18"/>
                <w:szCs w:val="18"/>
              </w:rPr>
            </w:pPr>
            <w:r>
              <w:rPr>
                <w:rFonts w:hint="eastAsia" w:ascii="宋体" w:cs="宋体"/>
                <w:sz w:val="18"/>
                <w:szCs w:val="18"/>
              </w:rPr>
              <w:t>以政府购买服务方式，将住宿、保洁、安保、绿化等后勤服务实行一体化委托管理。公开招标选择有专业资质的公司提供规范化、标准化、精细化后勤服务，提升办学条件，促进党校事业发展。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指标1：物业管理面积</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≥18500平方米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：服务学员数量</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指标1：公共设施设备维护保养完好率</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指标1：卫生保洁及时率</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指标1：维修维护费</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100000元/年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指标1：委托物业管理，有利于降低成本</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指标1：完善软硬件设施，提高办学水平</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指标1：保护校园环境卫生</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指标1：保障党校正常运转的持续影响程度</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pPr>
              <w:spacing w:line="260" w:lineRule="exact"/>
              <w:jc w:val="center"/>
              <w:rPr>
                <w:rFonts w:ascii="宋体" w:cs="宋体"/>
                <w:sz w:val="18"/>
                <w:szCs w:val="18"/>
              </w:rPr>
            </w:pPr>
          </w:p>
        </w:tc>
        <w:tc>
          <w:tcPr>
            <w:tcW w:w="723" w:type="dxa"/>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指标1：教职工、学员满意度</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2.“</w:t>
      </w:r>
      <w:r>
        <w:rPr>
          <w:rFonts w:hint="eastAsia" w:ascii="仿宋_GB2312" w:hAnsi="楷体" w:eastAsia="仿宋_GB2312"/>
          <w:b/>
          <w:sz w:val="32"/>
          <w:szCs w:val="32"/>
        </w:rPr>
        <w:t>党校事业费</w:t>
      </w:r>
      <w:r>
        <w:rPr>
          <w:rFonts w:hint="eastAsia" w:ascii="仿宋_GB2312" w:hAnsi="TimesNewRoman" w:eastAsia="仿宋_GB2312" w:cs="TimesNewRoman"/>
          <w:b/>
          <w:sz w:val="32"/>
          <w:szCs w:val="32"/>
        </w:rPr>
        <w:t>”项目。</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党校事业费为支持党校日常运转和开班教学，满足人员经费发放，提高办学质量。主要包括党校教学业务经费、科研经费、信息化建设经费、图书资料经费、教师进修调研经费。用于辅助教学业务开展，观摩、竞赛；学术交流、课题资助；维护远程教学网站；购买学习资料；教师外出进修学习等。</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（2）立项依据。</w:t>
      </w:r>
      <w:r>
        <w:rPr>
          <w:rFonts w:hint="eastAsia" w:ascii="仿宋_GB2312" w:hAnsi="仿宋" w:eastAsia="仿宋_GB2312"/>
          <w:sz w:val="32"/>
          <w:szCs w:val="32"/>
          <w:lang w:val="en-US" w:eastAsia="zh-CN"/>
        </w:rPr>
        <w:t>长年项目。</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中共寿县县委党校</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2024年度</w:t>
      </w:r>
    </w:p>
    <w:p>
      <w:pPr>
        <w:topLinePunct/>
        <w:spacing w:line="560" w:lineRule="exact"/>
        <w:ind w:firstLine="640" w:firstLineChars="20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rPr>
        <w:t>（5）项目内容。支持党校日常运转和开班教学，满足人员经费发放，提高办学质量。</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25.84万元</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ascii="宋体" w:cs="宋体"/>
                <w:sz w:val="18"/>
                <w:szCs w:val="18"/>
              </w:rPr>
            </w:pPr>
            <w:r>
              <w:rPr>
                <w:rFonts w:hint="eastAsia" w:ascii="宋体" w:cs="宋体"/>
                <w:sz w:val="18"/>
                <w:szCs w:val="18"/>
              </w:rPr>
              <w:t>党校事业费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sz w:val="18"/>
                <w:szCs w:val="18"/>
              </w:rPr>
            </w:pPr>
            <w:r>
              <w:rPr>
                <w:rFonts w:hint="eastAsia"/>
                <w:sz w:val="18"/>
                <w:szCs w:val="18"/>
              </w:rPr>
              <w:t>中共寿县县委党校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default" w:eastAsia="宋体"/>
                <w:sz w:val="18"/>
                <w:szCs w:val="18"/>
                <w:lang w:val="en-US" w:eastAsia="zh-CN"/>
              </w:rPr>
            </w:pPr>
            <w:r>
              <w:rPr>
                <w:rFonts w:hint="eastAsia"/>
                <w:sz w:val="18"/>
                <w:szCs w:val="18"/>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ind w:firstLine="400" w:firstLineChars="200"/>
              <w:jc w:val="left"/>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党校事业费为支持党校日常运转和开班教学，满足人员经费发放，提高办学质量。主要包括党校教学业务经费、科研经费、信息化建设经费、图书资料经费、教师进修调研经费。用于辅助教学业务开展，观摩、竞赛；学术交流、课题资助；维护远程教学网站；购买学习资料；教师外出进修学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指标1：培训办班期数</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vMerge w:val="continue"/>
            <w:noWrap w:val="0"/>
            <w:vAlign w:val="center"/>
          </w:tcPr>
          <w:p>
            <w:pPr>
              <w:spacing w:line="260" w:lineRule="exact"/>
              <w:jc w:val="center"/>
              <w:rPr>
                <w:rFonts w:ascii="宋体" w:cs="宋体"/>
                <w:sz w:val="18"/>
                <w:szCs w:val="18"/>
              </w:rPr>
            </w:pP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：教师外出学习、交流</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≥5人次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指标1：学员考核通过率</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指标1：学员是否及时办理结业</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指标1：教学及考试材料、印刷费</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≤50元/份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指标1：围绕党校事业发展的支出</w:t>
            </w:r>
          </w:p>
        </w:tc>
        <w:tc>
          <w:tcPr>
            <w:tcW w:w="4228" w:type="dxa"/>
            <w:gridSpan w:val="2"/>
            <w:noWrap w:val="0"/>
            <w:vAlign w:val="center"/>
          </w:tcPr>
          <w:p>
            <w:pPr>
              <w:keepNext w:val="0"/>
              <w:keepLines w:val="0"/>
              <w:widowControl/>
              <w:suppressLineNumbers w:val="0"/>
              <w:jc w:val="center"/>
              <w:textAlignment w:val="center"/>
              <w:rPr>
                <w:rFonts w:hint="default" w:ascii="宋体" w:cs="宋体"/>
                <w:sz w:val="18"/>
                <w:szCs w:val="18"/>
                <w:lang w:val="en-US"/>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指标1：为学员提供更好的培训课程</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指标1：有利于保持良好的校园环境</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指标1：有助于教师队伍能力提升</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pPr>
              <w:spacing w:line="260" w:lineRule="exact"/>
              <w:jc w:val="center"/>
              <w:rPr>
                <w:rFonts w:ascii="宋体" w:cs="宋体"/>
                <w:sz w:val="18"/>
                <w:szCs w:val="18"/>
              </w:rPr>
            </w:pPr>
          </w:p>
        </w:tc>
        <w:tc>
          <w:tcPr>
            <w:tcW w:w="723" w:type="dxa"/>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指标1：教职工满意度</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3</w:t>
      </w:r>
      <w:r>
        <w:rPr>
          <w:rFonts w:hint="eastAsia" w:ascii="仿宋_GB2312" w:hAnsi="TimesNewRoman" w:eastAsia="仿宋_GB2312" w:cs="TimesNewRoman"/>
          <w:b/>
          <w:sz w:val="32"/>
          <w:szCs w:val="32"/>
        </w:rPr>
        <w:t>.“</w:t>
      </w:r>
      <w:r>
        <w:rPr>
          <w:rFonts w:hint="eastAsia" w:ascii="仿宋_GB2312" w:hAnsi="楷体" w:eastAsia="仿宋_GB2312"/>
          <w:b/>
          <w:sz w:val="32"/>
          <w:szCs w:val="32"/>
          <w:lang w:val="en-US" w:eastAsia="zh-CN"/>
        </w:rPr>
        <w:t>工勤人员补助经费</w:t>
      </w:r>
      <w:r>
        <w:rPr>
          <w:rFonts w:hint="eastAsia" w:ascii="仿宋_GB2312" w:hAnsi="TimesNewRoman" w:eastAsia="仿宋_GB2312" w:cs="TimesNewRoman"/>
          <w:b/>
          <w:sz w:val="32"/>
          <w:szCs w:val="32"/>
        </w:rPr>
        <w:t>”项目。</w:t>
      </w:r>
    </w:p>
    <w:p>
      <w:pPr>
        <w:topLinePunct/>
        <w:spacing w:line="560" w:lineRule="exact"/>
        <w:ind w:firstLine="640" w:firstLineChars="200"/>
        <w:rPr>
          <w:rFonts w:hint="eastAsia" w:ascii="仿宋_GB2312" w:hAnsi="仿宋" w:eastAsia="仿宋_GB2312"/>
          <w:sz w:val="32"/>
          <w:szCs w:val="32"/>
        </w:rPr>
      </w:pPr>
      <w:r>
        <w:rPr>
          <w:rFonts w:hint="eastAsia" w:ascii="仿宋_GB2312" w:hAnsi="TimesNewRoman" w:eastAsia="仿宋_GB2312" w:cs="TimesNewRoman"/>
          <w:sz w:val="32"/>
          <w:szCs w:val="32"/>
        </w:rPr>
        <w:t>（1）项目概述。</w:t>
      </w:r>
      <w:r>
        <w:rPr>
          <w:rFonts w:hint="eastAsia" w:ascii="仿宋_GB2312" w:hAnsi="仿宋" w:eastAsia="仿宋_GB2312"/>
          <w:sz w:val="32"/>
          <w:szCs w:val="32"/>
        </w:rPr>
        <w:t>工勤人员补助经费用于发放党校聘用工勤人员每月的定额补助。</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（2）立项依据。</w:t>
      </w:r>
      <w:r>
        <w:rPr>
          <w:rFonts w:hint="eastAsia" w:ascii="仿宋_GB2312" w:hAnsi="仿宋" w:eastAsia="仿宋_GB2312"/>
          <w:sz w:val="32"/>
          <w:szCs w:val="32"/>
          <w:lang w:val="en-US" w:eastAsia="zh-CN"/>
        </w:rPr>
        <w:t>聘用合同。</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中共寿县县委党校</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2024年度</w:t>
      </w:r>
    </w:p>
    <w:p>
      <w:pPr>
        <w:topLinePunct/>
        <w:spacing w:line="560" w:lineRule="exact"/>
        <w:ind w:firstLine="640" w:firstLineChars="20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rPr>
        <w:t>（5）项目内容。</w:t>
      </w:r>
      <w:r>
        <w:rPr>
          <w:rFonts w:hint="eastAsia" w:ascii="仿宋_GB2312" w:hAnsi="仿宋" w:eastAsia="仿宋_GB2312"/>
          <w:sz w:val="32"/>
          <w:szCs w:val="32"/>
        </w:rPr>
        <w:t>工勤人员补助经费用于发放党校聘用工勤人员每月的定额补助。</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1.32万元</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bookmarkStart w:id="0" w:name="_GoBack"/>
            <w:bookmarkEnd w:id="0"/>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工勤人员补助经费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sz w:val="18"/>
                <w:szCs w:val="18"/>
              </w:rPr>
            </w:pPr>
            <w:r>
              <w:rPr>
                <w:rFonts w:hint="eastAsia"/>
                <w:sz w:val="18"/>
                <w:szCs w:val="18"/>
              </w:rPr>
              <w:t>中共寿县县委党校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default" w:eastAsia="宋体"/>
                <w:sz w:val="18"/>
                <w:szCs w:val="18"/>
                <w:lang w:val="en-US" w:eastAsia="zh-CN"/>
              </w:rPr>
            </w:pPr>
            <w:r>
              <w:rPr>
                <w:rFonts w:hint="eastAsia"/>
                <w:sz w:val="18"/>
                <w:szCs w:val="18"/>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ind w:firstLine="400" w:firstLineChars="200"/>
              <w:jc w:val="left"/>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工勤人员补助经费用于发放党校聘用工勤人员每月的定额补助。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指标1：全年发放工勤补助</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指标1：按月进行工作考勤</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指标1：发放是否及时</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指标1：工勤补助标准</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1100元/月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指标1：用于发放工勤人员工资</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指标1：保障日常工作进行，提高办事效率</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指标1：不涉及</w:t>
            </w:r>
          </w:p>
        </w:tc>
        <w:tc>
          <w:tcPr>
            <w:tcW w:w="4228" w:type="dxa"/>
            <w:gridSpan w:val="2"/>
            <w:noWrap w:val="0"/>
            <w:vAlign w:val="center"/>
          </w:tcPr>
          <w:p>
            <w:pPr>
              <w:jc w:val="center"/>
              <w:rPr>
                <w:rFonts w:hint="eastAsia" w:ascii="宋体" w:eastAsia="宋体" w:cs="宋体"/>
                <w:sz w:val="18"/>
                <w:szCs w:val="18"/>
                <w:lang w:val="en-US" w:eastAsia="zh-CN"/>
              </w:rPr>
            </w:pPr>
            <w:r>
              <w:rPr>
                <w:rFonts w:hint="eastAsia" w:ascii="宋体" w:cs="宋体"/>
                <w:sz w:val="18"/>
                <w:szCs w:val="18"/>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指标1：有利于党校工作顺利开展</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pPr>
              <w:spacing w:line="260" w:lineRule="exact"/>
              <w:jc w:val="center"/>
              <w:rPr>
                <w:rFonts w:ascii="宋体" w:cs="宋体"/>
                <w:sz w:val="18"/>
                <w:szCs w:val="18"/>
              </w:rPr>
            </w:pPr>
          </w:p>
        </w:tc>
        <w:tc>
          <w:tcPr>
            <w:tcW w:w="723" w:type="dxa"/>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指标1：职工满意度</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w:t>
            </w:r>
            <w:r>
              <w:rPr>
                <w:rFonts w:hint="eastAsia" w:ascii="宋体" w:hAnsi="宋体" w:eastAsia="宋体" w:cs="宋体"/>
                <w:i w:val="0"/>
                <w:iCs w:val="0"/>
                <w:color w:val="000000"/>
                <w:kern w:val="0"/>
                <w:sz w:val="20"/>
                <w:szCs w:val="20"/>
                <w:u w:val="none"/>
                <w:lang w:val="en-US" w:eastAsia="zh-CN" w:bidi="ar"/>
              </w:rPr>
              <w:t>0%</w:t>
            </w:r>
          </w:p>
        </w:tc>
      </w:tr>
    </w:tbl>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lang w:val="en-US" w:eastAsia="zh-CN"/>
        </w:rPr>
        <w:t>4</w:t>
      </w:r>
      <w:r>
        <w:rPr>
          <w:rFonts w:hint="eastAsia" w:ascii="仿宋_GB2312" w:hAnsi="TimesNewRoman" w:eastAsia="仿宋_GB2312" w:cs="TimesNewRoman"/>
          <w:b/>
          <w:sz w:val="32"/>
          <w:szCs w:val="32"/>
        </w:rPr>
        <w:t>.“</w:t>
      </w:r>
      <w:r>
        <w:rPr>
          <w:rFonts w:hint="eastAsia" w:ascii="仿宋_GB2312" w:hAnsi="楷体" w:eastAsia="仿宋_GB2312"/>
          <w:b/>
          <w:sz w:val="32"/>
          <w:szCs w:val="32"/>
        </w:rPr>
        <w:t>党校教育事业发展</w:t>
      </w:r>
      <w:r>
        <w:rPr>
          <w:rFonts w:hint="eastAsia" w:ascii="仿宋_GB2312" w:hAnsi="TimesNewRoman" w:eastAsia="仿宋_GB2312" w:cs="TimesNewRoman"/>
          <w:b/>
          <w:sz w:val="32"/>
          <w:szCs w:val="32"/>
        </w:rPr>
        <w:t>”项目。</w:t>
      </w:r>
    </w:p>
    <w:p>
      <w:pPr>
        <w:adjustRightInd w:val="0"/>
        <w:snapToGrid w:val="0"/>
        <w:spacing w:line="600" w:lineRule="exact"/>
        <w:ind w:firstLine="640" w:firstLineChars="200"/>
        <w:rPr>
          <w:rFonts w:hint="eastAsia" w:ascii="仿宋_GB2312" w:hAnsi="仿宋" w:eastAsia="仿宋_GB2312"/>
          <w:sz w:val="32"/>
          <w:szCs w:val="32"/>
        </w:rPr>
      </w:pPr>
      <w:r>
        <w:rPr>
          <w:rFonts w:hint="eastAsia" w:ascii="仿宋_GB2312" w:hAnsi="TimesNewRoman" w:eastAsia="仿宋_GB2312" w:cs="TimesNewRoman"/>
          <w:sz w:val="32"/>
          <w:szCs w:val="32"/>
        </w:rPr>
        <w:t>（1）项目概述。</w:t>
      </w:r>
      <w:r>
        <w:rPr>
          <w:rFonts w:hint="eastAsia" w:ascii="仿宋_GB2312" w:hAnsi="仿宋" w:eastAsia="仿宋_GB2312"/>
          <w:sz w:val="32"/>
          <w:szCs w:val="32"/>
        </w:rPr>
        <w:t>保障党校日常运转，</w:t>
      </w:r>
      <w:r>
        <w:rPr>
          <w:rFonts w:hint="eastAsia" w:ascii="仿宋_GB2312" w:hAnsi="仿宋" w:eastAsia="仿宋_GB2312"/>
          <w:sz w:val="32"/>
          <w:szCs w:val="32"/>
          <w:lang w:val="en-US" w:eastAsia="zh-CN"/>
        </w:rPr>
        <w:t>减轻培训财政支出压力，支持</w:t>
      </w:r>
      <w:r>
        <w:rPr>
          <w:rFonts w:hint="eastAsia" w:ascii="仿宋_GB2312" w:hAnsi="仿宋" w:eastAsia="仿宋_GB2312"/>
          <w:sz w:val="32"/>
          <w:szCs w:val="32"/>
        </w:rPr>
        <w:t>教学业务开展，学术交流</w:t>
      </w:r>
      <w:r>
        <w:rPr>
          <w:rFonts w:hint="eastAsia" w:ascii="仿宋_GB2312" w:hAnsi="仿宋" w:eastAsia="仿宋_GB2312"/>
          <w:sz w:val="32"/>
          <w:szCs w:val="32"/>
          <w:lang w:eastAsia="zh-CN"/>
        </w:rPr>
        <w:t>，</w:t>
      </w:r>
      <w:r>
        <w:rPr>
          <w:rFonts w:hint="eastAsia" w:ascii="仿宋_GB2312" w:hAnsi="仿宋" w:eastAsia="仿宋_GB2312"/>
          <w:sz w:val="32"/>
          <w:szCs w:val="32"/>
        </w:rPr>
        <w:t>教师外出进修学习等。</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（2）立项依据。</w:t>
      </w:r>
      <w:r>
        <w:rPr>
          <w:rFonts w:hint="eastAsia" w:ascii="仿宋_GB2312" w:hAnsi="仿宋" w:eastAsia="仿宋_GB2312"/>
          <w:sz w:val="32"/>
          <w:szCs w:val="32"/>
          <w:lang w:val="en-US" w:eastAsia="zh-CN"/>
        </w:rPr>
        <w:t>长年项目。</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中共寿县县委党校</w:t>
      </w:r>
    </w:p>
    <w:p>
      <w:pPr>
        <w:topLinePunct/>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2024年度</w:t>
      </w:r>
    </w:p>
    <w:p>
      <w:pPr>
        <w:topLinePunct/>
        <w:spacing w:line="560" w:lineRule="exact"/>
        <w:ind w:firstLine="640" w:firstLineChars="20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rPr>
        <w:t>（5）项目内容。</w:t>
      </w:r>
      <w:r>
        <w:rPr>
          <w:rFonts w:hint="eastAsia" w:ascii="仿宋_GB2312" w:hAnsi="仿宋" w:eastAsia="仿宋_GB2312"/>
          <w:sz w:val="32"/>
          <w:szCs w:val="32"/>
        </w:rPr>
        <w:t>保障党校日常运转，</w:t>
      </w:r>
      <w:r>
        <w:rPr>
          <w:rFonts w:hint="eastAsia" w:ascii="仿宋_GB2312" w:hAnsi="仿宋" w:eastAsia="仿宋_GB2312"/>
          <w:sz w:val="32"/>
          <w:szCs w:val="32"/>
          <w:lang w:val="en-US" w:eastAsia="zh-CN"/>
        </w:rPr>
        <w:t>减轻培训财政支出压力，支持</w:t>
      </w:r>
      <w:r>
        <w:rPr>
          <w:rFonts w:hint="eastAsia" w:ascii="仿宋_GB2312" w:hAnsi="仿宋" w:eastAsia="仿宋_GB2312"/>
          <w:sz w:val="32"/>
          <w:szCs w:val="32"/>
        </w:rPr>
        <w:t>教学业务开展，学术交流</w:t>
      </w:r>
      <w:r>
        <w:rPr>
          <w:rFonts w:hint="eastAsia" w:ascii="仿宋_GB2312" w:hAnsi="仿宋" w:eastAsia="仿宋_GB2312"/>
          <w:sz w:val="32"/>
          <w:szCs w:val="32"/>
          <w:lang w:eastAsia="zh-CN"/>
        </w:rPr>
        <w:t>，</w:t>
      </w:r>
      <w:r>
        <w:rPr>
          <w:rFonts w:hint="eastAsia" w:ascii="仿宋_GB2312" w:hAnsi="仿宋" w:eastAsia="仿宋_GB2312"/>
          <w:sz w:val="32"/>
          <w:szCs w:val="32"/>
        </w:rPr>
        <w:t>教师外出进修学习等。</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60万元</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（2024年度）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pPr>
              <w:spacing w:line="260" w:lineRule="exact"/>
              <w:jc w:val="center"/>
              <w:rPr>
                <w:rFonts w:ascii="宋体" w:cs="宋体"/>
                <w:sz w:val="18"/>
                <w:szCs w:val="18"/>
              </w:rPr>
            </w:pPr>
            <w:r>
              <w:rPr>
                <w:rFonts w:hint="eastAsia" w:ascii="宋体" w:cs="宋体"/>
                <w:sz w:val="18"/>
                <w:szCs w:val="18"/>
              </w:rPr>
              <w:t>党校</w:t>
            </w:r>
            <w:r>
              <w:rPr>
                <w:rFonts w:hint="eastAsia" w:ascii="宋体" w:cs="宋体"/>
                <w:sz w:val="18"/>
                <w:szCs w:val="18"/>
                <w:lang w:val="en-US" w:eastAsia="zh-CN"/>
              </w:rPr>
              <w:t>教育</w:t>
            </w:r>
            <w:r>
              <w:rPr>
                <w:rFonts w:hint="eastAsia" w:ascii="宋体" w:cs="宋体"/>
                <w:sz w:val="18"/>
                <w:szCs w:val="18"/>
              </w:rPr>
              <w:t>事业</w:t>
            </w:r>
            <w:r>
              <w:rPr>
                <w:rFonts w:hint="eastAsia" w:ascii="宋体" w:cs="宋体"/>
                <w:sz w:val="18"/>
                <w:szCs w:val="18"/>
                <w:lang w:val="en-US" w:eastAsia="zh-CN"/>
              </w:rPr>
              <w:t>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pPr>
              <w:spacing w:line="260" w:lineRule="exact"/>
              <w:jc w:val="center"/>
              <w:rPr>
                <w:sz w:val="18"/>
                <w:szCs w:val="18"/>
              </w:rPr>
            </w:pPr>
            <w:r>
              <w:rPr>
                <w:rFonts w:hint="eastAsia"/>
                <w:sz w:val="18"/>
                <w:szCs w:val="18"/>
              </w:rPr>
              <w:t>中共寿县县委党校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pPr>
              <w:spacing w:line="260" w:lineRule="exact"/>
              <w:jc w:val="center"/>
              <w:rPr>
                <w:rFonts w:ascii="宋体" w:cs="宋体"/>
                <w:sz w:val="18"/>
                <w:szCs w:val="18"/>
              </w:rPr>
            </w:pPr>
          </w:p>
        </w:tc>
        <w:tc>
          <w:tcPr>
            <w:tcW w:w="1848" w:type="dxa"/>
            <w:noWrap w:val="0"/>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pPr>
              <w:spacing w:line="260" w:lineRule="exact"/>
              <w:jc w:val="center"/>
              <w:rPr>
                <w:rFonts w:hint="default" w:eastAsia="宋体"/>
                <w:sz w:val="18"/>
                <w:szCs w:val="18"/>
                <w:lang w:val="en-US" w:eastAsia="zh-CN"/>
              </w:rPr>
            </w:pPr>
            <w:r>
              <w:rPr>
                <w:rFonts w:hint="eastAsia"/>
                <w:sz w:val="18"/>
                <w:szCs w:val="18"/>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pPr>
              <w:spacing w:line="260" w:lineRule="exact"/>
              <w:jc w:val="center"/>
              <w:rPr>
                <w:rFonts w:ascii="宋体" w:cs="宋体"/>
                <w:sz w:val="18"/>
                <w:szCs w:val="18"/>
              </w:rPr>
            </w:pPr>
          </w:p>
        </w:tc>
        <w:tc>
          <w:tcPr>
            <w:tcW w:w="3349" w:type="dxa"/>
            <w:gridSpan w:val="2"/>
            <w:noWrap w:val="0"/>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pPr>
              <w:spacing w:line="260" w:lineRule="exact"/>
              <w:ind w:firstLine="360" w:firstLineChars="200"/>
              <w:jc w:val="left"/>
              <w:rPr>
                <w:rFonts w:ascii="宋体" w:cs="宋体"/>
                <w:sz w:val="18"/>
                <w:szCs w:val="18"/>
              </w:rPr>
            </w:pPr>
            <w:r>
              <w:rPr>
                <w:rFonts w:hint="eastAsia" w:ascii="宋体" w:cs="宋体"/>
                <w:sz w:val="18"/>
                <w:szCs w:val="18"/>
              </w:rPr>
              <w:t>以政府购买服务方式，将住宿、保洁、安保、绿化等后勤服务实行一体化委托管理。公开招标选择有专业资质的公司提供规范化、标准化、精细化后勤服务，提升办学条件，促进党校事业发展。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指标1：培训学员数量</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指标1：学员能力提升情况</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指标1：培训完成时间</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按协议约定时间办结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指标1：有助与降低培训支出压力</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restart"/>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指标1：按时缴纳水电费及职工工会、养老保险等费用</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按时缴纳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指标1：提高培训课程质量</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指标1：有利于保持良好的校园环境</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有利于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38" w:type="dxa"/>
            <w:vMerge w:val="continue"/>
            <w:noWrap w:val="0"/>
            <w:vAlign w:val="center"/>
          </w:tcPr>
          <w:p>
            <w:pPr>
              <w:spacing w:line="260" w:lineRule="exact"/>
              <w:jc w:val="center"/>
              <w:rPr>
                <w:rFonts w:ascii="宋体" w:cs="宋体"/>
                <w:sz w:val="18"/>
                <w:szCs w:val="18"/>
              </w:rPr>
            </w:pPr>
          </w:p>
        </w:tc>
        <w:tc>
          <w:tcPr>
            <w:tcW w:w="723" w:type="dxa"/>
            <w:vMerge w:val="continue"/>
            <w:noWrap w:val="0"/>
            <w:vAlign w:val="center"/>
          </w:tcPr>
          <w:p>
            <w:pPr>
              <w:spacing w:line="260" w:lineRule="exact"/>
              <w:jc w:val="center"/>
              <w:rPr>
                <w:rFonts w:ascii="宋体" w:cs="宋体"/>
                <w:sz w:val="18"/>
                <w:szCs w:val="18"/>
              </w:rPr>
            </w:pP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指标1：提升办学质量</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有一定提升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38" w:type="dxa"/>
            <w:vMerge w:val="continue"/>
            <w:noWrap w:val="0"/>
            <w:vAlign w:val="center"/>
          </w:tcPr>
          <w:p>
            <w:pPr>
              <w:spacing w:line="260" w:lineRule="exact"/>
              <w:jc w:val="center"/>
              <w:rPr>
                <w:rFonts w:ascii="宋体" w:cs="宋体"/>
                <w:sz w:val="18"/>
                <w:szCs w:val="18"/>
              </w:rPr>
            </w:pPr>
          </w:p>
        </w:tc>
        <w:tc>
          <w:tcPr>
            <w:tcW w:w="723" w:type="dxa"/>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指标1：教职工满意度</w:t>
            </w:r>
          </w:p>
        </w:tc>
        <w:tc>
          <w:tcPr>
            <w:tcW w:w="4228" w:type="dxa"/>
            <w:gridSpan w:val="2"/>
            <w:noWrap w:val="0"/>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≥90%</w:t>
            </w:r>
          </w:p>
        </w:tc>
      </w:tr>
    </w:tbl>
    <w:p>
      <w:pPr>
        <w:topLinePunct/>
        <w:adjustRightInd w:val="0"/>
        <w:snapToGrid w:val="0"/>
        <w:spacing w:line="560" w:lineRule="exact"/>
        <w:ind w:firstLine="960" w:firstLineChars="300"/>
        <w:rPr>
          <w:rFonts w:hint="eastAsia" w:ascii="仿宋_GB2312" w:hAnsi="TimesNewRoman" w:eastAsia="仿宋_GB2312" w:cs="TimesNewRoman"/>
          <w:sz w:val="32"/>
          <w:szCs w:val="32"/>
        </w:rPr>
      </w:pP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lang w:val="en-US" w:eastAsia="zh-CN"/>
        </w:rPr>
        <w:t>中共寿县县委党校</w:t>
      </w:r>
      <w:r>
        <w:rPr>
          <w:rFonts w:hint="eastAsia" w:ascii="仿宋_GB2312" w:hAnsi="TimesNewRoman" w:eastAsia="仿宋_GB2312" w:cs="TimesNewRoman"/>
          <w:sz w:val="32"/>
          <w:szCs w:val="32"/>
        </w:rPr>
        <w:t>2024年机关运行经费财政拨款预算</w:t>
      </w:r>
      <w:r>
        <w:rPr>
          <w:rFonts w:hint="eastAsia" w:ascii="仿宋_GB2312" w:hAnsi="TimesNewRoman" w:eastAsia="仿宋_GB2312" w:cs="TimesNewRoman"/>
          <w:sz w:val="32"/>
          <w:szCs w:val="32"/>
          <w:lang w:val="en-US" w:eastAsia="zh-CN"/>
        </w:rPr>
        <w:t>26.44</w:t>
      </w:r>
      <w:r>
        <w:rPr>
          <w:rFonts w:hint="eastAsia" w:ascii="仿宋_GB2312" w:hAnsi="TimesNewRoman" w:eastAsia="仿宋_GB2312" w:cs="TimesNewRoman"/>
          <w:sz w:val="32"/>
          <w:szCs w:val="32"/>
        </w:rPr>
        <w:t>万元，比2023年预算增加</w:t>
      </w:r>
      <w:r>
        <w:rPr>
          <w:rFonts w:hint="eastAsia" w:ascii="仿宋_GB2312" w:hAnsi="TimesNewRoman" w:eastAsia="仿宋_GB2312" w:cs="TimesNewRoman"/>
          <w:sz w:val="32"/>
          <w:szCs w:val="32"/>
          <w:lang w:val="en-US" w:eastAsia="zh-CN"/>
        </w:rPr>
        <w:t>2.58</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10.81</w:t>
      </w:r>
      <w:r>
        <w:rPr>
          <w:rFonts w:hint="eastAsia" w:ascii="仿宋_GB2312" w:hAnsi="TimesNewRoman" w:eastAsia="仿宋_GB2312" w:cs="TimesNewRoman"/>
          <w:sz w:val="32"/>
          <w:szCs w:val="32"/>
        </w:rPr>
        <w:t>%，增长主要原因是</w:t>
      </w:r>
      <w:r>
        <w:rPr>
          <w:rFonts w:hint="eastAsia" w:ascii="仿宋_GB2312" w:hAnsi="TimesNewRoman" w:eastAsia="仿宋_GB2312" w:cs="TimesNewRoman"/>
          <w:sz w:val="32"/>
          <w:szCs w:val="32"/>
          <w:lang w:val="en-US" w:eastAsia="zh-CN"/>
        </w:rPr>
        <w:t>上年度劳务费未计入机关运行经费</w:t>
      </w:r>
      <w:r>
        <w:rPr>
          <w:rFonts w:hint="eastAsia" w:ascii="仿宋_GB2312" w:hAnsi="TimesNewRoman" w:eastAsia="仿宋_GB2312" w:cs="TimesNewRoman"/>
          <w:sz w:val="32"/>
          <w:szCs w:val="32"/>
        </w:rPr>
        <w:t>。</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中共寿县县委党校</w:t>
      </w:r>
      <w:r>
        <w:rPr>
          <w:rFonts w:hint="eastAsia" w:ascii="仿宋_GB2312" w:hAnsi="TimesNewRoman" w:eastAsia="仿宋_GB2312" w:cs="TimesNewRoman"/>
          <w:sz w:val="32"/>
          <w:szCs w:val="32"/>
        </w:rPr>
        <w:t>2024年政府采购预算</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万元，政府采购工程预算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万元，政府采购服务预算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截至2023年12月31日，</w:t>
      </w:r>
      <w:r>
        <w:rPr>
          <w:rFonts w:hint="eastAsia" w:ascii="仿宋_GB2312" w:hAnsi="TimesNewRoman" w:eastAsia="仿宋_GB2312" w:cs="TimesNewRoman"/>
          <w:kern w:val="0"/>
          <w:sz w:val="32"/>
          <w:szCs w:val="32"/>
          <w:lang w:val="en-US" w:eastAsia="zh-CN"/>
        </w:rPr>
        <w:t>中共寿县县委党校</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w:t>
      </w:r>
      <w:r>
        <w:rPr>
          <w:rFonts w:hint="eastAsia" w:ascii="仿宋_GB2312" w:hAnsi="TimesNewRoman" w:eastAsia="仿宋_GB2312" w:cs="TimesNewRoman"/>
          <w:sz w:val="32"/>
          <w:szCs w:val="32"/>
          <w:u w:val="none"/>
        </w:rPr>
        <w:t>单位</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2024年，</w:t>
      </w:r>
      <w:r>
        <w:rPr>
          <w:rFonts w:hint="eastAsia" w:ascii="仿宋_GB2312" w:hAnsi="TimesNewRoman" w:eastAsia="仿宋_GB2312" w:cs="TimesNewRoman"/>
          <w:kern w:val="0"/>
          <w:sz w:val="32"/>
          <w:szCs w:val="32"/>
          <w:lang w:val="en-US" w:eastAsia="zh-CN"/>
        </w:rPr>
        <w:t>中共寿县县委党校</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142.16</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单位资金当年安排</w:t>
      </w:r>
      <w:r>
        <w:rPr>
          <w:rFonts w:hint="eastAsia" w:ascii="仿宋_GB2312" w:hAnsi="TimesNewRoman" w:eastAsia="仿宋_GB2312" w:cs="TimesNewRoman"/>
          <w:sz w:val="32"/>
          <w:szCs w:val="32"/>
          <w:lang w:val="en-US" w:eastAsia="zh-CN"/>
        </w:rPr>
        <w:t>60</w:t>
      </w:r>
      <w:r>
        <w:rPr>
          <w:rFonts w:hint="eastAsia" w:ascii="仿宋_GB2312" w:hAnsi="TimesNewRoman" w:eastAsia="仿宋_GB2312" w:cs="TimesNewRoman"/>
          <w:sz w:val="32"/>
          <w:szCs w:val="32"/>
        </w:rPr>
        <w:t>万元。</w:t>
      </w:r>
    </w:p>
    <w:p>
      <w:pPr>
        <w:topLinePunct/>
        <w:adjustRightInd w:val="0"/>
        <w:snapToGrid w:val="0"/>
        <w:spacing w:line="560" w:lineRule="exact"/>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第四部分 名词解释</w:t>
      </w:r>
    </w:p>
    <w:p>
      <w:pPr>
        <w:topLinePunct/>
        <w:adjustRightInd w:val="0"/>
        <w:snapToGrid w:val="0"/>
        <w:spacing w:line="560" w:lineRule="exact"/>
        <w:rPr>
          <w:rFonts w:ascii="TimesNewRoman" w:hAnsi="TimesNewRoman" w:eastAsia="黑体" w:cs="TimesNewRoman"/>
          <w:szCs w:val="32"/>
        </w:rPr>
      </w:pPr>
    </w:p>
    <w:p>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指部门或单位从同级财政部门取得的财政预算资金。</w:t>
      </w:r>
    </w:p>
    <w:p>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pPr>
        <w:pStyle w:val="3"/>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pStyle w:val="3"/>
        <w:topLinePunct/>
        <w:spacing w:beforeAutospacing="0" w:afterAutospacing="0" w:line="560" w:lineRule="exact"/>
        <w:ind w:firstLine="480" w:firstLineChars="150"/>
        <w:jc w:val="both"/>
        <w:rPr>
          <w:rStyle w:val="6"/>
          <w:rFonts w:ascii="TimesNewRoman" w:hAnsi="TimesNewRoman" w:eastAsia="楷体_GB2312" w:cs="TimesNewRoman"/>
          <w:b w:val="0"/>
          <w:sz w:val="32"/>
          <w:szCs w:val="32"/>
        </w:rPr>
      </w:pPr>
    </w:p>
    <w:p/>
    <w:sectPr>
      <w:footerReference r:id="rId5" w:type="default"/>
      <w:type w:val="oddPage"/>
      <w:pgSz w:w="11907" w:h="16840"/>
      <w:pgMar w:top="2098" w:right="1474" w:bottom="1985" w:left="1588" w:header="851"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F78114-AE45-438B-A62F-B3AF64A4DC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
    <w:altName w:val="Segoe Print"/>
    <w:panose1 w:val="02020603050405020304"/>
    <w:charset w:val="00"/>
    <w:family w:val="auto"/>
    <w:pitch w:val="default"/>
    <w:sig w:usb0="00000000" w:usb1="00000000" w:usb2="00000029" w:usb3="00000000" w:csb0="600001FF" w:csb1="FFFF0000"/>
    <w:embedRegular r:id="rId2" w:fontKey="{A6544B0E-2C42-4E98-8F56-6F559E04081B}"/>
  </w:font>
  <w:font w:name="方正小标宋_GBK">
    <w:panose1 w:val="02000000000000000000"/>
    <w:charset w:val="86"/>
    <w:family w:val="script"/>
    <w:pitch w:val="default"/>
    <w:sig w:usb0="A00002BF" w:usb1="38CF7CFA" w:usb2="00082016" w:usb3="00000000" w:csb0="00040001" w:csb1="00000000"/>
    <w:embedRegular r:id="rId3" w:fontKey="{441CB593-5969-4CD3-A194-BE5EAC22CA26}"/>
  </w:font>
  <w:font w:name="仿宋_GB2312">
    <w:altName w:val="仿宋"/>
    <w:panose1 w:val="02010609030101010101"/>
    <w:charset w:val="86"/>
    <w:family w:val="modern"/>
    <w:pitch w:val="default"/>
    <w:sig w:usb0="00000000" w:usb1="00000000" w:usb2="00000000" w:usb3="00000000" w:csb0="00040000" w:csb1="00000000"/>
    <w:embedRegular r:id="rId4" w:fontKey="{6200F33E-F823-4627-9078-9554647FAC11}"/>
  </w:font>
  <w:font w:name="楷体_GB2312">
    <w:altName w:val="楷体"/>
    <w:panose1 w:val="02010609030101010101"/>
    <w:charset w:val="86"/>
    <w:family w:val="modern"/>
    <w:pitch w:val="default"/>
    <w:sig w:usb0="00000000" w:usb1="00000000" w:usb2="00000000" w:usb3="00000000" w:csb0="00040000" w:csb1="00000000"/>
    <w:embedRegular r:id="rId5" w:fontKey="{AB7070C2-0958-426E-BC24-10A8FC165786}"/>
  </w:font>
  <w:font w:name="仿宋">
    <w:panose1 w:val="02010609060101010101"/>
    <w:charset w:val="86"/>
    <w:family w:val="auto"/>
    <w:pitch w:val="default"/>
    <w:sig w:usb0="800002BF" w:usb1="38CF7CFA" w:usb2="00000016" w:usb3="00000000" w:csb0="00040001" w:csb1="00000000"/>
    <w:embedRegular r:id="rId6" w:fontKey="{31F21AC8-AFD6-469E-ADE2-D573D89D2631}"/>
  </w:font>
  <w:font w:name="华文中宋">
    <w:panose1 w:val="02010600040101010101"/>
    <w:charset w:val="86"/>
    <w:family w:val="auto"/>
    <w:pitch w:val="default"/>
    <w:sig w:usb0="00000287" w:usb1="080F0000" w:usb2="00000000" w:usb3="00000000" w:csb0="0004009F" w:csb1="DFD70000"/>
    <w:embedRegular r:id="rId7" w:fontKey="{336275B0-E643-4561-B730-5A6E2549462B}"/>
  </w:font>
  <w:font w:name="汉仪中秀体简">
    <w:altName w:val="微软雅黑"/>
    <w:panose1 w:val="00000000000000000000"/>
    <w:charset w:val="00"/>
    <w:family w:val="auto"/>
    <w:pitch w:val="default"/>
    <w:sig w:usb0="00000000" w:usb1="00000000" w:usb2="00000000" w:usb3="00000000" w:csb0="00040001" w:csb1="00000000"/>
    <w:embedRegular r:id="rId8" w:fontKey="{235CB629-E0CF-4BD7-897C-2353CA7E2DA0}"/>
  </w:font>
  <w:font w:name="楷体">
    <w:panose1 w:val="02010609060101010101"/>
    <w:charset w:val="86"/>
    <w:family w:val="modern"/>
    <w:pitch w:val="default"/>
    <w:sig w:usb0="800002BF" w:usb1="38CF7CFA" w:usb2="00000016" w:usb3="00000000" w:csb0="00040001" w:csb1="00000000"/>
    <w:embedRegular r:id="rId9" w:fontKey="{BB86DCE4-BEAA-438A-AEA7-E23B12AFEC38}"/>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37</w:t>
    </w:r>
    <w:r>
      <w:rPr>
        <w:sz w:val="28"/>
        <w:szCs w:val="28"/>
      </w:rPr>
      <w:fldChar w:fldCharType="end"/>
    </w:r>
    <w:r>
      <w:rPr>
        <w:rFonts w:hint="eastAsia"/>
        <w:sz w:val="28"/>
        <w:szCs w:val="28"/>
      </w:rPr>
      <w:t xml:space="preserve"> </w:t>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38</w:t>
    </w:r>
    <w:r>
      <w:rPr>
        <w:rFonts w:hint="eastAsia" w:ascii="宋体" w:hAnsi="宋体"/>
        <w:sz w:val="28"/>
        <w:szCs w:val="28"/>
      </w:rPr>
      <w:fldChar w:fldCharType="end"/>
    </w:r>
    <w:r>
      <w:rPr>
        <w:rFonts w:hint="eastAsia" w:ascii="宋体" w:hAnsi="宋体"/>
        <w:sz w:val="28"/>
        <w:szCs w:val="28"/>
      </w:rPr>
      <w:t xml:space="preserve"> —</w: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mZjliMDQ0Zjg0NjdjYjFlMjI3OGVhOGU1Yjg0NGUifQ=="/>
  </w:docVars>
  <w:rsids>
    <w:rsidRoot w:val="34C97AC9"/>
    <w:rsid w:val="018856AF"/>
    <w:rsid w:val="01A73D87"/>
    <w:rsid w:val="03EB4FA5"/>
    <w:rsid w:val="079C3C62"/>
    <w:rsid w:val="09976DD7"/>
    <w:rsid w:val="0B291CB1"/>
    <w:rsid w:val="0E3A41D5"/>
    <w:rsid w:val="0E72396F"/>
    <w:rsid w:val="1212367F"/>
    <w:rsid w:val="15D232F3"/>
    <w:rsid w:val="16B778EA"/>
    <w:rsid w:val="1CAD31CB"/>
    <w:rsid w:val="1EB77B79"/>
    <w:rsid w:val="1EBF779B"/>
    <w:rsid w:val="26062EC3"/>
    <w:rsid w:val="294F2293"/>
    <w:rsid w:val="2B710DDE"/>
    <w:rsid w:val="2C003B87"/>
    <w:rsid w:val="2CE70B41"/>
    <w:rsid w:val="307F0B1B"/>
    <w:rsid w:val="3240775C"/>
    <w:rsid w:val="34C97AC9"/>
    <w:rsid w:val="37491A22"/>
    <w:rsid w:val="3A3000B7"/>
    <w:rsid w:val="3B5B1163"/>
    <w:rsid w:val="43340C18"/>
    <w:rsid w:val="44450C02"/>
    <w:rsid w:val="44BC7116"/>
    <w:rsid w:val="49BC5519"/>
    <w:rsid w:val="4B182BCD"/>
    <w:rsid w:val="4CD15729"/>
    <w:rsid w:val="4D654BD1"/>
    <w:rsid w:val="4DE35714"/>
    <w:rsid w:val="5151508A"/>
    <w:rsid w:val="54624C9B"/>
    <w:rsid w:val="56590927"/>
    <w:rsid w:val="586C27AA"/>
    <w:rsid w:val="596A6CE9"/>
    <w:rsid w:val="5C3D06E5"/>
    <w:rsid w:val="5D6A375C"/>
    <w:rsid w:val="610E0E65"/>
    <w:rsid w:val="617F2279"/>
    <w:rsid w:val="63C811DC"/>
    <w:rsid w:val="64971FCF"/>
    <w:rsid w:val="64EF09EB"/>
    <w:rsid w:val="65711CFD"/>
    <w:rsid w:val="68757459"/>
    <w:rsid w:val="696E0130"/>
    <w:rsid w:val="6AA54025"/>
    <w:rsid w:val="6C2B67AC"/>
    <w:rsid w:val="6DF10206"/>
    <w:rsid w:val="707324D0"/>
    <w:rsid w:val="71E04FB0"/>
    <w:rsid w:val="72DF209E"/>
    <w:rsid w:val="772D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Normal (Web)"/>
    <w:basedOn w:val="1"/>
    <w:autoRedefine/>
    <w:qFormat/>
    <w:uiPriority w:val="0"/>
    <w:pPr>
      <w:spacing w:beforeAutospacing="1" w:afterAutospacing="1"/>
      <w:jc w:val="left"/>
    </w:pPr>
    <w:rPr>
      <w:rFonts w:ascii="Calibri" w:hAnsi="Calibri"/>
      <w:kern w:val="0"/>
      <w:sz w:val="24"/>
    </w:rPr>
  </w:style>
  <w:style w:type="character" w:styleId="6">
    <w:name w:val="Strong"/>
    <w:basedOn w:val="5"/>
    <w:autoRedefine/>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2024-01-16T02:39:00Z</dcterms:created>
  <dc:creator>二蛋</dc:creator>
  <cp:lastModifiedBy>常小呆的呆小琳</cp:lastModifiedBy>
  <dcterms:modified xsi:type="dcterms:W3CDTF">2024-01-26T00:17:39Z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AB12261BCF484B528A5866483B2ED966_11</vt:lpwstr>
  </property>
</Properties>
</file>