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TimesNewRoman"/>
          <w:sz w:val="32"/>
          <w:szCs w:val="32"/>
        </w:rPr>
      </w:pPr>
      <w:r>
        <w:rPr>
          <w:rFonts w:hint="eastAsia" w:ascii="黑体" w:hAnsi="黑体" w:eastAsia="黑体" w:cs="TimesNewRoman"/>
          <w:sz w:val="32"/>
          <w:szCs w:val="32"/>
          <w:lang w:val="en"/>
        </w:rPr>
        <w:t>附件</w:t>
      </w:r>
      <w:r>
        <w:rPr>
          <w:rFonts w:hint="eastAsia" w:ascii="黑体" w:hAnsi="黑体" w:eastAsia="黑体" w:cs="TimesNewRoman"/>
          <w:sz w:val="32"/>
          <w:szCs w:val="32"/>
        </w:rPr>
        <w:t>1</w:t>
      </w:r>
    </w:p>
    <w:p>
      <w:pPr>
        <w:spacing w:line="560" w:lineRule="exact"/>
        <w:rPr>
          <w:rFonts w:hint="eastAsia" w:ascii="TimesNewRoman" w:hAnsi="TimesNewRoman" w:eastAsia="黑体" w:cs="TimesNewRoman"/>
          <w:szCs w:val="32"/>
        </w:rPr>
      </w:pPr>
    </w:p>
    <w:p>
      <w:pPr>
        <w:spacing w:line="560" w:lineRule="exact"/>
        <w:jc w:val="center"/>
        <w:rPr>
          <w:rFonts w:hint="eastAsia" w:ascii="方正小标宋_GBK" w:hAnsi="TimesNewRoman" w:eastAsia="方正小标宋_GBK" w:cs="TimesNewRoman"/>
          <w:szCs w:val="32"/>
        </w:rPr>
      </w:pPr>
    </w:p>
    <w:p>
      <w:pPr>
        <w:spacing w:line="560" w:lineRule="exact"/>
        <w:jc w:val="center"/>
        <w:rPr>
          <w:rFonts w:hint="eastAsia" w:ascii="方正小标宋_GBK" w:hAnsi="TimesNewRoman" w:eastAsia="方正小标宋_GBK" w:cs="TimesNewRoman"/>
          <w:sz w:val="44"/>
          <w:szCs w:val="44"/>
        </w:rPr>
      </w:pPr>
      <w:r>
        <w:rPr>
          <w:rFonts w:hint="eastAsia" w:ascii="方正小标宋_GBK" w:hAnsi="TimesNewRoman" w:eastAsia="方正小标宋_GBK" w:cs="TimesNewRoman"/>
          <w:sz w:val="44"/>
          <w:szCs w:val="44"/>
        </w:rPr>
        <w:t>寿县</w:t>
      </w:r>
      <w:r>
        <w:rPr>
          <w:rFonts w:hint="eastAsia" w:ascii="方正小标宋_GBK" w:hAnsi="TimesNewRoman" w:eastAsia="方正小标宋_GBK" w:cs="TimesNewRoman"/>
          <w:sz w:val="44"/>
          <w:szCs w:val="44"/>
          <w:lang w:eastAsia="zh-CN"/>
        </w:rPr>
        <w:t>八公山风景区管理处</w:t>
      </w:r>
      <w:r>
        <w:rPr>
          <w:rFonts w:hint="eastAsia" w:ascii="方正小标宋_GBK" w:hAnsi="TimesNewRoman" w:eastAsia="方正小标宋_GBK" w:cs="TimesNewRoman"/>
          <w:sz w:val="44"/>
          <w:szCs w:val="44"/>
          <w:lang w:val="en-US" w:eastAsia="zh-CN"/>
        </w:rPr>
        <w:t>2</w:t>
      </w:r>
      <w:r>
        <w:rPr>
          <w:rFonts w:hint="eastAsia" w:ascii="方正小标宋_GBK" w:hAnsi="TimesNewRoman" w:eastAsia="方正小标宋_GBK" w:cs="TimesNewRoman"/>
          <w:sz w:val="44"/>
          <w:szCs w:val="44"/>
        </w:rPr>
        <w:t>024年</w:t>
      </w:r>
    </w:p>
    <w:p>
      <w:pPr>
        <w:spacing w:line="560" w:lineRule="exact"/>
        <w:jc w:val="center"/>
        <w:rPr>
          <w:rFonts w:hint="eastAsia" w:ascii="方正小标宋_GBK" w:hAnsi="TimesNewRoman" w:eastAsia="方正小标宋_GBK" w:cs="TimesNewRoman"/>
          <w:sz w:val="44"/>
          <w:szCs w:val="44"/>
        </w:rPr>
      </w:pPr>
      <w:r>
        <w:rPr>
          <w:rFonts w:hint="eastAsia" w:ascii="方正小标宋_GBK" w:hAnsi="TimesNewRoman" w:eastAsia="方正小标宋_GBK" w:cs="TimesNewRoman"/>
          <w:sz w:val="44"/>
          <w:szCs w:val="44"/>
          <w:lang w:val="en-US" w:eastAsia="zh-CN"/>
        </w:rPr>
        <w:t>单位</w:t>
      </w:r>
      <w:r>
        <w:rPr>
          <w:rFonts w:hint="eastAsia" w:ascii="方正小标宋_GBK" w:hAnsi="TimesNewRoman" w:eastAsia="方正小标宋_GBK" w:cs="TimesNewRoman"/>
          <w:sz w:val="44"/>
          <w:szCs w:val="44"/>
        </w:rPr>
        <w:t>预算</w:t>
      </w:r>
    </w:p>
    <w:p>
      <w:pPr>
        <w:pStyle w:val="3"/>
        <w:adjustRightInd w:val="0"/>
        <w:snapToGrid w:val="0"/>
        <w:spacing w:line="560" w:lineRule="exact"/>
        <w:jc w:val="center"/>
        <w:outlineLvl w:val="0"/>
        <w:rPr>
          <w:rFonts w:hint="eastAsia" w:ascii="方正小标宋_GBK" w:hAnsi="TimesNewRoman" w:eastAsia="方正小标宋_GBK" w:cs="TimesNewRoman"/>
          <w:sz w:val="32"/>
          <w:szCs w:val="32"/>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hint="eastAsia"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6"/>
          <w:szCs w:val="32"/>
        </w:rPr>
      </w:pPr>
      <w:r>
        <w:rPr>
          <w:rFonts w:hint="eastAsia" w:ascii="仿宋_GB2312" w:hAnsi="TimesNewRoman" w:eastAsia="仿宋_GB2312" w:cs="TimesNewRoman"/>
          <w:bCs/>
          <w:sz w:val="36"/>
          <w:szCs w:val="32"/>
        </w:rPr>
        <w:t>2024年</w:t>
      </w:r>
      <w:r>
        <w:rPr>
          <w:rFonts w:hint="eastAsia" w:ascii="仿宋_GB2312" w:hAnsi="TimesNewRoman" w:eastAsia="仿宋_GB2312" w:cs="TimesNewRoman"/>
          <w:bCs/>
          <w:sz w:val="36"/>
          <w:szCs w:val="32"/>
          <w:lang w:val="en-US" w:eastAsia="zh-CN"/>
        </w:rPr>
        <w:t>1</w:t>
      </w:r>
      <w:r>
        <w:rPr>
          <w:rFonts w:hint="eastAsia" w:ascii="仿宋_GB2312" w:hAnsi="TimesNewRoman" w:eastAsia="仿宋_GB2312" w:cs="TimesNewRoman"/>
          <w:bCs/>
          <w:sz w:val="36"/>
          <w:szCs w:val="32"/>
        </w:rPr>
        <w:t>月</w:t>
      </w:r>
    </w:p>
    <w:p>
      <w:pPr>
        <w:pStyle w:val="3"/>
        <w:adjustRightInd w:val="0"/>
        <w:snapToGrid w:val="0"/>
        <w:spacing w:line="560" w:lineRule="exact"/>
        <w:jc w:val="center"/>
        <w:rPr>
          <w:rFonts w:hint="eastAsia" w:ascii="方正小标宋_GBK" w:hAnsi="TimesNewRoman" w:eastAsia="方正小标宋_GBK" w:cs="TimesNewRoman"/>
          <w:bCs/>
          <w:sz w:val="44"/>
          <w:szCs w:val="44"/>
        </w:rPr>
      </w:pPr>
      <w:r>
        <w:rPr>
          <w:rFonts w:hint="eastAsia" w:ascii="方正小标宋_GBK" w:hAnsi="TimesNewRoman" w:eastAsia="方正小标宋_GBK" w:cs="TimesNewRoman"/>
          <w:bCs/>
          <w:sz w:val="44"/>
          <w:szCs w:val="44"/>
        </w:rPr>
        <w:t>目  录</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第一部分 </w:t>
      </w:r>
      <w:r>
        <w:rPr>
          <w:rFonts w:ascii="黑体" w:hAnsi="黑体" w:eastAsia="黑体" w:cs="TimesNewRoman"/>
          <w:sz w:val="32"/>
          <w:szCs w:val="32"/>
          <w:u w:val="none"/>
        </w:rPr>
        <w:t>单位概</w:t>
      </w:r>
      <w:r>
        <w:rPr>
          <w:rFonts w:ascii="黑体" w:hAnsi="黑体" w:eastAsia="黑体" w:cs="TimesNewRoman"/>
          <w:sz w:val="32"/>
          <w:szCs w:val="32"/>
        </w:rPr>
        <w:t>况</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w:t>
      </w:r>
      <w:r>
        <w:rPr>
          <w:rFonts w:hint="eastAsia" w:ascii="仿宋_GB2312" w:hAnsi="TimesNewRoman" w:eastAsia="仿宋_GB2312" w:cs="TimesNewRoman"/>
          <w:bCs/>
          <w:sz w:val="32"/>
          <w:szCs w:val="32"/>
          <w:u w:val="none"/>
        </w:rPr>
        <w:t>单位</w:t>
      </w:r>
      <w:r>
        <w:rPr>
          <w:rFonts w:hint="eastAsia" w:ascii="仿宋_GB2312" w:hAnsi="TimesNewRoman" w:eastAsia="仿宋_GB2312" w:cs="TimesNewRoman"/>
          <w:bCs/>
          <w:sz w:val="32"/>
          <w:szCs w:val="32"/>
        </w:rPr>
        <w:t>预算构成</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3.2024年度主要工作任务</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第二部分 </w:t>
      </w:r>
      <w:r>
        <w:rPr>
          <w:rFonts w:hint="eastAsia" w:ascii="黑体" w:hAnsi="黑体" w:eastAsia="黑体" w:cs="TimesNewRoman"/>
          <w:sz w:val="32"/>
          <w:szCs w:val="32"/>
        </w:rPr>
        <w:t>2024</w:t>
      </w:r>
      <w:r>
        <w:rPr>
          <w:rFonts w:ascii="黑体" w:hAnsi="黑体" w:eastAsia="黑体" w:cs="TimesNewRoman"/>
          <w:sz w:val="32"/>
          <w:szCs w:val="32"/>
        </w:rPr>
        <w:t>年单位预算表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eastAsia="zh-CN"/>
        </w:rPr>
        <w:t>八公山风景区管理处</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第三部分 </w:t>
      </w:r>
      <w:r>
        <w:rPr>
          <w:rFonts w:hint="eastAsia" w:ascii="黑体" w:hAnsi="黑体" w:eastAsia="黑体" w:cs="TimesNewRoman"/>
          <w:sz w:val="32"/>
          <w:szCs w:val="32"/>
        </w:rPr>
        <w:t>2024</w:t>
      </w:r>
      <w:r>
        <w:rPr>
          <w:rFonts w:ascii="黑体" w:hAnsi="黑体" w:eastAsia="黑体" w:cs="TimesNewRoman"/>
          <w:sz w:val="32"/>
          <w:szCs w:val="32"/>
        </w:rPr>
        <w:t>年单位预算情况说明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12.其他重要事项情况说明</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第四部分 名词解释</w:t>
      </w: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ascii="TimesNewRoman" w:hAnsi="TimesNewRoman" w:eastAsia="黑体" w:cs="TimesNewRoman"/>
          <w:bCs/>
          <w:sz w:val="36"/>
          <w:szCs w:val="36"/>
          <w:u w:val="none"/>
        </w:rPr>
        <w:t>单位</w:t>
      </w:r>
      <w:r>
        <w:rPr>
          <w:rFonts w:ascii="TimesNewRoman" w:hAnsi="TimesNewRoman" w:eastAsia="黑体" w:cs="TimesNewRoman"/>
          <w:bCs/>
          <w:sz w:val="36"/>
          <w:szCs w:val="36"/>
        </w:rPr>
        <w:t>概况</w:t>
      </w:r>
    </w:p>
    <w:p>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一)贯彻落实国家、省、市、县有关风景区管理的法律规和政策规定；贯彻落实县委、县政府关于加快旅游业改革发展的重大决策部署；负责科学编制景区旅游业中长期规划，实行统一管理、严格保护、永续利用；拟定景区内资源保护和利用等各项管理制度，并组织实施。</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(二)负责景区内旅游经营公司的业务指导，依法履行监管职责；负责景区旅游资源的收储整合，旅游资本运作，以及招商引资等工作。</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(三)负责景区内各项投资、建设项目的预审核报、监督管理等工作。</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(四)负责组织开展景区宣传推广和市场营销，景区旅游推介活动的方案策划和市场运作。</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(五)负责协调相关部门做好景区旅游资源和文物保护开发，协助做好风景区防灭火以及旅游安全、旅游质量监管等工作。</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(六)负责八公山风景区寿县区域景点管理。未经批准，禁止在管理范围内擅自建筑和进行建设活动。</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(七)负责依法依规收取景区门票，严格规范财务管理。</w:t>
      </w:r>
    </w:p>
    <w:p>
      <w:pPr>
        <w:pStyle w:val="3"/>
        <w:adjustRightInd w:val="0"/>
        <w:snapToGrid w:val="0"/>
        <w:spacing w:before="0" w:beforeAutospacing="0" w:after="0" w:afterAutospacing="0" w:line="500" w:lineRule="exact"/>
        <w:ind w:firstLine="640" w:firstLineChars="200"/>
        <w:outlineLvl w:val="0"/>
        <w:rPr>
          <w:rFonts w:hint="eastAsia" w:ascii="仿宋_GB2312" w:hAnsi="仿宋" w:eastAsia="仿宋_GB2312" w:cs="仿宋"/>
          <w:bCs/>
          <w:sz w:val="32"/>
          <w:szCs w:val="32"/>
        </w:rPr>
      </w:pPr>
      <w:r>
        <w:rPr>
          <w:rFonts w:hint="eastAsia" w:ascii="仿宋_GB2312" w:hAnsi="仿宋" w:eastAsia="仿宋_GB2312" w:cs="仿宋"/>
          <w:bCs/>
          <w:sz w:val="32"/>
          <w:szCs w:val="32"/>
        </w:rPr>
        <w:t>(八)完成县委、县政府和市八公山风景区管委会交办的其他工作任务。</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二、部门预算单位构成</w:t>
      </w:r>
    </w:p>
    <w:p>
      <w:pPr>
        <w:pStyle w:val="3"/>
        <w:adjustRightInd w:val="0"/>
        <w:snapToGrid w:val="0"/>
        <w:spacing w:before="0" w:beforeAutospacing="0" w:after="0" w:afterAutospacing="0" w:line="500" w:lineRule="exact"/>
        <w:ind w:firstLine="640" w:firstLineChars="200"/>
        <w:outlineLvl w:val="0"/>
        <w:rPr>
          <w:rFonts w:hint="eastAsia" w:ascii="仿宋_GB2312" w:hAnsi="黑体" w:eastAsia="仿宋_GB2312"/>
          <w:bCs/>
          <w:sz w:val="32"/>
          <w:szCs w:val="32"/>
        </w:rPr>
      </w:pPr>
      <w:r>
        <w:rPr>
          <w:rFonts w:hint="eastAsia" w:ascii="仿宋_GB2312" w:hAnsi="仿宋" w:eastAsia="仿宋_GB2312"/>
          <w:sz w:val="32"/>
          <w:szCs w:val="32"/>
        </w:rPr>
        <w:t>从预算单位构成看，寿县八公山风景区管理处202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年度部门预算仅包括局本级预算，无其他下属单位预算。</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三、202</w:t>
      </w:r>
      <w:r>
        <w:rPr>
          <w:rFonts w:hint="eastAsia" w:ascii="楷体_GB2312" w:hAnsi="TimesNewRoman" w:eastAsia="楷体_GB2312" w:cs="TimesNewRoman"/>
          <w:b/>
          <w:bCs/>
          <w:sz w:val="32"/>
          <w:szCs w:val="32"/>
          <w:lang w:val="en-US" w:eastAsia="zh-CN"/>
        </w:rPr>
        <w:t>4</w:t>
      </w:r>
      <w:r>
        <w:rPr>
          <w:rFonts w:hint="eastAsia" w:ascii="楷体_GB2312" w:hAnsi="TimesNewRoman" w:eastAsia="楷体_GB2312" w:cs="TimesNewRoman"/>
          <w:b/>
          <w:bCs/>
          <w:sz w:val="32"/>
          <w:szCs w:val="32"/>
        </w:rPr>
        <w:t>年度主要工作任务</w:t>
      </w:r>
    </w:p>
    <w:p>
      <w:pPr>
        <w:pStyle w:val="3"/>
        <w:adjustRightInd w:val="0"/>
        <w:snapToGrid w:val="0"/>
        <w:spacing w:before="0" w:beforeAutospacing="0" w:after="0" w:afterAutospacing="0" w:line="500" w:lineRule="exact"/>
        <w:ind w:firstLine="627" w:firstLineChars="196"/>
        <w:jc w:val="both"/>
        <w:rPr>
          <w:rFonts w:hint="eastAsia" w:ascii="仿宋_GB2312" w:hAnsi="仿宋" w:eastAsia="仿宋_GB2312"/>
          <w:sz w:val="32"/>
          <w:szCs w:val="32"/>
        </w:rPr>
      </w:pPr>
      <w:r>
        <w:rPr>
          <w:rFonts w:hint="eastAsia" w:ascii="仿宋_GB2312" w:hAnsi="仿宋" w:eastAsia="仿宋_GB2312"/>
          <w:sz w:val="32"/>
          <w:szCs w:val="32"/>
        </w:rPr>
        <w:t>（一）工作任务一：负责风景区范围内的旅游管理、5A创建、文明创建</w:t>
      </w:r>
      <w:r>
        <w:rPr>
          <w:rFonts w:hint="eastAsia" w:ascii="仿宋_GB2312" w:hAnsi="仿宋" w:eastAsia="仿宋_GB2312"/>
          <w:sz w:val="32"/>
          <w:szCs w:val="32"/>
          <w:lang w:eastAsia="zh-CN"/>
        </w:rPr>
        <w:t>、规划编制</w:t>
      </w:r>
      <w:r>
        <w:rPr>
          <w:rFonts w:hint="eastAsia" w:ascii="仿宋_GB2312" w:hAnsi="仿宋" w:eastAsia="仿宋_GB2312"/>
          <w:sz w:val="32"/>
          <w:szCs w:val="32"/>
        </w:rPr>
        <w:t>工作。</w:t>
      </w:r>
    </w:p>
    <w:p>
      <w:pPr>
        <w:pStyle w:val="3"/>
        <w:topLinePunct/>
        <w:adjustRightInd w:val="0"/>
        <w:snapToGrid w:val="0"/>
        <w:spacing w:beforeAutospacing="0" w:afterAutospacing="0" w:line="580" w:lineRule="exact"/>
        <w:ind w:firstLine="640" w:firstLineChars="200"/>
        <w:jc w:val="both"/>
        <w:rPr>
          <w:rFonts w:hint="eastAsia" w:ascii="仿宋_GB2312" w:hAnsi="仿宋" w:eastAsia="仿宋_GB2312"/>
          <w:sz w:val="32"/>
          <w:szCs w:val="32"/>
        </w:rPr>
      </w:pPr>
      <w:r>
        <w:rPr>
          <w:rFonts w:hint="eastAsia" w:ascii="仿宋_GB2312" w:hAnsi="仿宋" w:eastAsia="仿宋_GB2312"/>
          <w:sz w:val="32"/>
          <w:szCs w:val="32"/>
        </w:rPr>
        <w:t>（二）工作任务二：负责风景区旅游资源的开发利用和管理保护，招商引资，风景区旅游宣传推介，旅游项目谋划、风景区历史遗留问题处置工作。</w:t>
      </w: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第二部分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年单位预算表</w:t>
      </w:r>
    </w:p>
    <w:p>
      <w:pPr>
        <w:spacing w:line="560" w:lineRule="exact"/>
        <w:ind w:firstLine="6600" w:firstLineChars="3300"/>
        <w:jc w:val="left"/>
        <w:rPr>
          <w:rFonts w:hint="eastAsia" w:ascii="TimesNewRoman" w:hAnsi="TimesNewRoman" w:cs="TimesNewRoman"/>
          <w:kern w:val="0"/>
          <w:sz w:val="20"/>
        </w:rPr>
      </w:pP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公开表1</w:t>
      </w:r>
    </w:p>
    <w:p>
      <w:pPr>
        <w:spacing w:line="560" w:lineRule="exact"/>
        <w:jc w:val="center"/>
        <w:rPr>
          <w:rFonts w:ascii="宋体" w:hAnsi="宋体" w:cs="TimesNewRoman"/>
          <w:kern w:val="0"/>
          <w:sz w:val="24"/>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年收支总表</w:t>
      </w:r>
    </w:p>
    <w:p>
      <w:pPr>
        <w:spacing w:line="560" w:lineRule="exact"/>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9220" w:type="dxa"/>
        <w:tblInd w:w="0" w:type="dxa"/>
        <w:tblLayout w:type="fixed"/>
        <w:tblCellMar>
          <w:top w:w="0" w:type="dxa"/>
          <w:left w:w="108" w:type="dxa"/>
          <w:bottom w:w="0" w:type="dxa"/>
          <w:right w:w="108" w:type="dxa"/>
        </w:tblCellMar>
      </w:tblPr>
      <w:tblGrid>
        <w:gridCol w:w="3728"/>
        <w:gridCol w:w="1089"/>
        <w:gridCol w:w="3470"/>
        <w:gridCol w:w="933"/>
      </w:tblGrid>
      <w:tr>
        <w:tblPrEx>
          <w:tblCellMar>
            <w:top w:w="0" w:type="dxa"/>
            <w:left w:w="108" w:type="dxa"/>
            <w:bottom w:w="0" w:type="dxa"/>
            <w:right w:w="108" w:type="dxa"/>
          </w:tblCellMar>
        </w:tblPrEx>
        <w:trPr>
          <w:trHeight w:val="12" w:hRule="atLeast"/>
        </w:trPr>
        <w:tc>
          <w:tcPr>
            <w:tcW w:w="481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 xml:space="preserve">          收            入             </w:t>
            </w:r>
          </w:p>
        </w:tc>
        <w:tc>
          <w:tcPr>
            <w:tcW w:w="4402" w:type="dxa"/>
            <w:gridSpan w:val="2"/>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          出</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收 入 项 目</w:t>
            </w:r>
          </w:p>
        </w:tc>
        <w:tc>
          <w:tcPr>
            <w:tcW w:w="1089"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支出功能分类科目</w:t>
            </w:r>
          </w:p>
        </w:tc>
        <w:tc>
          <w:tcPr>
            <w:tcW w:w="933"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一、一般公共预算拨款收入</w:t>
            </w:r>
          </w:p>
        </w:tc>
        <w:tc>
          <w:tcPr>
            <w:tcW w:w="1089"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450"/>
                <w:tab w:val="right" w:pos="1173"/>
              </w:tabs>
              <w:spacing w:line="260" w:lineRule="exact"/>
              <w:jc w:val="lef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hint="eastAsia" w:ascii="TimesNewRoman" w:hAnsi="TimesNewRoman" w:cs="TimesNewRoman"/>
                <w:kern w:val="0"/>
                <w:sz w:val="18"/>
                <w:szCs w:val="18"/>
                <w:lang w:eastAsia="zh-CN"/>
              </w:rPr>
              <w:tab/>
            </w: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933" w:type="dxa"/>
            <w:tcBorders>
              <w:top w:val="single" w:color="auto" w:sz="4" w:space="0"/>
              <w:left w:val="single" w:color="auto" w:sz="4" w:space="0"/>
              <w:bottom w:val="nil"/>
              <w:right w:val="single" w:color="auto" w:sz="4" w:space="0"/>
            </w:tcBorders>
            <w:noWrap w:val="0"/>
            <w:vAlign w:val="center"/>
          </w:tcPr>
          <w:p>
            <w:pPr>
              <w:widowControl/>
              <w:tabs>
                <w:tab w:val="center" w:pos="358"/>
                <w:tab w:val="right" w:pos="1017"/>
              </w:tabs>
              <w:spacing w:line="260" w:lineRule="exact"/>
              <w:jc w:val="left"/>
              <w:rPr>
                <w:rFonts w:ascii="TimesNewRoman" w:hAnsi="TimesNewRoman" w:cs="TimesNewRoman"/>
                <w:kern w:val="0"/>
                <w:sz w:val="18"/>
                <w:szCs w:val="18"/>
              </w:rPr>
            </w:pPr>
            <w:r>
              <w:rPr>
                <w:rFonts w:hint="eastAsia" w:ascii="TimesNewRoman" w:hAnsi="TimesNewRoman" w:cs="TimesNewRoman"/>
                <w:kern w:val="0"/>
                <w:sz w:val="18"/>
                <w:szCs w:val="18"/>
                <w:lang w:eastAsia="zh-CN"/>
              </w:rPr>
              <w:tab/>
            </w:r>
            <w:r>
              <w:rPr>
                <w:rFonts w:hint="eastAsia" w:ascii="TimesNewRoman" w:hAnsi="TimesNewRoman" w:cs="TimesNewRoman"/>
                <w:kern w:val="0"/>
                <w:sz w:val="18"/>
                <w:szCs w:val="18"/>
                <w:lang w:val="en-US" w:eastAsia="zh-CN"/>
              </w:rPr>
              <w:t>174.78</w:t>
            </w:r>
            <w:r>
              <w:rPr>
                <w:rFonts w:hint="eastAsia" w:ascii="TimesNewRoman" w:hAnsi="TimesNewRoman" w:cs="TimesNewRoman"/>
                <w:kern w:val="0"/>
                <w:sz w:val="18"/>
                <w:szCs w:val="18"/>
                <w:lang w:eastAsia="zh-CN"/>
              </w:rPr>
              <w:tab/>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其中：中央转移支付收入</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其中：中央转移支付收入</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rPr>
                <w:rFonts w:ascii="TimesNewRoman" w:hAnsi="TimesNewRoman" w:cs="TimesNewRoman"/>
                <w:kern w:val="0"/>
                <w:sz w:val="18"/>
                <w:szCs w:val="18"/>
              </w:rPr>
            </w:pPr>
            <w:r>
              <w:rPr>
                <w:rFonts w:ascii="TimesNewRoman" w:hAnsi="TimesNewRoman" w:cs="TimesNewRoman"/>
                <w:kern w:val="0"/>
                <w:sz w:val="18"/>
                <w:szCs w:val="18"/>
              </w:rPr>
              <w:t>三、国有资本经营预算拨款收入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其中：中央转移支付收入</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26.20</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四、财政专户管理资金收入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五、单位资金收入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其中：事业收入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事业单位经营收入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上级补助收入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附属单位上缴收入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其他收入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13.10</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933"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  年  收  入  小  计</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  年  支  出  小  计</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TimesNewRoman" w:hAnsi="TimesNewRoman" w:eastAsia="仿宋_GB2312" w:cs="TimesNewRoman"/>
                <w:kern w:val="0"/>
                <w:sz w:val="18"/>
                <w:szCs w:val="18"/>
              </w:rPr>
            </w:pPr>
            <w:r>
              <w:rPr>
                <w:rFonts w:ascii="TimesNewRoman" w:hAnsi="TimesNewRoman" w:cs="TimesNewRoman"/>
                <w:kern w:val="0"/>
                <w:sz w:val="18"/>
                <w:szCs w:val="18"/>
              </w:rPr>
              <w:t>上年</w:t>
            </w:r>
            <w:r>
              <w:rPr>
                <w:rFonts w:hint="eastAsia" w:ascii="TimesNewRoman" w:hAnsi="TimesNewRoman" w:cs="TimesNewRoman"/>
                <w:kern w:val="0"/>
                <w:sz w:val="18"/>
                <w:szCs w:val="18"/>
              </w:rPr>
              <w:t>结转数</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TimesNewRoman" w:hAnsi="TimesNewRoman" w:eastAsia="仿宋_GB2312" w:cs="TimesNewRoman"/>
                <w:kern w:val="0"/>
                <w:sz w:val="18"/>
                <w:szCs w:val="18"/>
              </w:rPr>
            </w:pPr>
            <w:r>
              <w:rPr>
                <w:rFonts w:hint="eastAsia" w:ascii="TimesNewRoman" w:hAnsi="TimesNewRoman" w:cs="TimesNewRoman"/>
                <w:kern w:val="0"/>
                <w:sz w:val="18"/>
                <w:szCs w:val="18"/>
              </w:rPr>
              <w:t>结转下年</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一般公共预算</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一般公共预算</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政府性基金预算</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政府性基金预算</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国有资本经营预算</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国有资本经营预算</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财政专户管理资金</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财政专户管理资金</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单位资金</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单位资金</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   入   总   计</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b/>
                <w:bCs/>
                <w:kern w:val="0"/>
                <w:sz w:val="18"/>
                <w:szCs w:val="18"/>
              </w:rPr>
            </w:pPr>
            <w:r>
              <w:rPr>
                <w:rFonts w:hint="eastAsia" w:ascii="TimesNewRoman" w:hAnsi="TimesNewRoman" w:cs="TimesNewRoman"/>
                <w:b w:val="0"/>
                <w:bCs w:val="0"/>
                <w:kern w:val="0"/>
                <w:sz w:val="18"/>
                <w:szCs w:val="18"/>
                <w:lang w:val="en-US" w:eastAsia="zh-CN"/>
              </w:rPr>
              <w:t>214.07</w:t>
            </w:r>
            <w:r>
              <w:rPr>
                <w:rFonts w:ascii="TimesNewRoman" w:hAnsi="TimesNewRoman" w:cs="TimesNewRoman"/>
                <w:b/>
                <w:bCs/>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  总　计</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r>
    </w:tbl>
    <w:p>
      <w:pPr>
        <w:spacing w:line="560" w:lineRule="exact"/>
        <w:jc w:val="center"/>
        <w:rPr>
          <w:rFonts w:ascii="TimesNewRoman" w:hAnsi="TimesNewRoman" w:cs="TimesNewRoman"/>
          <w:kern w:val="0"/>
          <w:sz w:val="20"/>
        </w:rPr>
        <w:sectPr>
          <w:footerReference r:id="rId3" w:type="default"/>
          <w:footerReference r:id="rId4" w:type="even"/>
          <w:pgSz w:w="11907" w:h="16840"/>
          <w:pgMar w:top="2098" w:right="1474" w:bottom="1985" w:left="1588" w:header="851" w:footer="1021" w:gutter="0"/>
          <w:cols w:space="425" w:num="1"/>
          <w:titlePg/>
          <w:docGrid w:type="linesAndChars" w:linePitch="312" w:charSpace="0"/>
        </w:sectPr>
      </w:pPr>
    </w:p>
    <w:p>
      <w:pPr>
        <w:spacing w:line="560" w:lineRule="exact"/>
        <w:jc w:val="center"/>
        <w:rPr>
          <w:rFonts w:ascii="TimesNewRoman" w:hAnsi="TimesNewRoman" w:cs="TimesNewRoman"/>
          <w:kern w:val="0"/>
          <w:sz w:val="20"/>
        </w:rPr>
      </w:pPr>
      <w:r>
        <w:rPr>
          <w:rFonts w:hint="eastAsia" w:ascii="TimesNewRoman" w:hAnsi="TimesNewRoman" w:cs="TimesNewRoman"/>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公开表2</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年收入总表</w:t>
      </w:r>
    </w:p>
    <w:p>
      <w:pPr>
        <w:spacing w:line="560" w:lineRule="exact"/>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3462" w:type="dxa"/>
        <w:tblInd w:w="-431" w:type="dxa"/>
        <w:tblLayout w:type="fixed"/>
        <w:tblCellMar>
          <w:top w:w="0" w:type="dxa"/>
          <w:left w:w="108" w:type="dxa"/>
          <w:bottom w:w="0" w:type="dxa"/>
          <w:right w:w="108" w:type="dxa"/>
        </w:tblCellMar>
      </w:tblPr>
      <w:tblGrid>
        <w:gridCol w:w="1700"/>
        <w:gridCol w:w="538"/>
        <w:gridCol w:w="465"/>
        <w:gridCol w:w="647"/>
        <w:gridCol w:w="648"/>
        <w:gridCol w:w="648"/>
        <w:gridCol w:w="648"/>
        <w:gridCol w:w="648"/>
        <w:gridCol w:w="648"/>
        <w:gridCol w:w="648"/>
        <w:gridCol w:w="648"/>
        <w:gridCol w:w="648"/>
        <w:gridCol w:w="648"/>
        <w:gridCol w:w="648"/>
        <w:gridCol w:w="648"/>
        <w:gridCol w:w="648"/>
        <w:gridCol w:w="648"/>
        <w:gridCol w:w="648"/>
        <w:gridCol w:w="1040"/>
      </w:tblGrid>
      <w:tr>
        <w:tblPrEx>
          <w:tblCellMar>
            <w:top w:w="0" w:type="dxa"/>
            <w:left w:w="108" w:type="dxa"/>
            <w:bottom w:w="0" w:type="dxa"/>
            <w:right w:w="108" w:type="dxa"/>
          </w:tblCellMar>
        </w:tblPrEx>
        <w:trPr>
          <w:trHeight w:val="501" w:hRule="atLeast"/>
        </w:trPr>
        <w:tc>
          <w:tcPr>
            <w:tcW w:w="170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部门（单位）名称</w:t>
            </w:r>
          </w:p>
        </w:tc>
        <w:tc>
          <w:tcPr>
            <w:tcW w:w="53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合计</w:t>
            </w:r>
          </w:p>
        </w:tc>
        <w:tc>
          <w:tcPr>
            <w:tcW w:w="6944" w:type="dxa"/>
            <w:gridSpan w:val="11"/>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本年收入</w:t>
            </w:r>
          </w:p>
        </w:tc>
        <w:tc>
          <w:tcPr>
            <w:tcW w:w="4280" w:type="dxa"/>
            <w:gridSpan w:val="6"/>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上年结转结余</w:t>
            </w:r>
          </w:p>
        </w:tc>
      </w:tr>
      <w:tr>
        <w:tblPrEx>
          <w:tblCellMar>
            <w:top w:w="0" w:type="dxa"/>
            <w:left w:w="108" w:type="dxa"/>
            <w:bottom w:w="0" w:type="dxa"/>
            <w:right w:w="108" w:type="dxa"/>
          </w:tblCellMar>
        </w:tblPrEx>
        <w:trPr>
          <w:trHeight w:val="424" w:hRule="atLeast"/>
        </w:trPr>
        <w:tc>
          <w:tcPr>
            <w:tcW w:w="17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b/>
                <w:kern w:val="0"/>
                <w:sz w:val="18"/>
                <w:szCs w:val="18"/>
              </w:rPr>
            </w:pPr>
          </w:p>
        </w:tc>
        <w:tc>
          <w:tcPr>
            <w:tcW w:w="5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b/>
                <w:kern w:val="0"/>
                <w:sz w:val="18"/>
                <w:szCs w:val="18"/>
              </w:rPr>
            </w:pPr>
          </w:p>
        </w:tc>
        <w:tc>
          <w:tcPr>
            <w:tcW w:w="465"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7"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64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648"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648"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3888" w:type="dxa"/>
            <w:gridSpan w:val="6"/>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c>
          <w:tcPr>
            <w:tcW w:w="64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64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64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64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1040"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r>
      <w:tr>
        <w:tblPrEx>
          <w:tblCellMar>
            <w:top w:w="0" w:type="dxa"/>
            <w:left w:w="108" w:type="dxa"/>
            <w:bottom w:w="0" w:type="dxa"/>
            <w:right w:w="108" w:type="dxa"/>
          </w:tblCellMar>
        </w:tblPrEx>
        <w:trPr>
          <w:trHeight w:val="2579" w:hRule="atLeast"/>
        </w:trPr>
        <w:tc>
          <w:tcPr>
            <w:tcW w:w="170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465"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7"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8"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     收入</w:t>
            </w:r>
          </w:p>
        </w:tc>
        <w:tc>
          <w:tcPr>
            <w:tcW w:w="648"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事业单位经营收入</w:t>
            </w:r>
          </w:p>
        </w:tc>
        <w:tc>
          <w:tcPr>
            <w:tcW w:w="648"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上级补助收入</w:t>
            </w:r>
          </w:p>
        </w:tc>
        <w:tc>
          <w:tcPr>
            <w:tcW w:w="648"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附属单位上缴收入</w:t>
            </w:r>
          </w:p>
        </w:tc>
        <w:tc>
          <w:tcPr>
            <w:tcW w:w="648"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其他   收入</w:t>
            </w:r>
          </w:p>
        </w:tc>
        <w:tc>
          <w:tcPr>
            <w:tcW w:w="64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64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1040"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trHeight w:val="429" w:hRule="atLeast"/>
        </w:trPr>
        <w:tc>
          <w:tcPr>
            <w:tcW w:w="170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hint="eastAsia" w:ascii="TimesNewRoman" w:hAnsi="TimesNewRoman" w:cs="TimesNewRoman"/>
                <w:kern w:val="0"/>
                <w:sz w:val="18"/>
                <w:szCs w:val="18"/>
                <w:lang w:eastAsia="zh-CN"/>
              </w:rPr>
              <w:t>寿县八公山风景区管理处</w:t>
            </w:r>
          </w:p>
        </w:tc>
        <w:tc>
          <w:tcPr>
            <w:tcW w:w="53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c>
          <w:tcPr>
            <w:tcW w:w="465"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hint="default" w:ascii="TimesNewRoman" w:hAnsi="TimesNewRoman" w:eastAsia="宋体" w:cs="TimesNewRoman"/>
                <w:kern w:val="0"/>
                <w:sz w:val="18"/>
                <w:szCs w:val="18"/>
                <w:lang w:val="en-US" w:eastAsia="zh-CN"/>
              </w:rPr>
            </w:pPr>
            <w:r>
              <w:rPr>
                <w:rFonts w:hint="eastAsia" w:ascii="TimesNewRoman" w:hAnsi="TimesNewRoman" w:cs="TimesNewRoman"/>
                <w:kern w:val="0"/>
                <w:sz w:val="18"/>
                <w:szCs w:val="18"/>
                <w:lang w:val="en-US" w:eastAsia="zh-CN"/>
              </w:rPr>
              <w:t>214.07</w:t>
            </w:r>
          </w:p>
        </w:tc>
        <w:tc>
          <w:tcPr>
            <w:tcW w:w="647"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40"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29" w:hRule="atLeast"/>
        </w:trPr>
        <w:tc>
          <w:tcPr>
            <w:tcW w:w="170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3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29" w:hRule="atLeast"/>
        </w:trPr>
        <w:tc>
          <w:tcPr>
            <w:tcW w:w="170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3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29" w:hRule="atLeast"/>
        </w:trPr>
        <w:tc>
          <w:tcPr>
            <w:tcW w:w="170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3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29" w:hRule="atLeast"/>
        </w:trPr>
        <w:tc>
          <w:tcPr>
            <w:tcW w:w="170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3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bl>
    <w:p>
      <w:pPr>
        <w:spacing w:line="560" w:lineRule="exact"/>
        <w:jc w:val="both"/>
        <w:rPr>
          <w:rFonts w:ascii="TimesNewRoman" w:hAnsi="TimesNewRoman" w:cs="TimesNewRoman"/>
          <w:kern w:val="0"/>
          <w:sz w:val="20"/>
        </w:rPr>
        <w:sectPr>
          <w:pgSz w:w="16840" w:h="11907" w:orient="landscape"/>
          <w:pgMar w:top="1588" w:right="2098" w:bottom="1474" w:left="1985" w:header="851" w:footer="1021" w:gutter="0"/>
          <w:cols w:space="425" w:num="1"/>
          <w:docGrid w:type="lines" w:linePitch="312" w:charSpace="0"/>
        </w:sectPr>
      </w:pPr>
      <w:r>
        <w:rPr>
          <w:rFonts w:ascii="TimesNewRoman" w:hAnsi="TimesNewRoman" w:cs="TimesNewRoman"/>
          <w:kern w:val="0"/>
          <w:sz w:val="20"/>
        </w:rPr>
        <w:t xml:space="preserve">                                       </w:t>
      </w: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pPr>
      <w:r>
        <w:rPr>
          <w:rFonts w:hint="eastAsia" w:ascii="TimesNewRoman" w:hAnsi="TimesNewRoman" w:cs="TimesNewRoman"/>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公开表3</w:t>
      </w:r>
    </w:p>
    <w:p>
      <w:pPr>
        <w:spacing w:line="560" w:lineRule="exact"/>
        <w:jc w:val="center"/>
        <w:rPr>
          <w:rFonts w:hint="eastAsia" w:ascii="TimesNewRoman" w:hAnsi="TimesNewRoman" w:cs="TimesNewRoman"/>
          <w:kern w:val="0"/>
          <w:sz w:val="20"/>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 xml:space="preserve">年支出总表                 </w:t>
      </w:r>
      <w:r>
        <w:rPr>
          <w:rFonts w:ascii="TimesNewRoman" w:hAnsi="TimesNewRoman" w:cs="TimesNewRoman"/>
          <w:kern w:val="0"/>
          <w:sz w:val="20"/>
        </w:rPr>
        <w:t xml:space="preserve">                                                                          </w:t>
      </w: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pPr>
      <w:r>
        <w:rPr>
          <w:rFonts w:hint="eastAsia" w:ascii="TimesNewRoman" w:hAnsi="TimesNewRoman" w:cs="TimesNewRoman"/>
          <w:kern w:val="0"/>
          <w:sz w:val="20"/>
        </w:rPr>
        <w:t xml:space="preserve">      </w:t>
      </w:r>
      <w:r>
        <w:rPr>
          <w:rFonts w:ascii="TimesNewRoman" w:hAnsi="TimesNewRoman" w:cs="TimesNewRoman"/>
          <w:kern w:val="0"/>
          <w:sz w:val="20"/>
        </w:rPr>
        <w:t>单位：万元</w:t>
      </w:r>
    </w:p>
    <w:tbl>
      <w:tblPr>
        <w:tblStyle w:val="4"/>
        <w:tblW w:w="14192" w:type="dxa"/>
        <w:tblInd w:w="0" w:type="dxa"/>
        <w:tblLayout w:type="fixed"/>
        <w:tblCellMar>
          <w:top w:w="0" w:type="dxa"/>
          <w:left w:w="108" w:type="dxa"/>
          <w:bottom w:w="0" w:type="dxa"/>
          <w:right w:w="108" w:type="dxa"/>
        </w:tblCellMar>
      </w:tblPr>
      <w:tblGrid>
        <w:gridCol w:w="1639"/>
        <w:gridCol w:w="4495"/>
        <w:gridCol w:w="1213"/>
        <w:gridCol w:w="1181"/>
        <w:gridCol w:w="1150"/>
        <w:gridCol w:w="1430"/>
        <w:gridCol w:w="1353"/>
        <w:gridCol w:w="1731"/>
      </w:tblGrid>
      <w:tr>
        <w:tblPrEx>
          <w:tblCellMar>
            <w:top w:w="0" w:type="dxa"/>
            <w:left w:w="108" w:type="dxa"/>
            <w:bottom w:w="0" w:type="dxa"/>
            <w:right w:w="108" w:type="dxa"/>
          </w:tblCellMar>
        </w:tblPrEx>
        <w:trPr>
          <w:trHeight w:val="744" w:hRule="atLeast"/>
        </w:trPr>
        <w:tc>
          <w:tcPr>
            <w:tcW w:w="16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95"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213"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1181"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150"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c>
          <w:tcPr>
            <w:tcW w:w="1430"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事业单位经营支出</w:t>
            </w:r>
          </w:p>
        </w:tc>
        <w:tc>
          <w:tcPr>
            <w:tcW w:w="1353"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上缴上级支出</w:t>
            </w:r>
          </w:p>
        </w:tc>
        <w:tc>
          <w:tcPr>
            <w:tcW w:w="1731"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对附属单位补助支出</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201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一般公共服务支出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20103</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政府办公厅（室）及相关机构事务</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2010350</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NewRoman" w:hAnsi="TimesNewRoman" w:eastAsia="仿宋_GB2312" w:cs="TimesNewRoman"/>
                <w:kern w:val="0"/>
                <w:sz w:val="18"/>
                <w:szCs w:val="18"/>
              </w:rPr>
            </w:pPr>
            <w:r>
              <w:rPr>
                <w:rFonts w:hint="eastAsia" w:ascii="宋体" w:hAnsi="宋体" w:eastAsia="宋体" w:cs="宋体"/>
                <w:i w:val="0"/>
                <w:color w:val="000000"/>
                <w:kern w:val="0"/>
                <w:sz w:val="20"/>
                <w:szCs w:val="20"/>
                <w:u w:val="none"/>
                <w:lang w:val="en-US" w:eastAsia="zh-CN" w:bidi="ar"/>
              </w:rPr>
              <w:t>　　事业运行</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208</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社会保障和就业支出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20805</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行政事业单位养老支出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2080505</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机关事业单位基本养老保险缴费支出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2080506</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机关事业单位职业年金缴费支出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221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住房保障支出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22102</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住房改革支出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2210201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住房公积金</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15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6134" w:type="dxa"/>
            <w:gridSpan w:val="2"/>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214.07</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168.47</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45.60</w:t>
            </w: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bl>
    <w:p>
      <w:pPr>
        <w:spacing w:line="560" w:lineRule="exact"/>
        <w:rPr>
          <w:rFonts w:ascii="TimesNewRoman" w:hAnsi="TimesNewRoman" w:cs="TimesNewRoman"/>
        </w:rPr>
      </w:pPr>
    </w:p>
    <w:p>
      <w:pPr>
        <w:spacing w:line="560" w:lineRule="exact"/>
        <w:rPr>
          <w:rFonts w:ascii="TimesNewRoman" w:hAnsi="TimesNewRoman" w:cs="TimesNewRoman"/>
          <w:kern w:val="0"/>
          <w:sz w:val="20"/>
        </w:rPr>
        <w:sectPr>
          <w:pgSz w:w="16840" w:h="11907" w:orient="landscape"/>
          <w:pgMar w:top="1588" w:right="1389" w:bottom="1474" w:left="1418" w:header="851" w:footer="1021" w:gutter="0"/>
          <w:cols w:space="425" w:num="1"/>
          <w:docGrid w:type="linesAndChars" w:linePitch="312" w:charSpace="0"/>
        </w:sectPr>
      </w:pPr>
    </w:p>
    <w:p>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公开表4</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年财政拨款收支总表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9274" w:type="dxa"/>
        <w:tblInd w:w="0" w:type="dxa"/>
        <w:tblLayout w:type="fixed"/>
        <w:tblCellMar>
          <w:top w:w="0" w:type="dxa"/>
          <w:left w:w="108" w:type="dxa"/>
          <w:bottom w:w="0" w:type="dxa"/>
          <w:right w:w="108" w:type="dxa"/>
        </w:tblCellMar>
      </w:tblPr>
      <w:tblGrid>
        <w:gridCol w:w="2995"/>
        <w:gridCol w:w="1167"/>
        <w:gridCol w:w="3821"/>
        <w:gridCol w:w="1291"/>
      </w:tblGrid>
      <w:tr>
        <w:tblPrEx>
          <w:tblCellMar>
            <w:top w:w="0" w:type="dxa"/>
            <w:left w:w="108" w:type="dxa"/>
            <w:bottom w:w="0" w:type="dxa"/>
            <w:right w:w="108" w:type="dxa"/>
          </w:tblCellMar>
        </w:tblPrEx>
        <w:trPr>
          <w:trHeight w:val="167" w:hRule="atLeast"/>
        </w:trPr>
        <w:tc>
          <w:tcPr>
            <w:tcW w:w="416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      入</w:t>
            </w:r>
          </w:p>
        </w:tc>
        <w:tc>
          <w:tcPr>
            <w:tcW w:w="5112"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一、本年收入</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174.78</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二、上年结转</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26.20</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129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13.10</w:t>
            </w: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二、年终结转结余</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（一）一般公共预算结转结余</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（二）政府性基金预算结转结余</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（三）国有资本经营预算结转结余</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    入    总    计</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hint="eastAsia" w:ascii="TimesNewRoman" w:hAnsi="TimesNewRoman" w:cs="TimesNewRoman"/>
                <w:b/>
                <w:bCs/>
                <w:kern w:val="0"/>
                <w:sz w:val="18"/>
                <w:szCs w:val="18"/>
                <w:lang w:val="en-US" w:eastAsia="zh-CN"/>
              </w:rPr>
              <w:t>214.07</w:t>
            </w:r>
            <w:r>
              <w:rPr>
                <w:rFonts w:ascii="TimesNewRoman" w:hAnsi="TimesNewRoman" w:cs="TimesNewRoman"/>
                <w:b/>
                <w:bCs/>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    总    计</w:t>
            </w:r>
          </w:p>
        </w:tc>
        <w:tc>
          <w:tcPr>
            <w:tcW w:w="129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hint="eastAsia" w:ascii="TimesNewRoman" w:hAnsi="TimesNewRoman" w:cs="TimesNewRoman"/>
                <w:kern w:val="0"/>
                <w:sz w:val="18"/>
                <w:szCs w:val="18"/>
                <w:lang w:val="en-US" w:eastAsia="zh-CN"/>
              </w:rPr>
              <w:t>214.07</w:t>
            </w:r>
            <w:r>
              <w:rPr>
                <w:rFonts w:ascii="TimesNewRoman" w:hAnsi="TimesNewRoman" w:cs="TimesNewRoman"/>
                <w:kern w:val="0"/>
                <w:sz w:val="18"/>
                <w:szCs w:val="18"/>
              </w:rPr>
              <w:t>　</w:t>
            </w:r>
          </w:p>
        </w:tc>
      </w:tr>
    </w:tbl>
    <w:p>
      <w:pPr>
        <w:spacing w:line="560" w:lineRule="exact"/>
        <w:jc w:val="right"/>
        <w:rPr>
          <w:rFonts w:ascii="TimesNewRoman" w:hAnsi="TimesNewRoman" w:cs="TimesNewRoman"/>
          <w:kern w:val="0"/>
          <w:sz w:val="20"/>
        </w:rPr>
        <w:sectPr>
          <w:pgSz w:w="11907" w:h="16840"/>
          <w:pgMar w:top="2098" w:right="1474" w:bottom="1985" w:left="1588" w:header="851" w:footer="1021" w:gutter="0"/>
          <w:cols w:space="425" w:num="1"/>
          <w:docGrid w:type="lines" w:linePitch="312" w:charSpace="0"/>
        </w:sectPr>
      </w:pPr>
    </w:p>
    <w:p>
      <w:pPr>
        <w:spacing w:line="560" w:lineRule="exact"/>
        <w:jc w:val="right"/>
        <w:rPr>
          <w:rFonts w:ascii="TimesNewRoman" w:hAnsi="TimesNewRoman" w:cs="TimesNewRoman"/>
          <w:kern w:val="0"/>
          <w:sz w:val="20"/>
        </w:rPr>
      </w:pP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公开表5</w:t>
      </w:r>
    </w:p>
    <w:p>
      <w:pPr>
        <w:widowControl/>
        <w:spacing w:before="156" w:beforeLines="50" w:after="156" w:afterLines="50" w:line="560" w:lineRule="exact"/>
        <w:jc w:val="center"/>
        <w:rPr>
          <w:rFonts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rPr>
        <w:t xml:space="preserve">  寿县</w:t>
      </w:r>
      <w:r>
        <w:rPr>
          <w:rFonts w:hint="eastAsia" w:ascii="TimesNewRoman" w:hAnsi="TimesNewRoman" w:eastAsia="华文中宋" w:cs="TimesNewRoman"/>
          <w:b/>
          <w:bCs/>
          <w:kern w:val="0"/>
          <w:sz w:val="30"/>
          <w:szCs w:val="30"/>
          <w:lang w:eastAsia="zh-CN"/>
        </w:rPr>
        <w:t>八公山风景区管理处</w:t>
      </w:r>
      <w:r>
        <w:rPr>
          <w:rFonts w:hint="eastAsia" w:ascii="TimesNewRoman" w:hAnsi="TimesNewRoman" w:eastAsia="华文中宋" w:cs="TimesNewRoman"/>
          <w:b/>
          <w:bCs/>
          <w:kern w:val="0"/>
          <w:sz w:val="30"/>
          <w:szCs w:val="30"/>
        </w:rPr>
        <w:t>2024</w:t>
      </w:r>
      <w:r>
        <w:rPr>
          <w:rFonts w:ascii="TimesNewRoman" w:hAnsi="TimesNewRoman" w:eastAsia="华文中宋" w:cs="TimesNewRoman"/>
          <w:b/>
          <w:bCs/>
          <w:kern w:val="0"/>
          <w:sz w:val="30"/>
          <w:szCs w:val="30"/>
        </w:rPr>
        <w:t>年一般公共预算支出表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3840" w:type="dxa"/>
        <w:tblInd w:w="0" w:type="dxa"/>
        <w:tblLayout w:type="fixed"/>
        <w:tblCellMar>
          <w:top w:w="0" w:type="dxa"/>
          <w:left w:w="108" w:type="dxa"/>
          <w:bottom w:w="0" w:type="dxa"/>
          <w:right w:w="108" w:type="dxa"/>
        </w:tblCellMar>
      </w:tblPr>
      <w:tblGrid>
        <w:gridCol w:w="1603"/>
        <w:gridCol w:w="4482"/>
        <w:gridCol w:w="1303"/>
        <w:gridCol w:w="1287"/>
        <w:gridCol w:w="1752"/>
        <w:gridCol w:w="1706"/>
        <w:gridCol w:w="1707"/>
      </w:tblGrid>
      <w:tr>
        <w:tblPrEx>
          <w:tblCellMar>
            <w:top w:w="0" w:type="dxa"/>
            <w:left w:w="108" w:type="dxa"/>
            <w:bottom w:w="0" w:type="dxa"/>
            <w:right w:w="108" w:type="dxa"/>
          </w:tblCellMar>
        </w:tblPrEx>
        <w:trPr>
          <w:trHeight w:val="383" w:hRule="atLeast"/>
        </w:trPr>
        <w:tc>
          <w:tcPr>
            <w:tcW w:w="1603"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82"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303"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4745"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707"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trHeight w:val="383" w:hRule="atLeast"/>
        </w:trPr>
        <w:tc>
          <w:tcPr>
            <w:tcW w:w="1603"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4482"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303"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287"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小计</w:t>
            </w:r>
          </w:p>
        </w:tc>
        <w:tc>
          <w:tcPr>
            <w:tcW w:w="1752"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c>
          <w:tcPr>
            <w:tcW w:w="1707"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201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一般公共服务支出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115.47</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20103</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政府办公厅（室）及相关机构事务</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115.47</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2010350</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NewRoman" w:hAnsi="TimesNewRoman" w:eastAsia="仿宋_GB2312" w:cs="TimesNewRoman"/>
                <w:kern w:val="0"/>
                <w:sz w:val="18"/>
                <w:szCs w:val="18"/>
              </w:rPr>
            </w:pPr>
            <w:r>
              <w:rPr>
                <w:rFonts w:hint="eastAsia" w:ascii="宋体" w:hAnsi="宋体" w:eastAsia="宋体" w:cs="宋体"/>
                <w:i w:val="0"/>
                <w:color w:val="000000"/>
                <w:kern w:val="0"/>
                <w:sz w:val="20"/>
                <w:szCs w:val="20"/>
                <w:u w:val="none"/>
                <w:lang w:val="en-US" w:eastAsia="zh-CN" w:bidi="ar"/>
              </w:rPr>
              <w:t>　　事业运行</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115.47</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208</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社会保障和就业支出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20805</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行政事业单位养老支出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26.20</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2080505</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机关事业单位基本养老保险缴费支出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2080506</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机关事业单位职业年金缴费支出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221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住房保障支出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22102</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住房改革支出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2210201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住房公积金</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170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jc w:val="left"/>
              <w:rPr>
                <w:rFonts w:ascii="TimesNewRoman" w:hAnsi="TimesNewRoman" w:cs="TimesNewRoman"/>
                <w:kern w:val="0"/>
                <w:sz w:val="18"/>
                <w:szCs w:val="18"/>
              </w:rPr>
            </w:pP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合计</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214.07</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168.47</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154.76</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201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一般公共服务支出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115.47</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20103</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政府办公厅（室）及相关机构事务</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174.78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129.18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115.47</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45.60</w:t>
            </w:r>
          </w:p>
        </w:tc>
      </w:tr>
      <w:tr>
        <w:tblPrEx>
          <w:tblCellMar>
            <w:top w:w="0" w:type="dxa"/>
            <w:left w:w="108" w:type="dxa"/>
            <w:bottom w:w="0" w:type="dxa"/>
            <w:right w:w="108" w:type="dxa"/>
          </w:tblCellMar>
        </w:tblPrEx>
        <w:trPr>
          <w:trHeight w:val="383" w:hRule="atLeast"/>
        </w:trPr>
        <w:tc>
          <w:tcPr>
            <w:tcW w:w="6085"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214.07</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168.47</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154.76</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13.71</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45.60</w:t>
            </w:r>
          </w:p>
        </w:tc>
      </w:tr>
    </w:tbl>
    <w:p>
      <w:pPr>
        <w:spacing w:line="560" w:lineRule="exact"/>
        <w:ind w:left="903" w:leftChars="430"/>
        <w:jc w:val="right"/>
        <w:rPr>
          <w:rFonts w:ascii="TimesNewRoman" w:hAnsi="TimesNewRoman" w:cs="TimesNewRoman"/>
          <w:kern w:val="0"/>
          <w:sz w:val="20"/>
        </w:rPr>
      </w:pP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公开表6</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年一般公共预算基本支出表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4005" w:type="dxa"/>
        <w:tblInd w:w="0" w:type="dxa"/>
        <w:tblLayout w:type="fixed"/>
        <w:tblCellMar>
          <w:top w:w="0" w:type="dxa"/>
          <w:left w:w="108" w:type="dxa"/>
          <w:bottom w:w="0" w:type="dxa"/>
          <w:right w:w="108" w:type="dxa"/>
        </w:tblCellMar>
      </w:tblPr>
      <w:tblGrid>
        <w:gridCol w:w="2930"/>
        <w:gridCol w:w="4350"/>
        <w:gridCol w:w="1530"/>
        <w:gridCol w:w="2631"/>
        <w:gridCol w:w="2564"/>
      </w:tblGrid>
      <w:tr>
        <w:tblPrEx>
          <w:tblCellMar>
            <w:top w:w="0" w:type="dxa"/>
            <w:left w:w="108" w:type="dxa"/>
            <w:bottom w:w="0" w:type="dxa"/>
            <w:right w:w="108" w:type="dxa"/>
          </w:tblCellMar>
        </w:tblPrEx>
        <w:trPr>
          <w:trHeight w:val="365" w:hRule="atLeast"/>
        </w:trPr>
        <w:tc>
          <w:tcPr>
            <w:tcW w:w="7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部门预算支出经济分类科目</w:t>
            </w:r>
          </w:p>
        </w:tc>
        <w:tc>
          <w:tcPr>
            <w:tcW w:w="6725"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本年一般公共预算基本支出</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301</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工资福利支出</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154.76</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154.76</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30101</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基本工资</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53.32</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53.32</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30103</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奖金</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26.05</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26.05</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30107</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绩效工资</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29.77</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29.77</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30108</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机关事业单位基本养老保险缴费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17.46</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30109</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职业年金缴费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8.73</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30110</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职工基本医疗保险缴费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5.73</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5.73</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30112</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其他社会保障缴费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0.58</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0.58</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30113</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住房公积金</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13.10</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30199</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其他工资福利支出</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0.02</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0.02</w:t>
            </w:r>
          </w:p>
        </w:tc>
        <w:tc>
          <w:tcPr>
            <w:tcW w:w="256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302</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商品和服务支出</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c>
          <w:tcPr>
            <w:tcW w:w="2631"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13.71</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30201</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办公费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9.24</w:t>
            </w:r>
          </w:p>
        </w:tc>
        <w:tc>
          <w:tcPr>
            <w:tcW w:w="2631"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9.24</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30215</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会议费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1.80</w:t>
            </w:r>
          </w:p>
        </w:tc>
        <w:tc>
          <w:tcPr>
            <w:tcW w:w="2631"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1.80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　30228</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　工会经费</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1.31</w:t>
            </w:r>
          </w:p>
        </w:tc>
        <w:tc>
          <w:tcPr>
            <w:tcW w:w="2631" w:type="dxa"/>
            <w:tcBorders>
              <w:top w:val="nil"/>
              <w:left w:val="nil"/>
              <w:bottom w:val="single" w:color="auto" w:sz="4" w:space="0"/>
              <w:right w:val="single" w:color="auto" w:sz="4" w:space="0"/>
            </w:tcBorders>
            <w:noWrap w:val="0"/>
            <w:vAlign w:val="center"/>
          </w:tcPr>
          <w:p>
            <w:pPr>
              <w:jc w:val="right"/>
              <w:rPr>
                <w:rFonts w:ascii="TimesNewRoman" w:hAnsi="TimesNewRoman" w:eastAsia="宋体" w:cs="TimesNewRoman"/>
                <w:kern w:val="0"/>
                <w:sz w:val="18"/>
                <w:szCs w:val="18"/>
                <w:lang w:val="en-US" w:eastAsia="zh-CN" w:bidi="ar-SA"/>
              </w:rPr>
            </w:pP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NewRoman" w:hAnsi="TimesNewRoman" w:eastAsia="宋体" w:cs="TimesNewRoman"/>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1.31</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30239</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其他交通费用</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0.72</w:t>
            </w:r>
          </w:p>
        </w:tc>
        <w:tc>
          <w:tcPr>
            <w:tcW w:w="2631"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0.72</w:t>
            </w:r>
          </w:p>
        </w:tc>
      </w:tr>
      <w:tr>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30299</w:t>
            </w:r>
          </w:p>
        </w:tc>
        <w:tc>
          <w:tcPr>
            <w:tcW w:w="435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　其他商品和服务支出</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0.64</w:t>
            </w:r>
          </w:p>
        </w:tc>
        <w:tc>
          <w:tcPr>
            <w:tcW w:w="2631"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0.64</w:t>
            </w:r>
          </w:p>
        </w:tc>
      </w:tr>
      <w:tr>
        <w:tblPrEx>
          <w:tblCellMar>
            <w:top w:w="0" w:type="dxa"/>
            <w:left w:w="108" w:type="dxa"/>
            <w:bottom w:w="0" w:type="dxa"/>
            <w:right w:w="108" w:type="dxa"/>
          </w:tblCellMar>
        </w:tblPrEx>
        <w:trPr>
          <w:trHeight w:val="365" w:hRule="atLeast"/>
        </w:trPr>
        <w:tc>
          <w:tcPr>
            <w:tcW w:w="7280"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168.47</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154.76</w:t>
            </w: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13.71</w:t>
            </w:r>
          </w:p>
        </w:tc>
      </w:tr>
    </w:tbl>
    <w:p>
      <w:pPr>
        <w:spacing w:line="560" w:lineRule="exact"/>
        <w:rPr>
          <w:rFonts w:ascii="TimesNewRoman" w:hAnsi="TimesNewRoman" w:cs="TimesNewRoman"/>
        </w:rPr>
      </w:pPr>
    </w:p>
    <w:p>
      <w:pPr>
        <w:spacing w:line="560" w:lineRule="exact"/>
        <w:jc w:val="right"/>
        <w:rPr>
          <w:rFonts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公开表7</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年政府性基金预算支出表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3951" w:type="dxa"/>
        <w:tblInd w:w="0" w:type="dxa"/>
        <w:tblLayout w:type="fixed"/>
        <w:tblCellMar>
          <w:top w:w="0" w:type="dxa"/>
          <w:left w:w="108" w:type="dxa"/>
          <w:bottom w:w="0" w:type="dxa"/>
          <w:right w:w="108" w:type="dxa"/>
        </w:tblCellMar>
      </w:tblPr>
      <w:tblGrid>
        <w:gridCol w:w="1911"/>
        <w:gridCol w:w="6266"/>
        <w:gridCol w:w="1640"/>
        <w:gridCol w:w="2018"/>
        <w:gridCol w:w="2116"/>
      </w:tblGrid>
      <w:tr>
        <w:tblPrEx>
          <w:tblCellMar>
            <w:top w:w="0" w:type="dxa"/>
            <w:left w:w="108" w:type="dxa"/>
            <w:bottom w:w="0" w:type="dxa"/>
            <w:right w:w="108" w:type="dxa"/>
          </w:tblCellMar>
        </w:tblPrEx>
        <w:trPr>
          <w:trHeight w:val="570" w:hRule="atLeast"/>
        </w:trPr>
        <w:tc>
          <w:tcPr>
            <w:tcW w:w="191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626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5774"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本年政府性基金预算支出</w:t>
            </w:r>
          </w:p>
        </w:tc>
      </w:tr>
      <w:tr>
        <w:tblPrEx>
          <w:tblCellMar>
            <w:top w:w="0" w:type="dxa"/>
            <w:left w:w="108" w:type="dxa"/>
            <w:bottom w:w="0" w:type="dxa"/>
            <w:right w:w="108" w:type="dxa"/>
          </w:tblCellMar>
        </w:tblPrEx>
        <w:trPr>
          <w:trHeight w:val="570" w:hRule="atLeast"/>
        </w:trPr>
        <w:tc>
          <w:tcPr>
            <w:tcW w:w="191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626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64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noWrap w:val="0"/>
            <w:vAlign w:val="center"/>
          </w:tcPr>
          <w:p>
            <w:pPr>
              <w:widowControl/>
              <w:spacing w:line="280" w:lineRule="exact"/>
              <w:ind w:firstLine="360" w:firstLineChars="200"/>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817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bl>
    <w:p>
      <w:pPr>
        <w:widowControl/>
        <w:spacing w:line="560" w:lineRule="exact"/>
        <w:jc w:val="left"/>
        <w:rPr>
          <w:rFonts w:ascii="TimesNewRoman" w:hAnsi="TimesNewRoman" w:cs="TimesNewRoman"/>
          <w:kern w:val="0"/>
          <w:sz w:val="24"/>
        </w:rPr>
      </w:pPr>
      <w:r>
        <w:rPr>
          <w:rFonts w:ascii="TimesNewRoman" w:hAnsi="TimesNewRoman" w:cs="TimesNewRoman"/>
          <w:kern w:val="0"/>
          <w:sz w:val="24"/>
        </w:rPr>
        <w:t>注：</w:t>
      </w:r>
      <w:r>
        <w:rPr>
          <w:rFonts w:hint="eastAsia" w:ascii="TimesNewRoman" w:hAnsi="TimesNewRoman" w:cs="TimesNewRoman"/>
          <w:kern w:val="0"/>
          <w:sz w:val="24"/>
        </w:rPr>
        <w:t>寿县</w:t>
      </w:r>
      <w:r>
        <w:rPr>
          <w:rFonts w:hint="eastAsia" w:ascii="TimesNewRoman" w:hAnsi="TimesNewRoman" w:cs="TimesNewRoman"/>
          <w:kern w:val="0"/>
          <w:sz w:val="24"/>
          <w:lang w:eastAsia="zh-CN"/>
        </w:rPr>
        <w:t>八公山风景区管理处</w:t>
      </w:r>
      <w:r>
        <w:rPr>
          <w:rFonts w:ascii="TimesNewRoman" w:hAnsi="TimesNewRoman" w:cs="TimesNewRoman"/>
          <w:kern w:val="0"/>
          <w:sz w:val="24"/>
        </w:rPr>
        <w:t>没有政府性基金预算拨款收入，也没有政府性基金预算拨款安排的支出，故本表无数据。</w:t>
      </w:r>
    </w:p>
    <w:p>
      <w:pPr>
        <w:pStyle w:val="3"/>
        <w:adjustRightInd w:val="0"/>
        <w:snapToGrid w:val="0"/>
        <w:spacing w:after="156" w:afterLines="50" w:line="560" w:lineRule="exact"/>
        <w:ind w:right="102"/>
        <w:jc w:val="right"/>
        <w:rPr>
          <w:rFonts w:ascii="TimesNewRoman" w:hAnsi="TimesNewRoman" w:eastAsia="黑体" w:cs="TimesNewRoman"/>
          <w:bCs/>
          <w:sz w:val="36"/>
          <w:szCs w:val="36"/>
        </w:rPr>
      </w:pPr>
      <w:r>
        <w:rPr>
          <w:rFonts w:ascii="TimesNewRoman" w:hAnsi="TimesNewRoman" w:cs="TimesNewRoman"/>
          <w:sz w:val="20"/>
          <w:szCs w:val="20"/>
        </w:rPr>
        <w:t xml:space="preserve"> </w:t>
      </w:r>
      <w:r>
        <w:rPr>
          <w:rFonts w:ascii="TimesNewRoman" w:hAnsi="TimesNewRoman" w:eastAsia="仿宋_GB2312" w:cs="TimesNewRoman"/>
          <w:sz w:val="20"/>
          <w:szCs w:val="20"/>
        </w:rPr>
        <w:t xml:space="preserve"> 部门</w:t>
      </w:r>
      <w:r>
        <w:rPr>
          <w:rFonts w:ascii="TimesNewRoman" w:hAnsi="TimesNewRoman" w:eastAsia="仿宋_GB2312" w:cs="TimesNewRoman"/>
          <w:sz w:val="20"/>
          <w:szCs w:val="20"/>
          <w:u w:val="single"/>
        </w:rPr>
        <w:t>（单位）</w:t>
      </w:r>
      <w:r>
        <w:rPr>
          <w:rFonts w:ascii="TimesNewRoman" w:hAnsi="TimesNewRoman" w:eastAsia="仿宋_GB2312" w:cs="TimesNewRoman"/>
          <w:sz w:val="20"/>
          <w:szCs w:val="20"/>
        </w:rPr>
        <w:t>公开表8</w:t>
      </w:r>
    </w:p>
    <w:tbl>
      <w:tblPr>
        <w:tblStyle w:val="4"/>
        <w:tblW w:w="13876" w:type="dxa"/>
        <w:tblInd w:w="0" w:type="dxa"/>
        <w:tblLayout w:type="fixed"/>
        <w:tblCellMar>
          <w:top w:w="0" w:type="dxa"/>
          <w:left w:w="108" w:type="dxa"/>
          <w:bottom w:w="0" w:type="dxa"/>
          <w:right w:w="108" w:type="dxa"/>
        </w:tblCellMar>
      </w:tblPr>
      <w:tblGrid>
        <w:gridCol w:w="710"/>
        <w:gridCol w:w="902"/>
        <w:gridCol w:w="1870"/>
        <w:gridCol w:w="4312"/>
        <w:gridCol w:w="342"/>
        <w:gridCol w:w="1153"/>
        <w:gridCol w:w="2013"/>
        <w:gridCol w:w="666"/>
        <w:gridCol w:w="1224"/>
        <w:gridCol w:w="559"/>
        <w:gridCol w:w="125"/>
      </w:tblGrid>
      <w:tr>
        <w:tblPrEx>
          <w:tblCellMar>
            <w:top w:w="0" w:type="dxa"/>
            <w:left w:w="108" w:type="dxa"/>
            <w:bottom w:w="0" w:type="dxa"/>
            <w:right w:w="108" w:type="dxa"/>
          </w:tblCellMar>
        </w:tblPrEx>
        <w:trPr>
          <w:gridAfter w:val="2"/>
          <w:wAfter w:w="683" w:type="dxa"/>
          <w:trHeight w:val="441" w:hRule="atLeast"/>
        </w:trPr>
        <w:tc>
          <w:tcPr>
            <w:tcW w:w="13193" w:type="dxa"/>
            <w:gridSpan w:val="9"/>
            <w:tcBorders>
              <w:top w:val="nil"/>
              <w:left w:val="nil"/>
              <w:bottom w:val="nil"/>
              <w:right w:val="nil"/>
            </w:tcBorders>
            <w:noWrap w:val="0"/>
            <w:vAlign w:val="center"/>
          </w:tcPr>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年国有资本经营预算支出表</w:t>
            </w:r>
          </w:p>
        </w:tc>
      </w:tr>
      <w:tr>
        <w:tblPrEx>
          <w:tblCellMar>
            <w:top w:w="0" w:type="dxa"/>
            <w:left w:w="108" w:type="dxa"/>
            <w:bottom w:w="0" w:type="dxa"/>
            <w:right w:w="108" w:type="dxa"/>
          </w:tblCellMar>
        </w:tblPrEx>
        <w:trPr>
          <w:trHeight w:val="299" w:hRule="atLeast"/>
        </w:trPr>
        <w:tc>
          <w:tcPr>
            <w:tcW w:w="711" w:type="dxa"/>
            <w:tcBorders>
              <w:top w:val="nil"/>
              <w:left w:val="nil"/>
              <w:bottom w:val="single" w:color="auto" w:sz="4" w:space="0"/>
              <w:right w:val="nil"/>
            </w:tcBorders>
            <w:noWrap w:val="0"/>
            <w:vAlign w:val="center"/>
          </w:tcPr>
          <w:p>
            <w:pPr>
              <w:widowControl/>
              <w:spacing w:line="560" w:lineRule="exact"/>
              <w:jc w:val="left"/>
              <w:rPr>
                <w:rFonts w:ascii="TimesNewRoman" w:hAnsi="TimesNewRoman" w:cs="TimesNewRoman"/>
                <w:kern w:val="0"/>
                <w:sz w:val="18"/>
                <w:szCs w:val="18"/>
              </w:rPr>
            </w:pPr>
          </w:p>
        </w:tc>
        <w:tc>
          <w:tcPr>
            <w:tcW w:w="902" w:type="dxa"/>
            <w:tcBorders>
              <w:top w:val="nil"/>
              <w:left w:val="nil"/>
              <w:bottom w:val="single" w:color="auto" w:sz="4" w:space="0"/>
              <w:right w:val="nil"/>
            </w:tcBorders>
            <w:noWrap w:val="0"/>
            <w:vAlign w:val="center"/>
          </w:tcPr>
          <w:p>
            <w:pPr>
              <w:widowControl/>
              <w:spacing w:line="560" w:lineRule="exact"/>
              <w:jc w:val="left"/>
              <w:rPr>
                <w:rFonts w:ascii="TimesNewRoman" w:hAnsi="TimesNewRoman" w:cs="TimesNewRoman"/>
                <w:kern w:val="0"/>
                <w:sz w:val="20"/>
              </w:rPr>
            </w:pPr>
          </w:p>
        </w:tc>
        <w:tc>
          <w:tcPr>
            <w:tcW w:w="6182" w:type="dxa"/>
            <w:gridSpan w:val="2"/>
            <w:tcBorders>
              <w:top w:val="nil"/>
              <w:left w:val="nil"/>
              <w:bottom w:val="single" w:color="auto" w:sz="4" w:space="0"/>
              <w:right w:val="nil"/>
            </w:tcBorders>
            <w:noWrap w:val="0"/>
            <w:vAlign w:val="center"/>
          </w:tcPr>
          <w:p>
            <w:pPr>
              <w:widowControl/>
              <w:spacing w:line="560" w:lineRule="exact"/>
              <w:jc w:val="left"/>
              <w:rPr>
                <w:rFonts w:ascii="TimesNewRoman" w:hAnsi="TimesNewRoman" w:cs="TimesNewRoman"/>
                <w:kern w:val="0"/>
                <w:sz w:val="20"/>
              </w:rPr>
            </w:pPr>
          </w:p>
        </w:tc>
        <w:tc>
          <w:tcPr>
            <w:tcW w:w="342" w:type="dxa"/>
            <w:tcBorders>
              <w:top w:val="nil"/>
              <w:left w:val="nil"/>
              <w:bottom w:val="nil"/>
              <w:right w:val="nil"/>
            </w:tcBorders>
            <w:noWrap w:val="0"/>
            <w:vAlign w:val="center"/>
          </w:tcPr>
          <w:p>
            <w:pPr>
              <w:widowControl/>
              <w:spacing w:line="560" w:lineRule="exact"/>
              <w:jc w:val="left"/>
              <w:rPr>
                <w:rFonts w:ascii="TimesNewRoman" w:hAnsi="TimesNewRoman" w:cs="TimesNewRoman"/>
                <w:kern w:val="0"/>
                <w:sz w:val="20"/>
              </w:rPr>
            </w:pPr>
          </w:p>
        </w:tc>
        <w:tc>
          <w:tcPr>
            <w:tcW w:w="3832" w:type="dxa"/>
            <w:gridSpan w:val="3"/>
            <w:tcBorders>
              <w:top w:val="nil"/>
              <w:left w:val="nil"/>
              <w:bottom w:val="nil"/>
              <w:right w:val="nil"/>
            </w:tcBorders>
            <w:noWrap w:val="0"/>
            <w:vAlign w:val="center"/>
          </w:tcPr>
          <w:p>
            <w:pPr>
              <w:widowControl/>
              <w:spacing w:line="560" w:lineRule="exact"/>
              <w:jc w:val="left"/>
              <w:rPr>
                <w:rFonts w:ascii="TimesNewRoman" w:hAnsi="TimesNewRoman" w:cs="TimesNewRoman"/>
                <w:kern w:val="0"/>
                <w:sz w:val="20"/>
              </w:rPr>
            </w:pPr>
          </w:p>
        </w:tc>
        <w:tc>
          <w:tcPr>
            <w:tcW w:w="1907" w:type="dxa"/>
            <w:gridSpan w:val="3"/>
            <w:tcBorders>
              <w:top w:val="nil"/>
              <w:left w:val="nil"/>
              <w:bottom w:val="nil"/>
              <w:right w:val="nil"/>
            </w:tcBorders>
            <w:noWrap w:val="0"/>
            <w:vAlign w:val="center"/>
          </w:tcPr>
          <w:p>
            <w:pPr>
              <w:widowControl/>
              <w:spacing w:line="560" w:lineRule="exact"/>
              <w:ind w:right="100"/>
              <w:jc w:val="right"/>
              <w:rPr>
                <w:rFonts w:ascii="TimesNewRoman" w:hAnsi="TimesNewRoman" w:cs="TimesNewRoman"/>
                <w:kern w:val="0"/>
                <w:sz w:val="20"/>
              </w:rPr>
            </w:pPr>
            <w:r>
              <w:rPr>
                <w:rFonts w:ascii="TimesNewRoman" w:hAnsi="TimesNewRoman" w:cs="TimesNewRoman"/>
                <w:kern w:val="0"/>
                <w:sz w:val="20"/>
              </w:rPr>
              <w:t>单位：万元</w:t>
            </w:r>
          </w:p>
        </w:tc>
      </w:tr>
      <w:tr>
        <w:tblPrEx>
          <w:tblCellMar>
            <w:top w:w="0" w:type="dxa"/>
            <w:left w:w="108" w:type="dxa"/>
            <w:bottom w:w="0" w:type="dxa"/>
            <w:right w:w="108" w:type="dxa"/>
          </w:tblCellMar>
        </w:tblPrEx>
        <w:trPr>
          <w:gridAfter w:val="1"/>
          <w:wAfter w:w="125" w:type="dxa"/>
          <w:trHeight w:val="323" w:hRule="atLeast"/>
        </w:trPr>
        <w:tc>
          <w:tcPr>
            <w:tcW w:w="77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kern w:val="0"/>
                <w:sz w:val="18"/>
                <w:szCs w:val="18"/>
              </w:rPr>
            </w:pPr>
            <w:r>
              <w:rPr>
                <w:rFonts w:ascii="TimesNewRoman" w:hAnsi="TimesNewRoman" w:cs="TimesNewRoman"/>
                <w:b/>
                <w:kern w:val="0"/>
                <w:sz w:val="18"/>
                <w:szCs w:val="18"/>
              </w:rPr>
              <w:t>功能分类科目</w:t>
            </w:r>
          </w:p>
        </w:tc>
        <w:tc>
          <w:tcPr>
            <w:tcW w:w="5956"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b/>
                <w:bCs/>
                <w:kern w:val="0"/>
                <w:sz w:val="18"/>
                <w:szCs w:val="18"/>
              </w:rPr>
              <w:t>国有资本经营预算拨款支出</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49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Cs/>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bCs/>
                <w:kern w:val="0"/>
                <w:sz w:val="18"/>
                <w:szCs w:val="18"/>
              </w:rPr>
            </w:pPr>
          </w:p>
        </w:tc>
        <w:tc>
          <w:tcPr>
            <w:tcW w:w="149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360" w:firstLineChars="200"/>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720" w:firstLineChars="400"/>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TimesNewRoman" w:hAnsi="TimesNewRoman" w:cs="TimesNewRoman"/>
                <w:kern w:val="0"/>
                <w:sz w:val="18"/>
                <w:szCs w:val="18"/>
              </w:rPr>
            </w:pPr>
          </w:p>
        </w:tc>
        <w:tc>
          <w:tcPr>
            <w:tcW w:w="4312" w:type="dxa"/>
            <w:tcBorders>
              <w:top w:val="nil"/>
              <w:left w:val="nil"/>
              <w:bottom w:val="single" w:color="auto" w:sz="4" w:space="0"/>
              <w:right w:val="single" w:color="auto" w:sz="4" w:space="0"/>
            </w:tcBorders>
            <w:noWrap w:val="0"/>
            <w:vAlign w:val="bottom"/>
          </w:tcPr>
          <w:p>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77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hint="eastAsia" w:ascii="汉仪中秀体简" w:hAnsi="汉仪中秀体简" w:eastAsia="汉仪中秀体简" w:cs="汉仪中秀体简"/>
                <w:sz w:val="18"/>
                <w:szCs w:val="18"/>
              </w:rPr>
              <w:t>总</w:t>
            </w:r>
            <w:r>
              <w:rPr>
                <w:rFonts w:ascii="汉仪中秀体简" w:hAnsi="汉仪中秀体简" w:eastAsia="汉仪中秀体简" w:cs="汉仪中秀体简"/>
                <w:sz w:val="18"/>
                <w:szCs w:val="18"/>
              </w:rPr>
              <w:t xml:space="preserve"> 计</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4" w:type="dxa"/>
          <w:trHeight w:val="633" w:hRule="atLeast"/>
        </w:trPr>
        <w:tc>
          <w:tcPr>
            <w:tcW w:w="13752" w:type="dxa"/>
            <w:gridSpan w:val="10"/>
            <w:tcBorders>
              <w:top w:val="single" w:color="auto" w:sz="4" w:space="0"/>
              <w:left w:val="nil"/>
              <w:bottom w:val="nil"/>
              <w:right w:val="nil"/>
            </w:tcBorders>
            <w:noWrap w:val="0"/>
            <w:vAlign w:val="center"/>
          </w:tcPr>
          <w:p>
            <w:pPr>
              <w:widowControl/>
              <w:spacing w:line="560" w:lineRule="exact"/>
              <w:jc w:val="left"/>
              <w:rPr>
                <w:rFonts w:ascii="TimesNewRoman" w:hAnsi="TimesNewRoman" w:cs="TimesNewRoman"/>
                <w:kern w:val="0"/>
                <w:sz w:val="24"/>
              </w:rPr>
            </w:pPr>
            <w:r>
              <w:rPr>
                <w:rFonts w:ascii="TimesNewRoman" w:hAnsi="TimesNewRoman" w:cs="TimesNewRoman"/>
                <w:kern w:val="0"/>
                <w:sz w:val="24"/>
              </w:rPr>
              <w:t>注：</w:t>
            </w:r>
            <w:r>
              <w:rPr>
                <w:rFonts w:hint="eastAsia" w:ascii="TimesNewRoman" w:hAnsi="TimesNewRoman" w:cs="TimesNewRoman"/>
                <w:kern w:val="0"/>
                <w:sz w:val="24"/>
              </w:rPr>
              <w:t>寿县</w:t>
            </w:r>
            <w:r>
              <w:rPr>
                <w:rFonts w:hint="eastAsia" w:ascii="TimesNewRoman" w:hAnsi="TimesNewRoman" w:cs="TimesNewRoman"/>
                <w:kern w:val="0"/>
                <w:sz w:val="24"/>
                <w:lang w:eastAsia="zh-CN"/>
              </w:rPr>
              <w:t>八公山风景区管理处</w:t>
            </w:r>
            <w:r>
              <w:rPr>
                <w:rFonts w:ascii="TimesNewRoman" w:hAnsi="TimesNewRoman" w:cs="TimesNewRoman"/>
                <w:kern w:val="0"/>
                <w:sz w:val="24"/>
              </w:rPr>
              <w:t>没有国有资本经营预算拨款收入，也没有国有资本经营预算拨款安排的支出，故本表无数据。</w:t>
            </w:r>
          </w:p>
        </w:tc>
      </w:tr>
    </w:tbl>
    <w:p>
      <w:pPr>
        <w:spacing w:line="560" w:lineRule="exact"/>
        <w:jc w:val="center"/>
        <w:rPr>
          <w:rFonts w:hint="eastAsia" w:ascii="TimesNewRoman" w:hAnsi="TimesNewRoman" w:cs="TimesNewRoman"/>
          <w:kern w:val="0"/>
          <w:sz w:val="20"/>
        </w:rPr>
      </w:pPr>
    </w:p>
    <w:p>
      <w:pPr>
        <w:spacing w:line="560" w:lineRule="exact"/>
        <w:jc w:val="center"/>
        <w:rPr>
          <w:rFonts w:ascii="TimesNewRoman" w:hAnsi="TimesNewRoman" w:cs="TimesNewRoman"/>
          <w:kern w:val="0"/>
          <w:sz w:val="20"/>
        </w:rPr>
      </w:pPr>
      <w:r>
        <w:rPr>
          <w:rFonts w:hint="eastAsia" w:ascii="TimesNewRoman" w:hAnsi="TimesNewRoman" w:cs="TimesNewRoman"/>
          <w:kern w:val="0"/>
          <w:sz w:val="20"/>
        </w:rPr>
        <w:t xml:space="preserve">                                                                                                          </w:t>
      </w: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公开表9</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年项目支出表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4071" w:type="dxa"/>
        <w:tblInd w:w="0" w:type="dxa"/>
        <w:tblLayout w:type="fixed"/>
        <w:tblCellMar>
          <w:top w:w="0" w:type="dxa"/>
          <w:left w:w="108" w:type="dxa"/>
          <w:bottom w:w="0" w:type="dxa"/>
          <w:right w:w="108" w:type="dxa"/>
        </w:tblCellMar>
      </w:tblPr>
      <w:tblGrid>
        <w:gridCol w:w="1194"/>
        <w:gridCol w:w="1433"/>
        <w:gridCol w:w="1353"/>
        <w:gridCol w:w="916"/>
        <w:gridCol w:w="1214"/>
        <w:gridCol w:w="1214"/>
        <w:gridCol w:w="1214"/>
        <w:gridCol w:w="1214"/>
        <w:gridCol w:w="1214"/>
        <w:gridCol w:w="1214"/>
        <w:gridCol w:w="1015"/>
        <w:gridCol w:w="876"/>
      </w:tblGrid>
      <w:tr>
        <w:tblPrEx>
          <w:tblCellMar>
            <w:top w:w="0" w:type="dxa"/>
            <w:left w:w="108" w:type="dxa"/>
            <w:bottom w:w="0" w:type="dxa"/>
            <w:right w:w="108" w:type="dxa"/>
          </w:tblCellMar>
        </w:tblPrEx>
        <w:trPr>
          <w:trHeight w:val="1124" w:hRule="atLeast"/>
        </w:trPr>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类型</w:t>
            </w:r>
          </w:p>
        </w:tc>
        <w:tc>
          <w:tcPr>
            <w:tcW w:w="1433"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项目名称</w:t>
            </w:r>
          </w:p>
        </w:tc>
        <w:tc>
          <w:tcPr>
            <w:tcW w:w="13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项目单位</w:t>
            </w:r>
          </w:p>
        </w:tc>
        <w:tc>
          <w:tcPr>
            <w:tcW w:w="91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36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本年财政拨款</w:t>
            </w:r>
          </w:p>
        </w:tc>
        <w:tc>
          <w:tcPr>
            <w:tcW w:w="36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财政拨款结转结余</w:t>
            </w:r>
          </w:p>
        </w:tc>
        <w:tc>
          <w:tcPr>
            <w:tcW w:w="1015"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财政专户管理资金</w:t>
            </w:r>
          </w:p>
        </w:tc>
        <w:tc>
          <w:tcPr>
            <w:tcW w:w="87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单位</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资金</w:t>
            </w:r>
          </w:p>
        </w:tc>
      </w:tr>
      <w:tr>
        <w:tblPrEx>
          <w:tblCellMar>
            <w:top w:w="0" w:type="dxa"/>
            <w:left w:w="108" w:type="dxa"/>
            <w:bottom w:w="0" w:type="dxa"/>
            <w:right w:w="108" w:type="dxa"/>
          </w:tblCellMar>
        </w:tblPrEx>
        <w:trPr>
          <w:trHeight w:val="1124" w:hRule="atLeast"/>
        </w:trPr>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433"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3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91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015"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87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特定目标类</w:t>
            </w:r>
          </w:p>
        </w:tc>
        <w:tc>
          <w:tcPr>
            <w:tcW w:w="143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color w:val="000000"/>
                <w:kern w:val="0"/>
                <w:sz w:val="20"/>
                <w:szCs w:val="20"/>
                <w:u w:val="none"/>
                <w:lang w:val="en-US" w:eastAsia="zh-CN" w:bidi="ar"/>
              </w:rPr>
              <w:t>寿县八公山风景区旅游发展工作专项经费</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寿县八公山风景区管理处</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45.60</w:t>
            </w: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color w:val="000000"/>
                <w:kern w:val="0"/>
                <w:sz w:val="20"/>
                <w:szCs w:val="20"/>
                <w:u w:val="none"/>
                <w:lang w:val="en-US" w:eastAsia="zh-CN" w:bidi="ar"/>
              </w:rPr>
              <w:t>45.60</w:t>
            </w: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p>
        </w:tc>
        <w:tc>
          <w:tcPr>
            <w:tcW w:w="101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p>
        </w:tc>
        <w:tc>
          <w:tcPr>
            <w:tcW w:w="87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43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015"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3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35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15"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33"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p>
        </w:tc>
        <w:tc>
          <w:tcPr>
            <w:tcW w:w="135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15"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33"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15"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31" w:hRule="atLeast"/>
        </w:trPr>
        <w:tc>
          <w:tcPr>
            <w:tcW w:w="3980" w:type="dxa"/>
            <w:gridSpan w:val="3"/>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 xml:space="preserve">总 </w:t>
            </w:r>
            <w:r>
              <w:rPr>
                <w:rFonts w:ascii="TimesNewRoman" w:hAnsi="TimesNewRoman" w:cs="TimesNewRoman"/>
                <w:b/>
                <w:bCs/>
                <w:kern w:val="0"/>
                <w:sz w:val="18"/>
                <w:szCs w:val="18"/>
              </w:rPr>
              <w:t>计　</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b/>
                <w:bCs/>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45.60</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eastAsia="宋体" w:cs="TimesNewRoman"/>
                <w:b/>
                <w:bCs/>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45.60</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214"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015"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bl>
    <w:p>
      <w:pPr>
        <w:pStyle w:val="3"/>
        <w:wordWrap w:val="0"/>
        <w:adjustRightInd w:val="0"/>
        <w:snapToGrid w:val="0"/>
        <w:spacing w:after="156" w:afterLines="50" w:line="560" w:lineRule="exact"/>
        <w:jc w:val="center"/>
        <w:rPr>
          <w:rFonts w:hint="eastAsia" w:ascii="TimesNewRoman" w:hAnsi="TimesNewRoman" w:cs="TimesNewRoman"/>
          <w:sz w:val="20"/>
          <w:szCs w:val="20"/>
        </w:rPr>
      </w:pPr>
      <w:r>
        <w:rPr>
          <w:rFonts w:hint="eastAsia" w:ascii="TimesNewRoman" w:hAnsi="TimesNewRoman" w:cs="TimesNewRoman"/>
          <w:sz w:val="20"/>
          <w:szCs w:val="20"/>
        </w:rPr>
        <w:t xml:space="preserve">                                                 </w:t>
      </w:r>
      <w:r>
        <w:rPr>
          <w:rFonts w:ascii="TimesNewRoman" w:hAnsi="TimesNewRoman" w:cs="TimesNewRoman"/>
          <w:sz w:val="20"/>
          <w:szCs w:val="20"/>
        </w:rPr>
        <w:t xml:space="preserve">    </w:t>
      </w:r>
      <w:r>
        <w:rPr>
          <w:rFonts w:hint="eastAsia" w:ascii="TimesNewRoman" w:hAnsi="TimesNewRoman" w:cs="TimesNewRoman"/>
          <w:sz w:val="20"/>
          <w:szCs w:val="20"/>
        </w:rPr>
        <w:t xml:space="preserve">                                                    </w:t>
      </w:r>
    </w:p>
    <w:p>
      <w:pPr>
        <w:pStyle w:val="3"/>
        <w:wordWrap w:val="0"/>
        <w:adjustRightInd w:val="0"/>
        <w:snapToGrid w:val="0"/>
        <w:spacing w:after="156" w:afterLines="50" w:line="560" w:lineRule="exact"/>
        <w:jc w:val="right"/>
        <w:rPr>
          <w:rFonts w:ascii="TimesNewRoman" w:hAnsi="TimesNewRoman" w:cs="TimesNewRoman"/>
          <w:sz w:val="20"/>
          <w:szCs w:val="20"/>
        </w:rPr>
      </w:pPr>
      <w:r>
        <w:rPr>
          <w:rFonts w:hint="eastAsia" w:ascii="TimesNewRoman" w:hAnsi="TimesNewRoman" w:cs="TimesNewRoman"/>
          <w:sz w:val="20"/>
          <w:szCs w:val="20"/>
        </w:rPr>
        <w:t xml:space="preserve">  </w:t>
      </w:r>
      <w:r>
        <w:rPr>
          <w:rFonts w:ascii="TimesNewRoman" w:hAnsi="TimesNewRoman" w:cs="TimesNewRoman"/>
          <w:sz w:val="20"/>
          <w:szCs w:val="20"/>
        </w:rPr>
        <w:t>部门</w:t>
      </w:r>
      <w:r>
        <w:rPr>
          <w:rFonts w:ascii="TimesNewRoman" w:hAnsi="TimesNewRoman" w:cs="TimesNewRoman"/>
          <w:sz w:val="20"/>
          <w:szCs w:val="20"/>
          <w:u w:val="single"/>
        </w:rPr>
        <w:t>（单位）</w:t>
      </w:r>
      <w:r>
        <w:rPr>
          <w:rFonts w:ascii="TimesNewRoman" w:hAnsi="TimesNewRoman" w:cs="TimesNewRoman"/>
          <w:sz w:val="20"/>
          <w:szCs w:val="20"/>
        </w:rPr>
        <w:t>公开表10</w:t>
      </w:r>
    </w:p>
    <w:tbl>
      <w:tblPr>
        <w:tblStyle w:val="4"/>
        <w:tblW w:w="14109" w:type="dxa"/>
        <w:tblInd w:w="0" w:type="dxa"/>
        <w:tblLayout w:type="fixed"/>
        <w:tblCellMar>
          <w:top w:w="0" w:type="dxa"/>
          <w:left w:w="108" w:type="dxa"/>
          <w:bottom w:w="0" w:type="dxa"/>
          <w:right w:w="108" w:type="dxa"/>
        </w:tblCellMar>
      </w:tblPr>
      <w:tblGrid>
        <w:gridCol w:w="1907"/>
        <w:gridCol w:w="1827"/>
        <w:gridCol w:w="1430"/>
        <w:gridCol w:w="1643"/>
        <w:gridCol w:w="1823"/>
        <w:gridCol w:w="1811"/>
        <w:gridCol w:w="1780"/>
        <w:gridCol w:w="1888"/>
      </w:tblGrid>
      <w:tr>
        <w:tblPrEx>
          <w:tblCellMar>
            <w:top w:w="0" w:type="dxa"/>
            <w:left w:w="108" w:type="dxa"/>
            <w:bottom w:w="0" w:type="dxa"/>
            <w:right w:w="108" w:type="dxa"/>
          </w:tblCellMar>
        </w:tblPrEx>
        <w:trPr>
          <w:trHeight w:val="482" w:hRule="atLeast"/>
        </w:trPr>
        <w:tc>
          <w:tcPr>
            <w:tcW w:w="14109" w:type="dxa"/>
            <w:gridSpan w:val="8"/>
            <w:tcBorders>
              <w:top w:val="nil"/>
              <w:left w:val="nil"/>
              <w:bottom w:val="nil"/>
              <w:right w:val="nil"/>
            </w:tcBorders>
            <w:noWrap w:val="0"/>
            <w:vAlign w:val="center"/>
          </w:tcPr>
          <w:p>
            <w:pPr>
              <w:widowControl/>
              <w:spacing w:line="280" w:lineRule="exact"/>
              <w:jc w:val="center"/>
              <w:rPr>
                <w:rFonts w:ascii="TimesNewRoman" w:hAnsi="TimesNewRoman" w:eastAsia="华文中宋" w:cs="TimesNewRoman"/>
                <w:b/>
                <w:bCs/>
                <w:kern w:val="0"/>
                <w:szCs w:val="32"/>
              </w:rPr>
            </w:pPr>
            <w:r>
              <w:rPr>
                <w:rFonts w:hint="eastAsia" w:ascii="TimesNewRoman" w:hAnsi="TimesNewRoman" w:eastAsia="华文中宋" w:cs="TimesNewRoman"/>
                <w:b/>
                <w:bCs/>
                <w:kern w:val="0"/>
                <w:szCs w:val="32"/>
              </w:rPr>
              <w:t>寿县</w:t>
            </w:r>
            <w:r>
              <w:rPr>
                <w:rFonts w:hint="eastAsia" w:ascii="TimesNewRoman" w:hAnsi="TimesNewRoman" w:eastAsia="华文中宋" w:cs="TimesNewRoman"/>
                <w:b/>
                <w:bCs/>
                <w:kern w:val="0"/>
                <w:szCs w:val="32"/>
                <w:lang w:eastAsia="zh-CN"/>
              </w:rPr>
              <w:t>八公山风景区管理处</w:t>
            </w:r>
            <w:r>
              <w:rPr>
                <w:rFonts w:hint="eastAsia" w:ascii="TimesNewRoman" w:hAnsi="TimesNewRoman" w:eastAsia="华文中宋" w:cs="TimesNewRoman"/>
                <w:b/>
                <w:bCs/>
                <w:kern w:val="0"/>
                <w:szCs w:val="32"/>
              </w:rPr>
              <w:t>2024</w:t>
            </w:r>
            <w:r>
              <w:rPr>
                <w:rFonts w:ascii="TimesNewRoman" w:hAnsi="TimesNewRoman" w:eastAsia="华文中宋" w:cs="TimesNewRoman"/>
                <w:b/>
                <w:bCs/>
                <w:kern w:val="0"/>
                <w:szCs w:val="32"/>
              </w:rPr>
              <w:t>年政府采购支出表</w:t>
            </w:r>
          </w:p>
          <w:p>
            <w:pPr>
              <w:widowControl/>
              <w:spacing w:line="280" w:lineRule="exact"/>
              <w:jc w:val="center"/>
              <w:rPr>
                <w:rFonts w:ascii="TimesNewRoman" w:hAnsi="TimesNewRoman" w:cs="TimesNewRoman"/>
                <w:b/>
                <w:bCs/>
                <w:kern w:val="0"/>
                <w:szCs w:val="32"/>
              </w:rPr>
            </w:pPr>
            <w:r>
              <w:rPr>
                <w:rFonts w:ascii="TimesNewRoman" w:hAnsi="TimesNewRoman" w:cs="TimesNewRoman"/>
                <w:kern w:val="0"/>
                <w:sz w:val="20"/>
              </w:rPr>
              <w:t xml:space="preserve">                                                                      单位：万元</w:t>
            </w:r>
          </w:p>
        </w:tc>
      </w:tr>
      <w:tr>
        <w:tblPrEx>
          <w:tblCellMar>
            <w:top w:w="0" w:type="dxa"/>
            <w:left w:w="108" w:type="dxa"/>
            <w:bottom w:w="0" w:type="dxa"/>
            <w:right w:w="108" w:type="dxa"/>
          </w:tblCellMar>
        </w:tblPrEx>
        <w:trPr>
          <w:trHeight w:val="800" w:hRule="atLeast"/>
        </w:trPr>
        <w:tc>
          <w:tcPr>
            <w:tcW w:w="1907" w:type="dxa"/>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项目名称</w:t>
            </w:r>
          </w:p>
        </w:tc>
        <w:tc>
          <w:tcPr>
            <w:tcW w:w="1827"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政府采购品目</w:t>
            </w:r>
          </w:p>
        </w:tc>
        <w:tc>
          <w:tcPr>
            <w:tcW w:w="1430"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合计</w:t>
            </w:r>
          </w:p>
        </w:tc>
        <w:tc>
          <w:tcPr>
            <w:tcW w:w="1643"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一般公共预算</w:t>
            </w:r>
          </w:p>
        </w:tc>
        <w:tc>
          <w:tcPr>
            <w:tcW w:w="1823"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政府性</w:t>
            </w:r>
          </w:p>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基金预算</w:t>
            </w:r>
          </w:p>
        </w:tc>
        <w:tc>
          <w:tcPr>
            <w:tcW w:w="1811"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国有资本经营预算</w:t>
            </w:r>
          </w:p>
        </w:tc>
        <w:tc>
          <w:tcPr>
            <w:tcW w:w="1780"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财政专户管理资金</w:t>
            </w:r>
          </w:p>
        </w:tc>
        <w:tc>
          <w:tcPr>
            <w:tcW w:w="1888"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单位资金</w:t>
            </w:r>
          </w:p>
        </w:tc>
      </w:tr>
      <w:tr>
        <w:tblPrEx>
          <w:tblCellMar>
            <w:top w:w="0" w:type="dxa"/>
            <w:left w:w="108" w:type="dxa"/>
            <w:bottom w:w="0" w:type="dxa"/>
            <w:right w:w="108" w:type="dxa"/>
          </w:tblCellMar>
        </w:tblPrEx>
        <w:trPr>
          <w:trHeight w:val="496" w:hRule="atLeast"/>
        </w:trPr>
        <w:tc>
          <w:tcPr>
            <w:tcW w:w="1907" w:type="dxa"/>
            <w:tcBorders>
              <w:top w:val="single" w:color="auto" w:sz="4" w:space="0"/>
              <w:left w:val="single" w:color="auto" w:sz="4" w:space="0"/>
              <w:bottom w:val="single" w:color="auto" w:sz="4" w:space="0"/>
              <w:right w:val="single" w:color="auto" w:sz="4" w:space="0"/>
            </w:tcBorders>
            <w:noWrap w:val="0"/>
            <w:vAlign w:val="center"/>
          </w:tcPr>
          <w:p>
            <w:pPr>
              <w:widowControl/>
              <w:tabs>
                <w:tab w:val="center" w:pos="845"/>
              </w:tabs>
              <w:spacing w:line="280" w:lineRule="exact"/>
              <w:jc w:val="left"/>
              <w:rPr>
                <w:rFonts w:hint="eastAsia" w:ascii="TimesNewRoman" w:hAnsi="TimesNewRoman" w:eastAsia="宋体" w:cs="TimesNewRoman"/>
                <w:kern w:val="0"/>
                <w:sz w:val="20"/>
                <w:lang w:eastAsia="zh-CN"/>
              </w:rPr>
            </w:pPr>
            <w:r>
              <w:rPr>
                <w:rFonts w:ascii="TimesNewRoman" w:hAnsi="TimesNewRoman" w:cs="TimesNewRoman"/>
                <w:kern w:val="0"/>
                <w:sz w:val="20"/>
              </w:rPr>
              <w:t>　</w:t>
            </w:r>
            <w:r>
              <w:rPr>
                <w:rFonts w:hint="eastAsia" w:ascii="TimesNewRoman" w:hAnsi="TimesNewRoman" w:cs="TimesNewRoman"/>
                <w:kern w:val="0"/>
                <w:sz w:val="20"/>
                <w:lang w:eastAsia="zh-CN"/>
              </w:rPr>
              <w:tab/>
            </w:r>
            <w:r>
              <w:rPr>
                <w:rFonts w:hint="eastAsia" w:ascii="TimesNewRoman" w:hAnsi="TimesNewRoman" w:cs="TimesNewRoman"/>
                <w:kern w:val="0"/>
                <w:sz w:val="20"/>
                <w:lang w:eastAsia="zh-CN"/>
              </w:rPr>
              <w:t>寿县八公山风景区旅游发展工作专项经费</w:t>
            </w:r>
          </w:p>
        </w:tc>
        <w:tc>
          <w:tcPr>
            <w:tcW w:w="1827"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r>
              <w:rPr>
                <w:rFonts w:hint="eastAsia" w:ascii="TimesNewRoman" w:hAnsi="TimesNewRoman" w:cs="TimesNewRoman"/>
                <w:kern w:val="0"/>
                <w:sz w:val="20"/>
              </w:rPr>
              <w:t>台式计算机</w:t>
            </w:r>
          </w:p>
        </w:tc>
        <w:tc>
          <w:tcPr>
            <w:tcW w:w="1430"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hint="eastAsia" w:ascii="TimesNewRoman" w:hAnsi="TimesNewRoman" w:cs="TimesNewRoman"/>
                <w:kern w:val="0"/>
                <w:sz w:val="20"/>
                <w:lang w:val="en-US" w:eastAsia="zh-CN"/>
              </w:rPr>
              <w:t>1.8</w:t>
            </w:r>
            <w:r>
              <w:rPr>
                <w:rFonts w:ascii="TimesNewRoman" w:hAnsi="TimesNewRoman" w:cs="TimesNewRoman"/>
                <w:kern w:val="0"/>
                <w:sz w:val="20"/>
              </w:rPr>
              <w:t>　</w:t>
            </w:r>
          </w:p>
        </w:tc>
        <w:tc>
          <w:tcPr>
            <w:tcW w:w="1643"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hint="eastAsia" w:ascii="TimesNewRoman" w:hAnsi="TimesNewRoman" w:cs="TimesNewRoman"/>
                <w:kern w:val="0"/>
                <w:sz w:val="20"/>
                <w:lang w:val="en-US" w:eastAsia="zh-CN"/>
              </w:rPr>
              <w:t>1.8</w:t>
            </w:r>
            <w:r>
              <w:rPr>
                <w:rFonts w:ascii="TimesNewRoman" w:hAnsi="TimesNewRoman" w:cs="TimesNewRoman"/>
                <w:kern w:val="0"/>
                <w:sz w:val="20"/>
              </w:rPr>
              <w:t>　</w:t>
            </w:r>
          </w:p>
        </w:tc>
        <w:tc>
          <w:tcPr>
            <w:tcW w:w="1823"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r>
        <w:tblPrEx>
          <w:tblCellMar>
            <w:top w:w="0" w:type="dxa"/>
            <w:left w:w="108" w:type="dxa"/>
            <w:bottom w:w="0" w:type="dxa"/>
            <w:right w:w="108" w:type="dxa"/>
          </w:tblCellMar>
        </w:tblPrEx>
        <w:trPr>
          <w:trHeight w:val="496" w:hRule="atLeast"/>
        </w:trPr>
        <w:tc>
          <w:tcPr>
            <w:tcW w:w="190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r>
              <w:rPr>
                <w:rFonts w:hint="eastAsia" w:ascii="TimesNewRoman" w:hAnsi="TimesNewRoman" w:cs="TimesNewRoman"/>
                <w:kern w:val="0"/>
                <w:sz w:val="20"/>
                <w:lang w:eastAsia="zh-CN"/>
              </w:rPr>
              <w:tab/>
            </w:r>
            <w:r>
              <w:rPr>
                <w:rFonts w:hint="eastAsia" w:ascii="TimesNewRoman" w:hAnsi="TimesNewRoman" w:cs="TimesNewRoman"/>
                <w:kern w:val="0"/>
                <w:sz w:val="20"/>
                <w:lang w:eastAsia="zh-CN"/>
              </w:rPr>
              <w:t>寿县八公山风景区旅游发展工作专项经费</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imesNewRoman" w:hAnsi="TimesNewRoman" w:eastAsia="宋体" w:cs="TimesNewRoman"/>
                <w:kern w:val="0"/>
                <w:sz w:val="20"/>
                <w:lang w:val="en-US" w:eastAsia="zh-CN"/>
              </w:rPr>
            </w:pPr>
            <w:r>
              <w:rPr>
                <w:rFonts w:ascii="TimesNewRoman" w:hAnsi="TimesNewRoman" w:cs="TimesNewRoman"/>
                <w:kern w:val="0"/>
                <w:sz w:val="20"/>
              </w:rPr>
              <w:t>　</w:t>
            </w:r>
            <w:r>
              <w:rPr>
                <w:rFonts w:hint="eastAsia" w:ascii="TimesNewRoman" w:hAnsi="TimesNewRoman" w:cs="TimesNewRoman"/>
                <w:kern w:val="0"/>
                <w:sz w:val="20"/>
                <w:lang w:eastAsia="zh-CN"/>
              </w:rPr>
              <w:t>无人机</w:t>
            </w: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hint="eastAsia" w:ascii="TimesNewRoman" w:hAnsi="TimesNewRoman" w:cs="TimesNewRoman"/>
                <w:kern w:val="0"/>
                <w:sz w:val="20"/>
                <w:lang w:val="en-US" w:eastAsia="zh-CN"/>
              </w:rPr>
              <w:t>2.2</w:t>
            </w:r>
            <w:r>
              <w:rPr>
                <w:rFonts w:ascii="TimesNewRoman" w:hAnsi="TimesNewRoman" w:cs="TimesNewRoman"/>
                <w:kern w:val="0"/>
                <w:sz w:val="20"/>
              </w:rPr>
              <w:t>　</w:t>
            </w: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hint="eastAsia" w:ascii="TimesNewRoman" w:hAnsi="TimesNewRoman" w:cs="TimesNewRoman"/>
                <w:kern w:val="0"/>
                <w:sz w:val="20"/>
                <w:lang w:val="en-US" w:eastAsia="zh-CN"/>
              </w:rPr>
              <w:t>2.2</w:t>
            </w:r>
            <w:r>
              <w:rPr>
                <w:rFonts w:ascii="TimesNewRoman" w:hAnsi="TimesNewRoman" w:cs="TimesNewRoman"/>
                <w:kern w:val="0"/>
                <w:sz w:val="20"/>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r>
        <w:tblPrEx>
          <w:tblCellMar>
            <w:top w:w="0" w:type="dxa"/>
            <w:left w:w="108" w:type="dxa"/>
            <w:bottom w:w="0" w:type="dxa"/>
            <w:right w:w="108" w:type="dxa"/>
          </w:tblCellMar>
        </w:tblPrEx>
        <w:trPr>
          <w:trHeight w:val="496" w:hRule="atLeast"/>
        </w:trPr>
        <w:tc>
          <w:tcPr>
            <w:tcW w:w="190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r>
      <w:tr>
        <w:tblPrEx>
          <w:tblCellMar>
            <w:top w:w="0" w:type="dxa"/>
            <w:left w:w="108" w:type="dxa"/>
            <w:bottom w:w="0" w:type="dxa"/>
            <w:right w:w="108" w:type="dxa"/>
          </w:tblCellMar>
        </w:tblPrEx>
        <w:trPr>
          <w:trHeight w:val="496" w:hRule="atLeast"/>
        </w:trPr>
        <w:tc>
          <w:tcPr>
            <w:tcW w:w="190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p>
        </w:tc>
      </w:tr>
      <w:tr>
        <w:tblPrEx>
          <w:tblCellMar>
            <w:top w:w="0" w:type="dxa"/>
            <w:left w:w="108" w:type="dxa"/>
            <w:bottom w:w="0" w:type="dxa"/>
            <w:right w:w="108" w:type="dxa"/>
          </w:tblCellMar>
        </w:tblPrEx>
        <w:trPr>
          <w:trHeight w:val="496" w:hRule="atLeast"/>
        </w:trPr>
        <w:tc>
          <w:tcPr>
            <w:tcW w:w="190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r>
        <w:tblPrEx>
          <w:tblCellMar>
            <w:top w:w="0" w:type="dxa"/>
            <w:left w:w="108" w:type="dxa"/>
            <w:bottom w:w="0" w:type="dxa"/>
            <w:right w:w="108" w:type="dxa"/>
          </w:tblCellMar>
        </w:tblPrEx>
        <w:trPr>
          <w:trHeight w:val="496" w:hRule="atLeast"/>
        </w:trPr>
        <w:tc>
          <w:tcPr>
            <w:tcW w:w="190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r>
        <w:tblPrEx>
          <w:tblCellMar>
            <w:top w:w="0" w:type="dxa"/>
            <w:left w:w="108" w:type="dxa"/>
            <w:bottom w:w="0" w:type="dxa"/>
            <w:right w:w="108" w:type="dxa"/>
          </w:tblCellMar>
        </w:tblPrEx>
        <w:trPr>
          <w:trHeight w:val="496" w:hRule="atLeast"/>
        </w:trPr>
        <w:tc>
          <w:tcPr>
            <w:tcW w:w="190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20"/>
              </w:rPr>
            </w:pPr>
            <w:r>
              <w:rPr>
                <w:rFonts w:ascii="TimesNewRoman" w:hAnsi="TimesNewRoman" w:cs="TimesNewRoman"/>
                <w:kern w:val="0"/>
                <w:sz w:val="20"/>
              </w:rPr>
              <w:t>　</w:t>
            </w: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r>
        <w:tblPrEx>
          <w:tblCellMar>
            <w:top w:w="0" w:type="dxa"/>
            <w:left w:w="108" w:type="dxa"/>
            <w:bottom w:w="0" w:type="dxa"/>
            <w:right w:w="108" w:type="dxa"/>
          </w:tblCellMar>
        </w:tblPrEx>
        <w:trPr>
          <w:trHeight w:val="496" w:hRule="atLeast"/>
        </w:trPr>
        <w:tc>
          <w:tcPr>
            <w:tcW w:w="3734"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20"/>
              </w:rPr>
            </w:pPr>
            <w:r>
              <w:rPr>
                <w:rFonts w:hint="eastAsia" w:ascii="TimesNewRoman" w:hAnsi="TimesNewRoman" w:cs="TimesNewRoman"/>
                <w:b/>
                <w:sz w:val="20"/>
              </w:rPr>
              <w:t>总</w:t>
            </w:r>
            <w:r>
              <w:rPr>
                <w:rFonts w:ascii="TimesNewRoman" w:hAnsi="TimesNewRoman" w:cs="TimesNewRoman"/>
                <w:b/>
                <w:sz w:val="20"/>
              </w:rPr>
              <w:t xml:space="preserve"> 计</w:t>
            </w:r>
          </w:p>
        </w:tc>
        <w:tc>
          <w:tcPr>
            <w:tcW w:w="143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eastAsia="宋体" w:cs="TimesNewRoman"/>
                <w:kern w:val="0"/>
                <w:sz w:val="20"/>
                <w:szCs w:val="24"/>
                <w:lang w:val="en-US" w:eastAsia="zh-CN" w:bidi="ar-SA"/>
              </w:rPr>
            </w:pPr>
            <w:r>
              <w:rPr>
                <w:rFonts w:hint="eastAsia" w:ascii="TimesNewRoman" w:hAnsi="TimesNewRoman" w:cs="TimesNewRoman"/>
                <w:kern w:val="0"/>
                <w:sz w:val="20"/>
                <w:lang w:val="en-US" w:eastAsia="zh-CN"/>
              </w:rPr>
              <w:t>4</w:t>
            </w:r>
            <w:r>
              <w:rPr>
                <w:rFonts w:ascii="TimesNewRoman" w:hAnsi="TimesNewRoman" w:cs="TimesNewRoman"/>
                <w:kern w:val="0"/>
                <w:sz w:val="20"/>
              </w:rPr>
              <w:t>　</w:t>
            </w:r>
          </w:p>
        </w:tc>
        <w:tc>
          <w:tcPr>
            <w:tcW w:w="164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eastAsia="宋体" w:cs="TimesNewRoman"/>
                <w:kern w:val="0"/>
                <w:sz w:val="20"/>
                <w:szCs w:val="24"/>
                <w:lang w:val="en-US" w:eastAsia="zh-CN" w:bidi="ar-SA"/>
              </w:rPr>
            </w:pPr>
            <w:r>
              <w:rPr>
                <w:rFonts w:hint="eastAsia" w:ascii="TimesNewRoman" w:hAnsi="TimesNewRoman" w:cs="TimesNewRoman"/>
                <w:kern w:val="0"/>
                <w:sz w:val="20"/>
                <w:lang w:val="en-US" w:eastAsia="zh-CN"/>
              </w:rPr>
              <w:t>4</w:t>
            </w:r>
            <w:r>
              <w:rPr>
                <w:rFonts w:ascii="TimesNewRoman" w:hAnsi="TimesNewRoman" w:cs="TimesNewRoman"/>
                <w:kern w:val="0"/>
                <w:sz w:val="20"/>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bl>
    <w:p>
      <w:pPr>
        <w:spacing w:line="560" w:lineRule="exact"/>
        <w:rPr>
          <w:rFonts w:ascii="TimesNewRoman" w:hAnsi="TimesNewRoman" w:cs="TimesNewRoman"/>
        </w:rPr>
      </w:pPr>
    </w:p>
    <w:p>
      <w:pPr>
        <w:spacing w:line="560" w:lineRule="exact"/>
        <w:rPr>
          <w:rFonts w:ascii="TimesNewRoman" w:hAnsi="TimesNewRoman" w:cs="TimesNewRoman"/>
        </w:rPr>
      </w:pPr>
    </w:p>
    <w:p>
      <w:pPr>
        <w:spacing w:line="560" w:lineRule="exact"/>
        <w:rPr>
          <w:rFonts w:ascii="TimesNewRoman" w:hAnsi="TimesNewRoman" w:cs="TimesNewRoman"/>
        </w:rPr>
      </w:pPr>
    </w:p>
    <w:p>
      <w:pPr>
        <w:pStyle w:val="3"/>
        <w:wordWrap w:val="0"/>
        <w:adjustRightInd w:val="0"/>
        <w:snapToGrid w:val="0"/>
        <w:spacing w:line="560" w:lineRule="exact"/>
        <w:jc w:val="center"/>
        <w:rPr>
          <w:rFonts w:ascii="TimesNewRoman" w:hAnsi="TimesNewRoman" w:cs="TimesNewRoman"/>
          <w:sz w:val="20"/>
          <w:szCs w:val="20"/>
        </w:rPr>
      </w:pPr>
      <w:r>
        <w:rPr>
          <w:rFonts w:hint="eastAsia" w:ascii="TimesNewRoman" w:hAnsi="TimesNewRoman" w:cs="TimesNewRoman"/>
          <w:sz w:val="20"/>
          <w:szCs w:val="20"/>
        </w:rPr>
        <w:t xml:space="preserve">                                                                                                          </w:t>
      </w:r>
      <w:r>
        <w:rPr>
          <w:rFonts w:ascii="TimesNewRoman" w:hAnsi="TimesNewRoman" w:cs="TimesNewRoman"/>
          <w:sz w:val="20"/>
          <w:szCs w:val="20"/>
        </w:rPr>
        <w:t>部门</w:t>
      </w:r>
      <w:r>
        <w:rPr>
          <w:rFonts w:ascii="TimesNewRoman" w:hAnsi="TimesNewRoman" w:cs="TimesNewRoman"/>
          <w:sz w:val="20"/>
          <w:szCs w:val="20"/>
          <w:u w:val="single"/>
        </w:rPr>
        <w:t>（单位）</w:t>
      </w:r>
      <w:r>
        <w:rPr>
          <w:rFonts w:ascii="TimesNewRoman" w:hAnsi="TimesNewRoman" w:cs="TimesNewRoman"/>
          <w:sz w:val="20"/>
          <w:szCs w:val="20"/>
        </w:rPr>
        <w:t>公开表11</w:t>
      </w:r>
    </w:p>
    <w:tbl>
      <w:tblPr>
        <w:tblStyle w:val="4"/>
        <w:tblW w:w="13709" w:type="dxa"/>
        <w:jc w:val="center"/>
        <w:tblLayout w:type="fixed"/>
        <w:tblCellMar>
          <w:top w:w="0" w:type="dxa"/>
          <w:left w:w="108" w:type="dxa"/>
          <w:bottom w:w="0" w:type="dxa"/>
          <w:right w:w="108" w:type="dxa"/>
        </w:tblCellMar>
      </w:tblPr>
      <w:tblGrid>
        <w:gridCol w:w="2068"/>
        <w:gridCol w:w="1948"/>
        <w:gridCol w:w="1780"/>
        <w:gridCol w:w="1928"/>
        <w:gridCol w:w="2477"/>
        <w:gridCol w:w="1680"/>
        <w:gridCol w:w="1811"/>
        <w:gridCol w:w="17"/>
      </w:tblGrid>
      <w:tr>
        <w:tblPrEx>
          <w:tblCellMar>
            <w:top w:w="0" w:type="dxa"/>
            <w:left w:w="108" w:type="dxa"/>
            <w:bottom w:w="0" w:type="dxa"/>
            <w:right w:w="108" w:type="dxa"/>
          </w:tblCellMar>
        </w:tblPrEx>
        <w:trPr>
          <w:gridAfter w:val="1"/>
          <w:wAfter w:w="17" w:type="dxa"/>
          <w:trHeight w:val="673" w:hRule="atLeast"/>
          <w:jc w:val="center"/>
        </w:trPr>
        <w:tc>
          <w:tcPr>
            <w:tcW w:w="13692" w:type="dxa"/>
            <w:gridSpan w:val="7"/>
            <w:tcBorders>
              <w:top w:val="nil"/>
              <w:left w:val="nil"/>
              <w:bottom w:val="nil"/>
              <w:right w:val="nil"/>
            </w:tcBorders>
            <w:noWrap w:val="0"/>
            <w:vAlign w:val="center"/>
          </w:tcPr>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rPr>
              <w:t>寿县</w:t>
            </w:r>
            <w:r>
              <w:rPr>
                <w:rFonts w:hint="eastAsia" w:ascii="宋体" w:hAnsi="宋体" w:cs="TimesNewRoman"/>
                <w:b/>
                <w:bCs/>
                <w:kern w:val="0"/>
                <w:sz w:val="28"/>
                <w:szCs w:val="32"/>
                <w:lang w:eastAsia="zh-CN"/>
              </w:rPr>
              <w:t>八公山风景区管理处</w:t>
            </w:r>
            <w:r>
              <w:rPr>
                <w:rFonts w:hint="eastAsia" w:ascii="宋体" w:hAnsi="宋体" w:cs="TimesNewRoman"/>
                <w:b/>
                <w:bCs/>
                <w:kern w:val="0"/>
                <w:sz w:val="28"/>
                <w:szCs w:val="32"/>
              </w:rPr>
              <w:t>2024</w:t>
            </w:r>
            <w:r>
              <w:rPr>
                <w:rFonts w:ascii="宋体" w:hAnsi="宋体" w:cs="TimesNewRoman"/>
                <w:b/>
                <w:bCs/>
                <w:kern w:val="0"/>
                <w:sz w:val="28"/>
                <w:szCs w:val="32"/>
              </w:rPr>
              <w:t>年政府购买服务支出表</w:t>
            </w:r>
          </w:p>
          <w:p>
            <w:pPr>
              <w:widowControl/>
              <w:spacing w:line="560" w:lineRule="exact"/>
              <w:jc w:val="center"/>
              <w:rPr>
                <w:rFonts w:ascii="TimesNewRoman" w:hAnsi="TimesNewRoman" w:cs="TimesNewRoman"/>
                <w:kern w:val="0"/>
                <w:sz w:val="20"/>
              </w:rPr>
            </w:pPr>
            <w:r>
              <w:rPr>
                <w:rFonts w:ascii="TimesNewRoman" w:hAnsi="TimesNewRoman" w:cs="TimesNewRoman"/>
                <w:kern w:val="0"/>
                <w:sz w:val="20"/>
              </w:rPr>
              <w:t xml:space="preserve">                                                                                                                    单位：万元</w:t>
            </w:r>
          </w:p>
        </w:tc>
      </w:tr>
      <w:tr>
        <w:tblPrEx>
          <w:tblCellMar>
            <w:top w:w="15" w:type="dxa"/>
            <w:left w:w="15" w:type="dxa"/>
            <w:bottom w:w="15" w:type="dxa"/>
            <w:right w:w="15" w:type="dxa"/>
          </w:tblCellMar>
        </w:tblPrEx>
        <w:trPr>
          <w:trHeight w:val="922"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项目名称</w:t>
            </w:r>
          </w:p>
        </w:tc>
        <w:tc>
          <w:tcPr>
            <w:tcW w:w="194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一级目录名称</w:t>
            </w:r>
          </w:p>
        </w:tc>
        <w:tc>
          <w:tcPr>
            <w:tcW w:w="17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二级目录名称</w:t>
            </w:r>
          </w:p>
        </w:tc>
        <w:tc>
          <w:tcPr>
            <w:tcW w:w="19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三级目录名称</w:t>
            </w:r>
          </w:p>
        </w:tc>
        <w:tc>
          <w:tcPr>
            <w:tcW w:w="247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政府购买服务内容</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购买数量</w:t>
            </w:r>
          </w:p>
        </w:tc>
        <w:tc>
          <w:tcPr>
            <w:tcW w:w="182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购买金额</w:t>
            </w: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center"/>
              <w:rPr>
                <w:rFonts w:ascii="TimesNewRoman" w:hAnsi="TimesNewRoman" w:cs="TimesNewRoman"/>
                <w:b/>
                <w:sz w:val="18"/>
                <w:szCs w:val="18"/>
              </w:rPr>
            </w:pPr>
          </w:p>
        </w:tc>
        <w:tc>
          <w:tcPr>
            <w:tcW w:w="194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lef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lef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lef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lef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righ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righ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center"/>
              <w:rPr>
                <w:rFonts w:ascii="TimesNewRoman" w:hAnsi="TimesNewRoman" w:cs="TimesNewRoman"/>
                <w:b/>
                <w:sz w:val="18"/>
                <w:szCs w:val="18"/>
              </w:rPr>
            </w:pPr>
          </w:p>
        </w:tc>
        <w:tc>
          <w:tcPr>
            <w:tcW w:w="194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center"/>
              <w:rPr>
                <w:rFonts w:ascii="TimesNewRoman" w:hAnsi="TimesNewRoman" w:cs="TimesNewRoman"/>
                <w:b/>
                <w:sz w:val="18"/>
                <w:szCs w:val="18"/>
              </w:rPr>
            </w:pPr>
          </w:p>
        </w:tc>
        <w:tc>
          <w:tcPr>
            <w:tcW w:w="194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center"/>
              <w:rPr>
                <w:rFonts w:ascii="TimesNewRoman" w:hAnsi="TimesNewRoman" w:cs="TimesNewRoman"/>
                <w:b/>
                <w:sz w:val="18"/>
                <w:szCs w:val="18"/>
              </w:rPr>
            </w:pPr>
            <w:r>
              <w:rPr>
                <w:rFonts w:ascii="TimesNewRoman" w:hAnsi="TimesNewRoman" w:cs="TimesNewRoman"/>
                <w:b/>
                <w:sz w:val="18"/>
                <w:szCs w:val="18"/>
              </w:rPr>
              <w:t>合</w:t>
            </w:r>
            <w:r>
              <w:rPr>
                <w:rFonts w:hint="eastAsia" w:ascii="TimesNewRoman" w:hAnsi="TimesNewRoman" w:cs="TimesNewRoman"/>
                <w:b/>
                <w:sz w:val="18"/>
                <w:szCs w:val="18"/>
              </w:rPr>
              <w:t xml:space="preserve"> </w:t>
            </w:r>
            <w:r>
              <w:rPr>
                <w:rFonts w:ascii="TimesNewRoman" w:hAnsi="TimesNewRoman" w:cs="TimesNewRoman"/>
                <w:b/>
                <w:sz w:val="18"/>
                <w:szCs w:val="18"/>
              </w:rPr>
              <w:t>计</w:t>
            </w:r>
          </w:p>
        </w:tc>
        <w:tc>
          <w:tcPr>
            <w:tcW w:w="194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r>
    </w:tbl>
    <w:p>
      <w:pPr>
        <w:spacing w:line="560" w:lineRule="exact"/>
        <w:rPr>
          <w:rFonts w:ascii="TimesNewRoman" w:hAnsi="TimesNewRoman" w:cs="TimesNewRoman"/>
          <w:kern w:val="0"/>
          <w:sz w:val="22"/>
        </w:rPr>
      </w:pPr>
      <w:r>
        <w:rPr>
          <w:rFonts w:ascii="TimesNewRoman" w:hAnsi="TimesNewRoman" w:cs="TimesNewRoman"/>
          <w:kern w:val="0"/>
          <w:sz w:val="22"/>
        </w:rPr>
        <w:t>注：</w:t>
      </w:r>
      <w:r>
        <w:rPr>
          <w:rFonts w:hint="eastAsia" w:ascii="TimesNewRoman" w:hAnsi="TimesNewRoman" w:cs="TimesNewRoman"/>
          <w:kern w:val="0"/>
          <w:sz w:val="22"/>
        </w:rPr>
        <w:t>寿县</w:t>
      </w:r>
      <w:r>
        <w:rPr>
          <w:rFonts w:hint="eastAsia" w:ascii="TimesNewRoman" w:hAnsi="TimesNewRoman" w:cs="TimesNewRoman"/>
          <w:kern w:val="0"/>
          <w:sz w:val="22"/>
          <w:lang w:eastAsia="zh-CN"/>
        </w:rPr>
        <w:t>八公山风景区管理处</w:t>
      </w:r>
      <w:r>
        <w:rPr>
          <w:rFonts w:ascii="TimesNewRoman" w:hAnsi="TimesNewRoman" w:cs="TimesNewRoman"/>
          <w:kern w:val="0"/>
          <w:sz w:val="22"/>
        </w:rPr>
        <w:t>没有安排政府购买服务支出，故本表无数据。</w:t>
      </w:r>
    </w:p>
    <w:p>
      <w:pPr>
        <w:pStyle w:val="3"/>
        <w:adjustRightInd w:val="0"/>
        <w:snapToGrid w:val="0"/>
        <w:spacing w:before="100" w:after="100" w:line="560" w:lineRule="exact"/>
        <w:ind w:firstLine="640" w:firstLineChars="200"/>
        <w:rPr>
          <w:rFonts w:ascii="TimesNewRoman" w:hAnsi="TimesNewRoman" w:eastAsia="楷体_GB2312" w:cs="TimesNewRoman"/>
          <w:bCs/>
          <w:sz w:val="32"/>
          <w:szCs w:val="32"/>
        </w:rPr>
        <w:sectPr>
          <w:pgSz w:w="16840" w:h="11907" w:orient="landscape"/>
          <w:pgMar w:top="1588" w:right="1531" w:bottom="1474" w:left="1560" w:header="851" w:footer="1021" w:gutter="0"/>
          <w:cols w:space="425" w:num="1"/>
          <w:docGrid w:type="linesAndChars" w:linePitch="312" w:charSpace="0"/>
        </w:sectPr>
      </w:pPr>
    </w:p>
    <w:p>
      <w:pPr>
        <w:pStyle w:val="3"/>
        <w:topLinePunct/>
        <w:adjustRightInd w:val="0"/>
        <w:snapToGrid w:val="0"/>
        <w:spacing w:beforeAutospacing="0" w:afterAutospacing="0" w:line="560" w:lineRule="exact"/>
        <w:jc w:val="center"/>
        <w:rPr>
          <w:rFonts w:hint="eastAsia"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第三部分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年部门（单位）预算情况说明</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一、关于2024年收支总表的说明</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所有收入和支出均纳入部门预算管理。寿县</w:t>
      </w:r>
      <w:r>
        <w:rPr>
          <w:rFonts w:hint="eastAsia" w:ascii="仿宋_GB2312" w:hAnsi="TimesNewRoman" w:eastAsia="仿宋_GB2312" w:cs="TimesNewRoman"/>
          <w:sz w:val="32"/>
          <w:szCs w:val="32"/>
          <w:lang w:eastAsia="zh-CN"/>
        </w:rPr>
        <w:t>八公山风景区管理处20</w:t>
      </w:r>
      <w:r>
        <w:rPr>
          <w:rFonts w:hint="eastAsia" w:ascii="仿宋_GB2312" w:hAnsi="TimesNewRoman" w:eastAsia="仿宋_GB2312" w:cs="TimesNewRoman"/>
          <w:sz w:val="32"/>
          <w:szCs w:val="32"/>
        </w:rPr>
        <w:t>24年收支总预算</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万元，收入</w:t>
      </w:r>
      <w:r>
        <w:rPr>
          <w:rFonts w:hint="eastAsia" w:ascii="仿宋_GB2312" w:hAnsi="TimesNewRoman" w:eastAsia="仿宋_GB2312" w:cs="TimesNewRoman"/>
          <w:sz w:val="32"/>
          <w:szCs w:val="32"/>
          <w:lang w:eastAsia="zh-CN"/>
        </w:rPr>
        <w:t>全部是</w:t>
      </w:r>
      <w:r>
        <w:rPr>
          <w:rFonts w:hint="eastAsia" w:ascii="仿宋_GB2312" w:hAnsi="TimesNewRoman" w:eastAsia="仿宋_GB2312" w:cs="TimesNewRoman"/>
          <w:sz w:val="32"/>
          <w:szCs w:val="32"/>
        </w:rPr>
        <w:t>一般公共预算拨款收入，支出包括：一般公共服务支出、社会保障和就业支出、住房保障支出。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二、关于2024年收入总表的说明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2024年收入预算</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本年收入</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1.46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0.69</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eastAsia="zh-CN"/>
        </w:rPr>
        <w:t>正常工资增长带来的一般预算增加</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三、关于2024年支出总表的说明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2024年支出预算</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1.46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0.69</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eastAsia="zh-CN"/>
        </w:rPr>
        <w:t>正常工资增长带来的一般预算增加</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168.47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78.70</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45.6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21.30</w:t>
      </w:r>
      <w:r>
        <w:rPr>
          <w:rFonts w:hint="eastAsia" w:ascii="仿宋_GB2312" w:hAnsi="TimesNewRoman" w:eastAsia="仿宋_GB2312" w:cs="TimesNewRoman"/>
          <w:sz w:val="32"/>
          <w:szCs w:val="32"/>
        </w:rPr>
        <w:t>%，主要用于</w:t>
      </w:r>
      <w:r>
        <w:rPr>
          <w:rFonts w:hint="eastAsia" w:ascii="仿宋_GB2312" w:hAnsi="仿宋" w:eastAsia="仿宋_GB2312"/>
          <w:sz w:val="32"/>
          <w:szCs w:val="32"/>
        </w:rPr>
        <w:t>确保202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年度寿县八公山风景区旅游发展、创建5A、</w:t>
      </w:r>
      <w:r>
        <w:rPr>
          <w:rFonts w:hint="eastAsia" w:ascii="仿宋_GB2312" w:hAnsi="仿宋_GB2312" w:eastAsia="仿宋_GB2312" w:cs="仿宋_GB2312"/>
          <w:sz w:val="32"/>
          <w:szCs w:val="32"/>
        </w:rPr>
        <w:t>招商引资、</w:t>
      </w:r>
      <w:r>
        <w:rPr>
          <w:rFonts w:hint="eastAsia" w:ascii="仿宋_GB2312" w:hAnsi="仿宋" w:eastAsia="仿宋_GB2312"/>
          <w:sz w:val="32"/>
          <w:szCs w:val="32"/>
        </w:rPr>
        <w:t>旅游景点监管、相关旅游配套设施维护、景区创建等工作正常开展</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四、关于2024年财政拨款收支总表的说明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2024年财政拨款收支预算</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一般公共预算拨款；按资金年度分为：</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本年财政拨款收入</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万元。支出按功能分类分为：一般公共服务支出</w:t>
      </w:r>
      <w:r>
        <w:rPr>
          <w:rFonts w:hint="eastAsia" w:ascii="仿宋_GB2312" w:hAnsi="TimesNewRoman" w:eastAsia="仿宋_GB2312" w:cs="TimesNewRoman"/>
          <w:sz w:val="32"/>
          <w:szCs w:val="32"/>
          <w:lang w:val="en-US" w:eastAsia="zh-CN"/>
        </w:rPr>
        <w:t>174.78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81.65</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26.20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12.24</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13.10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6.12</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五、关于2024年一般公共预算支出表的说明</w:t>
      </w:r>
    </w:p>
    <w:p>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2024年一般公共预算支出</w:t>
      </w:r>
      <w:r>
        <w:rPr>
          <w:rFonts w:hint="eastAsia" w:ascii="仿宋_GB2312" w:hAnsi="TimesNewRoman" w:eastAsia="仿宋_GB2312" w:cs="TimesNewRoman"/>
          <w:sz w:val="32"/>
          <w:szCs w:val="32"/>
          <w:lang w:val="en-US" w:eastAsia="zh-CN"/>
        </w:rPr>
        <w:t>214.07</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1.46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0.69</w:t>
      </w:r>
      <w:r>
        <w:rPr>
          <w:rFonts w:hint="eastAsia" w:ascii="仿宋_GB2312" w:hAnsi="TimesNewRoman" w:eastAsia="仿宋_GB2312" w:cs="TimesNewRoman"/>
          <w:sz w:val="32"/>
          <w:szCs w:val="32"/>
        </w:rPr>
        <w:t>%，主要原因：</w:t>
      </w:r>
      <w:r>
        <w:rPr>
          <w:rFonts w:hint="eastAsia" w:ascii="仿宋_GB2312" w:hAnsi="TimesNewRoman" w:eastAsia="仿宋_GB2312" w:cs="TimesNewRoman"/>
          <w:sz w:val="32"/>
          <w:szCs w:val="32"/>
          <w:lang w:eastAsia="zh-CN"/>
        </w:rPr>
        <w:t>正常工资增长带来的一般预算增加</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一般公共服务支出</w:t>
      </w:r>
      <w:r>
        <w:rPr>
          <w:rFonts w:hint="eastAsia" w:ascii="仿宋_GB2312" w:hAnsi="TimesNewRoman" w:eastAsia="仿宋_GB2312" w:cs="TimesNewRoman"/>
          <w:sz w:val="32"/>
          <w:szCs w:val="32"/>
          <w:lang w:val="en-US" w:eastAsia="zh-CN"/>
        </w:rPr>
        <w:t>174.78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81.65</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26.20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12.24</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13.10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6.12</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1.一般公共服务支出（类）</w:t>
      </w:r>
      <w:r>
        <w:rPr>
          <w:rFonts w:hint="eastAsia" w:ascii="仿宋_GB2312" w:hAnsi="TimesNewRoman" w:eastAsia="仿宋_GB2312" w:cs="TimesNewRoman"/>
          <w:b/>
          <w:sz w:val="32"/>
          <w:szCs w:val="32"/>
          <w:lang w:val="en-US" w:eastAsia="zh-CN"/>
        </w:rPr>
        <w:t>政府办公厅【室】及相关机构事务</w:t>
      </w:r>
      <w:r>
        <w:rPr>
          <w:rFonts w:hint="eastAsia" w:ascii="仿宋_GB2312" w:hAnsi="TimesNewRoman" w:eastAsia="仿宋_GB2312" w:cs="TimesNewRoman"/>
          <w:b/>
          <w:sz w:val="32"/>
          <w:szCs w:val="32"/>
        </w:rPr>
        <w:t>（款）</w:t>
      </w:r>
      <w:r>
        <w:rPr>
          <w:rFonts w:hint="eastAsia" w:ascii="仿宋_GB2312" w:hAnsi="TimesNewRoman" w:eastAsia="仿宋_GB2312" w:cs="TimesNewRoman"/>
          <w:b/>
          <w:sz w:val="32"/>
          <w:szCs w:val="32"/>
          <w:lang w:val="en-US" w:eastAsia="zh-CN"/>
        </w:rPr>
        <w:t>事业运行</w:t>
      </w:r>
      <w:r>
        <w:rPr>
          <w:rFonts w:hint="eastAsia" w:ascii="仿宋_GB2312" w:hAnsi="TimesNewRoman" w:eastAsia="仿宋_GB2312" w:cs="TimesNewRoman"/>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174.78</w:t>
      </w:r>
      <w:r>
        <w:rPr>
          <w:rFonts w:hint="eastAsia" w:ascii="仿宋_GB2312" w:hAnsi="TimesNewRoman" w:eastAsia="仿宋_GB2312" w:cs="TimesNewRoman"/>
          <w:sz w:val="32"/>
          <w:szCs w:val="32"/>
        </w:rPr>
        <w:t>元，比2023年预算增加</w:t>
      </w:r>
      <w:r>
        <w:rPr>
          <w:rFonts w:hint="eastAsia" w:ascii="仿宋_GB2312" w:hAnsi="TimesNewRoman" w:eastAsia="仿宋_GB2312" w:cs="TimesNewRoman"/>
          <w:sz w:val="32"/>
          <w:szCs w:val="32"/>
          <w:lang w:val="en-US" w:eastAsia="zh-CN"/>
        </w:rPr>
        <w:t>0.67</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0.38</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eastAsia="zh-CN"/>
        </w:rPr>
        <w:t>正常工资增长带来的一般预算增加</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2</w:t>
      </w:r>
      <w:r>
        <w:rPr>
          <w:rFonts w:hint="eastAsia" w:ascii="仿宋_GB2312" w:hAnsi="TimesNewRoman" w:eastAsia="仿宋_GB2312" w:cs="TimesNewRoman"/>
          <w:b/>
          <w:sz w:val="32"/>
          <w:szCs w:val="32"/>
        </w:rPr>
        <w:t>.社会保障和就业支出（类）行政事业单位养老支出（款）机关事业单位基本养老保险缴费支出（项）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17.46</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0.35</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2.00</w:t>
      </w:r>
      <w:r>
        <w:rPr>
          <w:rFonts w:hint="eastAsia" w:ascii="仿宋_GB2312" w:hAnsi="TimesNewRoman" w:eastAsia="仿宋_GB2312" w:cs="TimesNewRoman"/>
          <w:sz w:val="32"/>
          <w:szCs w:val="32"/>
        </w:rPr>
        <w:t>%，增长原因主要是增长原因主要是</w:t>
      </w:r>
      <w:r>
        <w:rPr>
          <w:rFonts w:hint="eastAsia" w:ascii="仿宋_GB2312" w:hAnsi="TimesNewRoman" w:eastAsia="仿宋_GB2312" w:cs="TimesNewRoman"/>
          <w:sz w:val="32"/>
          <w:szCs w:val="32"/>
          <w:lang w:eastAsia="zh-CN"/>
        </w:rPr>
        <w:t>正常工资增长带来的配套养老保险支出增加</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3</w:t>
      </w:r>
      <w:r>
        <w:rPr>
          <w:rFonts w:hint="eastAsia" w:ascii="仿宋_GB2312" w:hAnsi="TimesNewRoman" w:eastAsia="仿宋_GB2312" w:cs="TimesNewRoman"/>
          <w:b/>
          <w:sz w:val="32"/>
          <w:szCs w:val="32"/>
        </w:rPr>
        <w:t>.社会保障和就业支出（类）行政事业单位养老支出（款）机关事业单位职业年金缴费支出（项）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8.73</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0.17</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1.99</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eastAsia="zh-CN"/>
        </w:rPr>
        <w:t>正常工资增长带来的配套</w:t>
      </w:r>
      <w:r>
        <w:rPr>
          <w:rFonts w:hint="eastAsia" w:ascii="仿宋_GB2312" w:hAnsi="TimesNewRoman" w:eastAsia="仿宋_GB2312" w:cs="TimesNewRoman"/>
          <w:b w:val="0"/>
          <w:bCs/>
          <w:sz w:val="32"/>
          <w:szCs w:val="32"/>
        </w:rPr>
        <w:t>单位职业年金缴费支出</w:t>
      </w:r>
      <w:r>
        <w:rPr>
          <w:rFonts w:hint="eastAsia" w:ascii="仿宋_GB2312" w:hAnsi="TimesNewRoman" w:eastAsia="仿宋_GB2312" w:cs="TimesNewRoman"/>
          <w:b w:val="0"/>
          <w:bCs/>
          <w:sz w:val="32"/>
          <w:szCs w:val="32"/>
          <w:lang w:eastAsia="zh-CN"/>
        </w:rPr>
        <w:t>增加</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4.住房保障支出（类）住房改革支出（款）住房公积金（项）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13.10</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3</w:t>
      </w:r>
      <w:r>
        <w:rPr>
          <w:rFonts w:hint="eastAsia" w:ascii="仿宋_GB2312" w:hAnsi="TimesNewRoman" w:eastAsia="仿宋_GB2312" w:cs="TimesNewRoman"/>
          <w:sz w:val="32"/>
          <w:szCs w:val="32"/>
        </w:rPr>
        <w:t>年预算增加</w:t>
      </w:r>
      <w:r>
        <w:rPr>
          <w:rFonts w:hint="eastAsia" w:ascii="仿宋_GB2312" w:hAnsi="TimesNewRoman" w:eastAsia="仿宋_GB2312" w:cs="TimesNewRoman"/>
          <w:sz w:val="32"/>
          <w:szCs w:val="32"/>
          <w:lang w:val="en-US" w:eastAsia="zh-CN"/>
        </w:rPr>
        <w:t>0.26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2.02</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eastAsia="zh-CN"/>
        </w:rPr>
        <w:t>正常工资增长带来的配套住房</w:t>
      </w:r>
      <w:r>
        <w:rPr>
          <w:rFonts w:hint="eastAsia" w:ascii="仿宋_GB2312" w:hAnsi="TimesNewRoman" w:eastAsia="仿宋_GB2312" w:cs="TimesNewRoman"/>
          <w:b w:val="0"/>
          <w:bCs/>
          <w:sz w:val="32"/>
          <w:szCs w:val="32"/>
          <w:lang w:eastAsia="zh-CN"/>
        </w:rPr>
        <w:t>公积金增加</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六、关于2024年一般公共预算基本支出表的说明</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2024年一般公共预算基本支出</w:t>
      </w:r>
      <w:r>
        <w:rPr>
          <w:rFonts w:hint="eastAsia" w:ascii="仿宋_GB2312" w:hAnsi="TimesNewRoman" w:eastAsia="仿宋_GB2312" w:cs="TimesNewRoman"/>
          <w:sz w:val="32"/>
          <w:szCs w:val="32"/>
          <w:lang w:val="en-US" w:eastAsia="zh-CN"/>
        </w:rPr>
        <w:t>168.47</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154.76</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13.71</w:t>
      </w:r>
      <w:r>
        <w:rPr>
          <w:rFonts w:hint="eastAsia" w:ascii="仿宋_GB2312" w:hAnsi="TimesNewRoman" w:eastAsia="仿宋_GB2312" w:cs="TimesNewRoman"/>
          <w:sz w:val="32"/>
          <w:szCs w:val="32"/>
        </w:rPr>
        <w:t>万元。</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154.76</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single"/>
        </w:rPr>
        <w:t>基本工资、奖金、绩效工资、机关事业单位基本养老保险费、职业年金缴费、职工基本医疗保险缴费、其他社会保障缴费、住房公积金、其他工资福利支出。</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13.71</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single"/>
        </w:rPr>
        <w:t>办公费</w:t>
      </w:r>
      <w:r>
        <w:rPr>
          <w:rFonts w:hint="eastAsia" w:ascii="仿宋_GB2312" w:hAnsi="TimesNewRoman" w:eastAsia="仿宋_GB2312" w:cs="TimesNewRoman"/>
          <w:sz w:val="32"/>
          <w:szCs w:val="32"/>
          <w:u w:val="single"/>
          <w:lang w:eastAsia="zh-CN"/>
        </w:rPr>
        <w:t>、</w:t>
      </w:r>
      <w:r>
        <w:rPr>
          <w:rFonts w:hint="eastAsia" w:ascii="仿宋_GB2312" w:hAnsi="TimesNewRoman" w:eastAsia="仿宋_GB2312" w:cs="TimesNewRoman"/>
          <w:sz w:val="32"/>
          <w:szCs w:val="32"/>
          <w:u w:val="single"/>
        </w:rPr>
        <w:t>会议费、工会经费、福利费、公务用车运行维护费、其他交通费用、其他商品服务支出等。</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七、关于2024年政府性基金预算支出表的说明</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2024年没有政府性基金预算拨款收入，也没有使用政府性基金预算拨款安排的支出。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八、关于2024年国有资本经营预算支出表的说明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2024年没有国有资本经营预算拨款收入，也没有使用国有资本经营预算拨款安排的支出。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九、关于2024年项目支出表的说明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2024年预算共安排项目支出</w:t>
      </w:r>
      <w:r>
        <w:rPr>
          <w:rFonts w:hint="eastAsia" w:ascii="仿宋_GB2312" w:hAnsi="TimesNewRoman" w:eastAsia="仿宋_GB2312" w:cs="TimesNewRoman"/>
          <w:sz w:val="32"/>
          <w:szCs w:val="32"/>
          <w:lang w:val="en-US" w:eastAsia="zh-CN"/>
        </w:rPr>
        <w:t>45.6</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2.4</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eastAsia="zh-CN"/>
        </w:rPr>
        <w:t>响应上级过紧日子、厉行节约号召</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本年财政拨款安排（</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一般公共预算拨款安排）。</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十、关于2024年政府采购支出表的说明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2024年预算安排政府采购支出</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33.33</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eastAsia="zh-CN"/>
        </w:rPr>
        <w:t>响应上级过紧日子、厉行节约号召</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一般公共预算拨款安排。</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十一、关于2024年政府购买服务支出表的说明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2024年没有安排政府购买服务支出。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十二、其他重要事项情况说明</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1.“寿县八公山风景区旅游发展等专项工作经费”项目。</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w:t>
      </w:r>
      <w:r>
        <w:rPr>
          <w:rFonts w:hint="eastAsia" w:ascii="仿宋_GB2312" w:hAnsi="楷体" w:eastAsia="仿宋_GB2312"/>
          <w:sz w:val="32"/>
          <w:szCs w:val="32"/>
        </w:rPr>
        <w:t>为</w:t>
      </w:r>
      <w:r>
        <w:rPr>
          <w:rFonts w:hint="eastAsia" w:ascii="仿宋_GB2312" w:hAnsi="仿宋_GB2312" w:eastAsia="仿宋_GB2312" w:cs="仿宋_GB2312"/>
          <w:sz w:val="32"/>
          <w:szCs w:val="32"/>
        </w:rPr>
        <w:t>贯彻落实国家、省、市、县有关风景区管理的法律规和政策规定；贯彻落实县委、县政府关于加快旅游业改革发展的重大决策部署；加强八公山风景区旅游发展工作，统一管理、严格保护、永续利用景区内资源；加强景区内涉旅企业的业务指导，加强风景区内景点的日常监管；加强风景区内旅游配套设施维护、景区5A创建、文明创建、招商引资、景区宣传推广、市场营销和旅游推介等工作，确保八公山风景区旅游发展等工作正常开展。</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（2）立项依据。</w:t>
      </w:r>
      <w:r>
        <w:rPr>
          <w:rFonts w:hint="eastAsia" w:ascii="仿宋_GB2312" w:hAnsi="楷体" w:eastAsia="仿宋_GB2312"/>
          <w:sz w:val="32"/>
          <w:szCs w:val="32"/>
        </w:rPr>
        <w:t>《关于要求将旅游开发专项资金列入财政预算的请示》</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（3）实施主体。</w:t>
      </w:r>
      <w:r>
        <w:rPr>
          <w:rFonts w:hint="eastAsia" w:ascii="仿宋_GB2312" w:hAnsi="楷体" w:eastAsia="仿宋_GB2312"/>
          <w:sz w:val="32"/>
          <w:szCs w:val="32"/>
        </w:rPr>
        <w:t>寿县八公山风景区管理处</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（4）起止时间。</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年1-12月</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（5）项目内容。</w:t>
      </w:r>
      <w:r>
        <w:rPr>
          <w:rFonts w:hint="eastAsia" w:ascii="仿宋_GB2312" w:hAnsi="楷体" w:eastAsia="仿宋_GB2312"/>
          <w:sz w:val="32"/>
          <w:szCs w:val="32"/>
        </w:rPr>
        <w:t>加强八公山风景区旅游发展工作，加强风景区内景点的日常监管，加强景区内旅游配套设施维护、景区创建提升、宣传推介、招商引资等工作。</w:t>
      </w:r>
    </w:p>
    <w:p>
      <w:p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45.6万元</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pPr>
        <w:topLinePunct/>
        <w:adjustRightInd w:val="0"/>
        <w:snapToGrid w:val="0"/>
        <w:spacing w:line="580" w:lineRule="exact"/>
        <w:ind w:firstLine="640" w:firstLineChars="200"/>
        <w:rPr>
          <w:rFonts w:hint="eastAsia" w:ascii="仿宋_GB2312" w:hAnsi="楷体" w:eastAsia="仿宋_GB2312"/>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ascii="宋体" w:cs="宋体"/>
                <w:sz w:val="18"/>
                <w:szCs w:val="18"/>
              </w:rPr>
            </w:pPr>
            <w:r>
              <w:rPr>
                <w:rFonts w:hint="eastAsia" w:ascii="宋体" w:hAnsi="宋体" w:cs="宋体"/>
                <w:color w:val="000000"/>
                <w:kern w:val="0"/>
                <w:sz w:val="20"/>
                <w:szCs w:val="20"/>
                <w:lang w:bidi="ar"/>
              </w:rPr>
              <w:t>寿县八公山风景区旅游发展等工作专项经费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hint="default" w:ascii="宋体" w:eastAsia="宋体" w:cs="宋体"/>
                <w:sz w:val="18"/>
                <w:szCs w:val="18"/>
                <w:lang w:val="en-US" w:eastAsia="zh-CN"/>
              </w:rPr>
            </w:pPr>
            <w:bookmarkStart w:id="0" w:name="_GoBack"/>
            <w:r>
              <w:rPr>
                <w:rFonts w:hint="eastAsia" w:ascii="宋体" w:hAnsi="宋体" w:cs="宋体"/>
                <w:color w:val="000000"/>
                <w:kern w:val="0"/>
                <w:sz w:val="18"/>
                <w:szCs w:val="18"/>
                <w:lang w:bidi="ar"/>
              </w:rPr>
              <w:t>寿县八公山风景区管理处</w:t>
            </w:r>
            <w:r>
              <w:rPr>
                <w:rFonts w:hint="eastAsia" w:ascii="宋体" w:hAnsi="宋体" w:cs="宋体"/>
                <w:color w:val="000000"/>
                <w:kern w:val="0"/>
                <w:sz w:val="18"/>
                <w:szCs w:val="18"/>
                <w:lang w:val="en-US" w:eastAsia="zh-CN" w:bidi="ar"/>
              </w:rPr>
              <w:t xml:space="preserve">  </w:t>
            </w:r>
            <w:r>
              <w:rPr>
                <w:rFonts w:hint="eastAsia"/>
                <w:lang w:val="en-US" w:eastAsia="zh-CN"/>
              </w:rPr>
              <w:t>12340422MB0U05570G</w:t>
            </w:r>
            <w:bookmarkEnd w:id="0"/>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sz w:val="18"/>
                <w:szCs w:val="18"/>
              </w:rPr>
            </w:pPr>
            <w:r>
              <w:rPr>
                <w:rFonts w:hint="eastAsia" w:ascii="宋体" w:hAnsi="宋体" w:cs="宋体"/>
                <w:color w:val="000000"/>
                <w:kern w:val="0"/>
                <w:sz w:val="18"/>
                <w:szCs w:val="18"/>
                <w:lang w:bidi="ar"/>
              </w:rPr>
              <w:t>寿县八公山风景区管理处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default" w:eastAsia="宋体"/>
                <w:sz w:val="18"/>
                <w:szCs w:val="18"/>
                <w:lang w:val="en-US" w:eastAsia="zh-CN"/>
              </w:rPr>
            </w:pPr>
            <w:r>
              <w:rPr>
                <w:rFonts w:hint="eastAsia"/>
                <w:sz w:val="18"/>
                <w:szCs w:val="18"/>
                <w:lang w:val="en-US" w:eastAsia="zh-CN"/>
              </w:rPr>
              <w:t>2024年全年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right"/>
              <w:rPr>
                <w:rFonts w:hint="eastAsia" w:ascii="宋体" w:eastAsia="宋体" w:cs="宋体"/>
                <w:sz w:val="18"/>
                <w:szCs w:val="18"/>
                <w:lang w:val="en-US" w:eastAsia="zh-CN"/>
              </w:rPr>
            </w:pPr>
            <w:r>
              <w:rPr>
                <w:rFonts w:hint="eastAsia" w:ascii="宋体" w:cs="宋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right"/>
              <w:rPr>
                <w:rFonts w:hint="eastAsia" w:ascii="宋体" w:eastAsia="宋体" w:cs="宋体"/>
                <w:sz w:val="18"/>
                <w:szCs w:val="18"/>
                <w:lang w:val="en-US" w:eastAsia="zh-CN"/>
              </w:rPr>
            </w:pPr>
            <w:r>
              <w:rPr>
                <w:rFonts w:hint="eastAsia" w:ascii="宋体" w:cs="宋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38"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jc w:val="left"/>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widowControl/>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加强八公山风景区旅游发展工作</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加强风景区内旅游景点的日常监管</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widowControl/>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加强风景区内旅游配套设施维护、景区创建等工作</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widowControl/>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加强招商引资工作</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20"/>
                <w:szCs w:val="20"/>
                <w:lang w:bidi="ar"/>
              </w:rPr>
              <w:t>寿县八公山风景区旅游发展等工作正常开展</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20"/>
                <w:szCs w:val="20"/>
                <w:lang w:bidi="ar"/>
              </w:rPr>
              <w:t>202</w:t>
            </w:r>
            <w:r>
              <w:rPr>
                <w:rFonts w:hint="eastAsia" w:ascii="宋体" w:hAnsi="宋体" w:cs="宋体"/>
                <w:color w:val="000000"/>
                <w:kern w:val="0"/>
                <w:sz w:val="20"/>
                <w:szCs w:val="20"/>
                <w:lang w:val="en-US" w:eastAsia="zh-CN" w:bidi="ar"/>
              </w:rPr>
              <w:t>4</w:t>
            </w:r>
            <w:r>
              <w:rPr>
                <w:rFonts w:hint="eastAsia" w:ascii="宋体" w:hAnsi="宋体" w:cs="宋体"/>
                <w:color w:val="000000"/>
                <w:kern w:val="0"/>
                <w:sz w:val="20"/>
                <w:szCs w:val="20"/>
                <w:lang w:bidi="ar"/>
              </w:rPr>
              <w:t>年度</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widowControl/>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风景区发展、管理等工作经费</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40万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景区内配套设施的维护、环境卫生、创建工作经费</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5.6万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widowControl/>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创建5A景区，提升景区景点知名度、美誉度</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widowControl/>
              <w:jc w:val="left"/>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提升景区旅游行业服务质量</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20"/>
                <w:szCs w:val="20"/>
                <w:lang w:bidi="ar"/>
              </w:rPr>
              <w:t>提升景区内旅游环境</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restart"/>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20"/>
                <w:szCs w:val="20"/>
                <w:lang w:bidi="ar"/>
              </w:rPr>
              <w:t>保护八公山风景区生态环境，持续发展旅游业</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8" w:type="dxa"/>
            <w:vMerge w:val="continue"/>
            <w:noWrap w:val="0"/>
            <w:vAlign w:val="center"/>
          </w:tcPr>
          <w:p>
            <w:pPr>
              <w:spacing w:line="260" w:lineRule="exact"/>
              <w:jc w:val="center"/>
              <w:rPr>
                <w:rFonts w:ascii="宋体" w:cs="宋体"/>
                <w:sz w:val="18"/>
                <w:szCs w:val="18"/>
              </w:rPr>
            </w:pPr>
          </w:p>
        </w:tc>
        <w:tc>
          <w:tcPr>
            <w:tcW w:w="723" w:type="dxa"/>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spacing w:line="260" w:lineRule="exact"/>
              <w:jc w:val="left"/>
              <w:textAlignment w:val="center"/>
              <w:rPr>
                <w:rFonts w:hint="eastAsia" w:ascii="宋体" w:hAnsi="宋体" w:cs="宋体"/>
                <w:sz w:val="18"/>
                <w:szCs w:val="18"/>
              </w:rPr>
            </w:pPr>
            <w:r>
              <w:rPr>
                <w:rFonts w:hint="eastAsia" w:ascii="宋体" w:hAnsi="宋体" w:cs="宋体"/>
                <w:color w:val="000000"/>
                <w:kern w:val="0"/>
                <w:sz w:val="20"/>
                <w:szCs w:val="20"/>
                <w:lang w:bidi="ar"/>
              </w:rPr>
              <w:t>游客满意度</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eastAsia="zh-CN"/>
              </w:rPr>
              <w:t>≥</w:t>
            </w:r>
            <w:r>
              <w:rPr>
                <w:rFonts w:hint="eastAsia" w:ascii="宋体" w:cs="宋体"/>
                <w:sz w:val="18"/>
                <w:szCs w:val="18"/>
                <w:lang w:val="en-US" w:eastAsia="zh-CN"/>
              </w:rPr>
              <w:t>80%</w:t>
            </w:r>
          </w:p>
        </w:tc>
      </w:tr>
    </w:tbl>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为非参照公务员法管理的事业单位，按照部门预算机关运行经费口径，2024年无机关运行经费财政拨款预算。</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2024年政府采购预算</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截至2023年12月31日，</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1</w:t>
      </w:r>
      <w:r>
        <w:rPr>
          <w:rFonts w:hint="eastAsia" w:ascii="仿宋_GB2312" w:hAnsi="TimesNewRoman" w:eastAsia="仿宋_GB2312" w:cs="TimesNewRoman"/>
          <w:sz w:val="32"/>
          <w:szCs w:val="32"/>
        </w:rPr>
        <w:t>辆，其中：其他用车</w:t>
      </w:r>
      <w:r>
        <w:rPr>
          <w:rFonts w:hint="eastAsia" w:ascii="仿宋_GB2312" w:hAnsi="TimesNewRoman" w:eastAsia="仿宋_GB2312" w:cs="TimesNewRoman"/>
          <w:sz w:val="32"/>
          <w:szCs w:val="32"/>
          <w:lang w:val="en-US" w:eastAsia="zh-CN"/>
        </w:rPr>
        <w:t>1</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2024年部门</w:t>
      </w:r>
      <w:r>
        <w:rPr>
          <w:rFonts w:hint="eastAsia" w:ascii="仿宋_GB2312" w:hAnsi="TimesNewRoman" w:eastAsia="仿宋_GB2312" w:cs="TimesNewRoman"/>
          <w:sz w:val="32"/>
          <w:szCs w:val="32"/>
          <w:u w:val="single"/>
        </w:rPr>
        <w:t>（单位）</w:t>
      </w:r>
      <w:r>
        <w:rPr>
          <w:rFonts w:hint="eastAsia" w:ascii="仿宋_GB2312" w:hAnsi="TimesNewRoman" w:eastAsia="仿宋_GB2312" w:cs="TimesNewRoman"/>
          <w:sz w:val="32"/>
          <w:szCs w:val="32"/>
        </w:rPr>
        <w:t>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2024年，</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eastAsia="zh-CN"/>
        </w:rPr>
        <w:t>八公山风景区管理处</w:t>
      </w:r>
      <w:r>
        <w:rPr>
          <w:rFonts w:hint="eastAsia" w:ascii="仿宋_GB2312" w:hAnsi="TimesNewRoman" w:eastAsia="仿宋_GB2312" w:cs="TimesNewRoman"/>
          <w:sz w:val="32"/>
          <w:szCs w:val="32"/>
          <w:lang w:val="en-US" w:eastAsia="zh-CN"/>
        </w:rPr>
        <w:t>1</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45.6</w:t>
      </w:r>
      <w:r>
        <w:rPr>
          <w:rFonts w:hint="eastAsia" w:ascii="仿宋_GB2312" w:hAnsi="TimesNewRoman" w:eastAsia="仿宋_GB2312" w:cs="TimesNewRoman"/>
          <w:sz w:val="32"/>
          <w:szCs w:val="32"/>
        </w:rPr>
        <w:t>万元、政府性基金预算当年财政拨款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万元和单位资金当年安排*.*万元。</w:t>
      </w:r>
    </w:p>
    <w:p>
      <w:pPr>
        <w:topLinePunct/>
        <w:adjustRightInd w:val="0"/>
        <w:snapToGrid w:val="0"/>
        <w:spacing w:line="560" w:lineRule="exact"/>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第四部分 名词解释</w:t>
      </w:r>
    </w:p>
    <w:p>
      <w:pPr>
        <w:topLinePunct/>
        <w:adjustRightInd w:val="0"/>
        <w:snapToGrid w:val="0"/>
        <w:spacing w:line="560" w:lineRule="exact"/>
        <w:rPr>
          <w:rFonts w:ascii="TimesNewRoman" w:hAnsi="TimesNewRoman" w:eastAsia="黑体" w:cs="TimesNewRoman"/>
          <w:szCs w:val="32"/>
        </w:rPr>
      </w:pPr>
    </w:p>
    <w:p>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指部门或单位从同级财政部门取得的财政预算资金。</w:t>
      </w:r>
    </w:p>
    <w:p>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三、财政专户管理资金：</w:t>
      </w:r>
      <w:r>
        <w:rPr>
          <w:rFonts w:ascii="TimesNewRoman" w:hAnsi="TimesNewRoman" w:eastAsia="仿宋_GB2312" w:cs="TimesNewRoman"/>
          <w:sz w:val="32"/>
          <w:szCs w:val="32"/>
        </w:rPr>
        <w:t>指按照非税收入管理相关规定，纳入财政专户管理的教育收费等。</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四、事业单位经营收入：</w:t>
      </w:r>
      <w:r>
        <w:rPr>
          <w:rFonts w:ascii="TimesNewRoman" w:hAnsi="TimesNewRoman" w:eastAsia="仿宋_GB2312" w:cs="TimesNewRoman"/>
          <w:sz w:val="32"/>
          <w:szCs w:val="32"/>
        </w:rPr>
        <w:t>指事业单位在专业业务活动及其辅助活动之外开展非独立核算经营活动取得的收入。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五、附属单位上缴收入：</w:t>
      </w:r>
      <w:r>
        <w:rPr>
          <w:rFonts w:ascii="TimesNewRoman" w:hAnsi="TimesNewRoman" w:eastAsia="仿宋_GB2312" w:cs="TimesNewRoman"/>
          <w:sz w:val="32"/>
          <w:szCs w:val="32"/>
        </w:rPr>
        <w:t>本单位所属下级单位上缴给本单位的全部收入。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六、上年结转：</w:t>
      </w:r>
      <w:r>
        <w:rPr>
          <w:rFonts w:ascii="TimesNewRoman" w:hAnsi="TimesNewRoman" w:eastAsia="仿宋_GB2312" w:cs="TimesNewRoman"/>
          <w:sz w:val="32"/>
          <w:szCs w:val="32"/>
        </w:rPr>
        <w:t>指以前年度安排、结转到本年仍按原用途继续使用的资金。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八、基本支出：</w:t>
      </w:r>
      <w:r>
        <w:rPr>
          <w:rFonts w:ascii="TimesNewRoman" w:hAnsi="TimesNewRoman" w:eastAsia="仿宋_GB2312" w:cs="TimesNewRoman"/>
          <w:sz w:val="32"/>
          <w:szCs w:val="32"/>
        </w:rPr>
        <w:t>指为保障机构正常运转、完成日常工作任务而发生的人员支出和公用支出。</w:t>
      </w:r>
    </w:p>
    <w:p>
      <w:pPr>
        <w:pStyle w:val="3"/>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十一、一般公共服务支出（类）财政事务（款）财政国库业务：</w:t>
      </w:r>
      <w:r>
        <w:rPr>
          <w:rFonts w:ascii="TimesNewRoman" w:hAnsi="TimesNewRoman" w:eastAsia="仿宋_GB2312" w:cs="TimesNewRoman"/>
          <w:sz w:val="32"/>
          <w:szCs w:val="32"/>
        </w:rPr>
        <w:t>反映</w:t>
      </w:r>
      <w:r>
        <w:rPr>
          <w:rFonts w:hint="eastAsia" w:ascii="TimesNewRoman" w:hAnsi="TimesNewRoman" w:eastAsia="仿宋_GB2312" w:cs="TimesNewRoman"/>
          <w:sz w:val="32"/>
          <w:szCs w:val="32"/>
        </w:rPr>
        <w:t>县</w:t>
      </w:r>
      <w:r>
        <w:rPr>
          <w:rFonts w:hint="eastAsia" w:ascii="TimesNewRoman" w:hAnsi="TimesNewRoman" w:eastAsia="仿宋_GB2312" w:cs="TimesNewRoman"/>
          <w:sz w:val="32"/>
          <w:szCs w:val="32"/>
          <w:u w:val="single"/>
        </w:rPr>
        <w:t>财政局</w:t>
      </w:r>
      <w:r>
        <w:rPr>
          <w:rFonts w:ascii="TimesNewRoman" w:hAnsi="TimesNewRoman" w:eastAsia="仿宋_GB2312" w:cs="TimesNewRoman"/>
          <w:sz w:val="32"/>
          <w:szCs w:val="32"/>
        </w:rPr>
        <w:t>用于国库集中收付业务方面的支出。（</w:t>
      </w:r>
      <w:r>
        <w:rPr>
          <w:rFonts w:ascii="TimesNewRoman" w:hAnsi="TimesNewRoman" w:eastAsia="楷体_GB2312" w:cs="TimesNewRoman"/>
          <w:sz w:val="32"/>
          <w:szCs w:val="32"/>
        </w:rPr>
        <w:t>根据部门预算实际对重要的支出功能科目进行解释</w:t>
      </w:r>
      <w:r>
        <w:rPr>
          <w:rFonts w:ascii="TimesNewRoman" w:hAnsi="TimesNewRoman" w:eastAsia="仿宋_GB2312" w:cs="TimesNewRoman"/>
          <w:sz w:val="32"/>
          <w:szCs w:val="32"/>
        </w:rPr>
        <w:t>）</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十二、</w:t>
      </w:r>
      <w:r>
        <w:rPr>
          <w:rFonts w:ascii="TimesNewRoman" w:hAnsi="TimesNewRoman" w:eastAsia="仿宋_GB2312" w:cs="TimesNewRoman"/>
          <w:sz w:val="32"/>
          <w:szCs w:val="32"/>
        </w:rPr>
        <w:t>……。</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TimesNewRoman" w:hAnsi="TimesNewRoman" w:eastAsia="仿宋_GB2312" w:cs="TimesNewRoman"/>
          <w:sz w:val="32"/>
          <w:szCs w:val="32"/>
        </w:rPr>
        <w:t>……</w:t>
      </w:r>
    </w:p>
    <w:p>
      <w:pPr>
        <w:pStyle w:val="3"/>
        <w:topLinePunct/>
        <w:spacing w:beforeAutospacing="0" w:afterAutospacing="0" w:line="560" w:lineRule="exact"/>
        <w:ind w:firstLine="480" w:firstLineChars="150"/>
        <w:jc w:val="both"/>
        <w:rPr>
          <w:rFonts w:hint="eastAsia" w:ascii="TimesNewRoman" w:hAnsi="TimesNewRoman" w:eastAsia="楷体_GB2312" w:cs="TimesNewRoman"/>
          <w:sz w:val="32"/>
          <w:szCs w:val="32"/>
          <w:lang w:eastAsia="zh-CN"/>
        </w:rPr>
        <w:sectPr>
          <w:pgSz w:w="11907" w:h="16840"/>
          <w:pgMar w:top="2098" w:right="1474" w:bottom="1985" w:left="1588" w:header="851" w:footer="1021" w:gutter="0"/>
          <w:cols w:space="425" w:num="1"/>
          <w:docGrid w:type="lines" w:linePitch="312" w:charSpace="0"/>
        </w:sectPr>
      </w:pPr>
      <w:r>
        <w:rPr>
          <w:rFonts w:ascii="TimesNewRoman" w:hAnsi="TimesNewRoman" w:eastAsia="楷体_GB2312" w:cs="TimesNewRoman"/>
          <w:sz w:val="32"/>
          <w:szCs w:val="32"/>
        </w:rPr>
        <w:t>（各部门、单位均应公开名词解释，并可根据实际情况增减</w:t>
      </w:r>
    </w:p>
    <w:p/>
    <w:sectPr>
      <w:footerReference r:id="rId5" w:type="default"/>
      <w:type w:val="oddPage"/>
      <w:pgSz w:w="11907" w:h="16840"/>
      <w:pgMar w:top="2098" w:right="1474" w:bottom="1985" w:left="1588" w:header="85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NewRoman">
    <w:altName w:val="Simplified Arabic"/>
    <w:panose1 w:val="02020603050405020304"/>
    <w:charset w:val="00"/>
    <w:family w:val="auto"/>
    <w:pitch w:val="default"/>
    <w:sig w:usb0="00000000" w:usb1="00000000" w:usb2="00000029" w:usb3="00000000" w:csb0="600001FF" w:csb1="FFFF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中秀体简">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Simplified Arabic">
    <w:panose1 w:val="02020603050405020304"/>
    <w:charset w:val="00"/>
    <w:family w:val="auto"/>
    <w:pitch w:val="default"/>
    <w:sig w:usb0="00002003" w:usb1="00000000" w:usb2="00000000" w:usb3="00000000" w:csb0="00000041" w:csb1="200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37</w:t>
    </w:r>
    <w:r>
      <w:rPr>
        <w:sz w:val="28"/>
        <w:szCs w:val="28"/>
      </w:rPr>
      <w:fldChar w:fldCharType="end"/>
    </w:r>
    <w:r>
      <w:rPr>
        <w:rFonts w:hint="eastAsia"/>
        <w:sz w:val="28"/>
        <w:szCs w:val="28"/>
      </w:rPr>
      <w:t xml:space="preserve"> </w:t>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38</w:t>
    </w:r>
    <w:r>
      <w:rPr>
        <w:rFonts w:hint="eastAsia" w:ascii="宋体" w:hAnsi="宋体"/>
        <w:sz w:val="28"/>
        <w:szCs w:val="28"/>
      </w:rPr>
      <w:fldChar w:fldCharType="end"/>
    </w:r>
    <w:r>
      <w:rPr>
        <w:rFonts w:hint="eastAsia" w:ascii="宋体" w:hAnsi="宋体"/>
        <w:sz w:val="28"/>
        <w:szCs w:val="28"/>
      </w:rPr>
      <w:t xml:space="preserve"> —</w: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mMmM0N2NlNDM4ZTljMDY2MDZiN2Q3YWYyZWY5ZTYifQ=="/>
  </w:docVars>
  <w:rsids>
    <w:rsidRoot w:val="34C97AC9"/>
    <w:rsid w:val="032228D7"/>
    <w:rsid w:val="144B3C98"/>
    <w:rsid w:val="273F5FAC"/>
    <w:rsid w:val="3257501F"/>
    <w:rsid w:val="34C97AC9"/>
    <w:rsid w:val="4D1A7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2024-01-16T02:39:00Z</dcterms:created>
  <dc:creator>二蛋</dc:creator>
  <cp:lastModifiedBy>Administrator</cp:lastModifiedBy>
  <dcterms:modified xsi:type="dcterms:W3CDTF">2024-01-25T03:31:42Z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AB12261BCF484B528A5866483B2ED966_11</vt:lpwstr>
  </property>
</Properties>
</file>