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5" w:type="dxa"/>
        <w:jc w:val="center"/>
        <w:tblLayout w:type="fixed"/>
        <w:tblLook w:val="0000"/>
      </w:tblPr>
      <w:tblGrid>
        <w:gridCol w:w="567"/>
        <w:gridCol w:w="1690"/>
        <w:gridCol w:w="6801"/>
        <w:gridCol w:w="1487"/>
      </w:tblGrid>
      <w:tr w:rsidR="008B56AA" w:rsidTr="008B56AA">
        <w:trPr>
          <w:trHeight w:val="525"/>
          <w:jc w:val="center"/>
        </w:trPr>
        <w:tc>
          <w:tcPr>
            <w:tcW w:w="567" w:type="dxa"/>
            <w:tcBorders>
              <w:top w:val="single" w:sz="4" w:space="0" w:color="auto"/>
              <w:left w:val="single" w:sz="4" w:space="0" w:color="auto"/>
              <w:bottom w:val="single" w:sz="4" w:space="0" w:color="auto"/>
              <w:right w:val="single" w:sz="4" w:space="0" w:color="auto"/>
            </w:tcBorders>
            <w:vAlign w:val="center"/>
          </w:tcPr>
          <w:p w:rsidR="008B56AA" w:rsidRDefault="008B56AA" w:rsidP="00C925BD">
            <w:pPr>
              <w:widowControl/>
              <w:jc w:val="center"/>
              <w:rPr>
                <w:rFonts w:ascii="宋体" w:hAnsi="宋体" w:cs="宋体"/>
                <w:b/>
                <w:bCs/>
                <w:kern w:val="0"/>
                <w:sz w:val="24"/>
              </w:rPr>
            </w:pPr>
            <w:r>
              <w:rPr>
                <w:rFonts w:ascii="宋体" w:hAnsi="宋体" w:cs="宋体" w:hint="eastAsia"/>
                <w:b/>
                <w:bCs/>
                <w:kern w:val="0"/>
                <w:sz w:val="24"/>
              </w:rPr>
              <w:t>序</w:t>
            </w:r>
            <w:r>
              <w:rPr>
                <w:rFonts w:ascii="宋体" w:hAnsi="宋体" w:cs="宋体" w:hint="eastAsia"/>
                <w:b/>
                <w:bCs/>
                <w:kern w:val="0"/>
                <w:sz w:val="24"/>
              </w:rPr>
              <w:br/>
              <w:t>号</w:t>
            </w:r>
          </w:p>
        </w:tc>
        <w:tc>
          <w:tcPr>
            <w:tcW w:w="1690" w:type="dxa"/>
            <w:tcBorders>
              <w:top w:val="single" w:sz="4" w:space="0" w:color="auto"/>
              <w:left w:val="nil"/>
              <w:bottom w:val="single" w:sz="4" w:space="0" w:color="auto"/>
              <w:right w:val="single" w:sz="4" w:space="0" w:color="auto"/>
            </w:tcBorders>
            <w:vAlign w:val="center"/>
          </w:tcPr>
          <w:p w:rsidR="008B56AA" w:rsidRDefault="008B56AA" w:rsidP="00C925BD">
            <w:pPr>
              <w:widowControl/>
              <w:jc w:val="center"/>
              <w:rPr>
                <w:rFonts w:ascii="宋体" w:hAnsi="宋体" w:cs="宋体"/>
                <w:b/>
                <w:bCs/>
                <w:kern w:val="0"/>
                <w:sz w:val="24"/>
              </w:rPr>
            </w:pPr>
            <w:r>
              <w:rPr>
                <w:rFonts w:ascii="宋体" w:hAnsi="宋体" w:cs="宋体"/>
                <w:b/>
                <w:bCs/>
                <w:kern w:val="0"/>
                <w:sz w:val="24"/>
              </w:rPr>
              <w:t>产品名称</w:t>
            </w:r>
          </w:p>
        </w:tc>
        <w:tc>
          <w:tcPr>
            <w:tcW w:w="6801" w:type="dxa"/>
            <w:tcBorders>
              <w:top w:val="single" w:sz="4" w:space="0" w:color="auto"/>
              <w:left w:val="nil"/>
              <w:bottom w:val="single" w:sz="4" w:space="0" w:color="auto"/>
              <w:right w:val="single" w:sz="4" w:space="0" w:color="auto"/>
            </w:tcBorders>
            <w:vAlign w:val="center"/>
          </w:tcPr>
          <w:p w:rsidR="008B56AA" w:rsidRDefault="008B56AA" w:rsidP="00C925BD">
            <w:pPr>
              <w:widowControl/>
              <w:jc w:val="center"/>
              <w:rPr>
                <w:rFonts w:ascii="宋体" w:hAnsi="宋体" w:cs="宋体"/>
                <w:b/>
                <w:bCs/>
                <w:kern w:val="0"/>
                <w:sz w:val="24"/>
              </w:rPr>
            </w:pPr>
            <w:r>
              <w:rPr>
                <w:rFonts w:ascii="宋体" w:hAnsi="宋体" w:cs="宋体" w:hint="eastAsia"/>
                <w:b/>
                <w:bCs/>
                <w:kern w:val="0"/>
                <w:sz w:val="24"/>
              </w:rPr>
              <w:t>规格型号及技术要求</w:t>
            </w:r>
          </w:p>
        </w:tc>
        <w:tc>
          <w:tcPr>
            <w:tcW w:w="1487" w:type="dxa"/>
            <w:tcBorders>
              <w:top w:val="single" w:sz="4" w:space="0" w:color="auto"/>
              <w:left w:val="nil"/>
              <w:bottom w:val="single" w:sz="4" w:space="0" w:color="auto"/>
              <w:right w:val="single" w:sz="4" w:space="0" w:color="auto"/>
            </w:tcBorders>
            <w:vAlign w:val="center"/>
          </w:tcPr>
          <w:p w:rsidR="008B56AA" w:rsidRDefault="008B56AA" w:rsidP="008B56AA">
            <w:pPr>
              <w:widowControl/>
              <w:jc w:val="center"/>
              <w:rPr>
                <w:rFonts w:ascii="宋体" w:hAnsi="宋体" w:cs="宋体"/>
                <w:b/>
                <w:bCs/>
                <w:kern w:val="0"/>
                <w:sz w:val="24"/>
              </w:rPr>
            </w:pPr>
            <w:r>
              <w:rPr>
                <w:rFonts w:ascii="宋体" w:hAnsi="宋体" w:cs="宋体" w:hint="eastAsia"/>
                <w:b/>
                <w:bCs/>
                <w:kern w:val="0"/>
                <w:sz w:val="24"/>
              </w:rPr>
              <w:t>数量（只）</w:t>
            </w:r>
          </w:p>
        </w:tc>
      </w:tr>
      <w:tr w:rsidR="008B56AA" w:rsidTr="008B56AA">
        <w:trPr>
          <w:trHeight w:val="1435"/>
          <w:jc w:val="center"/>
        </w:trPr>
        <w:tc>
          <w:tcPr>
            <w:tcW w:w="567" w:type="dxa"/>
            <w:tcBorders>
              <w:top w:val="nil"/>
              <w:left w:val="single" w:sz="4" w:space="0" w:color="auto"/>
              <w:bottom w:val="single" w:sz="4" w:space="0" w:color="auto"/>
              <w:right w:val="single" w:sz="4" w:space="0" w:color="auto"/>
            </w:tcBorders>
            <w:vAlign w:val="center"/>
          </w:tcPr>
          <w:p w:rsidR="008B56AA" w:rsidRDefault="008B56AA" w:rsidP="00C925BD">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w:t>
            </w:r>
          </w:p>
        </w:tc>
        <w:tc>
          <w:tcPr>
            <w:tcW w:w="1690" w:type="dxa"/>
            <w:tcBorders>
              <w:top w:val="nil"/>
              <w:left w:val="nil"/>
              <w:bottom w:val="single" w:sz="4" w:space="0" w:color="auto"/>
              <w:right w:val="single" w:sz="4" w:space="0" w:color="auto"/>
            </w:tcBorders>
            <w:vAlign w:val="center"/>
          </w:tcPr>
          <w:p w:rsidR="008B56AA" w:rsidRDefault="008B56AA" w:rsidP="00C925BD">
            <w:pPr>
              <w:widowControl/>
              <w:spacing w:line="360" w:lineRule="auto"/>
              <w:rPr>
                <w:rFonts w:ascii="宋体" w:hAnsi="宋体" w:cs="宋体"/>
                <w:color w:val="000000"/>
                <w:kern w:val="0"/>
                <w:szCs w:val="21"/>
              </w:rPr>
            </w:pPr>
            <w:r>
              <w:rPr>
                <w:rFonts w:ascii="宋体" w:hAnsi="宋体" w:cs="宋体" w:hint="eastAsia"/>
                <w:color w:val="000000"/>
                <w:kern w:val="0"/>
                <w:szCs w:val="21"/>
              </w:rPr>
              <w:t>垃圾桶（单桶型）</w:t>
            </w:r>
          </w:p>
        </w:tc>
        <w:tc>
          <w:tcPr>
            <w:tcW w:w="6801" w:type="dxa"/>
            <w:tcBorders>
              <w:top w:val="nil"/>
              <w:left w:val="nil"/>
              <w:bottom w:val="single" w:sz="4" w:space="0" w:color="auto"/>
              <w:right w:val="single" w:sz="4" w:space="0" w:color="auto"/>
            </w:tcBorders>
            <w:vAlign w:val="center"/>
          </w:tcPr>
          <w:p w:rsidR="008B56AA" w:rsidRDefault="008B56AA" w:rsidP="00C925BD">
            <w:pPr>
              <w:ind w:leftChars="-5" w:left="1" w:hangingChars="5" w:hanging="11"/>
              <w:rPr>
                <w:rFonts w:ascii="宋体" w:hAnsi="宋体"/>
                <w:b/>
                <w:szCs w:val="21"/>
              </w:rPr>
            </w:pPr>
            <w:r>
              <w:rPr>
                <w:rFonts w:ascii="宋体" w:hAnsi="宋体" w:hint="eastAsia"/>
                <w:b/>
                <w:szCs w:val="21"/>
              </w:rPr>
              <w:t>1、规格型号</w:t>
            </w:r>
          </w:p>
          <w:p w:rsidR="008B56AA" w:rsidRDefault="008B56AA" w:rsidP="00C925BD">
            <w:pPr>
              <w:widowControl/>
              <w:spacing w:line="360" w:lineRule="auto"/>
              <w:jc w:val="left"/>
              <w:rPr>
                <w:rFonts w:ascii="宋体" w:hAnsi="宋体" w:cs="Arial"/>
                <w:szCs w:val="21"/>
              </w:rPr>
            </w:pPr>
            <w:r>
              <w:rPr>
                <w:rFonts w:ascii="宋体" w:hAnsi="宋体" w:cs="宋体" w:hint="eastAsia"/>
                <w:kern w:val="0"/>
                <w:szCs w:val="21"/>
              </w:rPr>
              <w:t>1.</w:t>
            </w:r>
            <w:r>
              <w:rPr>
                <w:rFonts w:ascii="宋体" w:hAnsi="宋体" w:cs="宋体"/>
                <w:kern w:val="0"/>
                <w:szCs w:val="21"/>
              </w:rPr>
              <w:t>1、产品外形尺寸：</w:t>
            </w:r>
            <w:r>
              <w:rPr>
                <w:rFonts w:ascii="宋体" w:hAnsi="宋体" w:cs="Arial" w:hint="eastAsia"/>
                <w:szCs w:val="21"/>
              </w:rPr>
              <w:t>长720mm×宽580mm×高1070mm</w:t>
            </w:r>
            <w:r>
              <w:rPr>
                <w:rFonts w:ascii="宋体" w:hAnsi="宋体" w:cs="宋体"/>
                <w:kern w:val="0"/>
                <w:szCs w:val="21"/>
              </w:rPr>
              <w:t>±</w:t>
            </w:r>
            <w:r>
              <w:rPr>
                <w:rFonts w:ascii="宋体" w:hAnsi="宋体" w:cs="宋体" w:hint="eastAsia"/>
                <w:kern w:val="0"/>
                <w:szCs w:val="21"/>
              </w:rPr>
              <w:t>100㎜</w:t>
            </w:r>
            <w:r w:rsidRPr="001E7A73">
              <w:rPr>
                <w:rFonts w:ascii="宋体" w:hAnsi="宋体" w:cs="宋体" w:hint="eastAsia"/>
                <w:kern w:val="0"/>
                <w:szCs w:val="21"/>
              </w:rPr>
              <w:t>（±10%）</w:t>
            </w:r>
            <w:r>
              <w:rPr>
                <w:rFonts w:ascii="宋体" w:hAnsi="宋体" w:cs="宋体" w:hint="eastAsia"/>
                <w:kern w:val="0"/>
                <w:szCs w:val="21"/>
              </w:rPr>
              <w:t>。</w:t>
            </w:r>
            <w:r>
              <w:rPr>
                <w:rFonts w:ascii="宋体" w:hAnsi="宋体" w:cs="Arial" w:hint="eastAsia"/>
                <w:szCs w:val="21"/>
              </w:rPr>
              <w:t>(产品能与寿县城市环卫卫生管理所现有的中联和福龙马压缩车翻转机匹配)。</w:t>
            </w:r>
          </w:p>
          <w:p w:rsidR="008B56AA" w:rsidRDefault="008B56AA" w:rsidP="00C925BD">
            <w:pPr>
              <w:widowControl/>
              <w:spacing w:line="360" w:lineRule="auto"/>
              <w:jc w:val="left"/>
              <w:rPr>
                <w:rFonts w:ascii="宋体" w:hAnsi="宋体" w:cs="Arial"/>
                <w:szCs w:val="21"/>
              </w:rPr>
            </w:pPr>
            <w:r>
              <w:rPr>
                <w:rFonts w:ascii="宋体" w:hAnsi="宋体" w:cs="Arial" w:hint="eastAsia"/>
                <w:szCs w:val="21"/>
              </w:rPr>
              <w:t>1.2、型号：容积</w:t>
            </w:r>
            <w:r w:rsidRPr="001E7A73">
              <w:rPr>
                <w:rFonts w:ascii="宋体" w:hAnsi="宋体" w:cs="Arial" w:hint="eastAsia"/>
                <w:szCs w:val="21"/>
              </w:rPr>
              <w:t>≥240升</w:t>
            </w:r>
            <w:r>
              <w:rPr>
                <w:rFonts w:ascii="宋体" w:hAnsi="宋体" w:cs="Arial" w:hint="eastAsia"/>
                <w:szCs w:val="21"/>
              </w:rPr>
              <w:t>.</w:t>
            </w:r>
          </w:p>
          <w:p w:rsidR="008B56AA" w:rsidRDefault="008B56AA" w:rsidP="00C925BD">
            <w:pPr>
              <w:widowControl/>
              <w:spacing w:line="360" w:lineRule="auto"/>
              <w:ind w:leftChars="-5" w:left="-10" w:firstLineChars="5" w:firstLine="11"/>
              <w:jc w:val="left"/>
              <w:rPr>
                <w:rFonts w:ascii="宋体" w:hAnsi="宋体" w:cs="宋体"/>
                <w:kern w:val="0"/>
                <w:szCs w:val="21"/>
              </w:rPr>
            </w:pPr>
            <w:r>
              <w:rPr>
                <w:rFonts w:ascii="宋体" w:hAnsi="宋体" w:cs="宋体" w:hint="eastAsia"/>
                <w:b/>
                <w:kern w:val="0"/>
                <w:szCs w:val="21"/>
              </w:rPr>
              <w:t>2、材质及相关说明</w:t>
            </w:r>
          </w:p>
          <w:p w:rsidR="008B56AA" w:rsidRDefault="008B56AA" w:rsidP="00C925BD">
            <w:pPr>
              <w:widowControl/>
              <w:spacing w:line="360" w:lineRule="auto"/>
              <w:ind w:leftChars="-6" w:left="-3" w:hangingChars="5" w:hanging="10"/>
              <w:jc w:val="left"/>
              <w:rPr>
                <w:rFonts w:ascii="宋体" w:hAnsi="宋体" w:cs="宋体"/>
                <w:kern w:val="0"/>
                <w:szCs w:val="21"/>
              </w:rPr>
            </w:pPr>
            <w:r>
              <w:rPr>
                <w:rFonts w:ascii="宋体" w:hAnsi="宋体" w:cs="宋体" w:hint="eastAsia"/>
                <w:kern w:val="0"/>
                <w:szCs w:val="21"/>
              </w:rPr>
              <w:t>2.1</w:t>
            </w:r>
            <w:r>
              <w:rPr>
                <w:rFonts w:ascii="宋体" w:hAnsi="宋体" w:cs="宋体"/>
                <w:kern w:val="0"/>
                <w:szCs w:val="21"/>
              </w:rPr>
              <w:t>、</w:t>
            </w:r>
            <w:r>
              <w:rPr>
                <w:rFonts w:ascii="宋体" w:hAnsi="宋体" w:hint="eastAsia"/>
                <w:szCs w:val="21"/>
              </w:rPr>
              <w:t>所用原料为</w:t>
            </w:r>
            <w:r>
              <w:rPr>
                <w:rFonts w:ascii="宋体" w:hAnsi="宋体"/>
                <w:szCs w:val="21"/>
              </w:rPr>
              <w:t>100%</w:t>
            </w:r>
            <w:r>
              <w:rPr>
                <w:rFonts w:ascii="宋体" w:hAnsi="宋体" w:hint="eastAsia"/>
                <w:szCs w:val="21"/>
              </w:rPr>
              <w:t>新料，</w:t>
            </w:r>
            <w:r>
              <w:rPr>
                <w:rFonts w:ascii="宋体" w:hAnsi="宋体" w:cs="Arial" w:hint="eastAsia"/>
                <w:szCs w:val="21"/>
              </w:rPr>
              <w:t>一次性注塑而成。单桶重</w:t>
            </w:r>
            <w:r>
              <w:rPr>
                <w:rFonts w:ascii="宋体" w:hAnsi="宋体" w:hint="eastAsia"/>
                <w:szCs w:val="21"/>
              </w:rPr>
              <w:t>≥11kg（</w:t>
            </w:r>
            <w:r>
              <w:rPr>
                <w:rFonts w:ascii="宋体" w:hAnsi="宋体" w:cs="Arial" w:hint="eastAsia"/>
                <w:szCs w:val="21"/>
              </w:rPr>
              <w:t>不含盖子、轮、轴）。</w:t>
            </w:r>
            <w:r>
              <w:rPr>
                <w:rFonts w:ascii="宋体" w:hAnsi="宋体" w:hint="eastAsia"/>
                <w:szCs w:val="21"/>
              </w:rPr>
              <w:t>在桶身两侧有加强肋骨。桶盖与桶体为四销连接。</w:t>
            </w:r>
          </w:p>
          <w:p w:rsidR="008B56AA" w:rsidRDefault="008B56AA" w:rsidP="00C925BD">
            <w:pPr>
              <w:widowControl/>
              <w:spacing w:line="360" w:lineRule="auto"/>
              <w:jc w:val="left"/>
              <w:rPr>
                <w:rFonts w:ascii="宋体" w:hAnsi="宋体" w:cs="宋体"/>
                <w:kern w:val="0"/>
                <w:szCs w:val="21"/>
              </w:rPr>
            </w:pPr>
            <w:r>
              <w:rPr>
                <w:rFonts w:ascii="宋体" w:hAnsi="宋体" w:cs="宋体" w:hint="eastAsia"/>
                <w:b/>
                <w:kern w:val="0"/>
                <w:szCs w:val="21"/>
              </w:rPr>
              <w:t>2.2</w:t>
            </w:r>
            <w:r>
              <w:rPr>
                <w:rFonts w:ascii="宋体" w:hAnsi="宋体" w:cs="Arial" w:hint="eastAsia"/>
                <w:szCs w:val="21"/>
              </w:rPr>
              <w:t>轮轴采用Q235实心钢材料，</w:t>
            </w:r>
            <w:r>
              <w:rPr>
                <w:rFonts w:ascii="宋体" w:hAnsi="宋体" w:hint="eastAsia"/>
                <w:szCs w:val="21"/>
              </w:rPr>
              <w:t>重量≥</w:t>
            </w:r>
            <w:r>
              <w:rPr>
                <w:rFonts w:ascii="宋体" w:hAnsi="宋体"/>
                <w:szCs w:val="21"/>
              </w:rPr>
              <w:t>1.45kg</w:t>
            </w:r>
            <w:r>
              <w:rPr>
                <w:rFonts w:ascii="宋体" w:hAnsi="宋体" w:hint="eastAsia"/>
                <w:b/>
                <w:szCs w:val="21"/>
              </w:rPr>
              <w:t>，</w:t>
            </w:r>
            <w:r>
              <w:rPr>
                <w:rFonts w:ascii="宋体" w:hAnsi="宋体" w:hint="eastAsia"/>
                <w:szCs w:val="21"/>
              </w:rPr>
              <w:t>须经过电镀锌。</w:t>
            </w:r>
            <w:r>
              <w:rPr>
                <w:rFonts w:ascii="宋体" w:hAnsi="宋体" w:cs="Arial" w:hint="eastAsia"/>
                <w:szCs w:val="21"/>
              </w:rPr>
              <w:t>轮轴两端有六角螺母，外加防退插销。</w:t>
            </w:r>
          </w:p>
          <w:p w:rsidR="008B56AA" w:rsidRPr="001C234A" w:rsidRDefault="008B56AA" w:rsidP="00C925BD">
            <w:pPr>
              <w:spacing w:line="400" w:lineRule="exact"/>
              <w:rPr>
                <w:rFonts w:ascii="宋体" w:hAnsi="宋体"/>
                <w:szCs w:val="21"/>
              </w:rPr>
            </w:pPr>
            <w:r>
              <w:rPr>
                <w:rFonts w:ascii="宋体" w:hAnsi="宋体" w:cs="宋体" w:hint="eastAsia"/>
                <w:kern w:val="0"/>
                <w:szCs w:val="21"/>
              </w:rPr>
              <w:t>2.3</w:t>
            </w:r>
            <w:r>
              <w:rPr>
                <w:rFonts w:ascii="宋体" w:hAnsi="宋体" w:cs="宋体"/>
                <w:kern w:val="0"/>
                <w:szCs w:val="21"/>
              </w:rPr>
              <w:t>、</w:t>
            </w:r>
            <w:r>
              <w:rPr>
                <w:rFonts w:ascii="宋体" w:hAnsi="宋体" w:hint="eastAsia"/>
                <w:szCs w:val="21"/>
              </w:rPr>
              <w:t>桶身两侧文字、文字颜色和桶身正面宣传图案，由采购方指定；</w:t>
            </w:r>
          </w:p>
          <w:p w:rsidR="008B56AA" w:rsidRDefault="008B56AA" w:rsidP="00C925BD">
            <w:pPr>
              <w:rPr>
                <w:rFonts w:ascii="宋体" w:hAnsi="宋体"/>
                <w:szCs w:val="21"/>
              </w:rPr>
            </w:pPr>
            <w:r>
              <w:rPr>
                <w:rFonts w:ascii="宋体" w:hAnsi="宋体" w:hint="eastAsia"/>
                <w:b/>
                <w:szCs w:val="21"/>
              </w:rPr>
              <w:t>3、垃圾桶图片</w:t>
            </w:r>
            <w:r>
              <w:rPr>
                <w:rFonts w:ascii="宋体" w:hAnsi="宋体" w:hint="eastAsia"/>
                <w:szCs w:val="21"/>
              </w:rPr>
              <w:t>：投标产品需与此图片相同或基本相同</w:t>
            </w:r>
          </w:p>
          <w:p w:rsidR="008B56AA" w:rsidRDefault="008B56AA" w:rsidP="00C925BD">
            <w:pPr>
              <w:rPr>
                <w:rFonts w:ascii="Calibri" w:hAnsi="Calibri" w:cs="Calibri"/>
                <w:kern w:val="0"/>
                <w:szCs w:val="21"/>
              </w:rPr>
            </w:pPr>
          </w:p>
          <w:p w:rsidR="008B56AA" w:rsidRDefault="008B56AA" w:rsidP="00C925BD">
            <w:pPr>
              <w:jc w:val="center"/>
            </w:pPr>
            <w:r>
              <w:rPr>
                <w:rFonts w:ascii="宋体" w:hint="eastAsia"/>
                <w:noProof/>
                <w:sz w:val="24"/>
              </w:rPr>
              <w:drawing>
                <wp:inline distT="0" distB="0" distL="0" distR="0">
                  <wp:extent cx="1995805" cy="1797050"/>
                  <wp:effectExtent l="19050" t="0" r="4445" b="0"/>
                  <wp:docPr id="2" name="图片 2" descr="C:\Users\Administrator\Desktop\20160328_1059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C:\Users\Administrator\Desktop\20160328_105942.jpg"/>
                          <pic:cNvPicPr>
                            <a:picLocks noChangeArrowheads="1"/>
                          </pic:cNvPicPr>
                        </pic:nvPicPr>
                        <pic:blipFill>
                          <a:blip r:embed="rId6" cstate="print"/>
                          <a:srcRect/>
                          <a:stretch>
                            <a:fillRect/>
                          </a:stretch>
                        </pic:blipFill>
                        <pic:spPr bwMode="auto">
                          <a:xfrm>
                            <a:off x="0" y="0"/>
                            <a:ext cx="1995805" cy="1797050"/>
                          </a:xfrm>
                          <a:prstGeom prst="rect">
                            <a:avLst/>
                          </a:prstGeom>
                          <a:noFill/>
                          <a:ln w="9525">
                            <a:noFill/>
                            <a:miter lim="800000"/>
                            <a:headEnd/>
                            <a:tailEnd/>
                          </a:ln>
                        </pic:spPr>
                      </pic:pic>
                    </a:graphicData>
                  </a:graphic>
                </wp:inline>
              </w:drawing>
            </w:r>
          </w:p>
          <w:p w:rsidR="008B56AA" w:rsidRDefault="008B56AA" w:rsidP="00C925BD">
            <w:pPr>
              <w:widowControl/>
              <w:spacing w:line="360" w:lineRule="auto"/>
              <w:jc w:val="center"/>
              <w:rPr>
                <w:rFonts w:ascii="宋体" w:hAnsi="宋体" w:cs="宋体"/>
                <w:color w:val="000000"/>
                <w:kern w:val="0"/>
                <w:szCs w:val="21"/>
              </w:rPr>
            </w:pPr>
          </w:p>
        </w:tc>
        <w:tc>
          <w:tcPr>
            <w:tcW w:w="1487" w:type="dxa"/>
            <w:tcBorders>
              <w:top w:val="nil"/>
              <w:left w:val="nil"/>
              <w:bottom w:val="single" w:sz="4" w:space="0" w:color="auto"/>
              <w:right w:val="single" w:sz="4" w:space="0" w:color="auto"/>
            </w:tcBorders>
            <w:vAlign w:val="center"/>
          </w:tcPr>
          <w:p w:rsidR="008B56AA" w:rsidRDefault="008B56AA" w:rsidP="00C925BD">
            <w:pPr>
              <w:widowControl/>
              <w:jc w:val="center"/>
              <w:rPr>
                <w:rFonts w:ascii="宋体" w:hAnsi="宋体" w:cs="宋体"/>
                <w:color w:val="000000"/>
                <w:kern w:val="0"/>
                <w:szCs w:val="21"/>
              </w:rPr>
            </w:pPr>
            <w:r>
              <w:rPr>
                <w:rFonts w:ascii="宋体" w:hAnsi="宋体" w:cs="宋体" w:hint="eastAsia"/>
                <w:color w:val="000000"/>
                <w:kern w:val="0"/>
                <w:szCs w:val="21"/>
              </w:rPr>
              <w:t>200</w:t>
            </w:r>
          </w:p>
        </w:tc>
      </w:tr>
      <w:tr w:rsidR="00524CDD" w:rsidRPr="00702906" w:rsidTr="00C925BD">
        <w:trPr>
          <w:trHeight w:val="360"/>
          <w:jc w:val="center"/>
        </w:trPr>
        <w:tc>
          <w:tcPr>
            <w:tcW w:w="10545" w:type="dxa"/>
            <w:gridSpan w:val="4"/>
            <w:tcBorders>
              <w:top w:val="single" w:sz="4" w:space="0" w:color="auto"/>
              <w:left w:val="single" w:sz="4" w:space="0" w:color="auto"/>
              <w:bottom w:val="single" w:sz="4" w:space="0" w:color="auto"/>
              <w:right w:val="single" w:sz="4" w:space="0" w:color="auto"/>
            </w:tcBorders>
            <w:vAlign w:val="center"/>
          </w:tcPr>
          <w:p w:rsidR="00524CDD" w:rsidRPr="00DC2A8A" w:rsidRDefault="00524CDD" w:rsidP="00C925BD">
            <w:pPr>
              <w:rPr>
                <w:rFonts w:ascii="宋体" w:hAnsi="宋体" w:cs="Arial"/>
                <w:szCs w:val="21"/>
              </w:rPr>
            </w:pPr>
            <w:r>
              <w:rPr>
                <w:rFonts w:ascii="宋体" w:hAnsi="宋体" w:hint="eastAsia"/>
                <w:b/>
                <w:kern w:val="0"/>
                <w:sz w:val="24"/>
                <w:lang w:val="zh-CN"/>
              </w:rPr>
              <w:t xml:space="preserve">备注： </w:t>
            </w:r>
            <w:r w:rsidRPr="00DC2A8A">
              <w:rPr>
                <w:rFonts w:ascii="宋体" w:hAnsi="宋体" w:cs="Arial" w:hint="eastAsia"/>
                <w:szCs w:val="21"/>
              </w:rPr>
              <w:t>1、以上带参数必须响应,否则为无效报价。</w:t>
            </w:r>
          </w:p>
          <w:p w:rsidR="00524CDD" w:rsidRPr="00DC2A8A" w:rsidRDefault="00524CDD" w:rsidP="00C925BD">
            <w:pPr>
              <w:widowControl/>
              <w:ind w:firstLineChars="400" w:firstLine="840"/>
              <w:rPr>
                <w:rFonts w:ascii="宋体" w:hAnsi="宋体" w:cs="Arial"/>
                <w:szCs w:val="21"/>
              </w:rPr>
            </w:pPr>
            <w:r w:rsidRPr="00DC2A8A">
              <w:rPr>
                <w:rFonts w:ascii="宋体" w:hAnsi="宋体" w:cs="Arial" w:hint="eastAsia"/>
                <w:szCs w:val="21"/>
              </w:rPr>
              <w:t>2、供货时间为合同签订后</w:t>
            </w:r>
            <w:r w:rsidR="00A458E7">
              <w:rPr>
                <w:rFonts w:ascii="宋体" w:hAnsi="宋体" w:cs="Arial" w:hint="eastAsia"/>
                <w:szCs w:val="21"/>
              </w:rPr>
              <w:t>2</w:t>
            </w:r>
            <w:r w:rsidRPr="00DC2A8A">
              <w:rPr>
                <w:rFonts w:ascii="宋体" w:hAnsi="宋体" w:cs="Arial" w:hint="eastAsia"/>
                <w:szCs w:val="21"/>
              </w:rPr>
              <w:t>日内完成供货安装调试；</w:t>
            </w:r>
          </w:p>
          <w:p w:rsidR="00524CDD" w:rsidRPr="00DC2A8A" w:rsidRDefault="00524CDD" w:rsidP="00C925BD">
            <w:pPr>
              <w:widowControl/>
              <w:ind w:firstLineChars="400" w:firstLine="840"/>
              <w:rPr>
                <w:rFonts w:ascii="宋体" w:hAnsi="宋体" w:cs="Arial"/>
                <w:szCs w:val="21"/>
              </w:rPr>
            </w:pPr>
            <w:r w:rsidRPr="00DC2A8A">
              <w:rPr>
                <w:rFonts w:ascii="宋体" w:hAnsi="宋体" w:cs="Arial" w:hint="eastAsia"/>
                <w:szCs w:val="21"/>
              </w:rPr>
              <w:t>3、本项目为一整包，最高限价为人民币42000元人民币，超过最高限价的为无效报价。</w:t>
            </w:r>
          </w:p>
          <w:p w:rsidR="00524CDD" w:rsidRDefault="00524CDD" w:rsidP="00C925BD">
            <w:pPr>
              <w:spacing w:line="400" w:lineRule="exact"/>
              <w:rPr>
                <w:rFonts w:ascii="宋体" w:hAnsi="宋体" w:cs="宋体"/>
                <w:kern w:val="0"/>
                <w:szCs w:val="21"/>
              </w:rPr>
            </w:pPr>
            <w:r>
              <w:rPr>
                <w:rFonts w:ascii="宋体" w:hAnsi="宋体" w:cs="宋体" w:hint="eastAsia"/>
                <w:b/>
                <w:kern w:val="0"/>
                <w:szCs w:val="21"/>
              </w:rPr>
              <w:t>验收方式</w:t>
            </w:r>
            <w:r>
              <w:rPr>
                <w:rFonts w:ascii="宋体" w:hAnsi="宋体" w:cs="宋体" w:hint="eastAsia"/>
                <w:kern w:val="0"/>
                <w:szCs w:val="21"/>
              </w:rPr>
              <w:t>：</w:t>
            </w:r>
          </w:p>
          <w:p w:rsidR="00524CDD" w:rsidRDefault="00524CDD" w:rsidP="00C925BD">
            <w:pPr>
              <w:spacing w:line="400" w:lineRule="exact"/>
              <w:rPr>
                <w:rFonts w:ascii="宋体" w:hAnsi="宋体" w:cs="Arial"/>
                <w:szCs w:val="21"/>
              </w:rPr>
            </w:pPr>
            <w:r>
              <w:rPr>
                <w:rFonts w:ascii="宋体" w:hAnsi="宋体" w:hint="eastAsia"/>
                <w:szCs w:val="21"/>
              </w:rPr>
              <w:t>1</w:t>
            </w:r>
            <w:r>
              <w:rPr>
                <w:rFonts w:ascii="宋体" w:hAnsi="宋体" w:cs="Arial" w:hint="eastAsia"/>
                <w:szCs w:val="21"/>
              </w:rPr>
              <w:t>重量：现场称重测试。未达到要求重量，产品视为不合格。</w:t>
            </w:r>
          </w:p>
          <w:p w:rsidR="00524CDD" w:rsidRDefault="00524CDD" w:rsidP="00C925BD">
            <w:pPr>
              <w:spacing w:line="400" w:lineRule="exact"/>
              <w:rPr>
                <w:rFonts w:ascii="宋体" w:hAnsi="宋体" w:cs="Arial"/>
                <w:szCs w:val="21"/>
              </w:rPr>
            </w:pPr>
            <w:r>
              <w:rPr>
                <w:rFonts w:ascii="宋体" w:hAnsi="宋体" w:cs="Arial" w:hint="eastAsia"/>
                <w:szCs w:val="21"/>
              </w:rPr>
              <w:t>2桶体装有150公斤以上杂物，从5米高的位置零速度跌落，桶底着地（水泥地），桶体无开裂、无明显变形。</w:t>
            </w:r>
          </w:p>
          <w:p w:rsidR="00524CDD" w:rsidRDefault="00524CDD" w:rsidP="00C925BD">
            <w:pPr>
              <w:spacing w:line="400" w:lineRule="exact"/>
              <w:rPr>
                <w:rFonts w:ascii="宋体" w:hAnsi="宋体" w:cs="Arial"/>
                <w:szCs w:val="21"/>
              </w:rPr>
            </w:pPr>
            <w:r>
              <w:rPr>
                <w:rFonts w:ascii="宋体" w:hAnsi="宋体" w:cs="Arial" w:hint="eastAsia"/>
                <w:szCs w:val="21"/>
              </w:rPr>
              <w:t>3冲击试验:用10公斤大锤三次重击垃圾桶的表面、底部及铁轴，桶体无开裂。</w:t>
            </w:r>
          </w:p>
          <w:p w:rsidR="00524CDD" w:rsidRPr="00702906" w:rsidRDefault="00524CDD" w:rsidP="00C925BD">
            <w:pPr>
              <w:spacing w:line="400" w:lineRule="exact"/>
              <w:rPr>
                <w:rFonts w:ascii="宋体" w:hAnsi="宋体" w:cs="Arial"/>
                <w:szCs w:val="21"/>
              </w:rPr>
            </w:pPr>
            <w:r>
              <w:rPr>
                <w:rFonts w:ascii="宋体" w:hAnsi="宋体" w:cs="宋体" w:hint="eastAsia"/>
                <w:b/>
                <w:kern w:val="0"/>
                <w:szCs w:val="21"/>
              </w:rPr>
              <w:t>售后服务</w:t>
            </w:r>
            <w:r>
              <w:rPr>
                <w:rFonts w:ascii="宋体" w:hAnsi="宋体" w:cs="宋体" w:hint="eastAsia"/>
                <w:kern w:val="0"/>
                <w:szCs w:val="21"/>
              </w:rPr>
              <w:t>：</w:t>
            </w:r>
            <w:r>
              <w:rPr>
                <w:rFonts w:ascii="宋体" w:hAnsi="宋体" w:cs="Arial" w:hint="eastAsia"/>
                <w:szCs w:val="21"/>
              </w:rPr>
              <w:t>质保三年，质保期内如有明显损坏进行1:1调换（人为损坏除外）。</w:t>
            </w:r>
          </w:p>
        </w:tc>
      </w:tr>
    </w:tbl>
    <w:p w:rsidR="00D90400" w:rsidRDefault="00D90400">
      <w:pPr>
        <w:sectPr w:rsidR="00D90400" w:rsidSect="00464650">
          <w:pgSz w:w="11906" w:h="16838"/>
          <w:pgMar w:top="1440" w:right="1800" w:bottom="1440" w:left="1800" w:header="851" w:footer="992" w:gutter="0"/>
          <w:cols w:space="425"/>
          <w:docGrid w:type="lines" w:linePitch="312"/>
        </w:sectPr>
      </w:pPr>
    </w:p>
    <w:p w:rsidR="00D90400" w:rsidRDefault="00D90400" w:rsidP="00D90400">
      <w:pPr>
        <w:widowControl/>
        <w:tabs>
          <w:tab w:val="left" w:pos="3780"/>
        </w:tabs>
        <w:spacing w:line="300" w:lineRule="atLeast"/>
        <w:jc w:val="center"/>
        <w:rPr>
          <w:rFonts w:ascii="Arial" w:hAnsi="Arial" w:cs="Arial"/>
          <w:b/>
          <w:w w:val="90"/>
          <w:sz w:val="52"/>
          <w:szCs w:val="52"/>
        </w:rPr>
      </w:pPr>
      <w:r w:rsidRPr="001E2FF1">
        <w:rPr>
          <w:rFonts w:ascii="Arial" w:hAnsi="Arial" w:cs="Arial" w:hint="eastAsia"/>
          <w:b/>
          <w:w w:val="90"/>
          <w:sz w:val="52"/>
          <w:szCs w:val="52"/>
        </w:rPr>
        <w:lastRenderedPageBreak/>
        <w:t>双桥移民迁建小区物业用垃圾桶采购项目</w:t>
      </w:r>
      <w:r>
        <w:rPr>
          <w:rFonts w:ascii="Arial" w:hAnsi="Arial" w:cs="Arial" w:hint="eastAsia"/>
          <w:b/>
          <w:w w:val="90"/>
          <w:sz w:val="52"/>
          <w:szCs w:val="52"/>
        </w:rPr>
        <w:t>报价函</w:t>
      </w:r>
    </w:p>
    <w:p w:rsidR="00D90400" w:rsidRDefault="00D90400" w:rsidP="00D90400">
      <w:pPr>
        <w:widowControl/>
        <w:tabs>
          <w:tab w:val="left" w:pos="3780"/>
          <w:tab w:val="left" w:pos="7020"/>
        </w:tabs>
        <w:spacing w:line="400" w:lineRule="exact"/>
        <w:jc w:val="center"/>
        <w:rPr>
          <w:rFonts w:ascii="Arial" w:hAnsi="Arial" w:cs="Arial"/>
          <w:b/>
          <w:sz w:val="24"/>
        </w:rPr>
      </w:pPr>
      <w:r>
        <w:rPr>
          <w:rFonts w:ascii="仿宋_GB2312" w:eastAsia="仿宋_GB2312" w:hAnsi="宋体" w:cs="宋体" w:hint="eastAsia"/>
          <w:b/>
          <w:bCs/>
          <w:kern w:val="0"/>
          <w:sz w:val="24"/>
        </w:rPr>
        <w:t>（报价必须严格按此格式，其他格式将不被接受）</w:t>
      </w:r>
    </w:p>
    <w:tbl>
      <w:tblPr>
        <w:tblW w:w="13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897"/>
        <w:gridCol w:w="1866"/>
        <w:gridCol w:w="1078"/>
        <w:gridCol w:w="4396"/>
        <w:gridCol w:w="1350"/>
        <w:gridCol w:w="719"/>
        <w:gridCol w:w="880"/>
        <w:gridCol w:w="920"/>
        <w:gridCol w:w="888"/>
      </w:tblGrid>
      <w:tr w:rsidR="00D90400" w:rsidTr="00161F0C">
        <w:trPr>
          <w:trHeight w:val="754"/>
          <w:jc w:val="center"/>
        </w:trPr>
        <w:tc>
          <w:tcPr>
            <w:tcW w:w="562"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序</w:t>
            </w:r>
          </w:p>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号</w:t>
            </w:r>
          </w:p>
        </w:tc>
        <w:tc>
          <w:tcPr>
            <w:tcW w:w="897"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设备</w:t>
            </w:r>
          </w:p>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名称</w:t>
            </w:r>
          </w:p>
        </w:tc>
        <w:tc>
          <w:tcPr>
            <w:tcW w:w="18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spacing w:val="20"/>
                <w:kern w:val="0"/>
                <w:szCs w:val="21"/>
              </w:rPr>
              <w:t>要求技术参数</w:t>
            </w:r>
          </w:p>
        </w:tc>
        <w:tc>
          <w:tcPr>
            <w:tcW w:w="5474" w:type="dxa"/>
            <w:gridSpan w:val="2"/>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所投产品品牌、型号及技术参数</w:t>
            </w:r>
          </w:p>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（须详细描述）</w:t>
            </w:r>
          </w:p>
        </w:tc>
        <w:tc>
          <w:tcPr>
            <w:tcW w:w="1350"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rPr>
                <w:rFonts w:ascii="宋体" w:hAnsi="宋体" w:cs="宋体"/>
                <w:b/>
                <w:kern w:val="0"/>
                <w:szCs w:val="21"/>
              </w:rPr>
            </w:pPr>
            <w:r>
              <w:rPr>
                <w:rFonts w:ascii="宋体" w:hAnsi="宋体" w:cs="宋体" w:hint="eastAsia"/>
                <w:b/>
                <w:kern w:val="0"/>
                <w:szCs w:val="21"/>
              </w:rPr>
              <w:t>参数响应情况(注明正偏离、不偏离或负偏离)</w:t>
            </w:r>
          </w:p>
        </w:tc>
        <w:tc>
          <w:tcPr>
            <w:tcW w:w="719"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数量</w:t>
            </w:r>
          </w:p>
        </w:tc>
        <w:tc>
          <w:tcPr>
            <w:tcW w:w="880"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单价（元）</w:t>
            </w:r>
          </w:p>
        </w:tc>
        <w:tc>
          <w:tcPr>
            <w:tcW w:w="920"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合价（元）</w:t>
            </w:r>
          </w:p>
        </w:tc>
        <w:tc>
          <w:tcPr>
            <w:tcW w:w="88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240" w:lineRule="exact"/>
              <w:jc w:val="center"/>
              <w:rPr>
                <w:rFonts w:ascii="宋体" w:hAnsi="宋体" w:cs="宋体"/>
                <w:b/>
                <w:kern w:val="0"/>
                <w:szCs w:val="21"/>
              </w:rPr>
            </w:pPr>
            <w:r>
              <w:rPr>
                <w:rFonts w:ascii="宋体" w:hAnsi="宋体" w:cs="宋体" w:hint="eastAsia"/>
                <w:b/>
                <w:kern w:val="0"/>
                <w:szCs w:val="21"/>
              </w:rPr>
              <w:t>供货时间承诺</w:t>
            </w:r>
          </w:p>
        </w:tc>
      </w:tr>
      <w:tr w:rsidR="00D90400" w:rsidTr="00161F0C">
        <w:trPr>
          <w:trHeight w:val="567"/>
          <w:jc w:val="center"/>
        </w:trPr>
        <w:tc>
          <w:tcPr>
            <w:tcW w:w="562" w:type="dxa"/>
            <w:vMerge w:val="restart"/>
            <w:tcBorders>
              <w:top w:val="single" w:sz="4" w:space="0" w:color="auto"/>
              <w:left w:val="single" w:sz="4" w:space="0" w:color="auto"/>
              <w:right w:val="single" w:sz="4" w:space="0" w:color="auto"/>
            </w:tcBorders>
            <w:vAlign w:val="center"/>
          </w:tcPr>
          <w:p w:rsidR="00D90400" w:rsidRDefault="00D90400" w:rsidP="00161F0C">
            <w:pPr>
              <w:jc w:val="center"/>
              <w:rPr>
                <w:rFonts w:cs="宋体"/>
                <w:kern w:val="0"/>
                <w:sz w:val="24"/>
              </w:rPr>
            </w:pPr>
            <w:r>
              <w:rPr>
                <w:rFonts w:cs="宋体" w:hint="eastAsia"/>
                <w:kern w:val="0"/>
                <w:sz w:val="24"/>
              </w:rPr>
              <w:t>1</w:t>
            </w:r>
          </w:p>
        </w:tc>
        <w:tc>
          <w:tcPr>
            <w:tcW w:w="897" w:type="dxa"/>
            <w:vMerge w:val="restart"/>
            <w:tcBorders>
              <w:top w:val="single" w:sz="4" w:space="0" w:color="auto"/>
              <w:left w:val="single" w:sz="4" w:space="0" w:color="auto"/>
              <w:right w:val="single" w:sz="4" w:space="0" w:color="auto"/>
            </w:tcBorders>
            <w:vAlign w:val="center"/>
          </w:tcPr>
          <w:p w:rsidR="00D90400" w:rsidRDefault="00D90400" w:rsidP="00161F0C">
            <w:pPr>
              <w:spacing w:line="300" w:lineRule="atLeast"/>
              <w:rPr>
                <w:rFonts w:cs="宋体"/>
                <w:kern w:val="0"/>
                <w:sz w:val="24"/>
              </w:rPr>
            </w:pPr>
          </w:p>
        </w:tc>
        <w:tc>
          <w:tcPr>
            <w:tcW w:w="1866"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D90400" w:rsidRDefault="00D90400" w:rsidP="00161F0C">
            <w:pPr>
              <w:spacing w:line="300" w:lineRule="atLeast"/>
              <w:rPr>
                <w:szCs w:val="21"/>
              </w:rPr>
            </w:pPr>
            <w:r>
              <w:rPr>
                <w:rFonts w:hint="eastAsia"/>
                <w:szCs w:val="21"/>
              </w:rPr>
              <w:t xml:space="preserve"> </w:t>
            </w: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jc w:val="center"/>
              <w:rPr>
                <w:sz w:val="20"/>
              </w:rPr>
            </w:pPr>
            <w:r>
              <w:rPr>
                <w:rFonts w:hint="eastAsia"/>
                <w:sz w:val="20"/>
              </w:rPr>
              <w:t>品牌</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rPr>
                <w:sz w:val="20"/>
              </w:rPr>
            </w:pPr>
          </w:p>
        </w:tc>
        <w:tc>
          <w:tcPr>
            <w:tcW w:w="1350" w:type="dxa"/>
            <w:vMerge w:val="restart"/>
            <w:tcBorders>
              <w:top w:val="single" w:sz="4" w:space="0" w:color="auto"/>
              <w:left w:val="single" w:sz="4" w:space="0" w:color="auto"/>
              <w:right w:val="single" w:sz="4" w:space="0" w:color="auto"/>
            </w:tcBorders>
            <w:vAlign w:val="center"/>
          </w:tcPr>
          <w:p w:rsidR="00D90400" w:rsidRDefault="00D90400" w:rsidP="00161F0C">
            <w:pPr>
              <w:widowControl/>
              <w:spacing w:line="300" w:lineRule="atLeast"/>
              <w:rPr>
                <w:sz w:val="20"/>
              </w:rPr>
            </w:pPr>
          </w:p>
        </w:tc>
        <w:tc>
          <w:tcPr>
            <w:tcW w:w="719" w:type="dxa"/>
            <w:vMerge w:val="restart"/>
            <w:tcBorders>
              <w:top w:val="single" w:sz="4" w:space="0" w:color="auto"/>
              <w:left w:val="single" w:sz="4" w:space="0" w:color="auto"/>
              <w:right w:val="single" w:sz="4" w:space="0" w:color="auto"/>
            </w:tcBorders>
            <w:vAlign w:val="center"/>
          </w:tcPr>
          <w:p w:rsidR="00D90400" w:rsidRDefault="00D90400" w:rsidP="00161F0C">
            <w:pPr>
              <w:widowControl/>
              <w:spacing w:line="300" w:lineRule="atLeast"/>
              <w:rPr>
                <w:sz w:val="20"/>
              </w:rPr>
            </w:pPr>
          </w:p>
        </w:tc>
        <w:tc>
          <w:tcPr>
            <w:tcW w:w="880" w:type="dxa"/>
            <w:vMerge w:val="restart"/>
            <w:tcBorders>
              <w:top w:val="single" w:sz="4" w:space="0" w:color="auto"/>
              <w:left w:val="single" w:sz="4" w:space="0" w:color="auto"/>
              <w:right w:val="single" w:sz="4" w:space="0" w:color="auto"/>
            </w:tcBorders>
            <w:vAlign w:val="center"/>
          </w:tcPr>
          <w:p w:rsidR="00D90400" w:rsidRDefault="00D90400" w:rsidP="00161F0C">
            <w:pPr>
              <w:widowControl/>
              <w:spacing w:line="300" w:lineRule="atLeast"/>
              <w:rPr>
                <w:rFonts w:ascii="仿宋_GB2312" w:eastAsia="仿宋_GB2312" w:hAnsi="宋体" w:cs="宋体"/>
                <w:b/>
                <w:kern w:val="0"/>
                <w:sz w:val="24"/>
              </w:rPr>
            </w:pPr>
          </w:p>
        </w:tc>
        <w:tc>
          <w:tcPr>
            <w:tcW w:w="920" w:type="dxa"/>
            <w:vMerge w:val="restart"/>
            <w:tcBorders>
              <w:top w:val="single" w:sz="4" w:space="0" w:color="auto"/>
              <w:left w:val="single" w:sz="4" w:space="0" w:color="auto"/>
              <w:right w:val="single" w:sz="4" w:space="0" w:color="auto"/>
            </w:tcBorders>
            <w:vAlign w:val="center"/>
          </w:tcPr>
          <w:p w:rsidR="00D90400" w:rsidRDefault="00D90400" w:rsidP="00161F0C">
            <w:pPr>
              <w:widowControl/>
              <w:spacing w:line="300" w:lineRule="atLeast"/>
              <w:rPr>
                <w:rFonts w:ascii="仿宋_GB2312" w:eastAsia="仿宋_GB2312" w:hAnsi="宋体" w:cs="宋体"/>
                <w:b/>
                <w:kern w:val="0"/>
                <w:sz w:val="24"/>
              </w:rPr>
            </w:pPr>
            <w:r>
              <w:rPr>
                <w:rFonts w:ascii="仿宋_GB2312" w:eastAsia="仿宋_GB2312" w:hAnsi="宋体" w:cs="宋体" w:hint="eastAsia"/>
                <w:b/>
                <w:kern w:val="0"/>
                <w:sz w:val="24"/>
              </w:rPr>
              <w:t xml:space="preserve"> </w:t>
            </w:r>
          </w:p>
        </w:tc>
        <w:tc>
          <w:tcPr>
            <w:tcW w:w="888" w:type="dxa"/>
            <w:vMerge w:val="restart"/>
            <w:tcBorders>
              <w:top w:val="single" w:sz="4" w:space="0" w:color="auto"/>
              <w:left w:val="single" w:sz="4" w:space="0" w:color="auto"/>
              <w:right w:val="single" w:sz="4" w:space="0" w:color="auto"/>
            </w:tcBorders>
            <w:vAlign w:val="center"/>
          </w:tcPr>
          <w:p w:rsidR="00D90400" w:rsidRDefault="00D90400" w:rsidP="00161F0C">
            <w:pPr>
              <w:widowControl/>
              <w:spacing w:line="300" w:lineRule="atLeast"/>
              <w:rPr>
                <w:rFonts w:ascii="仿宋_GB2312" w:eastAsia="仿宋_GB2312" w:hAnsi="宋体" w:cs="宋体"/>
                <w:b/>
                <w:kern w:val="0"/>
                <w:sz w:val="24"/>
              </w:rPr>
            </w:pPr>
            <w:r>
              <w:rPr>
                <w:rFonts w:ascii="仿宋_GB2312" w:eastAsia="仿宋_GB2312" w:hAnsi="宋体" w:cs="宋体" w:hint="eastAsia"/>
                <w:b/>
                <w:kern w:val="0"/>
                <w:sz w:val="24"/>
              </w:rPr>
              <w:t xml:space="preserve"> </w:t>
            </w:r>
          </w:p>
        </w:tc>
      </w:tr>
      <w:tr w:rsidR="00D90400" w:rsidTr="00161F0C">
        <w:trPr>
          <w:trHeight w:val="567"/>
          <w:jc w:val="center"/>
        </w:trPr>
        <w:tc>
          <w:tcPr>
            <w:tcW w:w="0" w:type="auto"/>
            <w:vMerge/>
            <w:tcBorders>
              <w:left w:val="single" w:sz="4" w:space="0" w:color="auto"/>
              <w:right w:val="single" w:sz="4" w:space="0" w:color="auto"/>
            </w:tcBorders>
            <w:vAlign w:val="center"/>
          </w:tcPr>
          <w:p w:rsidR="00D90400" w:rsidRDefault="00D90400" w:rsidP="00161F0C">
            <w:pPr>
              <w:jc w:val="left"/>
              <w:rPr>
                <w:rFonts w:cs="宋体"/>
                <w:kern w:val="0"/>
                <w:sz w:val="24"/>
              </w:rPr>
            </w:pPr>
          </w:p>
        </w:tc>
        <w:tc>
          <w:tcPr>
            <w:tcW w:w="897" w:type="dxa"/>
            <w:vMerge/>
            <w:tcBorders>
              <w:left w:val="single" w:sz="4" w:space="0" w:color="auto"/>
              <w:right w:val="single" w:sz="4" w:space="0" w:color="auto"/>
            </w:tcBorders>
            <w:vAlign w:val="center"/>
          </w:tcPr>
          <w:p w:rsidR="00D90400" w:rsidRDefault="00D90400" w:rsidP="00161F0C">
            <w:pPr>
              <w:widowControl/>
              <w:jc w:val="left"/>
              <w:rPr>
                <w:rFonts w:cs="宋体"/>
                <w:kern w:val="0"/>
                <w:sz w:val="24"/>
              </w:rPr>
            </w:pPr>
          </w:p>
        </w:tc>
        <w:tc>
          <w:tcPr>
            <w:tcW w:w="1866" w:type="dxa"/>
            <w:vMerge/>
            <w:tcBorders>
              <w:left w:val="single" w:sz="4" w:space="0" w:color="auto"/>
              <w:right w:val="single" w:sz="4" w:space="0" w:color="auto"/>
            </w:tcBorders>
            <w:vAlign w:val="center"/>
          </w:tcPr>
          <w:p w:rsidR="00D90400" w:rsidRDefault="00D90400" w:rsidP="00161F0C">
            <w:pPr>
              <w:widowControl/>
              <w:jc w:val="left"/>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jc w:val="center"/>
              <w:rPr>
                <w:sz w:val="20"/>
              </w:rPr>
            </w:pPr>
            <w:r>
              <w:rPr>
                <w:rFonts w:hint="eastAsia"/>
                <w:sz w:val="20"/>
              </w:rPr>
              <w:t>型号</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rPr>
                <w:sz w:val="20"/>
              </w:rPr>
            </w:pPr>
          </w:p>
        </w:tc>
        <w:tc>
          <w:tcPr>
            <w:tcW w:w="1350" w:type="dxa"/>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888" w:type="dxa"/>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r>
      <w:tr w:rsidR="00D90400" w:rsidTr="00161F0C">
        <w:trPr>
          <w:trHeight w:val="612"/>
          <w:jc w:val="center"/>
        </w:trPr>
        <w:tc>
          <w:tcPr>
            <w:tcW w:w="0" w:type="auto"/>
            <w:vMerge/>
            <w:tcBorders>
              <w:left w:val="single" w:sz="4" w:space="0" w:color="auto"/>
              <w:right w:val="single" w:sz="4" w:space="0" w:color="auto"/>
            </w:tcBorders>
            <w:vAlign w:val="center"/>
          </w:tcPr>
          <w:p w:rsidR="00D90400" w:rsidRDefault="00D90400" w:rsidP="00161F0C">
            <w:pPr>
              <w:jc w:val="left"/>
              <w:rPr>
                <w:rFonts w:cs="宋体"/>
                <w:kern w:val="0"/>
                <w:sz w:val="24"/>
              </w:rPr>
            </w:pPr>
          </w:p>
        </w:tc>
        <w:tc>
          <w:tcPr>
            <w:tcW w:w="897" w:type="dxa"/>
            <w:vMerge/>
            <w:tcBorders>
              <w:left w:val="single" w:sz="4" w:space="0" w:color="auto"/>
              <w:right w:val="single" w:sz="4" w:space="0" w:color="auto"/>
            </w:tcBorders>
            <w:vAlign w:val="center"/>
          </w:tcPr>
          <w:p w:rsidR="00D90400" w:rsidRDefault="00D90400" w:rsidP="00161F0C">
            <w:pPr>
              <w:widowControl/>
              <w:jc w:val="left"/>
              <w:rPr>
                <w:rFonts w:cs="宋体"/>
                <w:kern w:val="0"/>
                <w:sz w:val="24"/>
              </w:rPr>
            </w:pPr>
          </w:p>
        </w:tc>
        <w:tc>
          <w:tcPr>
            <w:tcW w:w="1866" w:type="dxa"/>
            <w:vMerge/>
            <w:tcBorders>
              <w:left w:val="single" w:sz="4" w:space="0" w:color="auto"/>
              <w:right w:val="single" w:sz="4" w:space="0" w:color="auto"/>
            </w:tcBorders>
            <w:vAlign w:val="center"/>
          </w:tcPr>
          <w:p w:rsidR="00D90400" w:rsidRDefault="00D90400" w:rsidP="00161F0C">
            <w:pPr>
              <w:widowControl/>
              <w:jc w:val="left"/>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jc w:val="center"/>
              <w:rPr>
                <w:sz w:val="20"/>
              </w:rPr>
            </w:pPr>
            <w:r>
              <w:rPr>
                <w:rFonts w:hint="eastAsia"/>
                <w:sz w:val="20"/>
              </w:rPr>
              <w:t>参数</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rPr>
                <w:sz w:val="20"/>
              </w:rPr>
            </w:pPr>
          </w:p>
        </w:tc>
        <w:tc>
          <w:tcPr>
            <w:tcW w:w="1350" w:type="dxa"/>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888" w:type="dxa"/>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r>
      <w:tr w:rsidR="00D90400" w:rsidTr="00161F0C">
        <w:trPr>
          <w:trHeight w:val="567"/>
          <w:jc w:val="center"/>
        </w:trPr>
        <w:tc>
          <w:tcPr>
            <w:tcW w:w="0" w:type="auto"/>
            <w:vMerge w:val="restart"/>
            <w:tcBorders>
              <w:left w:val="single" w:sz="4" w:space="0" w:color="auto"/>
              <w:right w:val="single" w:sz="4" w:space="0" w:color="auto"/>
            </w:tcBorders>
            <w:vAlign w:val="center"/>
          </w:tcPr>
          <w:p w:rsidR="00D90400" w:rsidRDefault="00D90400" w:rsidP="00161F0C">
            <w:pPr>
              <w:jc w:val="center"/>
              <w:rPr>
                <w:rFonts w:cs="宋体"/>
                <w:kern w:val="0"/>
                <w:sz w:val="24"/>
              </w:rPr>
            </w:pPr>
            <w:r>
              <w:rPr>
                <w:rFonts w:cs="宋体"/>
                <w:kern w:val="0"/>
                <w:sz w:val="24"/>
              </w:rPr>
              <w:t>…</w:t>
            </w:r>
          </w:p>
        </w:tc>
        <w:tc>
          <w:tcPr>
            <w:tcW w:w="897" w:type="dxa"/>
            <w:vMerge w:val="restart"/>
            <w:tcBorders>
              <w:left w:val="single" w:sz="4" w:space="0" w:color="auto"/>
              <w:right w:val="single" w:sz="4" w:space="0" w:color="auto"/>
            </w:tcBorders>
            <w:vAlign w:val="center"/>
          </w:tcPr>
          <w:p w:rsidR="00D90400" w:rsidRDefault="00D90400" w:rsidP="00161F0C">
            <w:pPr>
              <w:widowControl/>
              <w:jc w:val="left"/>
              <w:rPr>
                <w:rFonts w:cs="宋体"/>
                <w:kern w:val="0"/>
                <w:sz w:val="24"/>
              </w:rPr>
            </w:pPr>
          </w:p>
        </w:tc>
        <w:tc>
          <w:tcPr>
            <w:tcW w:w="1866" w:type="dxa"/>
            <w:vMerge w:val="restart"/>
            <w:tcBorders>
              <w:left w:val="single" w:sz="4" w:space="0" w:color="auto"/>
              <w:right w:val="single" w:sz="4" w:space="0" w:color="auto"/>
            </w:tcBorders>
            <w:vAlign w:val="center"/>
          </w:tcPr>
          <w:p w:rsidR="00D90400" w:rsidRDefault="00D90400" w:rsidP="00161F0C">
            <w:pPr>
              <w:widowControl/>
              <w:jc w:val="left"/>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jc w:val="center"/>
              <w:rPr>
                <w:sz w:val="20"/>
              </w:rPr>
            </w:pPr>
            <w:r>
              <w:rPr>
                <w:rFonts w:hint="eastAsia"/>
                <w:sz w:val="20"/>
              </w:rPr>
              <w:t>品牌</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rPr>
                <w:sz w:val="20"/>
              </w:rPr>
            </w:pPr>
          </w:p>
        </w:tc>
        <w:tc>
          <w:tcPr>
            <w:tcW w:w="1350" w:type="dxa"/>
            <w:vMerge w:val="restart"/>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val="restart"/>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val="restart"/>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0" w:type="auto"/>
            <w:vMerge w:val="restart"/>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888" w:type="dxa"/>
            <w:vMerge w:val="restart"/>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r>
      <w:tr w:rsidR="00D90400" w:rsidTr="00161F0C">
        <w:trPr>
          <w:trHeight w:val="567"/>
          <w:jc w:val="center"/>
        </w:trPr>
        <w:tc>
          <w:tcPr>
            <w:tcW w:w="0" w:type="auto"/>
            <w:vMerge/>
            <w:tcBorders>
              <w:left w:val="single" w:sz="4" w:space="0" w:color="auto"/>
              <w:right w:val="single" w:sz="4" w:space="0" w:color="auto"/>
            </w:tcBorders>
            <w:vAlign w:val="center"/>
          </w:tcPr>
          <w:p w:rsidR="00D90400" w:rsidRDefault="00D90400" w:rsidP="00161F0C">
            <w:pPr>
              <w:jc w:val="left"/>
              <w:rPr>
                <w:rFonts w:cs="宋体"/>
                <w:kern w:val="0"/>
                <w:sz w:val="24"/>
              </w:rPr>
            </w:pPr>
          </w:p>
        </w:tc>
        <w:tc>
          <w:tcPr>
            <w:tcW w:w="897" w:type="dxa"/>
            <w:vMerge/>
            <w:tcBorders>
              <w:left w:val="single" w:sz="4" w:space="0" w:color="auto"/>
              <w:right w:val="single" w:sz="4" w:space="0" w:color="auto"/>
            </w:tcBorders>
            <w:vAlign w:val="center"/>
          </w:tcPr>
          <w:p w:rsidR="00D90400" w:rsidRDefault="00D90400" w:rsidP="00161F0C">
            <w:pPr>
              <w:widowControl/>
              <w:jc w:val="left"/>
              <w:rPr>
                <w:rFonts w:cs="宋体"/>
                <w:kern w:val="0"/>
                <w:sz w:val="24"/>
              </w:rPr>
            </w:pPr>
          </w:p>
        </w:tc>
        <w:tc>
          <w:tcPr>
            <w:tcW w:w="1866" w:type="dxa"/>
            <w:vMerge/>
            <w:tcBorders>
              <w:left w:val="single" w:sz="4" w:space="0" w:color="auto"/>
              <w:right w:val="single" w:sz="4" w:space="0" w:color="auto"/>
            </w:tcBorders>
            <w:vAlign w:val="center"/>
          </w:tcPr>
          <w:p w:rsidR="00D90400" w:rsidRDefault="00D90400" w:rsidP="00161F0C">
            <w:pPr>
              <w:widowControl/>
              <w:jc w:val="left"/>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widowControl/>
              <w:spacing w:line="300" w:lineRule="atLeast"/>
              <w:jc w:val="center"/>
              <w:rPr>
                <w:sz w:val="20"/>
              </w:rPr>
            </w:pPr>
            <w:r>
              <w:rPr>
                <w:rFonts w:hint="eastAsia"/>
                <w:sz w:val="20"/>
              </w:rPr>
              <w:t>型号</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rPr>
                <w:sz w:val="20"/>
              </w:rPr>
            </w:pPr>
          </w:p>
        </w:tc>
        <w:tc>
          <w:tcPr>
            <w:tcW w:w="1350" w:type="dxa"/>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0" w:type="auto"/>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888" w:type="dxa"/>
            <w:vMerge/>
            <w:tcBorders>
              <w:left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r>
      <w:tr w:rsidR="00D90400" w:rsidTr="00161F0C">
        <w:trPr>
          <w:trHeight w:val="1177"/>
          <w:jc w:val="center"/>
        </w:trPr>
        <w:tc>
          <w:tcPr>
            <w:tcW w:w="0" w:type="auto"/>
            <w:vMerge/>
            <w:tcBorders>
              <w:left w:val="single" w:sz="4" w:space="0" w:color="auto"/>
              <w:bottom w:val="single" w:sz="4" w:space="0" w:color="auto"/>
              <w:right w:val="single" w:sz="4" w:space="0" w:color="auto"/>
            </w:tcBorders>
            <w:vAlign w:val="center"/>
          </w:tcPr>
          <w:p w:rsidR="00D90400" w:rsidRDefault="00D90400" w:rsidP="00161F0C">
            <w:pPr>
              <w:jc w:val="left"/>
              <w:rPr>
                <w:rFonts w:cs="宋体"/>
                <w:kern w:val="0"/>
                <w:sz w:val="24"/>
              </w:rPr>
            </w:pPr>
          </w:p>
        </w:tc>
        <w:tc>
          <w:tcPr>
            <w:tcW w:w="897" w:type="dxa"/>
            <w:vMerge/>
            <w:tcBorders>
              <w:left w:val="single" w:sz="4" w:space="0" w:color="auto"/>
              <w:bottom w:val="single" w:sz="4" w:space="0" w:color="auto"/>
              <w:right w:val="single" w:sz="4" w:space="0" w:color="auto"/>
            </w:tcBorders>
            <w:vAlign w:val="center"/>
          </w:tcPr>
          <w:p w:rsidR="00D90400" w:rsidRDefault="00D90400" w:rsidP="00161F0C">
            <w:pPr>
              <w:widowControl/>
              <w:jc w:val="left"/>
              <w:rPr>
                <w:rFonts w:cs="宋体"/>
                <w:kern w:val="0"/>
                <w:sz w:val="24"/>
              </w:rPr>
            </w:pPr>
          </w:p>
        </w:tc>
        <w:tc>
          <w:tcPr>
            <w:tcW w:w="1866" w:type="dxa"/>
            <w:vMerge/>
            <w:tcBorders>
              <w:left w:val="single" w:sz="4" w:space="0" w:color="auto"/>
              <w:bottom w:val="single" w:sz="4" w:space="0" w:color="auto"/>
              <w:right w:val="single" w:sz="4" w:space="0" w:color="auto"/>
            </w:tcBorders>
            <w:vAlign w:val="center"/>
          </w:tcPr>
          <w:p w:rsidR="00D90400" w:rsidRDefault="00D90400" w:rsidP="00161F0C">
            <w:pPr>
              <w:widowControl/>
              <w:jc w:val="left"/>
              <w:rPr>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jc w:val="center"/>
              <w:rPr>
                <w:sz w:val="20"/>
              </w:rPr>
            </w:pPr>
            <w:r>
              <w:rPr>
                <w:rFonts w:hint="eastAsia"/>
                <w:sz w:val="20"/>
              </w:rPr>
              <w:t>参数</w:t>
            </w:r>
          </w:p>
        </w:tc>
        <w:tc>
          <w:tcPr>
            <w:tcW w:w="4396" w:type="dxa"/>
            <w:tcBorders>
              <w:top w:val="single" w:sz="4" w:space="0" w:color="auto"/>
              <w:left w:val="single" w:sz="4" w:space="0" w:color="auto"/>
              <w:bottom w:val="single" w:sz="4" w:space="0" w:color="auto"/>
              <w:right w:val="single" w:sz="4" w:space="0" w:color="auto"/>
            </w:tcBorders>
            <w:vAlign w:val="center"/>
          </w:tcPr>
          <w:p w:rsidR="00D90400" w:rsidRDefault="00D90400" w:rsidP="00161F0C">
            <w:pPr>
              <w:spacing w:line="300" w:lineRule="atLeast"/>
              <w:rPr>
                <w:sz w:val="20"/>
              </w:rPr>
            </w:pPr>
          </w:p>
        </w:tc>
        <w:tc>
          <w:tcPr>
            <w:tcW w:w="1350" w:type="dxa"/>
            <w:vMerge/>
            <w:tcBorders>
              <w:left w:val="single" w:sz="4" w:space="0" w:color="auto"/>
              <w:bottom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bottom w:val="single" w:sz="4" w:space="0" w:color="auto"/>
              <w:right w:val="single" w:sz="4" w:space="0" w:color="auto"/>
            </w:tcBorders>
            <w:vAlign w:val="center"/>
          </w:tcPr>
          <w:p w:rsidR="00D90400" w:rsidRDefault="00D90400" w:rsidP="00161F0C">
            <w:pPr>
              <w:widowControl/>
              <w:jc w:val="left"/>
              <w:rPr>
                <w:sz w:val="20"/>
              </w:rPr>
            </w:pPr>
          </w:p>
        </w:tc>
        <w:tc>
          <w:tcPr>
            <w:tcW w:w="0" w:type="auto"/>
            <w:vMerge/>
            <w:tcBorders>
              <w:left w:val="single" w:sz="4" w:space="0" w:color="auto"/>
              <w:bottom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0" w:type="auto"/>
            <w:vMerge/>
            <w:tcBorders>
              <w:left w:val="single" w:sz="4" w:space="0" w:color="auto"/>
              <w:bottom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c>
          <w:tcPr>
            <w:tcW w:w="888" w:type="dxa"/>
            <w:vMerge/>
            <w:tcBorders>
              <w:left w:val="single" w:sz="4" w:space="0" w:color="auto"/>
              <w:bottom w:val="single" w:sz="4" w:space="0" w:color="auto"/>
              <w:right w:val="single" w:sz="4" w:space="0" w:color="auto"/>
            </w:tcBorders>
            <w:vAlign w:val="center"/>
          </w:tcPr>
          <w:p w:rsidR="00D90400" w:rsidRDefault="00D90400" w:rsidP="00161F0C">
            <w:pPr>
              <w:widowControl/>
              <w:jc w:val="left"/>
              <w:rPr>
                <w:rFonts w:ascii="仿宋_GB2312" w:eastAsia="仿宋_GB2312" w:hAnsi="宋体" w:cs="宋体"/>
                <w:b/>
                <w:kern w:val="0"/>
                <w:sz w:val="24"/>
              </w:rPr>
            </w:pPr>
          </w:p>
        </w:tc>
      </w:tr>
    </w:tbl>
    <w:p w:rsidR="00D90400" w:rsidRDefault="00D90400" w:rsidP="00D90400">
      <w:pPr>
        <w:widowControl/>
        <w:adjustRightInd w:val="0"/>
        <w:spacing w:line="240" w:lineRule="atLeast"/>
        <w:ind w:firstLineChars="100" w:firstLine="240"/>
        <w:jc w:val="left"/>
        <w:rPr>
          <w:rFonts w:cs="宋体"/>
          <w:kern w:val="0"/>
          <w:sz w:val="24"/>
        </w:rPr>
      </w:pPr>
    </w:p>
    <w:p w:rsidR="00D90400" w:rsidRDefault="00D90400" w:rsidP="00D90400">
      <w:pPr>
        <w:widowControl/>
        <w:adjustRightInd w:val="0"/>
        <w:spacing w:line="240" w:lineRule="atLeast"/>
        <w:ind w:firstLineChars="100" w:firstLine="240"/>
        <w:jc w:val="left"/>
        <w:rPr>
          <w:rFonts w:cs="宋体"/>
          <w:kern w:val="0"/>
          <w:sz w:val="24"/>
        </w:rPr>
      </w:pPr>
      <w:r>
        <w:rPr>
          <w:rFonts w:cs="宋体" w:hint="eastAsia"/>
          <w:kern w:val="0"/>
          <w:sz w:val="24"/>
        </w:rPr>
        <w:t>注：此表内容若单页填不下，可按同样格式扩展，但每页均需盖</w:t>
      </w:r>
      <w:r w:rsidRPr="00B13A58">
        <w:rPr>
          <w:rFonts w:cs="宋体" w:hint="eastAsia"/>
          <w:kern w:val="0"/>
          <w:sz w:val="24"/>
        </w:rPr>
        <w:t>投标供应商公章</w:t>
      </w:r>
      <w:r>
        <w:rPr>
          <w:rFonts w:cs="宋体" w:hint="eastAsia"/>
          <w:kern w:val="0"/>
          <w:sz w:val="24"/>
        </w:rPr>
        <w:t>；必须确保公章清晰。</w:t>
      </w:r>
    </w:p>
    <w:p w:rsidR="00D90400" w:rsidRDefault="00D90400" w:rsidP="00D90400">
      <w:pPr>
        <w:widowControl/>
        <w:adjustRightInd w:val="0"/>
        <w:spacing w:line="360" w:lineRule="atLeast"/>
        <w:jc w:val="left"/>
        <w:rPr>
          <w:rFonts w:ascii="宋体" w:hAnsi="宋体" w:cs="宋体"/>
          <w:kern w:val="0"/>
          <w:sz w:val="24"/>
        </w:rPr>
      </w:pPr>
      <w:r>
        <w:rPr>
          <w:rFonts w:cs="宋体" w:hint="eastAsia"/>
          <w:kern w:val="0"/>
          <w:sz w:val="24"/>
        </w:rPr>
        <w:t>合计报价（大写）：</w:t>
      </w:r>
      <w:r>
        <w:rPr>
          <w:rFonts w:cs="宋体"/>
          <w:kern w:val="0"/>
          <w:sz w:val="24"/>
          <w:u w:val="single"/>
        </w:rPr>
        <w:t xml:space="preserve">       </w:t>
      </w:r>
      <w:r>
        <w:rPr>
          <w:rFonts w:cs="宋体" w:hint="eastAsia"/>
          <w:kern w:val="0"/>
          <w:sz w:val="24"/>
          <w:u w:val="single"/>
        </w:rPr>
        <w:t xml:space="preserve">                             </w:t>
      </w:r>
      <w:r>
        <w:rPr>
          <w:rFonts w:cs="宋体"/>
          <w:kern w:val="0"/>
          <w:sz w:val="24"/>
          <w:u w:val="single"/>
        </w:rPr>
        <w:t xml:space="preserve"> </w:t>
      </w:r>
      <w:r>
        <w:rPr>
          <w:rFonts w:cs="宋体" w:hint="eastAsia"/>
          <w:kern w:val="0"/>
          <w:sz w:val="24"/>
          <w:u w:val="single"/>
        </w:rPr>
        <w:t xml:space="preserve"> </w:t>
      </w:r>
      <w:r>
        <w:rPr>
          <w:rFonts w:cs="宋体" w:hint="eastAsia"/>
          <w:kern w:val="0"/>
          <w:sz w:val="24"/>
        </w:rPr>
        <w:t>元</w:t>
      </w:r>
      <w:r>
        <w:rPr>
          <w:rFonts w:cs="宋体"/>
          <w:kern w:val="0"/>
          <w:sz w:val="24"/>
        </w:rPr>
        <w:t xml:space="preserve"> </w:t>
      </w:r>
      <w:r>
        <w:rPr>
          <w:rFonts w:cs="宋体" w:hint="eastAsia"/>
          <w:kern w:val="0"/>
          <w:sz w:val="24"/>
        </w:rPr>
        <w:t>（￥</w:t>
      </w:r>
      <w:r>
        <w:rPr>
          <w:rFonts w:cs="宋体" w:hint="eastAsia"/>
          <w:kern w:val="0"/>
          <w:sz w:val="24"/>
        </w:rPr>
        <w:t xml:space="preserve"> </w:t>
      </w:r>
      <w:r>
        <w:rPr>
          <w:rFonts w:cs="宋体"/>
          <w:kern w:val="0"/>
          <w:sz w:val="24"/>
          <w:u w:val="single"/>
        </w:rPr>
        <w:t xml:space="preserve">  </w:t>
      </w:r>
      <w:r>
        <w:rPr>
          <w:rFonts w:cs="宋体" w:hint="eastAsia"/>
          <w:kern w:val="0"/>
          <w:sz w:val="24"/>
          <w:u w:val="single"/>
        </w:rPr>
        <w:t xml:space="preserve">             </w:t>
      </w:r>
      <w:r>
        <w:rPr>
          <w:rFonts w:cs="宋体" w:hint="eastAsia"/>
          <w:kern w:val="0"/>
          <w:sz w:val="24"/>
        </w:rPr>
        <w:t>元）</w:t>
      </w:r>
      <w:r>
        <w:rPr>
          <w:rFonts w:cs="宋体"/>
          <w:kern w:val="0"/>
          <w:sz w:val="24"/>
        </w:rPr>
        <w:t xml:space="preserve">          </w:t>
      </w:r>
      <w:r>
        <w:rPr>
          <w:rFonts w:cs="宋体" w:hint="eastAsia"/>
          <w:kern w:val="0"/>
          <w:sz w:val="24"/>
        </w:rPr>
        <w:t>单位：人民币</w:t>
      </w:r>
      <w:r>
        <w:rPr>
          <w:rFonts w:cs="宋体"/>
          <w:kern w:val="0"/>
          <w:sz w:val="24"/>
        </w:rPr>
        <w:t xml:space="preserve">  </w:t>
      </w:r>
      <w:r>
        <w:rPr>
          <w:rFonts w:cs="宋体" w:hint="eastAsia"/>
          <w:kern w:val="0"/>
          <w:sz w:val="24"/>
        </w:rPr>
        <w:t>元</w:t>
      </w:r>
    </w:p>
    <w:p w:rsidR="00D90400" w:rsidRDefault="00D90400" w:rsidP="00D90400">
      <w:pPr>
        <w:widowControl/>
        <w:adjustRightInd w:val="0"/>
        <w:spacing w:line="360" w:lineRule="atLeast"/>
        <w:jc w:val="left"/>
        <w:rPr>
          <w:rFonts w:ascii="宋体" w:hAnsi="宋体" w:cs="宋体"/>
          <w:kern w:val="0"/>
          <w:sz w:val="24"/>
        </w:rPr>
      </w:pPr>
      <w:r>
        <w:rPr>
          <w:rFonts w:cs="宋体" w:hint="eastAsia"/>
          <w:kern w:val="0"/>
          <w:sz w:val="24"/>
        </w:rPr>
        <w:t>供应商名称（盖单位公章）：</w:t>
      </w:r>
      <w:r>
        <w:rPr>
          <w:rFonts w:cs="宋体"/>
          <w:kern w:val="0"/>
          <w:sz w:val="24"/>
          <w:u w:val="single"/>
        </w:rPr>
        <w:t xml:space="preserve">                             </w:t>
      </w:r>
      <w:r>
        <w:rPr>
          <w:rFonts w:cs="宋体" w:hint="eastAsia"/>
          <w:kern w:val="0"/>
          <w:sz w:val="24"/>
          <w:u w:val="single"/>
        </w:rPr>
        <w:t xml:space="preserve"> </w:t>
      </w:r>
      <w:r>
        <w:rPr>
          <w:rFonts w:cs="宋体"/>
          <w:kern w:val="0"/>
          <w:sz w:val="24"/>
        </w:rPr>
        <w:t xml:space="preserve">         </w:t>
      </w:r>
      <w:r>
        <w:rPr>
          <w:rFonts w:cs="宋体" w:hint="eastAsia"/>
          <w:kern w:val="0"/>
          <w:sz w:val="24"/>
        </w:rPr>
        <w:t>法定代表人或联系人（签名）：</w:t>
      </w:r>
      <w:r>
        <w:rPr>
          <w:rFonts w:cs="宋体"/>
          <w:kern w:val="0"/>
          <w:sz w:val="24"/>
          <w:u w:val="single"/>
        </w:rPr>
        <w:t xml:space="preserve">               </w:t>
      </w:r>
      <w:r>
        <w:rPr>
          <w:rFonts w:cs="宋体"/>
          <w:kern w:val="0"/>
          <w:sz w:val="24"/>
        </w:rPr>
        <w:t xml:space="preserve"> </w:t>
      </w:r>
    </w:p>
    <w:p w:rsidR="00B7326D" w:rsidRPr="00D90400" w:rsidRDefault="00D90400" w:rsidP="00D90400">
      <w:pPr>
        <w:widowControl/>
        <w:adjustRightInd w:val="0"/>
        <w:spacing w:line="360" w:lineRule="atLeast"/>
        <w:jc w:val="left"/>
        <w:rPr>
          <w:rFonts w:cs="宋体"/>
          <w:kern w:val="0"/>
          <w:sz w:val="24"/>
        </w:rPr>
      </w:pPr>
      <w:r>
        <w:rPr>
          <w:rFonts w:cs="宋体" w:hint="eastAsia"/>
          <w:kern w:val="0"/>
          <w:sz w:val="24"/>
        </w:rPr>
        <w:t>联系电话：</w:t>
      </w:r>
      <w:r>
        <w:rPr>
          <w:rFonts w:cs="宋体"/>
          <w:kern w:val="0"/>
          <w:sz w:val="24"/>
          <w:u w:val="single"/>
        </w:rPr>
        <w:t xml:space="preserve">        </w:t>
      </w:r>
      <w:r>
        <w:rPr>
          <w:rFonts w:cs="宋体" w:hint="eastAsia"/>
          <w:kern w:val="0"/>
          <w:sz w:val="24"/>
          <w:u w:val="single"/>
        </w:rPr>
        <w:t xml:space="preserve">         </w:t>
      </w:r>
      <w:r>
        <w:rPr>
          <w:rFonts w:cs="宋体"/>
          <w:kern w:val="0"/>
          <w:sz w:val="24"/>
          <w:u w:val="single"/>
        </w:rPr>
        <w:t xml:space="preserve">  </w:t>
      </w:r>
      <w:r>
        <w:rPr>
          <w:rFonts w:cs="宋体"/>
          <w:kern w:val="0"/>
          <w:sz w:val="24"/>
        </w:rPr>
        <w:t xml:space="preserve">                               </w:t>
      </w:r>
      <w:r>
        <w:rPr>
          <w:rFonts w:cs="宋体" w:hint="eastAsia"/>
          <w:kern w:val="0"/>
          <w:sz w:val="24"/>
        </w:rPr>
        <w:t xml:space="preserve">     </w:t>
      </w:r>
      <w:r>
        <w:rPr>
          <w:rFonts w:cs="宋体" w:hint="eastAsia"/>
          <w:kern w:val="0"/>
          <w:sz w:val="24"/>
        </w:rPr>
        <w:t>日</w:t>
      </w:r>
      <w:r>
        <w:rPr>
          <w:rFonts w:cs="宋体"/>
          <w:kern w:val="0"/>
          <w:sz w:val="24"/>
        </w:rPr>
        <w:t xml:space="preserve">  </w:t>
      </w:r>
      <w:r>
        <w:rPr>
          <w:rFonts w:cs="宋体" w:hint="eastAsia"/>
          <w:kern w:val="0"/>
          <w:sz w:val="24"/>
        </w:rPr>
        <w:t>期：</w:t>
      </w:r>
      <w:r>
        <w:rPr>
          <w:rFonts w:cs="宋体"/>
          <w:kern w:val="0"/>
          <w:sz w:val="24"/>
          <w:u w:val="single"/>
        </w:rPr>
        <w:t xml:space="preserve">        </w:t>
      </w:r>
      <w:r>
        <w:rPr>
          <w:rFonts w:cs="宋体" w:hint="eastAsia"/>
          <w:kern w:val="0"/>
          <w:sz w:val="24"/>
        </w:rPr>
        <w:t>年</w:t>
      </w:r>
      <w:r>
        <w:rPr>
          <w:rFonts w:cs="宋体"/>
          <w:kern w:val="0"/>
          <w:sz w:val="24"/>
          <w:u w:val="single"/>
        </w:rPr>
        <w:t xml:space="preserve">   </w:t>
      </w:r>
      <w:r>
        <w:rPr>
          <w:rFonts w:cs="宋体" w:hint="eastAsia"/>
          <w:kern w:val="0"/>
          <w:sz w:val="24"/>
          <w:u w:val="single"/>
        </w:rPr>
        <w:t xml:space="preserve"> </w:t>
      </w:r>
      <w:r>
        <w:rPr>
          <w:rFonts w:cs="宋体"/>
          <w:kern w:val="0"/>
          <w:sz w:val="24"/>
          <w:u w:val="single"/>
        </w:rPr>
        <w:t xml:space="preserve"> </w:t>
      </w:r>
      <w:r>
        <w:rPr>
          <w:rFonts w:cs="宋体" w:hint="eastAsia"/>
          <w:kern w:val="0"/>
          <w:sz w:val="24"/>
        </w:rPr>
        <w:t>月</w:t>
      </w:r>
      <w:r>
        <w:rPr>
          <w:rFonts w:cs="宋体" w:hint="eastAsia"/>
          <w:kern w:val="0"/>
          <w:sz w:val="24"/>
          <w:u w:val="single"/>
        </w:rPr>
        <w:t xml:space="preserve">    </w:t>
      </w:r>
      <w:r>
        <w:rPr>
          <w:rFonts w:cs="宋体"/>
          <w:kern w:val="0"/>
          <w:sz w:val="24"/>
          <w:u w:val="single"/>
        </w:rPr>
        <w:t xml:space="preserve">  </w:t>
      </w:r>
      <w:r>
        <w:rPr>
          <w:rFonts w:cs="宋体" w:hint="eastAsia"/>
          <w:kern w:val="0"/>
          <w:sz w:val="24"/>
        </w:rPr>
        <w:t>日</w:t>
      </w:r>
    </w:p>
    <w:sectPr w:rsidR="00B7326D" w:rsidRPr="00D90400" w:rsidSect="00213E09">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42A" w:rsidRDefault="00E5042A" w:rsidP="00524CDD">
      <w:r>
        <w:separator/>
      </w:r>
    </w:p>
  </w:endnote>
  <w:endnote w:type="continuationSeparator" w:id="1">
    <w:p w:rsidR="00E5042A" w:rsidRDefault="00E5042A" w:rsidP="00524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42A" w:rsidRDefault="00E5042A" w:rsidP="00524CDD">
      <w:r>
        <w:separator/>
      </w:r>
    </w:p>
  </w:footnote>
  <w:footnote w:type="continuationSeparator" w:id="1">
    <w:p w:rsidR="00E5042A" w:rsidRDefault="00E5042A" w:rsidP="00524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CDD"/>
    <w:rsid w:val="00351C04"/>
    <w:rsid w:val="00464650"/>
    <w:rsid w:val="00524CDD"/>
    <w:rsid w:val="008B56AA"/>
    <w:rsid w:val="00A458E7"/>
    <w:rsid w:val="00B7326D"/>
    <w:rsid w:val="00D577CF"/>
    <w:rsid w:val="00D90400"/>
    <w:rsid w:val="00E50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4C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24CDD"/>
    <w:rPr>
      <w:sz w:val="18"/>
      <w:szCs w:val="18"/>
    </w:rPr>
  </w:style>
  <w:style w:type="paragraph" w:styleId="a4">
    <w:name w:val="footer"/>
    <w:basedOn w:val="a"/>
    <w:link w:val="Char0"/>
    <w:uiPriority w:val="99"/>
    <w:semiHidden/>
    <w:unhideWhenUsed/>
    <w:rsid w:val="00524C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24CDD"/>
    <w:rPr>
      <w:sz w:val="18"/>
      <w:szCs w:val="18"/>
    </w:rPr>
  </w:style>
  <w:style w:type="paragraph" w:styleId="a5">
    <w:name w:val="Balloon Text"/>
    <w:basedOn w:val="a"/>
    <w:link w:val="Char1"/>
    <w:uiPriority w:val="99"/>
    <w:semiHidden/>
    <w:unhideWhenUsed/>
    <w:rsid w:val="00524CDD"/>
    <w:rPr>
      <w:sz w:val="18"/>
      <w:szCs w:val="18"/>
    </w:rPr>
  </w:style>
  <w:style w:type="character" w:customStyle="1" w:styleId="Char1">
    <w:name w:val="批注框文本 Char"/>
    <w:basedOn w:val="a0"/>
    <w:link w:val="a5"/>
    <w:uiPriority w:val="99"/>
    <w:semiHidden/>
    <w:rsid w:val="00524C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943</Characters>
  <Application>Microsoft Office Word</Application>
  <DocSecurity>0</DocSecurity>
  <Lines>7</Lines>
  <Paragraphs>2</Paragraphs>
  <ScaleCrop>false</ScaleCrop>
  <Company>Microsoft</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2024-01-30T06:50:00Z</dcterms:created>
  <dcterms:modified xsi:type="dcterms:W3CDTF">2024-01-31T01:47:00Z</dcterms:modified>
</cp:coreProperties>
</file>