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66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40"/>
        <w:gridCol w:w="2887"/>
        <w:gridCol w:w="33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96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4"/>
                <w:szCs w:val="44"/>
              </w:rPr>
              <w:t>202</w:t>
            </w: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4"/>
                <w:szCs w:val="44"/>
                <w:lang w:val="en-US" w:eastAsia="zh-CN"/>
              </w:rPr>
              <w:t>3</w:t>
            </w:r>
            <w:r>
              <w:rPr>
                <w:rFonts w:hint="eastAsia" w:ascii="方正小标宋_GBK" w:hAnsi="方正小标宋_GBK" w:eastAsia="方正小标宋_GBK" w:cs="宋体"/>
                <w:color w:val="000000"/>
                <w:kern w:val="0"/>
                <w:sz w:val="44"/>
                <w:szCs w:val="44"/>
              </w:rPr>
              <w:t>部门整体支出绩效目标表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9654" w:type="dxa"/>
            <w:gridSpan w:val="3"/>
            <w:tcBorders>
              <w:bottom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楷体_GB2312" w:hAnsi="楷体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34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部门名称</w:t>
            </w:r>
          </w:p>
        </w:tc>
        <w:tc>
          <w:tcPr>
            <w:tcW w:w="62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寿县财政局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34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年度预算申请</w:t>
            </w:r>
          </w:p>
        </w:tc>
        <w:tc>
          <w:tcPr>
            <w:tcW w:w="62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 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资金总额：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3418.48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4"/>
                <w:szCs w:val="44"/>
              </w:rPr>
              <w:t>1</w:t>
            </w:r>
          </w:p>
        </w:tc>
        <w:tc>
          <w:tcPr>
            <w:tcW w:w="28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按收入性质分：</w:t>
            </w: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按支出性质分：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ind w:firstLine="440" w:firstLineChars="200"/>
              <w:jc w:val="left"/>
              <w:rPr>
                <w:rFonts w:hint="default" w:ascii="宋体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一般公共预算：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3418.48</w:t>
            </w: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ind w:firstLine="440" w:firstLineChars="200"/>
              <w:jc w:val="left"/>
              <w:rPr>
                <w:rFonts w:hint="default" w:ascii="宋体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基本支出：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3062.268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政府性基金拨款：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ind w:firstLine="440" w:firstLineChars="200"/>
              <w:jc w:val="left"/>
              <w:rPr>
                <w:rFonts w:hint="default" w:ascii="宋体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项目支出：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356.212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 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纳入专户管理的非税收入拨款：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其他资金：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34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部门职能职责概述</w:t>
            </w:r>
          </w:p>
        </w:tc>
        <w:tc>
          <w:tcPr>
            <w:tcW w:w="62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财政局贯彻执行国家财税法律、法规和规章，负责管理全县财政收支，编制年度县级财政预决算草案并组织执行等。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344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整体绩效目标</w:t>
            </w:r>
          </w:p>
        </w:tc>
        <w:tc>
          <w:tcPr>
            <w:tcW w:w="62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目标1：加强财政收支预期管理。全面落实减税降费政策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344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目标2：持续推进预算编制改革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344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目标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3：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防范化解地方政府隐性债务风险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344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目标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4：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全面实施预算绩效管理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34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部门整体支出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年度绩效指标</w:t>
            </w:r>
          </w:p>
        </w:tc>
        <w:tc>
          <w:tcPr>
            <w:tcW w:w="28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  指标1：全面落实减税降费政策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  指标2：重点项目预算绩效全覆盖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  指标3：完成年度存量隐性债务化解任务高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  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：支持乡村振兴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 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乡村教师素质提升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 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引导地方扩大普惠性学前教育资源持续增加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 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持续提升民生工程质量效益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 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指标</w:t>
            </w:r>
            <w:r>
              <w:rPr>
                <w:rFonts w:hint="eastAsia" w:ascii="宋体" w:hAnsi="宋体" w:eastAsia="仿宋_GB2312" w:cs="宋体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eastAsia="zh-CN"/>
              </w:rPr>
              <w:t>提高财政资金配置使用效益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1MzYxYjhjMDIxZGUwYTlkZTNjNjk0N2NkZWMyMDEifQ=="/>
  </w:docVars>
  <w:rsids>
    <w:rsidRoot w:val="323B2880"/>
    <w:rsid w:val="0BA77C56"/>
    <w:rsid w:val="12F1068A"/>
    <w:rsid w:val="2ED87CD0"/>
    <w:rsid w:val="323B2880"/>
    <w:rsid w:val="531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413</Characters>
  <Lines>0</Lines>
  <Paragraphs>0</Paragraphs>
  <TotalTime>3</TotalTime>
  <ScaleCrop>false</ScaleCrop>
  <LinksUpToDate>false</LinksUpToDate>
  <CharactersWithSpaces>443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2021-03-31T01:36:00Z</dcterms:created>
  <dc:creator>二蛋</dc:creator>
  <cp:lastModifiedBy>Administrator</cp:lastModifiedBy>
  <dcterms:modified xsi:type="dcterms:W3CDTF">2023-01-09T02:57:38Z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320673C685474480B9573544D0ADF0ED</vt:lpwstr>
  </property>
</Properties>
</file>