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5" w:type="dxa"/>
        <w:tblInd w:w="93" w:type="dxa"/>
        <w:tblLayout w:type="fixed"/>
        <w:tblLook w:val="04A0"/>
      </w:tblPr>
      <w:tblGrid>
        <w:gridCol w:w="415"/>
        <w:gridCol w:w="820"/>
        <w:gridCol w:w="764"/>
        <w:gridCol w:w="1276"/>
        <w:gridCol w:w="1275"/>
        <w:gridCol w:w="993"/>
        <w:gridCol w:w="708"/>
        <w:gridCol w:w="1276"/>
        <w:gridCol w:w="1276"/>
        <w:gridCol w:w="992"/>
      </w:tblGrid>
      <w:tr w:rsidR="00081B72" w:rsidTr="00081B72">
        <w:trPr>
          <w:trHeight w:val="709"/>
        </w:trPr>
        <w:tc>
          <w:tcPr>
            <w:tcW w:w="9796" w:type="dxa"/>
            <w:gridSpan w:val="10"/>
            <w:vAlign w:val="center"/>
            <w:hideMark/>
          </w:tcPr>
          <w:p w:rsidR="00081B72" w:rsidRDefault="00081B72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 w:rsidR="00081B72" w:rsidTr="00081B72">
        <w:trPr>
          <w:trHeight w:val="270"/>
        </w:trPr>
        <w:tc>
          <w:tcPr>
            <w:tcW w:w="9796" w:type="dxa"/>
            <w:gridSpan w:val="10"/>
            <w:vAlign w:val="center"/>
            <w:hideMark/>
          </w:tcPr>
          <w:p w:rsidR="00081B72" w:rsidRDefault="00081B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 xml:space="preserve">2022 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081B72" w:rsidTr="00081B72"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8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81B72" w:rsidRDefault="00081B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重点中心工作经费</w:t>
            </w:r>
          </w:p>
        </w:tc>
      </w:tr>
      <w:tr w:rsidR="00081B72" w:rsidTr="00081B72"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8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寿县重点工程建设管理中心</w:t>
            </w:r>
          </w:p>
        </w:tc>
      </w:tr>
      <w:tr w:rsidR="00081B72" w:rsidTr="00081B72"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8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常年项目</w:t>
            </w:r>
          </w:p>
        </w:tc>
      </w:tr>
      <w:tr w:rsidR="00081B72" w:rsidTr="00081B72">
        <w:trPr>
          <w:trHeight w:val="330"/>
        </w:trPr>
        <w:tc>
          <w:tcPr>
            <w:tcW w:w="20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B72" w:rsidRDefault="00081B72">
            <w:pPr>
              <w:spacing w:line="2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中期资金总额：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年度资金总额：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81B72" w:rsidRDefault="00081B72">
            <w:pPr>
              <w:spacing w:line="2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</w:tr>
      <w:tr w:rsidR="00081B72" w:rsidTr="00081B72">
        <w:trPr>
          <w:trHeight w:val="330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81B72" w:rsidRDefault="00081B72">
            <w:pPr>
              <w:spacing w:line="2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</w:tr>
      <w:tr w:rsidR="00081B72" w:rsidTr="00081B72">
        <w:trPr>
          <w:trHeight w:val="330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81B72" w:rsidRDefault="00081B72">
            <w:pPr>
              <w:spacing w:line="2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81B72" w:rsidRDefault="00081B72">
            <w:pPr>
              <w:spacing w:line="2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081B72" w:rsidTr="00081B72"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1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81B72" w:rsidRDefault="00081B72">
            <w:pPr>
              <w:spacing w:line="2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</w:t>
            </w:r>
            <w:r>
              <w:rPr>
                <w:sz w:val="20"/>
                <w:szCs w:val="20"/>
              </w:rPr>
              <w:t>2022</w:t>
            </w:r>
            <w:r>
              <w:rPr>
                <w:rFonts w:hint="eastAsia"/>
                <w:sz w:val="20"/>
                <w:szCs w:val="20"/>
              </w:rPr>
              <w:t>年—</w:t>
            </w:r>
            <w:r>
              <w:rPr>
                <w:sz w:val="20"/>
                <w:szCs w:val="20"/>
              </w:rPr>
              <w:t>2022</w:t>
            </w:r>
            <w:r>
              <w:rPr>
                <w:rFonts w:hint="eastAsia"/>
                <w:sz w:val="20"/>
                <w:szCs w:val="20"/>
              </w:rPr>
              <w:t>年）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81B72" w:rsidRDefault="00081B72">
            <w:pPr>
              <w:spacing w:line="2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 w:rsidR="00081B72" w:rsidTr="00081B72">
        <w:trPr>
          <w:trHeight w:val="66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1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：保障单位人员工资福利和日常办公经费支出</w:t>
            </w:r>
            <w:r>
              <w:rPr>
                <w:sz w:val="20"/>
                <w:szCs w:val="20"/>
              </w:rPr>
              <w:br/>
              <w:t xml:space="preserve"> </w:t>
            </w: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：负责重点工程的管理与安全检查工作提高工程管理水平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81B72" w:rsidRDefault="00081B72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：保障单位人员和日常公用经费支出，保障单位运转</w:t>
            </w:r>
          </w:p>
          <w:p w:rsidR="00081B72" w:rsidRDefault="00081B72">
            <w:pPr>
              <w:spacing w:line="260" w:lineRule="exact"/>
              <w:ind w:firstLineChars="50" w:firstLine="1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：提高管理水平</w:t>
            </w:r>
          </w:p>
        </w:tc>
      </w:tr>
      <w:tr w:rsidR="00081B72" w:rsidTr="00081B72">
        <w:trPr>
          <w:trHeight w:val="628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081B72" w:rsidRDefault="00081B72">
            <w:pPr>
              <w:spacing w:line="2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081B72" w:rsidRDefault="00081B72">
            <w:pPr>
              <w:spacing w:line="2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81B72" w:rsidRDefault="00081B72">
            <w:pPr>
              <w:spacing w:line="2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 w:rsidR="00081B72" w:rsidTr="00081B72">
        <w:trPr>
          <w:trHeight w:val="31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081B72" w:rsidRDefault="00081B72">
            <w:pPr>
              <w:spacing w:line="2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：落实工程管理工作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管理范围为全县重点工程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完成年度工作任务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081B72" w:rsidRDefault="00081B72">
            <w:pPr>
              <w:spacing w:line="2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：落实工程管理工作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管理范围为全县重点工程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完成年度工作任务</w:t>
            </w:r>
          </w:p>
        </w:tc>
      </w:tr>
      <w:tr w:rsidR="00081B72" w:rsidTr="00081B72">
        <w:trPr>
          <w:trHeight w:val="31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：稳步推进全县新老城区基础设施项目及重点工程组织建设工作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工程日常管理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保障工程质量</w:t>
            </w:r>
          </w:p>
        </w:tc>
        <w:tc>
          <w:tcPr>
            <w:tcW w:w="4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：安全生产工作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工程日常管理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保障工程质量</w:t>
            </w:r>
          </w:p>
        </w:tc>
      </w:tr>
      <w:tr w:rsidR="00081B72" w:rsidTr="00081B72">
        <w:trPr>
          <w:trHeight w:val="31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081B72" w:rsidRDefault="00081B72">
            <w:pPr>
              <w:spacing w:line="2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：落实工程管理工作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sz w:val="20"/>
                <w:szCs w:val="20"/>
              </w:rPr>
              <w:t>95%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sz w:val="20"/>
                <w:szCs w:val="20"/>
              </w:rPr>
              <w:t>95%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081B72" w:rsidRDefault="00081B72">
            <w:pPr>
              <w:spacing w:line="2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：落实工程管理工作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sz w:val="20"/>
                <w:szCs w:val="20"/>
              </w:rPr>
              <w:t>95%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sz w:val="20"/>
                <w:szCs w:val="20"/>
              </w:rPr>
              <w:t>95%</w:t>
            </w:r>
          </w:p>
        </w:tc>
      </w:tr>
      <w:tr w:rsidR="00081B72" w:rsidTr="00081B72">
        <w:trPr>
          <w:trHeight w:val="31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ind w:firstLineChars="50" w:firstLine="100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：稳步推进全县新老城区基础设施项目及重点工程组织建设工作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sz w:val="20"/>
                <w:szCs w:val="20"/>
              </w:rPr>
              <w:t>95%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sz w:val="20"/>
                <w:szCs w:val="20"/>
              </w:rPr>
              <w:t>95%</w:t>
            </w:r>
          </w:p>
        </w:tc>
        <w:tc>
          <w:tcPr>
            <w:tcW w:w="4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ind w:firstLineChars="50" w:firstLine="100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：安全生产工作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sz w:val="20"/>
                <w:szCs w:val="20"/>
              </w:rPr>
              <w:t>95%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sz w:val="20"/>
                <w:szCs w:val="20"/>
              </w:rPr>
              <w:t>95%</w:t>
            </w:r>
          </w:p>
        </w:tc>
      </w:tr>
      <w:tr w:rsidR="00081B72" w:rsidTr="00081B72">
        <w:trPr>
          <w:trHeight w:val="31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081B72" w:rsidRDefault="00081B72">
            <w:pPr>
              <w:spacing w:line="2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：落实工程管理工作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管理范围为全县重点工程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完成年度工作任务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081B72" w:rsidRDefault="00081B72">
            <w:pPr>
              <w:spacing w:line="2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：落实工程管理工作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管理范围为全县重点工程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完成年度工作任务</w:t>
            </w:r>
          </w:p>
        </w:tc>
      </w:tr>
      <w:tr w:rsidR="00081B72" w:rsidTr="00081B72">
        <w:trPr>
          <w:trHeight w:val="31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：稳步推进全县新老城区基础设施项目及重点工程组织建设工作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工程日常管理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保障工程质量</w:t>
            </w:r>
          </w:p>
        </w:tc>
        <w:tc>
          <w:tcPr>
            <w:tcW w:w="4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：稳步推进全县新老城区基础设施项目及重点工程组织建设工作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工程日常管理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spacing w:line="26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保障工程质量</w:t>
            </w:r>
          </w:p>
        </w:tc>
      </w:tr>
      <w:tr w:rsidR="00081B72" w:rsidTr="00081B72">
        <w:trPr>
          <w:trHeight w:val="84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081B72" w:rsidRDefault="00081B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：财政经费支出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</w:t>
            </w:r>
            <w:r>
              <w:rPr>
                <w:sz w:val="20"/>
                <w:szCs w:val="20"/>
              </w:rPr>
              <w:t>300</w:t>
            </w:r>
            <w:r>
              <w:rPr>
                <w:rFonts w:hint="eastAsia"/>
                <w:sz w:val="20"/>
                <w:szCs w:val="20"/>
              </w:rPr>
              <w:t>万元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</w:t>
            </w:r>
            <w:r>
              <w:rPr>
                <w:sz w:val="20"/>
                <w:szCs w:val="20"/>
              </w:rPr>
              <w:t>300</w:t>
            </w:r>
            <w:r>
              <w:rPr>
                <w:rFonts w:hint="eastAsia"/>
                <w:sz w:val="20"/>
                <w:szCs w:val="20"/>
              </w:rPr>
              <w:t>万元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081B72" w:rsidRDefault="00081B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：财政经费支出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</w:t>
            </w:r>
            <w:r>
              <w:rPr>
                <w:sz w:val="20"/>
                <w:szCs w:val="20"/>
              </w:rPr>
              <w:t>300</w:t>
            </w:r>
            <w:r>
              <w:rPr>
                <w:rFonts w:hint="eastAsia"/>
                <w:sz w:val="20"/>
                <w:szCs w:val="20"/>
              </w:rPr>
              <w:t>万元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</w:t>
            </w:r>
            <w:r>
              <w:rPr>
                <w:sz w:val="20"/>
                <w:szCs w:val="20"/>
              </w:rPr>
              <w:t>300</w:t>
            </w:r>
            <w:r>
              <w:rPr>
                <w:rFonts w:hint="eastAsia"/>
                <w:sz w:val="20"/>
                <w:szCs w:val="20"/>
              </w:rPr>
              <w:t>万元</w:t>
            </w:r>
          </w:p>
        </w:tc>
      </w:tr>
      <w:tr w:rsidR="00081B72" w:rsidTr="00081B72">
        <w:trPr>
          <w:trHeight w:val="31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 w:rsidR="00081B72" w:rsidRDefault="00081B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081B72" w:rsidTr="00081B72">
        <w:trPr>
          <w:trHeight w:val="31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4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081B72" w:rsidTr="00081B72">
        <w:trPr>
          <w:trHeight w:val="31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：加强城市建设管理工作，提升城市建设品位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加强城市建设管理工作，提升城市建设品位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加强城市建设管理工作，提升城市建设品位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 w:rsidR="00081B72" w:rsidRDefault="00081B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081B72" w:rsidTr="00081B72">
        <w:trPr>
          <w:trHeight w:val="31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4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081B72" w:rsidTr="00081B72">
        <w:trPr>
          <w:trHeight w:val="31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081B72" w:rsidTr="00081B72">
        <w:trPr>
          <w:trHeight w:val="31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4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081B72" w:rsidTr="00081B72">
        <w:trPr>
          <w:trHeight w:val="31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 w:rsidR="00081B72" w:rsidRDefault="00081B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 w:rsidR="00081B72" w:rsidRDefault="00081B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081B72" w:rsidTr="00081B72">
        <w:trPr>
          <w:trHeight w:val="31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4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081B72" w:rsidTr="00081B72">
        <w:trPr>
          <w:trHeight w:val="31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081B72" w:rsidTr="00081B72">
        <w:trPr>
          <w:trHeight w:val="95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：服务对象满意度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sz w:val="20"/>
                <w:szCs w:val="20"/>
              </w:rPr>
              <w:t>95%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sz w:val="20"/>
                <w:szCs w:val="20"/>
              </w:rPr>
              <w:t>95%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 w:rsidR="00081B72" w:rsidRDefault="00081B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 w:rsidR="00081B72" w:rsidRDefault="00081B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：服务对象满意度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sz w:val="20"/>
                <w:szCs w:val="20"/>
              </w:rPr>
              <w:t>95%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1B72" w:rsidRDefault="00081B7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sz w:val="20"/>
                <w:szCs w:val="20"/>
              </w:rPr>
              <w:t>95%</w:t>
            </w:r>
          </w:p>
        </w:tc>
      </w:tr>
    </w:tbl>
    <w:p w:rsidR="00177A7D" w:rsidRDefault="00177A7D"/>
    <w:sectPr w:rsidR="00177A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A7D" w:rsidRDefault="00177A7D" w:rsidP="00081B72">
      <w:r>
        <w:separator/>
      </w:r>
    </w:p>
  </w:endnote>
  <w:endnote w:type="continuationSeparator" w:id="1">
    <w:p w:rsidR="00177A7D" w:rsidRDefault="00177A7D" w:rsidP="00081B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A7D" w:rsidRDefault="00177A7D" w:rsidP="00081B72">
      <w:r>
        <w:separator/>
      </w:r>
    </w:p>
  </w:footnote>
  <w:footnote w:type="continuationSeparator" w:id="1">
    <w:p w:rsidR="00177A7D" w:rsidRDefault="00177A7D" w:rsidP="00081B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1B72"/>
    <w:rsid w:val="00081B72"/>
    <w:rsid w:val="00177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B7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81B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81B7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81B7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81B7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0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1106</Characters>
  <Application>Microsoft Office Word</Application>
  <DocSecurity>0</DocSecurity>
  <Lines>9</Lines>
  <Paragraphs>2</Paragraphs>
  <ScaleCrop>false</ScaleCrop>
  <Company>Microsoft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寿县重点工程建设管理中心</dc:creator>
  <cp:keywords/>
  <dc:description/>
  <cp:lastModifiedBy>寿县重点工程建设管理中心</cp:lastModifiedBy>
  <cp:revision>3</cp:revision>
  <dcterms:created xsi:type="dcterms:W3CDTF">2022-02-15T10:07:00Z</dcterms:created>
  <dcterms:modified xsi:type="dcterms:W3CDTF">2022-02-15T10:08:00Z</dcterms:modified>
</cp:coreProperties>
</file>