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_GB2312" w:hAnsi="华文中宋" w:eastAsia="仿宋_GB2312" w:cs="华文中宋"/>
          <w:b/>
          <w:sz w:val="32"/>
          <w:szCs w:val="32"/>
        </w:rPr>
      </w:pPr>
    </w:p>
    <w:p>
      <w:pPr>
        <w:adjustRightInd w:val="0"/>
        <w:snapToGrid w:val="0"/>
        <w:spacing w:line="360" w:lineRule="auto"/>
        <w:jc w:val="center"/>
        <w:rPr>
          <w:rFonts w:ascii="方正小标宋简体" w:hAnsi="方正小标宋简体" w:eastAsia="方正小标宋简体" w:cs="华文中宋"/>
          <w:b/>
          <w:sz w:val="44"/>
          <w:szCs w:val="44"/>
        </w:rPr>
      </w:pPr>
      <w:r>
        <w:rPr>
          <w:rFonts w:hint="eastAsia" w:ascii="方正小标宋简体" w:hAnsi="方正小标宋简体" w:eastAsia="方正小标宋简体" w:cs="华文中宋"/>
          <w:b/>
          <w:sz w:val="44"/>
          <w:szCs w:val="44"/>
        </w:rPr>
        <w:t>寿县县委宣传部2022年部门预算</w:t>
      </w:r>
    </w:p>
    <w:p>
      <w:pPr>
        <w:pStyle w:val="6"/>
        <w:adjustRightInd w:val="0"/>
        <w:snapToGrid w:val="0"/>
        <w:spacing w:before="0" w:beforeAutospacing="0" w:after="0" w:afterAutospacing="0" w:line="360" w:lineRule="auto"/>
        <w:jc w:val="center"/>
        <w:rPr>
          <w:rFonts w:ascii="仿宋_GB2312" w:hAnsi="黑体" w:eastAsia="仿宋_GB2312"/>
          <w:bCs/>
          <w:sz w:val="32"/>
          <w:szCs w:val="32"/>
        </w:rPr>
      </w:pPr>
    </w:p>
    <w:p>
      <w:pPr>
        <w:pStyle w:val="6"/>
        <w:adjustRightInd w:val="0"/>
        <w:snapToGrid w:val="0"/>
        <w:spacing w:before="0" w:beforeAutospacing="0" w:after="0" w:afterAutospacing="0" w:line="360" w:lineRule="auto"/>
        <w:jc w:val="center"/>
        <w:rPr>
          <w:rFonts w:ascii="仿宋_GB2312" w:hAnsi="黑体" w:eastAsia="仿宋_GB2312"/>
          <w:bCs/>
          <w:sz w:val="32"/>
          <w:szCs w:val="32"/>
        </w:rPr>
      </w:pPr>
    </w:p>
    <w:p>
      <w:pPr>
        <w:pStyle w:val="6"/>
        <w:adjustRightInd w:val="0"/>
        <w:snapToGrid w:val="0"/>
        <w:spacing w:before="0" w:beforeAutospacing="0" w:after="0" w:afterAutospacing="0" w:line="360" w:lineRule="auto"/>
        <w:jc w:val="center"/>
        <w:rPr>
          <w:rFonts w:ascii="仿宋_GB2312" w:hAnsi="黑体" w:eastAsia="仿宋_GB2312"/>
          <w:bCs/>
          <w:sz w:val="32"/>
          <w:szCs w:val="32"/>
        </w:rPr>
      </w:pPr>
    </w:p>
    <w:p>
      <w:pPr>
        <w:pStyle w:val="6"/>
        <w:adjustRightInd w:val="0"/>
        <w:snapToGrid w:val="0"/>
        <w:spacing w:before="0" w:beforeAutospacing="0" w:after="0" w:afterAutospacing="0" w:line="360" w:lineRule="auto"/>
        <w:jc w:val="center"/>
        <w:rPr>
          <w:rFonts w:ascii="仿宋_GB2312" w:hAnsi="黑体" w:eastAsia="仿宋_GB2312"/>
          <w:bCs/>
          <w:sz w:val="32"/>
          <w:szCs w:val="32"/>
        </w:rPr>
      </w:pPr>
    </w:p>
    <w:p>
      <w:pPr>
        <w:pStyle w:val="6"/>
        <w:adjustRightInd w:val="0"/>
        <w:snapToGrid w:val="0"/>
        <w:spacing w:before="0" w:beforeAutospacing="0" w:after="0" w:afterAutospacing="0" w:line="360" w:lineRule="auto"/>
        <w:jc w:val="both"/>
        <w:rPr>
          <w:rFonts w:ascii="仿宋_GB2312" w:hAnsi="黑体" w:eastAsia="仿宋_GB2312"/>
          <w:bCs/>
          <w:sz w:val="32"/>
          <w:szCs w:val="32"/>
        </w:rPr>
      </w:pPr>
    </w:p>
    <w:p>
      <w:pPr>
        <w:pStyle w:val="6"/>
        <w:adjustRightInd w:val="0"/>
        <w:snapToGrid w:val="0"/>
        <w:spacing w:before="0" w:beforeAutospacing="0" w:after="0" w:afterAutospacing="0" w:line="360" w:lineRule="auto"/>
        <w:jc w:val="center"/>
        <w:rPr>
          <w:rFonts w:ascii="仿宋_GB2312" w:hAnsi="黑体" w:eastAsia="仿宋_GB2312"/>
          <w:bCs/>
          <w:sz w:val="32"/>
          <w:szCs w:val="32"/>
        </w:rPr>
      </w:pPr>
    </w:p>
    <w:p>
      <w:pPr>
        <w:pStyle w:val="6"/>
        <w:adjustRightInd w:val="0"/>
        <w:snapToGrid w:val="0"/>
        <w:spacing w:before="0" w:beforeAutospacing="0" w:after="0" w:afterAutospacing="0" w:line="360" w:lineRule="auto"/>
        <w:jc w:val="center"/>
        <w:rPr>
          <w:rFonts w:ascii="仿宋_GB2312" w:hAnsi="黑体" w:eastAsia="仿宋_GB2312"/>
          <w:bCs/>
          <w:sz w:val="32"/>
          <w:szCs w:val="32"/>
        </w:rPr>
      </w:pPr>
    </w:p>
    <w:p>
      <w:pPr>
        <w:pStyle w:val="6"/>
        <w:adjustRightInd w:val="0"/>
        <w:snapToGrid w:val="0"/>
        <w:spacing w:before="0" w:beforeAutospacing="0" w:after="0" w:afterAutospacing="0" w:line="360" w:lineRule="auto"/>
        <w:jc w:val="center"/>
        <w:rPr>
          <w:rFonts w:ascii="仿宋_GB2312" w:hAnsi="黑体" w:eastAsia="仿宋_GB2312"/>
          <w:bCs/>
          <w:sz w:val="32"/>
          <w:szCs w:val="32"/>
        </w:rPr>
      </w:pPr>
    </w:p>
    <w:p>
      <w:pPr>
        <w:pStyle w:val="6"/>
        <w:adjustRightInd w:val="0"/>
        <w:snapToGrid w:val="0"/>
        <w:spacing w:before="0" w:beforeAutospacing="0" w:after="0" w:afterAutospacing="0" w:line="360" w:lineRule="auto"/>
        <w:jc w:val="center"/>
        <w:rPr>
          <w:rFonts w:ascii="仿宋_GB2312" w:hAnsi="黑体" w:eastAsia="仿宋_GB2312"/>
          <w:bCs/>
          <w:sz w:val="32"/>
          <w:szCs w:val="32"/>
        </w:rPr>
      </w:pPr>
    </w:p>
    <w:p>
      <w:pPr>
        <w:pStyle w:val="6"/>
        <w:adjustRightInd w:val="0"/>
        <w:snapToGrid w:val="0"/>
        <w:spacing w:before="0" w:beforeAutospacing="0" w:after="0" w:afterAutospacing="0" w:line="360" w:lineRule="auto"/>
        <w:jc w:val="center"/>
        <w:rPr>
          <w:rFonts w:ascii="方正小标宋简体" w:hAnsi="方正小标宋简体" w:eastAsia="方正小标宋简体"/>
          <w:bCs/>
          <w:sz w:val="44"/>
          <w:szCs w:val="44"/>
        </w:rPr>
      </w:pPr>
    </w:p>
    <w:p>
      <w:pPr>
        <w:pStyle w:val="6"/>
        <w:adjustRightInd w:val="0"/>
        <w:snapToGrid w:val="0"/>
        <w:spacing w:before="0" w:beforeAutospacing="0" w:after="0" w:afterAutospacing="0" w:line="360" w:lineRule="auto"/>
        <w:jc w:val="center"/>
        <w:rPr>
          <w:rFonts w:ascii="方正小标宋简体" w:hAnsi="方正小标宋简体" w:eastAsia="方正小标宋简体"/>
          <w:bCs/>
          <w:sz w:val="44"/>
          <w:szCs w:val="44"/>
        </w:rPr>
      </w:pPr>
    </w:p>
    <w:p>
      <w:pPr>
        <w:pStyle w:val="6"/>
        <w:adjustRightInd w:val="0"/>
        <w:snapToGrid w:val="0"/>
        <w:spacing w:before="0" w:beforeAutospacing="0" w:after="0" w:afterAutospacing="0" w:line="360" w:lineRule="auto"/>
        <w:jc w:val="center"/>
        <w:rPr>
          <w:rFonts w:ascii="仿宋_GB2312" w:hAnsi="黑体" w:eastAsia="仿宋_GB2312"/>
          <w:bCs/>
          <w:sz w:val="32"/>
          <w:szCs w:val="32"/>
        </w:rPr>
      </w:pPr>
      <w:r>
        <w:rPr>
          <w:rFonts w:hint="eastAsia" w:ascii="方正小标宋简体" w:hAnsi="方正小标宋简体" w:eastAsia="方正小标宋简体"/>
          <w:bCs/>
          <w:sz w:val="44"/>
          <w:szCs w:val="44"/>
        </w:rPr>
        <w:t>2022年1月</w:t>
      </w:r>
    </w:p>
    <w:p>
      <w:pPr>
        <w:pStyle w:val="6"/>
        <w:adjustRightInd w:val="0"/>
        <w:snapToGrid w:val="0"/>
        <w:spacing w:before="0" w:beforeAutospacing="0" w:after="0" w:afterAutospacing="0" w:line="500" w:lineRule="exact"/>
        <w:jc w:val="center"/>
        <w:rPr>
          <w:rFonts w:ascii="方正小标宋简体" w:hAnsi="方正小标宋简体" w:eastAsia="方正小标宋简体"/>
          <w:bCs/>
          <w:sz w:val="44"/>
          <w:szCs w:val="44"/>
        </w:rPr>
      </w:pPr>
    </w:p>
    <w:p>
      <w:pPr>
        <w:pStyle w:val="6"/>
        <w:adjustRightInd w:val="0"/>
        <w:snapToGrid w:val="0"/>
        <w:spacing w:before="0" w:beforeAutospacing="0" w:after="0" w:afterAutospacing="0" w:line="500" w:lineRule="exact"/>
        <w:jc w:val="center"/>
        <w:rPr>
          <w:rFonts w:ascii="方正小标宋简体" w:hAnsi="方正小标宋简体" w:eastAsia="方正小标宋简体"/>
          <w:bCs/>
          <w:sz w:val="44"/>
          <w:szCs w:val="44"/>
        </w:rPr>
      </w:pPr>
    </w:p>
    <w:p>
      <w:pPr>
        <w:pStyle w:val="6"/>
        <w:adjustRightInd w:val="0"/>
        <w:snapToGrid w:val="0"/>
        <w:spacing w:before="0" w:beforeAutospacing="0" w:after="0" w:afterAutospacing="0" w:line="500" w:lineRule="exact"/>
        <w:jc w:val="center"/>
        <w:rPr>
          <w:rFonts w:ascii="方正小标宋简体" w:hAnsi="方正小标宋简体" w:eastAsia="方正小标宋简体"/>
          <w:bCs/>
          <w:sz w:val="44"/>
          <w:szCs w:val="44"/>
        </w:rPr>
      </w:pPr>
      <w:r>
        <w:rPr>
          <w:rFonts w:hint="eastAsia" w:ascii="方正小标宋简体" w:hAnsi="方正小标宋简体" w:eastAsia="方正小标宋简体"/>
          <w:bCs/>
          <w:sz w:val="44"/>
          <w:szCs w:val="44"/>
        </w:rPr>
        <w:t>目 录</w:t>
      </w:r>
    </w:p>
    <w:p>
      <w:pPr>
        <w:pStyle w:val="6"/>
        <w:adjustRightInd w:val="0"/>
        <w:snapToGrid w:val="0"/>
        <w:spacing w:before="0" w:beforeAutospacing="0" w:after="0" w:afterAutospacing="0" w:line="500" w:lineRule="exact"/>
        <w:jc w:val="center"/>
        <w:rPr>
          <w:rFonts w:ascii="仿宋_GB2312" w:hAnsi="黑体" w:eastAsia="仿宋_GB2312"/>
          <w:bCs/>
          <w:sz w:val="32"/>
          <w:szCs w:val="32"/>
        </w:rPr>
      </w:pPr>
    </w:p>
    <w:p>
      <w:pPr>
        <w:pStyle w:val="6"/>
        <w:adjustRightInd w:val="0"/>
        <w:snapToGrid w:val="0"/>
        <w:spacing w:before="0" w:beforeAutospacing="0" w:after="0" w:afterAutospacing="0" w:line="600" w:lineRule="exact"/>
        <w:ind w:firstLine="640" w:firstLineChars="200"/>
        <w:rPr>
          <w:rFonts w:ascii="仿宋_GB2312" w:hAnsi="仿宋" w:eastAsia="仿宋_GB2312" w:cs="仿宋"/>
          <w:b/>
          <w:sz w:val="32"/>
          <w:szCs w:val="32"/>
        </w:rPr>
      </w:pPr>
      <w:r>
        <w:rPr>
          <w:rFonts w:hint="eastAsia" w:ascii="仿宋_GB2312" w:hAnsi="仿宋" w:eastAsia="仿宋_GB2312" w:cs="仿宋"/>
          <w:b/>
          <w:sz w:val="32"/>
          <w:szCs w:val="32"/>
        </w:rPr>
        <w:t>第一部分 部门概况</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1.主要职责</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2.部门预算构成</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3.2022年度主要工作任务</w:t>
      </w:r>
    </w:p>
    <w:p>
      <w:pPr>
        <w:pStyle w:val="6"/>
        <w:adjustRightInd w:val="0"/>
        <w:snapToGrid w:val="0"/>
        <w:spacing w:before="0" w:beforeAutospacing="0" w:after="0" w:afterAutospacing="0" w:line="600" w:lineRule="exact"/>
        <w:ind w:firstLine="640" w:firstLineChars="200"/>
        <w:rPr>
          <w:rFonts w:ascii="仿宋_GB2312" w:hAnsi="仿宋" w:eastAsia="仿宋_GB2312" w:cs="仿宋"/>
          <w:b/>
          <w:sz w:val="32"/>
          <w:szCs w:val="32"/>
        </w:rPr>
      </w:pPr>
      <w:r>
        <w:rPr>
          <w:rFonts w:hint="eastAsia" w:ascii="仿宋_GB2312" w:hAnsi="仿宋" w:eastAsia="仿宋_GB2312" w:cs="仿宋"/>
          <w:b/>
          <w:sz w:val="32"/>
          <w:szCs w:val="32"/>
        </w:rPr>
        <w:t>第二部分 2022年部门预算表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1.2022年收支总表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2.2022年收入总表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3.2022年支出总表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4.2022年财政拨款收支总表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5.2022年一般公共预算支出表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6.2022年一般公共预算基本支出表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7.2022年政府性基金预算支出表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8.2022年国有资本经营预算支出预算表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9.2022年项目支出表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10.2022年政府采购支出表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11.2022年政府购买服务支出表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
          <w:sz w:val="32"/>
          <w:szCs w:val="32"/>
        </w:rPr>
      </w:pPr>
      <w:r>
        <w:rPr>
          <w:rFonts w:hint="eastAsia" w:ascii="仿宋_GB2312" w:hAnsi="仿宋" w:eastAsia="仿宋_GB2312" w:cs="仿宋"/>
          <w:b/>
          <w:sz w:val="32"/>
          <w:szCs w:val="32"/>
        </w:rPr>
        <w:t>第三部分 2022年部门预算情况说明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1.关于2022年收支总表的说明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2.关于2022年收入总表的说明</w:t>
      </w:r>
    </w:p>
    <w:p>
      <w:pPr>
        <w:adjustRightInd w:val="0"/>
        <w:snapToGrid w:val="0"/>
        <w:spacing w:line="600" w:lineRule="exact"/>
        <w:ind w:firstLine="640" w:firstLineChars="200"/>
        <w:jc w:val="left"/>
        <w:rPr>
          <w:rFonts w:ascii="仿宋_GB2312" w:hAnsi="仿宋" w:eastAsia="仿宋_GB2312" w:cs="仿宋"/>
          <w:bCs/>
          <w:kern w:val="0"/>
          <w:sz w:val="32"/>
          <w:szCs w:val="32"/>
        </w:rPr>
      </w:pPr>
      <w:r>
        <w:rPr>
          <w:rFonts w:hint="eastAsia" w:ascii="仿宋_GB2312" w:hAnsi="仿宋" w:eastAsia="仿宋_GB2312" w:cs="仿宋"/>
          <w:bCs/>
          <w:kern w:val="0"/>
          <w:sz w:val="32"/>
          <w:szCs w:val="32"/>
        </w:rPr>
        <w:t>3.关于2022年支出总表的说明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4.关于2022年财政拨款收支总表的说明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5.关于2022年一般公共预算支出表的说明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6.关于2022年一般公共预算基本支出表的说明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7.关于2022年政府性基金预算支出表的说明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8.关于2022年国有资本经营支出预算表的说明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9.关于2022年项目支出表的说明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10.关于2022年政府采购支出表的说明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11.关于2022年政府购买服务支出表的说明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12.其他重要事项情况说明</w:t>
      </w:r>
    </w:p>
    <w:p>
      <w:pPr>
        <w:pStyle w:val="6"/>
        <w:adjustRightInd w:val="0"/>
        <w:snapToGrid w:val="0"/>
        <w:spacing w:before="0" w:beforeAutospacing="0" w:after="0" w:afterAutospacing="0" w:line="600" w:lineRule="exact"/>
        <w:ind w:firstLine="640" w:firstLineChars="200"/>
        <w:rPr>
          <w:rFonts w:ascii="仿宋_GB2312" w:hAnsi="仿宋" w:eastAsia="仿宋_GB2312" w:cs="仿宋"/>
          <w:b/>
          <w:sz w:val="32"/>
          <w:szCs w:val="32"/>
        </w:rPr>
      </w:pPr>
      <w:r>
        <w:rPr>
          <w:rFonts w:hint="eastAsia" w:ascii="仿宋_GB2312" w:hAnsi="仿宋" w:eastAsia="仿宋_GB2312" w:cs="仿宋"/>
          <w:b/>
          <w:sz w:val="32"/>
          <w:szCs w:val="32"/>
        </w:rPr>
        <w:t>第四部分 名词解释</w:t>
      </w:r>
    </w:p>
    <w:p>
      <w:pPr>
        <w:pStyle w:val="6"/>
        <w:adjustRightInd w:val="0"/>
        <w:snapToGrid w:val="0"/>
        <w:spacing w:before="0" w:beforeAutospacing="0" w:after="0" w:afterAutospacing="0" w:line="360" w:lineRule="auto"/>
        <w:jc w:val="center"/>
        <w:rPr>
          <w:rFonts w:ascii="仿宋_GB2312" w:hAnsi="仿宋" w:eastAsia="仿宋_GB2312" w:cs="仿宋"/>
          <w:b/>
          <w:sz w:val="32"/>
          <w:szCs w:val="32"/>
        </w:rPr>
      </w:pPr>
    </w:p>
    <w:p>
      <w:pPr>
        <w:pStyle w:val="6"/>
        <w:adjustRightInd w:val="0"/>
        <w:snapToGrid w:val="0"/>
        <w:spacing w:before="0" w:beforeAutospacing="0" w:after="0" w:afterAutospacing="0" w:line="360" w:lineRule="auto"/>
        <w:jc w:val="center"/>
        <w:rPr>
          <w:rFonts w:ascii="方正小标宋简体" w:hAnsi="方正小标宋简体" w:eastAsia="方正小标宋简体"/>
          <w:bCs/>
          <w:sz w:val="44"/>
          <w:szCs w:val="44"/>
        </w:rPr>
      </w:pPr>
      <w:r>
        <w:rPr>
          <w:rFonts w:hint="eastAsia" w:ascii="方正小标宋简体" w:hAnsi="方正小标宋简体" w:eastAsia="方正小标宋简体"/>
          <w:bCs/>
          <w:sz w:val="44"/>
          <w:szCs w:val="44"/>
        </w:rPr>
        <w:t>第一部分 部门概况</w:t>
      </w:r>
    </w:p>
    <w:p>
      <w:pPr>
        <w:pStyle w:val="6"/>
        <w:adjustRightInd w:val="0"/>
        <w:snapToGrid w:val="0"/>
        <w:spacing w:before="0" w:beforeAutospacing="0" w:after="0" w:afterAutospacing="0" w:line="600" w:lineRule="exact"/>
        <w:ind w:firstLine="627" w:firstLineChars="196"/>
        <w:jc w:val="both"/>
        <w:rPr>
          <w:rFonts w:ascii="黑体" w:hAnsi="黑体" w:eastAsia="黑体"/>
          <w:sz w:val="32"/>
          <w:szCs w:val="32"/>
        </w:rPr>
      </w:pPr>
      <w:r>
        <w:rPr>
          <w:rFonts w:hint="eastAsia" w:ascii="黑体" w:hAnsi="黑体" w:eastAsia="黑体"/>
          <w:bCs/>
          <w:sz w:val="32"/>
          <w:szCs w:val="32"/>
        </w:rPr>
        <w:t>一、主要职责</w:t>
      </w:r>
    </w:p>
    <w:p>
      <w:pPr>
        <w:spacing w:line="6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1、贯彻执行中央关于宣传思想文化工作重大方针、政策和事业发展总体规划，督促检查落实情况；按照上级宣传部门和县委要求，安排布置全县宣传思想文化工作，指导协调各乡镇和县直宣传文化系统各部门开展宣传思想工作。</w:t>
      </w:r>
    </w:p>
    <w:p>
      <w:pPr>
        <w:spacing w:line="6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2、负责指导全县理论研究、理论学习、理论宣传工作，组织推动理论武装工作，负责全县副科级以上单位党组织理论学习中心组部署、检查、指导。</w:t>
      </w:r>
    </w:p>
    <w:p>
      <w:pPr>
        <w:spacing w:line="6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3、负责规划、部署全县性思想政治工作任务；承担县委思想政治工作领导小组办公室工作；配合县委组织部做好党员教育工作，会同有关部门研究和改进群众思想教育工作。</w:t>
      </w:r>
    </w:p>
    <w:p>
      <w:pPr>
        <w:spacing w:line="6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4、负责正确舆论的引导，指导、协调县直新闻单位工作；负责落实县委确定的各项外宣工作任务，组织全县突发公共事件应急新闻工作。</w:t>
      </w:r>
    </w:p>
    <w:p>
      <w:pPr>
        <w:spacing w:line="6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5、指导全县精神文明创建工作，从宏观上统筹指导协同推动全县精神产品生产的创作和生产，协调组织中华优秀传统文化传承发展有关工作，指导协调推动群众文化建设；组织协调、协同有关部门做好社会宣传工作，组织指导、协调全县“扫黄打非”工作。</w:t>
      </w:r>
    </w:p>
    <w:p>
      <w:pPr>
        <w:spacing w:line="6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6、统筹指导协调全县文化体制改革和文化事业、文化产业发展，按规定负责县级文化资金管理工作。</w:t>
      </w:r>
    </w:p>
    <w:p>
      <w:pPr>
        <w:spacing w:line="6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7、统筹协调组织开展全县新闻发布工作，会同有关部门做好来访记者采访事务方面的工作，负责全县新闻记者证的管理。</w:t>
      </w:r>
    </w:p>
    <w:p>
      <w:pPr>
        <w:spacing w:line="6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8、受县委委托，会同县委组织部管理宣传口各单位新闻、文化、互联网信息等方面县直宣传思想文化单位的领导干部；负责有关重要宣传舆论阵地和重要岗位领导干部管理。对乡镇宣传委员的任免提出意见；负责组织开展制定对宣传系统干部的教育培训和有关人才工作；负责对全县新闻、政工系统、专业技术职称评审工作；配合有关部门做好宣传口知识分子工作。</w:t>
      </w:r>
    </w:p>
    <w:p>
      <w:pPr>
        <w:pStyle w:val="6"/>
        <w:adjustRightInd w:val="0"/>
        <w:snapToGrid w:val="0"/>
        <w:spacing w:before="0" w:beforeAutospacing="0" w:after="0" w:afterAutospacing="0"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9、归口领导县融媒体中心，受县委委托管理县委讲师组、县文联。</w:t>
      </w:r>
    </w:p>
    <w:p>
      <w:pPr>
        <w:pStyle w:val="6"/>
        <w:adjustRightInd w:val="0"/>
        <w:snapToGrid w:val="0"/>
        <w:spacing w:before="0" w:beforeAutospacing="0" w:after="0" w:afterAutospacing="0"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10、贯彻上级精神文明建设指导委员会及其办公室工作部署，组织指导、协调文明创建活动和全县公民道德建设，组织评选精神文明建设先进典型。负责全县志愿者服务工作的统筹规划、协调指导、督促检查和经验推广。</w:t>
      </w:r>
    </w:p>
    <w:p>
      <w:pPr>
        <w:pStyle w:val="6"/>
        <w:adjustRightInd w:val="0"/>
        <w:snapToGrid w:val="0"/>
        <w:spacing w:before="0" w:beforeAutospacing="0" w:after="0" w:afterAutospacing="0"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11、完成市委宣传部和县委交给的其他任务。</w:t>
      </w:r>
    </w:p>
    <w:p>
      <w:pPr>
        <w:pStyle w:val="6"/>
        <w:adjustRightInd w:val="0"/>
        <w:snapToGrid w:val="0"/>
        <w:spacing w:before="0" w:beforeAutospacing="0" w:after="0" w:afterAutospacing="0" w:line="580" w:lineRule="exact"/>
        <w:ind w:firstLine="627" w:firstLineChars="196"/>
        <w:jc w:val="both"/>
        <w:rPr>
          <w:rFonts w:ascii="楷体_GB2312" w:hAnsi="仿宋" w:eastAsia="楷体_GB2312" w:cs="Times New Roman"/>
          <w:color w:val="FF0000"/>
          <w:kern w:val="2"/>
          <w:sz w:val="32"/>
          <w:szCs w:val="32"/>
        </w:rPr>
      </w:pPr>
      <w:r>
        <w:rPr>
          <w:rFonts w:hint="eastAsia" w:ascii="黑体" w:hAnsi="黑体" w:eastAsia="黑体"/>
          <w:bCs/>
          <w:sz w:val="32"/>
          <w:szCs w:val="32"/>
        </w:rPr>
        <w:t>二、部门预算单位构成</w:t>
      </w:r>
    </w:p>
    <w:p>
      <w:pPr>
        <w:pStyle w:val="6"/>
        <w:adjustRightInd w:val="0"/>
        <w:snapToGrid w:val="0"/>
        <w:spacing w:before="0" w:beforeAutospacing="0" w:after="0" w:afterAutospacing="0" w:line="600" w:lineRule="exact"/>
        <w:ind w:firstLine="640" w:firstLineChars="200"/>
        <w:rPr>
          <w:rFonts w:cs="Times New Roman" w:asciiTheme="minorEastAsia" w:hAnsiTheme="minorEastAsia" w:eastAsiaTheme="minorEastAsia"/>
          <w:color w:val="FF0000"/>
          <w:kern w:val="2"/>
          <w:sz w:val="32"/>
          <w:szCs w:val="32"/>
        </w:rPr>
      </w:pPr>
      <w:r>
        <w:rPr>
          <w:rFonts w:hint="eastAsia" w:asciiTheme="minorEastAsia" w:hAnsiTheme="minorEastAsia" w:eastAsiaTheme="minorEastAsia"/>
          <w:sz w:val="32"/>
          <w:szCs w:val="32"/>
        </w:rPr>
        <w:t>从预算单位构成看，寿县县委宣传部2022年度部门预算仅包括本级预算，无其他下属单位预算。</w:t>
      </w:r>
    </w:p>
    <w:p>
      <w:pPr>
        <w:pStyle w:val="6"/>
        <w:adjustRightInd w:val="0"/>
        <w:snapToGrid w:val="0"/>
        <w:spacing w:before="0" w:beforeAutospacing="0" w:after="0" w:afterAutospacing="0" w:line="600" w:lineRule="exact"/>
        <w:ind w:firstLine="627" w:firstLineChars="196"/>
        <w:rPr>
          <w:rFonts w:ascii="黑体" w:hAnsi="黑体" w:eastAsia="黑体"/>
          <w:bCs/>
          <w:sz w:val="32"/>
          <w:szCs w:val="32"/>
        </w:rPr>
      </w:pPr>
      <w:r>
        <w:rPr>
          <w:rFonts w:hint="eastAsia" w:ascii="黑体" w:hAnsi="黑体" w:eastAsia="黑体"/>
          <w:bCs/>
          <w:sz w:val="32"/>
          <w:szCs w:val="32"/>
        </w:rPr>
        <w:t>三、2022年度主要工作任务</w:t>
      </w:r>
    </w:p>
    <w:p>
      <w:pPr>
        <w:pStyle w:val="6"/>
        <w:spacing w:before="0" w:beforeAutospacing="0" w:after="300" w:afterAutospacing="0" w:line="600" w:lineRule="exact"/>
        <w:ind w:firstLine="640" w:firstLineChars="200"/>
        <w:rPr>
          <w:rFonts w:cs="仿宋" w:asciiTheme="minorEastAsia" w:hAnsiTheme="minorEastAsia" w:eastAsiaTheme="minorEastAsia"/>
          <w:sz w:val="32"/>
          <w:szCs w:val="32"/>
        </w:rPr>
      </w:pPr>
      <w:r>
        <w:rPr>
          <w:rFonts w:hint="eastAsia" w:cs="仿宋" w:asciiTheme="minorEastAsia" w:hAnsiTheme="minorEastAsia" w:eastAsiaTheme="minorEastAsia"/>
          <w:sz w:val="32"/>
          <w:szCs w:val="32"/>
        </w:rPr>
        <w:t>以习近平新时代中国特色社会主义思想为指导，全面贯彻党的十九届六中全会精神，全面贯彻党的基本理论、基本路线、基本方略，深入贯彻落实习</w:t>
      </w:r>
      <w:bookmarkStart w:id="0" w:name="_GoBack"/>
      <w:r>
        <w:rPr>
          <w:rFonts w:hint="eastAsia" w:cs="仿宋" w:asciiTheme="minorEastAsia" w:hAnsiTheme="minorEastAsia" w:eastAsiaTheme="minorEastAsia"/>
          <w:sz w:val="32"/>
          <w:szCs w:val="32"/>
        </w:rPr>
        <w:t>近</w:t>
      </w:r>
      <w:bookmarkEnd w:id="0"/>
      <w:r>
        <w:rPr>
          <w:rFonts w:hint="eastAsia" w:cs="仿宋" w:asciiTheme="minorEastAsia" w:hAnsiTheme="minorEastAsia" w:eastAsiaTheme="minorEastAsia"/>
          <w:sz w:val="32"/>
          <w:szCs w:val="32"/>
        </w:rPr>
        <w:t>平总书记考察安徽重要讲话指示精神，深入学习领会习近平总书记关于宣传思想工作的重要论述，增强“四个意识”、坚定“四个自信”、做到“两个维护”</w:t>
      </w:r>
      <w:r>
        <w:rPr>
          <w:rFonts w:hint="eastAsia" w:cs="仿宋" w:asciiTheme="minorEastAsia" w:hAnsiTheme="minorEastAsia" w:eastAsiaTheme="minorEastAsia"/>
          <w:sz w:val="32"/>
          <w:szCs w:val="32"/>
          <w:lang w:eastAsia="zh-CN"/>
        </w:rPr>
        <w:t>，</w:t>
      </w:r>
      <w:r>
        <w:rPr>
          <w:rFonts w:hint="eastAsia" w:cs="仿宋" w:asciiTheme="minorEastAsia" w:hAnsiTheme="minorEastAsia" w:eastAsiaTheme="minorEastAsia"/>
          <w:sz w:val="32"/>
          <w:szCs w:val="32"/>
        </w:rPr>
        <w:t>切实担负起“举旗帜、聚民心、育新人、兴文化、展形象”的五大使命任务。要</w:t>
      </w:r>
      <w:r>
        <w:rPr>
          <w:rFonts w:hint="eastAsia" w:cs="仿宋" w:asciiTheme="minorEastAsia" w:hAnsiTheme="minorEastAsia" w:eastAsiaTheme="minorEastAsia"/>
          <w:color w:val="000000"/>
          <w:sz w:val="32"/>
          <w:szCs w:val="32"/>
        </w:rPr>
        <w:t>突出“两个确立”、坚定团结奋进主心骨，服务发展大局、汇聚干事创业正能量，夯实安全之基、把牢意识形态领导权，弘扬时代新风、强化主流价值塑造力，坚持与时俱进、推动文化发展高质量，加强政治建设、展示宣传思想文化战线新气象，争做“两个确立”的衷心拥护者、“两个维护”的忠诚践行者、“两个巩固”的忠实建设者，凝心聚力服务现代化美好寿县建设，以优异成绩迎接党的二十大胜利召开。</w:t>
      </w:r>
    </w:p>
    <w:p>
      <w:pPr>
        <w:pStyle w:val="6"/>
        <w:adjustRightInd w:val="0"/>
        <w:snapToGrid w:val="0"/>
        <w:spacing w:before="0" w:beforeAutospacing="0" w:after="0" w:afterAutospacing="0" w:line="360" w:lineRule="auto"/>
        <w:jc w:val="center"/>
        <w:rPr>
          <w:rFonts w:ascii="方正小标宋简体" w:hAnsi="方正小标宋简体" w:eastAsia="方正小标宋简体"/>
          <w:bCs/>
          <w:sz w:val="44"/>
          <w:szCs w:val="44"/>
        </w:rPr>
      </w:pPr>
    </w:p>
    <w:p>
      <w:pPr>
        <w:pStyle w:val="6"/>
        <w:adjustRightInd w:val="0"/>
        <w:snapToGrid w:val="0"/>
        <w:spacing w:before="0" w:beforeAutospacing="0" w:after="0" w:afterAutospacing="0" w:line="360" w:lineRule="auto"/>
        <w:jc w:val="center"/>
        <w:rPr>
          <w:rFonts w:ascii="方正小标宋简体" w:hAnsi="方正小标宋简体" w:eastAsia="方正小标宋简体"/>
          <w:bCs/>
          <w:sz w:val="44"/>
          <w:szCs w:val="44"/>
        </w:rPr>
      </w:pPr>
      <w:r>
        <w:rPr>
          <w:rFonts w:hint="eastAsia" w:ascii="方正小标宋简体" w:hAnsi="方正小标宋简体" w:eastAsia="方正小标宋简体"/>
          <w:bCs/>
          <w:sz w:val="44"/>
          <w:szCs w:val="44"/>
        </w:rPr>
        <w:t>第二部分 2022年部门预算表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1.2022年收支总表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2.2022年收入总表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3.2022年支出总表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4.2022年财政拨款收支总表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5.2022年一般公共预算支出表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6.2022年一般公共预算基本支出表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7.2022年政府性基金预算支出表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8.2022年国有资本经营预算支出预算表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9.2022年项目支出表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10.2022年政府采购支出表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11.2022年政府购买服务支出表</w:t>
      </w:r>
    </w:p>
    <w:p>
      <w:pPr>
        <w:pStyle w:val="6"/>
        <w:adjustRightInd w:val="0"/>
        <w:snapToGrid w:val="0"/>
        <w:spacing w:before="0" w:beforeAutospacing="0" w:after="0" w:afterAutospacing="0" w:line="600" w:lineRule="exact"/>
        <w:ind w:firstLine="640" w:firstLineChars="200"/>
        <w:rPr>
          <w:rFonts w:ascii="仿宋_GB2312" w:hAnsi="仿宋" w:eastAsia="仿宋_GB2312" w:cs="仿宋"/>
          <w:bCs/>
          <w:sz w:val="32"/>
          <w:szCs w:val="32"/>
        </w:rPr>
      </w:pPr>
    </w:p>
    <w:p>
      <w:pPr>
        <w:pStyle w:val="6"/>
        <w:adjustRightInd w:val="0"/>
        <w:snapToGrid w:val="0"/>
        <w:spacing w:before="0" w:beforeAutospacing="0" w:after="0" w:afterAutospacing="0" w:line="600" w:lineRule="exact"/>
        <w:jc w:val="center"/>
        <w:rPr>
          <w:rFonts w:ascii="仿宋_GB2312" w:hAnsi="黑体" w:eastAsia="仿宋_GB2312"/>
          <w:b/>
          <w:bCs/>
          <w:color w:val="FF0000"/>
          <w:sz w:val="32"/>
          <w:szCs w:val="32"/>
        </w:rPr>
      </w:pPr>
    </w:p>
    <w:p>
      <w:pPr>
        <w:pStyle w:val="6"/>
        <w:adjustRightInd w:val="0"/>
        <w:snapToGrid w:val="0"/>
        <w:spacing w:before="0" w:beforeAutospacing="0" w:after="0" w:afterAutospacing="0" w:line="360" w:lineRule="auto"/>
        <w:jc w:val="center"/>
        <w:rPr>
          <w:rFonts w:ascii="仿宋_GB2312" w:hAnsi="黑体" w:eastAsia="仿宋_GB2312"/>
          <w:b/>
          <w:bCs/>
          <w:color w:val="FF0000"/>
          <w:sz w:val="32"/>
          <w:szCs w:val="32"/>
        </w:rPr>
        <w:sectPr>
          <w:footerReference r:id="rId3" w:type="default"/>
          <w:pgSz w:w="11906" w:h="16838"/>
          <w:pgMar w:top="1440" w:right="1797" w:bottom="1440" w:left="1797" w:header="851" w:footer="992" w:gutter="0"/>
          <w:cols w:space="720" w:num="1"/>
          <w:docGrid w:type="linesAndChars" w:linePitch="312" w:charSpace="0"/>
        </w:sectPr>
      </w:pPr>
      <w:r>
        <w:rPr>
          <w:rFonts w:ascii="仿宋_GB2312" w:hAnsi="黑体" w:eastAsia="仿宋_GB2312"/>
          <w:b/>
          <w:bCs/>
          <w:color w:val="FF0000"/>
          <w:sz w:val="32"/>
          <w:szCs w:val="32"/>
        </w:rPr>
        <w:pict>
          <v:shape id="_x0000_i1025" o:spt="75" type="#_x0000_t75" style="height:662.25pt;width:459pt;" filled="f" o:preferrelative="t" stroked="f" coordsize="21600,21600">
            <v:path/>
            <v:fill on="f" focussize="0,0"/>
            <v:stroke on="f" joinstyle="miter"/>
            <v:imagedata r:id="rId6" o:title=""/>
            <o:lock v:ext="edit" aspectratio="t"/>
            <w10:wrap type="none"/>
            <w10:anchorlock/>
          </v:shape>
        </w:pict>
      </w:r>
    </w:p>
    <w:p>
      <w:pPr>
        <w:pStyle w:val="6"/>
        <w:adjustRightInd w:val="0"/>
        <w:snapToGrid w:val="0"/>
        <w:spacing w:before="0" w:beforeAutospacing="0" w:after="0" w:afterAutospacing="0" w:line="360" w:lineRule="auto"/>
        <w:jc w:val="center"/>
        <w:rPr>
          <w:rFonts w:ascii="仿宋_GB2312" w:hAnsi="黑体" w:eastAsia="仿宋_GB2312"/>
          <w:b/>
          <w:bCs/>
          <w:color w:val="FF0000"/>
          <w:sz w:val="32"/>
          <w:szCs w:val="32"/>
        </w:rPr>
      </w:pPr>
      <w:r>
        <w:rPr>
          <w:rFonts w:ascii="仿宋_GB2312" w:hAnsi="黑体" w:eastAsia="仿宋_GB2312"/>
          <w:b/>
          <w:bCs/>
          <w:color w:val="FF0000"/>
          <w:sz w:val="32"/>
          <w:szCs w:val="32"/>
        </w:rPr>
        <w:pict>
          <v:shape id="_x0000_i1026" o:spt="75" type="#_x0000_t75" style="height:450.75pt;width:729.75pt;" filled="f" o:preferrelative="t" stroked="f" coordsize="21600,21600">
            <v:path/>
            <v:fill on="f" focussize="0,0"/>
            <v:stroke on="f" joinstyle="miter"/>
            <v:imagedata r:id="rId7" o:title=""/>
            <o:lock v:ext="edit" aspectratio="t"/>
            <w10:wrap type="none"/>
            <w10:anchorlock/>
          </v:shape>
        </w:pict>
      </w:r>
    </w:p>
    <w:p>
      <w:pPr>
        <w:pStyle w:val="6"/>
        <w:adjustRightInd w:val="0"/>
        <w:snapToGrid w:val="0"/>
        <w:spacing w:before="0" w:beforeAutospacing="0" w:after="0" w:afterAutospacing="0" w:line="360" w:lineRule="auto"/>
        <w:jc w:val="center"/>
        <w:rPr>
          <w:rFonts w:ascii="仿宋_GB2312" w:hAnsi="黑体" w:eastAsia="仿宋_GB2312"/>
          <w:b/>
          <w:bCs/>
          <w:color w:val="FF0000"/>
          <w:sz w:val="32"/>
          <w:szCs w:val="32"/>
        </w:rPr>
      </w:pPr>
      <w:r>
        <w:rPr>
          <w:rFonts w:ascii="仿宋_GB2312" w:hAnsi="黑体" w:eastAsia="仿宋_GB2312"/>
          <w:b/>
          <w:bCs/>
          <w:color w:val="FF0000"/>
          <w:sz w:val="32"/>
          <w:szCs w:val="32"/>
        </w:rPr>
        <w:pict>
          <v:shape id="_x0000_i1027" o:spt="75" type="#_x0000_t75" style="height:462.75pt;width:714.75pt;" filled="f" o:preferrelative="t" stroked="f" coordsize="21600,21600">
            <v:path/>
            <v:fill on="f" focussize="0,0"/>
            <v:stroke on="f" joinstyle="miter"/>
            <v:imagedata r:id="rId8" o:title=""/>
            <o:lock v:ext="edit" aspectratio="t"/>
            <w10:wrap type="none"/>
            <w10:anchorlock/>
          </v:shape>
        </w:pict>
      </w:r>
    </w:p>
    <w:p>
      <w:pPr>
        <w:pStyle w:val="6"/>
        <w:adjustRightInd w:val="0"/>
        <w:snapToGrid w:val="0"/>
        <w:spacing w:before="0" w:beforeAutospacing="0" w:after="0" w:afterAutospacing="0" w:line="360" w:lineRule="auto"/>
        <w:jc w:val="center"/>
        <w:rPr>
          <w:rFonts w:ascii="仿宋_GB2312" w:hAnsi="黑体" w:eastAsia="仿宋_GB2312"/>
          <w:b/>
          <w:bCs/>
          <w:color w:val="FF0000"/>
          <w:sz w:val="32"/>
          <w:szCs w:val="32"/>
        </w:rPr>
      </w:pPr>
      <w:r>
        <w:rPr>
          <w:rFonts w:ascii="仿宋_GB2312" w:hAnsi="黑体" w:eastAsia="仿宋_GB2312"/>
          <w:b/>
          <w:bCs/>
          <w:color w:val="FF0000"/>
          <w:sz w:val="32"/>
          <w:szCs w:val="32"/>
        </w:rPr>
        <w:pict>
          <v:shape id="_x0000_i1028" o:spt="75" type="#_x0000_t75" style="height:471.75pt;width:687.75pt;" filled="f" o:preferrelative="t" stroked="f" coordsize="21600,21600">
            <v:path/>
            <v:fill on="f" focussize="0,0"/>
            <v:stroke on="f" joinstyle="miter"/>
            <v:imagedata r:id="rId9" o:title=""/>
            <o:lock v:ext="edit" aspectratio="t"/>
            <w10:wrap type="none"/>
            <w10:anchorlock/>
          </v:shape>
        </w:pict>
      </w:r>
    </w:p>
    <w:p>
      <w:pPr>
        <w:pStyle w:val="6"/>
        <w:adjustRightInd w:val="0"/>
        <w:snapToGrid w:val="0"/>
        <w:spacing w:before="0" w:beforeAutospacing="0" w:after="0" w:afterAutospacing="0" w:line="360" w:lineRule="auto"/>
        <w:jc w:val="center"/>
        <w:rPr>
          <w:rFonts w:ascii="仿宋_GB2312" w:hAnsi="黑体" w:eastAsia="仿宋_GB2312"/>
          <w:b/>
          <w:bCs/>
          <w:color w:val="FF0000"/>
          <w:sz w:val="32"/>
          <w:szCs w:val="32"/>
        </w:rPr>
      </w:pPr>
      <w:r>
        <w:rPr>
          <w:rFonts w:ascii="仿宋_GB2312" w:hAnsi="黑体" w:eastAsia="仿宋_GB2312"/>
          <w:b/>
          <w:bCs/>
          <w:color w:val="FF0000"/>
          <w:sz w:val="32"/>
          <w:szCs w:val="32"/>
        </w:rPr>
        <w:pict>
          <v:shape id="_x0000_i1029" o:spt="75" type="#_x0000_t75" style="height:465pt;width:726pt;" filled="f" o:preferrelative="t" stroked="f" coordsize="21600,21600">
            <v:path/>
            <v:fill on="f" focussize="0,0"/>
            <v:stroke on="f" joinstyle="miter"/>
            <v:imagedata r:id="rId10" o:title=""/>
            <o:lock v:ext="edit" aspectratio="t"/>
            <w10:wrap type="none"/>
            <w10:anchorlock/>
          </v:shape>
        </w:pict>
      </w:r>
    </w:p>
    <w:p>
      <w:pPr>
        <w:pStyle w:val="6"/>
        <w:adjustRightInd w:val="0"/>
        <w:snapToGrid w:val="0"/>
        <w:spacing w:before="0" w:beforeAutospacing="0" w:after="0" w:afterAutospacing="0" w:line="360" w:lineRule="auto"/>
        <w:jc w:val="center"/>
        <w:rPr>
          <w:rFonts w:ascii="仿宋_GB2312" w:hAnsi="黑体" w:eastAsia="仿宋_GB2312"/>
          <w:b/>
          <w:bCs/>
          <w:color w:val="FF0000"/>
          <w:sz w:val="32"/>
          <w:szCs w:val="32"/>
        </w:rPr>
      </w:pPr>
      <w:r>
        <w:rPr>
          <w:rFonts w:ascii="仿宋_GB2312" w:hAnsi="黑体" w:eastAsia="仿宋_GB2312"/>
          <w:b/>
          <w:bCs/>
          <w:color w:val="FF0000"/>
          <w:sz w:val="32"/>
          <w:szCs w:val="32"/>
        </w:rPr>
        <w:pict>
          <v:shape id="_x0000_i1030" o:spt="75" type="#_x0000_t75" style="height:460.5pt;width:675pt;" filled="f" o:preferrelative="t" stroked="f" coordsize="21600,21600">
            <v:path/>
            <v:fill on="f" focussize="0,0"/>
            <v:stroke on="f" joinstyle="miter"/>
            <v:imagedata r:id="rId11" o:title=""/>
            <o:lock v:ext="edit" aspectratio="t"/>
            <w10:wrap type="none"/>
            <w10:anchorlock/>
          </v:shape>
        </w:pict>
      </w:r>
    </w:p>
    <w:p>
      <w:pPr>
        <w:pStyle w:val="6"/>
        <w:adjustRightInd w:val="0"/>
        <w:snapToGrid w:val="0"/>
        <w:spacing w:before="0" w:beforeAutospacing="0" w:after="0" w:afterAutospacing="0" w:line="360" w:lineRule="auto"/>
        <w:jc w:val="center"/>
        <w:rPr>
          <w:rFonts w:ascii="仿宋_GB2312" w:hAnsi="黑体" w:eastAsia="仿宋_GB2312"/>
          <w:b/>
          <w:bCs/>
          <w:color w:val="FF0000"/>
          <w:sz w:val="32"/>
          <w:szCs w:val="32"/>
        </w:rPr>
      </w:pPr>
      <w:r>
        <w:rPr>
          <w:rFonts w:ascii="仿宋_GB2312" w:hAnsi="黑体" w:eastAsia="仿宋_GB2312"/>
          <w:b/>
          <w:bCs/>
          <w:color w:val="FF0000"/>
          <w:sz w:val="32"/>
          <w:szCs w:val="32"/>
        </w:rPr>
        <w:pict>
          <v:shape id="_x0000_i1031" o:spt="75" type="#_x0000_t75" style="height:168pt;width:688.5pt;" filled="f" o:preferrelative="t" stroked="f" coordsize="21600,21600">
            <v:path/>
            <v:fill on="f" focussize="0,0"/>
            <v:stroke on="f" joinstyle="miter"/>
            <v:imagedata r:id="rId12" o:title=""/>
            <o:lock v:ext="edit" aspectratio="t"/>
            <w10:wrap type="none"/>
            <w10:anchorlock/>
          </v:shape>
        </w:pict>
      </w:r>
    </w:p>
    <w:p>
      <w:pPr>
        <w:pStyle w:val="6"/>
        <w:adjustRightInd w:val="0"/>
        <w:snapToGrid w:val="0"/>
        <w:spacing w:before="0" w:beforeAutospacing="0" w:after="0" w:afterAutospacing="0" w:line="360" w:lineRule="auto"/>
        <w:jc w:val="center"/>
        <w:rPr>
          <w:rFonts w:ascii="仿宋_GB2312" w:hAnsi="黑体" w:eastAsia="仿宋_GB2312"/>
          <w:b/>
          <w:bCs/>
          <w:color w:val="FF0000"/>
          <w:sz w:val="32"/>
          <w:szCs w:val="32"/>
        </w:rPr>
      </w:pPr>
      <w:r>
        <w:rPr>
          <w:rFonts w:ascii="仿宋_GB2312" w:hAnsi="黑体" w:eastAsia="仿宋_GB2312"/>
          <w:b/>
          <w:bCs/>
          <w:color w:val="FF0000"/>
          <w:sz w:val="32"/>
          <w:szCs w:val="32"/>
        </w:rPr>
        <w:pict>
          <v:shape id="_x0000_i1032" o:spt="75" type="#_x0000_t75" style="height:201pt;width:675pt;" filled="f" o:preferrelative="t" stroked="f" coordsize="21600,21600">
            <v:path/>
            <v:fill on="f" focussize="0,0"/>
            <v:stroke on="f" joinstyle="miter"/>
            <v:imagedata r:id="rId13" o:title=""/>
            <o:lock v:ext="edit" aspectratio="t"/>
            <w10:wrap type="none"/>
            <w10:anchorlock/>
          </v:shape>
        </w:pict>
      </w:r>
    </w:p>
    <w:p>
      <w:pPr>
        <w:pStyle w:val="6"/>
        <w:adjustRightInd w:val="0"/>
        <w:snapToGrid w:val="0"/>
        <w:spacing w:before="0" w:beforeAutospacing="0" w:after="0" w:afterAutospacing="0" w:line="360" w:lineRule="auto"/>
        <w:jc w:val="center"/>
        <w:rPr>
          <w:rFonts w:ascii="仿宋_GB2312" w:hAnsi="黑体" w:eastAsia="仿宋_GB2312"/>
          <w:b/>
          <w:bCs/>
          <w:color w:val="FF0000"/>
          <w:sz w:val="32"/>
          <w:szCs w:val="32"/>
        </w:rPr>
      </w:pPr>
      <w:r>
        <w:rPr>
          <w:rFonts w:ascii="仿宋_GB2312" w:hAnsi="黑体" w:eastAsia="仿宋_GB2312"/>
          <w:b/>
          <w:bCs/>
          <w:color w:val="FF0000"/>
          <w:sz w:val="32"/>
          <w:szCs w:val="32"/>
        </w:rPr>
        <w:pict>
          <v:shape id="_x0000_i1033" o:spt="75" type="#_x0000_t75" style="height:164.25pt;width:716.25pt;" filled="f" o:preferrelative="t" stroked="f" coordsize="21600,21600">
            <v:path/>
            <v:fill on="f" focussize="0,0"/>
            <v:stroke on="f" joinstyle="miter"/>
            <v:imagedata r:id="rId14" o:title=""/>
            <o:lock v:ext="edit" aspectratio="t"/>
            <w10:wrap type="none"/>
            <w10:anchorlock/>
          </v:shape>
        </w:pict>
      </w:r>
    </w:p>
    <w:p>
      <w:pPr>
        <w:pStyle w:val="6"/>
        <w:adjustRightInd w:val="0"/>
        <w:snapToGrid w:val="0"/>
        <w:spacing w:before="0" w:beforeAutospacing="0" w:after="0" w:afterAutospacing="0" w:line="360" w:lineRule="auto"/>
        <w:rPr>
          <w:rFonts w:ascii="仿宋_GB2312" w:hAnsi="黑体" w:eastAsia="仿宋_GB2312"/>
          <w:b/>
          <w:bCs/>
          <w:color w:val="FF0000"/>
          <w:sz w:val="32"/>
          <w:szCs w:val="32"/>
        </w:rPr>
      </w:pPr>
    </w:p>
    <w:p>
      <w:pPr>
        <w:pStyle w:val="6"/>
        <w:adjustRightInd w:val="0"/>
        <w:snapToGrid w:val="0"/>
        <w:spacing w:before="0" w:beforeAutospacing="0" w:after="0" w:afterAutospacing="0" w:line="360" w:lineRule="auto"/>
        <w:jc w:val="center"/>
        <w:rPr>
          <w:rFonts w:ascii="仿宋_GB2312" w:hAnsi="黑体" w:eastAsia="仿宋_GB2312"/>
          <w:b/>
          <w:bCs/>
          <w:color w:val="FF0000"/>
          <w:sz w:val="32"/>
          <w:szCs w:val="32"/>
        </w:rPr>
      </w:pPr>
      <w:r>
        <w:rPr>
          <w:rFonts w:ascii="仿宋_GB2312" w:hAnsi="黑体" w:eastAsia="仿宋_GB2312"/>
          <w:b/>
          <w:bCs/>
          <w:color w:val="FF0000"/>
          <w:sz w:val="32"/>
          <w:szCs w:val="32"/>
        </w:rPr>
        <w:pict>
          <v:shape id="_x0000_i1034" o:spt="75" type="#_x0000_t75" style="height:157.5pt;width:711pt;" filled="f" o:preferrelative="t" stroked="f" coordsize="21600,21600">
            <v:path/>
            <v:fill on="f" focussize="0,0"/>
            <v:stroke on="f" joinstyle="miter"/>
            <v:imagedata r:id="rId15" o:title=""/>
            <o:lock v:ext="edit" aspectratio="t"/>
            <w10:wrap type="none"/>
            <w10:anchorlock/>
          </v:shape>
        </w:pict>
      </w:r>
    </w:p>
    <w:p>
      <w:pPr>
        <w:pStyle w:val="6"/>
        <w:adjustRightInd w:val="0"/>
        <w:snapToGrid w:val="0"/>
        <w:spacing w:before="0" w:beforeAutospacing="0" w:after="0" w:afterAutospacing="0" w:line="360" w:lineRule="auto"/>
        <w:rPr>
          <w:rFonts w:ascii="仿宋_GB2312" w:hAnsi="黑体" w:eastAsia="仿宋_GB2312"/>
          <w:b/>
          <w:bCs/>
          <w:color w:val="FF0000"/>
          <w:sz w:val="32"/>
          <w:szCs w:val="32"/>
        </w:rPr>
        <w:sectPr>
          <w:pgSz w:w="16838" w:h="11906" w:orient="landscape"/>
          <w:pgMar w:top="1134" w:right="1077" w:bottom="1134" w:left="1077" w:header="851" w:footer="992" w:gutter="0"/>
          <w:cols w:space="720" w:num="1"/>
          <w:docGrid w:linePitch="312" w:charSpace="0"/>
        </w:sectPr>
      </w:pPr>
      <w:r>
        <w:rPr>
          <w:rFonts w:ascii="仿宋_GB2312" w:hAnsi="黑体" w:eastAsia="仿宋_GB2312"/>
          <w:b/>
          <w:bCs/>
          <w:color w:val="FF0000"/>
          <w:sz w:val="32"/>
          <w:szCs w:val="32"/>
        </w:rPr>
        <w:pict>
          <v:shape id="_x0000_i1035" o:spt="75" type="#_x0000_t75" style="height:200.25pt;width:729.75pt;" filled="f" o:preferrelative="t" stroked="f" coordsize="21600,21600">
            <v:path/>
            <v:fill on="f" focussize="0,0"/>
            <v:stroke on="f" joinstyle="miter"/>
            <v:imagedata r:id="rId16" o:title=""/>
            <o:lock v:ext="edit" aspectratio="t"/>
            <w10:wrap type="none"/>
            <w10:anchorlock/>
          </v:shape>
        </w:pict>
      </w:r>
    </w:p>
    <w:p>
      <w:pPr>
        <w:pStyle w:val="6"/>
        <w:adjustRightInd w:val="0"/>
        <w:snapToGrid w:val="0"/>
        <w:spacing w:before="0" w:beforeAutospacing="0" w:after="0" w:afterAutospacing="0" w:line="600" w:lineRule="exact"/>
        <w:jc w:val="center"/>
        <w:rPr>
          <w:rFonts w:ascii="黑体" w:hAnsi="黑体" w:eastAsia="黑体"/>
          <w:bCs/>
          <w:sz w:val="44"/>
          <w:szCs w:val="44"/>
        </w:rPr>
      </w:pPr>
      <w:r>
        <w:rPr>
          <w:rFonts w:hint="eastAsia" w:ascii="黑体" w:hAnsi="黑体" w:eastAsia="黑体"/>
          <w:bCs/>
          <w:sz w:val="44"/>
          <w:szCs w:val="44"/>
        </w:rPr>
        <w:t>第三部分 2022年部门预算情况说明</w:t>
      </w:r>
    </w:p>
    <w:p>
      <w:pPr>
        <w:pStyle w:val="6"/>
        <w:adjustRightInd w:val="0"/>
        <w:snapToGrid w:val="0"/>
        <w:spacing w:before="0" w:beforeAutospacing="0" w:after="0" w:afterAutospacing="0" w:line="600" w:lineRule="exact"/>
        <w:rPr>
          <w:rFonts w:ascii="黑体" w:hAnsi="黑体" w:eastAsia="黑体"/>
          <w:bCs/>
          <w:sz w:val="32"/>
          <w:szCs w:val="32"/>
        </w:rPr>
      </w:pPr>
    </w:p>
    <w:p>
      <w:pPr>
        <w:pStyle w:val="6"/>
        <w:adjustRightInd w:val="0"/>
        <w:snapToGrid w:val="0"/>
        <w:spacing w:before="0" w:beforeAutospacing="0" w:after="0" w:afterAutospacing="0" w:line="600" w:lineRule="exact"/>
        <w:ind w:firstLine="640" w:firstLineChars="200"/>
        <w:rPr>
          <w:rFonts w:ascii="黑体" w:hAnsi="仿宋" w:eastAsia="黑体"/>
          <w:color w:val="000000"/>
          <w:sz w:val="32"/>
          <w:szCs w:val="32"/>
        </w:rPr>
      </w:pPr>
      <w:r>
        <w:rPr>
          <w:rFonts w:hint="eastAsia" w:ascii="黑体" w:hAnsi="仿宋" w:eastAsia="黑体"/>
          <w:color w:val="000000"/>
          <w:sz w:val="32"/>
          <w:szCs w:val="32"/>
        </w:rPr>
        <w:t>一、关于2022年收支总表的说明</w:t>
      </w:r>
    </w:p>
    <w:p>
      <w:pPr>
        <w:pStyle w:val="6"/>
        <w:adjustRightInd w:val="0"/>
        <w:snapToGrid w:val="0"/>
        <w:spacing w:before="0" w:beforeAutospacing="0" w:after="0" w:afterAutospacing="0" w:line="600" w:lineRule="exact"/>
        <w:ind w:firstLine="627" w:firstLineChars="196"/>
        <w:jc w:val="both"/>
        <w:rPr>
          <w:rFonts w:asciiTheme="minorEastAsia" w:hAnsiTheme="minorEastAsia" w:eastAsiaTheme="minorEastAsia"/>
          <w:sz w:val="32"/>
          <w:szCs w:val="32"/>
        </w:rPr>
      </w:pPr>
      <w:r>
        <w:rPr>
          <w:rFonts w:hint="eastAsia" w:asciiTheme="minorEastAsia" w:hAnsiTheme="minorEastAsia" w:eastAsiaTheme="minorEastAsia"/>
          <w:sz w:val="32"/>
          <w:szCs w:val="32"/>
        </w:rPr>
        <w:t>按照综合预算的原则，寿县县委宣传部所有收入和支出均纳入部门预算管理。寿县县委宣传部2022年收支总预算568.51万元，收入全部是一般公共预算拨款收入，支出包括：一般公共服务支出、社会保障和就业支出、卫生健康支出、住房保障支出。</w:t>
      </w:r>
    </w:p>
    <w:p>
      <w:pPr>
        <w:pStyle w:val="6"/>
        <w:adjustRightInd w:val="0"/>
        <w:snapToGrid w:val="0"/>
        <w:spacing w:before="0" w:beforeAutospacing="0" w:after="0" w:afterAutospacing="0" w:line="600" w:lineRule="exact"/>
        <w:ind w:firstLine="627" w:firstLineChars="196"/>
        <w:rPr>
          <w:rFonts w:ascii="黑体" w:hAnsi="仿宋" w:eastAsia="黑体"/>
          <w:color w:val="000000"/>
          <w:sz w:val="32"/>
          <w:szCs w:val="32"/>
        </w:rPr>
      </w:pPr>
      <w:r>
        <w:rPr>
          <w:rFonts w:hint="eastAsia" w:ascii="黑体" w:hAnsi="仿宋" w:eastAsia="黑体"/>
          <w:color w:val="000000"/>
          <w:sz w:val="32"/>
          <w:szCs w:val="32"/>
        </w:rPr>
        <w:t>二、关于2022年收入总表的说明</w:t>
      </w:r>
    </w:p>
    <w:p>
      <w:pPr>
        <w:pStyle w:val="6"/>
        <w:widowControl w:val="0"/>
        <w:adjustRightInd w:val="0"/>
        <w:snapToGrid w:val="0"/>
        <w:spacing w:before="0" w:beforeAutospacing="0" w:after="0" w:afterAutospacing="0" w:line="600" w:lineRule="exact"/>
        <w:ind w:firstLine="627" w:firstLineChars="196"/>
        <w:rPr>
          <w:rFonts w:asciiTheme="minorEastAsia" w:hAnsiTheme="minorEastAsia" w:eastAsiaTheme="minorEastAsia"/>
          <w:color w:val="000000"/>
          <w:sz w:val="32"/>
          <w:szCs w:val="32"/>
        </w:rPr>
      </w:pPr>
      <w:r>
        <w:rPr>
          <w:rFonts w:hint="eastAsia" w:asciiTheme="minorEastAsia" w:hAnsiTheme="minorEastAsia" w:eastAsiaTheme="minorEastAsia"/>
          <w:sz w:val="32"/>
          <w:szCs w:val="32"/>
        </w:rPr>
        <w:t>寿县县委宣传部2022年收入预算568.51万元，全部是本年收入。全部是一般公共预算拨款收入568.51万元，占100%，比2021年预算增加5.95万元，增长1.06%，增长的</w:t>
      </w:r>
      <w:r>
        <w:rPr>
          <w:rFonts w:hint="eastAsia" w:cs="Times New Roman" w:asciiTheme="minorEastAsia" w:hAnsiTheme="minorEastAsia" w:eastAsiaTheme="minorEastAsia"/>
          <w:kern w:val="2"/>
          <w:sz w:val="32"/>
          <w:szCs w:val="32"/>
        </w:rPr>
        <w:t>主要原因是</w:t>
      </w:r>
      <w:r>
        <w:rPr>
          <w:rFonts w:hint="eastAsia" w:asciiTheme="minorEastAsia" w:hAnsiTheme="minorEastAsia" w:eastAsiaTheme="minorEastAsia"/>
          <w:color w:val="000000"/>
          <w:sz w:val="32"/>
          <w:szCs w:val="32"/>
        </w:rPr>
        <w:t>人均月工资增加，人员支出及五险一金支出增加。</w:t>
      </w:r>
    </w:p>
    <w:p>
      <w:pPr>
        <w:adjustRightInd w:val="0"/>
        <w:snapToGrid w:val="0"/>
        <w:spacing w:line="600" w:lineRule="exact"/>
        <w:ind w:firstLine="640" w:firstLineChars="200"/>
        <w:rPr>
          <w:rFonts w:ascii="黑体" w:hAnsi="仿宋" w:eastAsia="黑体" w:cs="宋体"/>
          <w:color w:val="000000"/>
          <w:kern w:val="0"/>
          <w:sz w:val="32"/>
          <w:szCs w:val="32"/>
        </w:rPr>
      </w:pPr>
      <w:r>
        <w:rPr>
          <w:rFonts w:hint="eastAsia" w:ascii="黑体" w:hAnsi="仿宋" w:eastAsia="黑体" w:cs="宋体"/>
          <w:color w:val="000000"/>
          <w:kern w:val="0"/>
          <w:sz w:val="32"/>
          <w:szCs w:val="32"/>
        </w:rPr>
        <w:t>三、关于2022年支出总表的说明</w:t>
      </w:r>
    </w:p>
    <w:p>
      <w:pPr>
        <w:pStyle w:val="6"/>
        <w:widowControl w:val="0"/>
        <w:adjustRightInd w:val="0"/>
        <w:snapToGrid w:val="0"/>
        <w:spacing w:before="0" w:beforeAutospacing="0" w:after="0" w:afterAutospacing="0" w:line="600" w:lineRule="exact"/>
        <w:ind w:firstLine="627" w:firstLineChars="196"/>
        <w:rPr>
          <w:rFonts w:asciiTheme="minorEastAsia" w:hAnsiTheme="minorEastAsia" w:eastAsiaTheme="minorEastAsia"/>
          <w:color w:val="000000"/>
          <w:sz w:val="32"/>
          <w:szCs w:val="32"/>
        </w:rPr>
      </w:pPr>
      <w:r>
        <w:rPr>
          <w:rFonts w:hint="eastAsia" w:cs="Times New Roman" w:asciiTheme="minorEastAsia" w:hAnsiTheme="minorEastAsia" w:eastAsiaTheme="minorEastAsia"/>
          <w:sz w:val="32"/>
          <w:szCs w:val="32"/>
        </w:rPr>
        <w:t>寿县县委宣传部2022年支出预算</w:t>
      </w:r>
      <w:r>
        <w:rPr>
          <w:rFonts w:hint="eastAsia" w:asciiTheme="minorEastAsia" w:hAnsiTheme="minorEastAsia" w:eastAsiaTheme="minorEastAsia"/>
          <w:sz w:val="32"/>
          <w:szCs w:val="32"/>
        </w:rPr>
        <w:t>568.51</w:t>
      </w:r>
      <w:r>
        <w:rPr>
          <w:rFonts w:hint="eastAsia" w:cs="Times New Roman" w:asciiTheme="minorEastAsia" w:hAnsiTheme="minorEastAsia" w:eastAsiaTheme="minorEastAsia"/>
          <w:sz w:val="32"/>
          <w:szCs w:val="32"/>
        </w:rPr>
        <w:t>万元，</w:t>
      </w:r>
      <w:r>
        <w:rPr>
          <w:rFonts w:hint="eastAsia" w:asciiTheme="minorEastAsia" w:hAnsiTheme="minorEastAsia" w:eastAsiaTheme="minorEastAsia"/>
          <w:sz w:val="32"/>
          <w:szCs w:val="32"/>
        </w:rPr>
        <w:t>比2021年预算增加5.95万元，增长1.06%，增长的</w:t>
      </w:r>
      <w:r>
        <w:rPr>
          <w:rFonts w:hint="eastAsia" w:cs="Times New Roman" w:asciiTheme="minorEastAsia" w:hAnsiTheme="minorEastAsia" w:eastAsiaTheme="minorEastAsia"/>
          <w:kern w:val="2"/>
          <w:sz w:val="32"/>
          <w:szCs w:val="32"/>
        </w:rPr>
        <w:t>主要原因是</w:t>
      </w:r>
      <w:r>
        <w:rPr>
          <w:rFonts w:hint="eastAsia" w:asciiTheme="minorEastAsia" w:hAnsiTheme="minorEastAsia" w:eastAsiaTheme="minorEastAsia"/>
          <w:color w:val="000000"/>
          <w:sz w:val="32"/>
          <w:szCs w:val="32"/>
        </w:rPr>
        <w:t>人均月工资增加，人员支出及五险一金支出增加。</w:t>
      </w:r>
      <w:r>
        <w:rPr>
          <w:rFonts w:hint="eastAsia" w:cs="Times New Roman" w:asciiTheme="minorEastAsia" w:hAnsiTheme="minorEastAsia" w:eastAsiaTheme="minorEastAsia"/>
          <w:sz w:val="32"/>
          <w:szCs w:val="32"/>
        </w:rPr>
        <w:t>其中，基本支出246.01万元，占43.27%，主要用于保障机构日常运转、完成日常工作任务；项目支出322.5万元，占56.73%，主要用于城市文明创建和对外宣传。</w:t>
      </w:r>
    </w:p>
    <w:p>
      <w:pPr>
        <w:adjustRightInd w:val="0"/>
        <w:snapToGrid w:val="0"/>
        <w:spacing w:line="600" w:lineRule="exact"/>
        <w:ind w:firstLine="640" w:firstLineChars="200"/>
        <w:rPr>
          <w:rFonts w:ascii="黑体" w:hAnsi="仿宋" w:eastAsia="黑体" w:cs="宋体"/>
          <w:color w:val="000000"/>
          <w:kern w:val="0"/>
          <w:sz w:val="32"/>
          <w:szCs w:val="32"/>
        </w:rPr>
      </w:pPr>
      <w:r>
        <w:rPr>
          <w:rFonts w:hint="eastAsia" w:ascii="黑体" w:hAnsi="仿宋" w:eastAsia="黑体" w:cs="宋体"/>
          <w:color w:val="000000"/>
          <w:kern w:val="0"/>
          <w:sz w:val="32"/>
          <w:szCs w:val="32"/>
        </w:rPr>
        <w:t>四、关于2022年财政拨款收支总表的说明</w:t>
      </w:r>
    </w:p>
    <w:p>
      <w:pPr>
        <w:pStyle w:val="6"/>
        <w:adjustRightInd w:val="0"/>
        <w:snapToGrid w:val="0"/>
        <w:spacing w:before="0" w:beforeAutospacing="0" w:after="0" w:afterAutospacing="0" w:line="600" w:lineRule="exact"/>
        <w:ind w:firstLine="640" w:firstLineChars="200"/>
        <w:rPr>
          <w:rFonts w:cs="Times New Roman" w:asciiTheme="minorEastAsia" w:hAnsiTheme="minorEastAsia" w:eastAsiaTheme="minorEastAsia"/>
          <w:kern w:val="2"/>
          <w:sz w:val="32"/>
          <w:szCs w:val="32"/>
        </w:rPr>
      </w:pPr>
      <w:r>
        <w:rPr>
          <w:rFonts w:hint="eastAsia" w:cs="Times New Roman" w:asciiTheme="minorEastAsia" w:hAnsiTheme="minorEastAsia" w:eastAsiaTheme="minorEastAsia"/>
          <w:kern w:val="2"/>
          <w:sz w:val="32"/>
          <w:szCs w:val="32"/>
        </w:rPr>
        <w:t>寿县县委宣传部2022年财政拨款收支预算568.51万元。收入按资金来源分568.51万元全部为一般公共预算拨款；按资金年度分568.51万元全部为本年财政拨款收入。支出按功能分类分为：一般公共服务支出501.4万元，占88.2%；社会保障和就业支出34.62万元，占6.09%；卫生健康支出15.34万元，占2.7%；住房保障支出17.14万元，占3.01%。</w:t>
      </w:r>
    </w:p>
    <w:p>
      <w:pPr>
        <w:pStyle w:val="6"/>
        <w:adjustRightInd w:val="0"/>
        <w:snapToGrid w:val="0"/>
        <w:spacing w:before="0" w:beforeAutospacing="0" w:after="0" w:afterAutospacing="0" w:line="600" w:lineRule="exact"/>
        <w:ind w:firstLine="640" w:firstLineChars="200"/>
        <w:rPr>
          <w:rFonts w:ascii="黑体" w:hAnsi="仿宋" w:eastAsia="黑体"/>
          <w:color w:val="000000"/>
          <w:sz w:val="32"/>
          <w:szCs w:val="32"/>
        </w:rPr>
      </w:pPr>
      <w:r>
        <w:rPr>
          <w:rFonts w:hint="eastAsia" w:ascii="黑体" w:hAnsi="仿宋" w:eastAsia="黑体"/>
          <w:color w:val="000000"/>
          <w:sz w:val="32"/>
          <w:szCs w:val="32"/>
        </w:rPr>
        <w:t>五、关于2022年一般公共预算支出表的说明</w:t>
      </w:r>
    </w:p>
    <w:p>
      <w:pPr>
        <w:pStyle w:val="6"/>
        <w:adjustRightInd w:val="0"/>
        <w:snapToGrid w:val="0"/>
        <w:spacing w:before="0" w:beforeAutospacing="0" w:after="0" w:afterAutospacing="0" w:line="600" w:lineRule="exact"/>
        <w:ind w:firstLine="630" w:firstLineChars="196"/>
        <w:rPr>
          <w:rFonts w:ascii="楷体_GB2312" w:hAnsi="仿宋" w:eastAsia="楷体_GB2312" w:cs="Times New Roman"/>
          <w:b/>
          <w:kern w:val="2"/>
          <w:sz w:val="32"/>
          <w:szCs w:val="32"/>
        </w:rPr>
      </w:pPr>
      <w:r>
        <w:rPr>
          <w:rFonts w:hint="eastAsia" w:ascii="楷体_GB2312" w:hAnsi="仿宋" w:eastAsia="楷体_GB2312" w:cs="Times New Roman"/>
          <w:b/>
          <w:kern w:val="2"/>
          <w:sz w:val="32"/>
          <w:szCs w:val="32"/>
        </w:rPr>
        <w:t>（一）一般公共预算支出规模变化情况。</w:t>
      </w:r>
    </w:p>
    <w:p>
      <w:pPr>
        <w:pStyle w:val="6"/>
        <w:adjustRightInd w:val="0"/>
        <w:snapToGrid w:val="0"/>
        <w:spacing w:before="0" w:beforeAutospacing="0" w:after="0" w:afterAutospacing="0" w:line="600" w:lineRule="exact"/>
        <w:ind w:firstLine="627" w:firstLineChars="196"/>
        <w:rPr>
          <w:rFonts w:asciiTheme="minorEastAsia" w:hAnsiTheme="minorEastAsia" w:eastAsiaTheme="minorEastAsia"/>
          <w:color w:val="000000"/>
          <w:sz w:val="32"/>
          <w:szCs w:val="32"/>
        </w:rPr>
      </w:pPr>
      <w:r>
        <w:rPr>
          <w:rFonts w:hint="eastAsia" w:cs="Times New Roman" w:asciiTheme="minorEastAsia" w:hAnsiTheme="minorEastAsia" w:eastAsiaTheme="minorEastAsia"/>
          <w:kern w:val="2"/>
          <w:sz w:val="32"/>
          <w:szCs w:val="32"/>
        </w:rPr>
        <w:t>寿县县委宣传部2022年一般公共预算支出</w:t>
      </w:r>
      <w:r>
        <w:rPr>
          <w:rFonts w:hint="eastAsia" w:asciiTheme="minorEastAsia" w:hAnsiTheme="minorEastAsia" w:eastAsiaTheme="minorEastAsia"/>
          <w:sz w:val="32"/>
          <w:szCs w:val="32"/>
        </w:rPr>
        <w:t>568.51</w:t>
      </w:r>
      <w:r>
        <w:rPr>
          <w:rFonts w:hint="eastAsia" w:cs="Times New Roman" w:asciiTheme="minorEastAsia" w:hAnsiTheme="minorEastAsia" w:eastAsiaTheme="minorEastAsia"/>
          <w:sz w:val="32"/>
          <w:szCs w:val="32"/>
        </w:rPr>
        <w:t>万元，</w:t>
      </w:r>
      <w:r>
        <w:rPr>
          <w:rFonts w:hint="eastAsia" w:asciiTheme="minorEastAsia" w:hAnsiTheme="minorEastAsia" w:eastAsiaTheme="minorEastAsia"/>
          <w:sz w:val="32"/>
          <w:szCs w:val="32"/>
        </w:rPr>
        <w:t>比2021年预算增加5.95万元，增长1.06%，增长的</w:t>
      </w:r>
      <w:r>
        <w:rPr>
          <w:rFonts w:hint="eastAsia" w:cs="Times New Roman" w:asciiTheme="minorEastAsia" w:hAnsiTheme="minorEastAsia" w:eastAsiaTheme="minorEastAsia"/>
          <w:kern w:val="2"/>
          <w:sz w:val="32"/>
          <w:szCs w:val="32"/>
        </w:rPr>
        <w:t>主要原因是</w:t>
      </w:r>
      <w:r>
        <w:rPr>
          <w:rFonts w:hint="eastAsia" w:asciiTheme="minorEastAsia" w:hAnsiTheme="minorEastAsia" w:eastAsiaTheme="minorEastAsia"/>
          <w:color w:val="000000"/>
          <w:sz w:val="32"/>
          <w:szCs w:val="32"/>
        </w:rPr>
        <w:t>人均月工资增加，人员支出及五险一金支出增加。</w:t>
      </w:r>
    </w:p>
    <w:p>
      <w:pPr>
        <w:pStyle w:val="6"/>
        <w:adjustRightInd w:val="0"/>
        <w:snapToGrid w:val="0"/>
        <w:spacing w:before="0" w:beforeAutospacing="0" w:after="0" w:afterAutospacing="0" w:line="600" w:lineRule="exact"/>
        <w:ind w:firstLine="630" w:firstLineChars="196"/>
        <w:rPr>
          <w:rFonts w:ascii="楷体_GB2312" w:hAnsi="仿宋" w:eastAsia="楷体_GB2312" w:cs="Times New Roman"/>
          <w:b/>
          <w:kern w:val="2"/>
          <w:sz w:val="32"/>
          <w:szCs w:val="32"/>
        </w:rPr>
      </w:pPr>
      <w:r>
        <w:rPr>
          <w:rFonts w:hint="eastAsia" w:ascii="楷体_GB2312" w:hAnsi="仿宋" w:eastAsia="楷体_GB2312" w:cs="Times New Roman"/>
          <w:b/>
          <w:kern w:val="2"/>
          <w:sz w:val="32"/>
          <w:szCs w:val="32"/>
        </w:rPr>
        <w:t>（二</w:t>
      </w:r>
      <w:r>
        <w:rPr>
          <w:rFonts w:ascii="楷体_GB2312" w:hAnsi="仿宋" w:eastAsia="楷体_GB2312" w:cs="Times New Roman"/>
          <w:b/>
          <w:kern w:val="2"/>
          <w:sz w:val="32"/>
          <w:szCs w:val="32"/>
        </w:rPr>
        <w:t>）</w:t>
      </w:r>
      <w:r>
        <w:rPr>
          <w:rFonts w:hint="eastAsia" w:ascii="楷体_GB2312" w:hAnsi="仿宋" w:eastAsia="楷体_GB2312" w:cs="Times New Roman"/>
          <w:b/>
          <w:kern w:val="2"/>
          <w:sz w:val="32"/>
          <w:szCs w:val="32"/>
        </w:rPr>
        <w:t>一般公共预算支出结构情况。</w:t>
      </w:r>
    </w:p>
    <w:p>
      <w:pPr>
        <w:pStyle w:val="6"/>
        <w:adjustRightInd w:val="0"/>
        <w:snapToGrid w:val="0"/>
        <w:spacing w:before="0" w:beforeAutospacing="0" w:after="0" w:afterAutospacing="0" w:line="600" w:lineRule="exact"/>
        <w:ind w:firstLine="640" w:firstLineChars="200"/>
        <w:rPr>
          <w:rFonts w:cs="Times New Roman" w:asciiTheme="minorEastAsia" w:hAnsiTheme="minorEastAsia" w:eastAsiaTheme="minorEastAsia"/>
          <w:kern w:val="2"/>
          <w:sz w:val="32"/>
          <w:szCs w:val="32"/>
        </w:rPr>
      </w:pPr>
      <w:r>
        <w:rPr>
          <w:rFonts w:hint="eastAsia" w:cs="Times New Roman" w:asciiTheme="minorEastAsia" w:hAnsiTheme="minorEastAsia" w:eastAsiaTheme="minorEastAsia"/>
          <w:kern w:val="2"/>
          <w:sz w:val="32"/>
          <w:szCs w:val="32"/>
        </w:rPr>
        <w:t>一般公共服务支出501.4万元，占88.2%；社会保障和就业支出34.62万元，占6.09%；卫生健康支出15.34万元，占2.7%；住房保障支出17.14万元，占3.01%。</w:t>
      </w:r>
    </w:p>
    <w:p>
      <w:pPr>
        <w:adjustRightInd w:val="0"/>
        <w:snapToGrid w:val="0"/>
        <w:spacing w:line="600" w:lineRule="exact"/>
        <w:ind w:firstLine="643" w:firstLineChars="200"/>
        <w:rPr>
          <w:rFonts w:ascii="楷体_GB2312" w:hAnsi="仿宋" w:eastAsia="楷体_GB2312"/>
          <w:b/>
          <w:color w:val="000000" w:themeColor="text1"/>
          <w:sz w:val="32"/>
          <w:szCs w:val="32"/>
        </w:rPr>
      </w:pPr>
      <w:r>
        <w:rPr>
          <w:rFonts w:hint="eastAsia" w:ascii="楷体_GB2312" w:hAnsi="仿宋" w:eastAsia="楷体_GB2312"/>
          <w:b/>
          <w:color w:val="000000" w:themeColor="text1"/>
          <w:sz w:val="32"/>
          <w:szCs w:val="32"/>
        </w:rPr>
        <w:t>（三）一般公共预算支出具体使用情况。</w:t>
      </w:r>
    </w:p>
    <w:p>
      <w:pPr>
        <w:pStyle w:val="6"/>
        <w:adjustRightInd w:val="0"/>
        <w:snapToGrid w:val="0"/>
        <w:spacing w:before="0" w:beforeAutospacing="0" w:after="0" w:afterAutospacing="0" w:line="600" w:lineRule="exact"/>
        <w:ind w:firstLine="630" w:firstLineChars="196"/>
        <w:rPr>
          <w:rFonts w:asciiTheme="minorEastAsia" w:hAnsiTheme="minorEastAsia" w:eastAsiaTheme="minorEastAsia"/>
          <w:color w:val="000000"/>
          <w:sz w:val="32"/>
          <w:szCs w:val="32"/>
        </w:rPr>
      </w:pPr>
      <w:r>
        <w:rPr>
          <w:rFonts w:hint="eastAsia" w:ascii="仿宋_GB2312" w:hAnsi="仿宋" w:eastAsia="仿宋_GB2312"/>
          <w:b/>
          <w:sz w:val="32"/>
          <w:szCs w:val="32"/>
        </w:rPr>
        <w:t>1.一般公共服务支出（类）宣传事务（款）行政运行（项）</w:t>
      </w:r>
      <w:r>
        <w:rPr>
          <w:rFonts w:hint="eastAsia" w:asciiTheme="minorEastAsia" w:hAnsiTheme="minorEastAsia" w:eastAsiaTheme="minorEastAsia"/>
          <w:sz w:val="32"/>
          <w:szCs w:val="32"/>
        </w:rPr>
        <w:t>2022年预算501.4万元，比2021年预算减少4.46万元，下降0.88%，下降的</w:t>
      </w:r>
      <w:r>
        <w:rPr>
          <w:rFonts w:hint="eastAsia" w:cs="Times New Roman" w:asciiTheme="minorEastAsia" w:hAnsiTheme="minorEastAsia" w:eastAsiaTheme="minorEastAsia"/>
          <w:kern w:val="2"/>
          <w:sz w:val="32"/>
          <w:szCs w:val="32"/>
        </w:rPr>
        <w:t>主要原因是</w:t>
      </w:r>
      <w:r>
        <w:rPr>
          <w:rFonts w:hint="eastAsia" w:ascii="仿宋" w:hAnsi="仿宋" w:eastAsia="仿宋" w:cs="Times New Roman"/>
          <w:kern w:val="2"/>
          <w:sz w:val="32"/>
          <w:szCs w:val="32"/>
        </w:rPr>
        <w:t>人员退休、调出，人员经费减少。</w:t>
      </w:r>
    </w:p>
    <w:p>
      <w:pPr>
        <w:pStyle w:val="6"/>
        <w:adjustRightInd w:val="0"/>
        <w:snapToGrid w:val="0"/>
        <w:spacing w:before="0" w:beforeAutospacing="0" w:after="0" w:afterAutospacing="0" w:line="600" w:lineRule="exact"/>
        <w:ind w:firstLine="630" w:firstLineChars="196"/>
        <w:rPr>
          <w:rFonts w:asciiTheme="minorEastAsia" w:hAnsiTheme="minorEastAsia" w:eastAsiaTheme="minorEastAsia"/>
          <w:sz w:val="32"/>
          <w:szCs w:val="32"/>
        </w:rPr>
      </w:pPr>
      <w:r>
        <w:rPr>
          <w:rFonts w:hint="eastAsia" w:ascii="仿宋_GB2312" w:hAnsi="仿宋" w:eastAsia="仿宋_GB2312"/>
          <w:b/>
          <w:sz w:val="32"/>
          <w:szCs w:val="32"/>
        </w:rPr>
        <w:t>2.社会保障和就业支出（类）行政事业单位养老支出、其他社会保障和就业支出（款）机关事业单位基本养老保险缴费、其他社会保障和就业支出（项）</w:t>
      </w:r>
      <w:r>
        <w:rPr>
          <w:rFonts w:hint="eastAsia" w:asciiTheme="minorEastAsia" w:hAnsiTheme="minorEastAsia" w:eastAsiaTheme="minorEastAsia"/>
          <w:sz w:val="32"/>
          <w:szCs w:val="32"/>
        </w:rPr>
        <w:t>2022年预算34.62万元，比2021年预算增加11.09万元，增长47.13%，增长的主要原因是2022年职业年金纳入了预算。</w:t>
      </w:r>
    </w:p>
    <w:p>
      <w:pPr>
        <w:pStyle w:val="6"/>
        <w:adjustRightInd w:val="0"/>
        <w:snapToGrid w:val="0"/>
        <w:spacing w:before="0" w:beforeAutospacing="0" w:after="0" w:afterAutospacing="0" w:line="600" w:lineRule="exact"/>
        <w:ind w:firstLine="630" w:firstLineChars="196"/>
        <w:rPr>
          <w:rFonts w:asciiTheme="minorEastAsia" w:hAnsiTheme="minorEastAsia" w:eastAsiaTheme="minorEastAsia"/>
          <w:color w:val="000000"/>
          <w:sz w:val="32"/>
          <w:szCs w:val="32"/>
        </w:rPr>
      </w:pPr>
      <w:r>
        <w:rPr>
          <w:rFonts w:hint="eastAsia" w:ascii="仿宋_GB2312" w:hAnsi="仿宋" w:eastAsia="仿宋_GB2312"/>
          <w:b/>
          <w:sz w:val="32"/>
          <w:szCs w:val="32"/>
        </w:rPr>
        <w:t xml:space="preserve">3.卫生健康支出（类）行政事业单位医疗（款）行政单位医疗、公务员医疗补助（项） </w:t>
      </w:r>
      <w:r>
        <w:rPr>
          <w:rFonts w:hint="eastAsia" w:asciiTheme="minorEastAsia" w:hAnsiTheme="minorEastAsia" w:eastAsiaTheme="minorEastAsia"/>
          <w:sz w:val="32"/>
          <w:szCs w:val="32"/>
        </w:rPr>
        <w:t>2022年预算15.34万元，比2021年预算减少0.18万元，下降1.16%，下降的</w:t>
      </w:r>
      <w:r>
        <w:rPr>
          <w:rFonts w:hint="eastAsia" w:cs="Times New Roman" w:asciiTheme="minorEastAsia" w:hAnsiTheme="minorEastAsia" w:eastAsiaTheme="minorEastAsia"/>
          <w:kern w:val="2"/>
          <w:sz w:val="32"/>
          <w:szCs w:val="32"/>
        </w:rPr>
        <w:t>主要原因是人员退休、调出，医保缴费减少。</w:t>
      </w:r>
    </w:p>
    <w:p>
      <w:pPr>
        <w:adjustRightInd w:val="0"/>
        <w:snapToGrid w:val="0"/>
        <w:spacing w:line="600" w:lineRule="exact"/>
        <w:ind w:firstLine="640" w:firstLineChars="200"/>
        <w:jc w:val="left"/>
        <w:rPr>
          <w:rFonts w:asciiTheme="minorEastAsia" w:hAnsiTheme="minorEastAsia" w:eastAsiaTheme="minorEastAsia"/>
          <w:sz w:val="32"/>
          <w:szCs w:val="32"/>
        </w:rPr>
      </w:pPr>
    </w:p>
    <w:p>
      <w:pPr>
        <w:pStyle w:val="6"/>
        <w:adjustRightInd w:val="0"/>
        <w:snapToGrid w:val="0"/>
        <w:spacing w:before="0" w:beforeAutospacing="0" w:after="0" w:afterAutospacing="0" w:line="600" w:lineRule="exact"/>
        <w:ind w:firstLine="630" w:firstLineChars="196"/>
        <w:rPr>
          <w:rFonts w:asciiTheme="minorEastAsia" w:hAnsiTheme="minorEastAsia" w:eastAsiaTheme="minorEastAsia"/>
          <w:color w:val="000000"/>
          <w:sz w:val="32"/>
          <w:szCs w:val="32"/>
        </w:rPr>
      </w:pPr>
      <w:r>
        <w:rPr>
          <w:rFonts w:hint="eastAsia" w:ascii="仿宋_GB2312" w:hAnsi="仿宋" w:eastAsia="仿宋_GB2312"/>
          <w:b/>
          <w:sz w:val="32"/>
          <w:szCs w:val="32"/>
        </w:rPr>
        <w:t>4.住房保障支出（类）住房改革支出（款）住房公积金（项）</w:t>
      </w:r>
      <w:r>
        <w:rPr>
          <w:rFonts w:hint="eastAsia" w:asciiTheme="minorEastAsia" w:hAnsiTheme="minorEastAsia" w:eastAsiaTheme="minorEastAsia"/>
          <w:sz w:val="32"/>
          <w:szCs w:val="32"/>
        </w:rPr>
        <w:t>2022年预算17.14万元，比2021年预算减少0.51万元，下降2.89%，下降的</w:t>
      </w:r>
      <w:r>
        <w:rPr>
          <w:rFonts w:hint="eastAsia" w:cs="Times New Roman" w:asciiTheme="minorEastAsia" w:hAnsiTheme="minorEastAsia" w:eastAsiaTheme="minorEastAsia"/>
          <w:kern w:val="2"/>
          <w:sz w:val="32"/>
          <w:szCs w:val="32"/>
        </w:rPr>
        <w:t>主要原因是人员退休、调出，住房公积金缴费减少。</w:t>
      </w:r>
    </w:p>
    <w:p>
      <w:pPr>
        <w:pStyle w:val="6"/>
        <w:adjustRightInd w:val="0"/>
        <w:snapToGrid w:val="0"/>
        <w:spacing w:before="0" w:beforeAutospacing="0" w:after="0" w:afterAutospacing="0" w:line="600" w:lineRule="exact"/>
        <w:ind w:firstLine="640" w:firstLineChars="200"/>
        <w:rPr>
          <w:rFonts w:ascii="黑体" w:eastAsia="黑体"/>
          <w:color w:val="000000"/>
        </w:rPr>
      </w:pPr>
      <w:r>
        <w:rPr>
          <w:rFonts w:hint="eastAsia" w:ascii="黑体" w:hAnsi="仿宋" w:eastAsia="黑体" w:cs="Times New Roman"/>
          <w:color w:val="000000"/>
          <w:kern w:val="2"/>
          <w:sz w:val="32"/>
          <w:szCs w:val="32"/>
        </w:rPr>
        <w:t>六、关于2022年一般公共预算基本支出表的说明</w:t>
      </w:r>
    </w:p>
    <w:p>
      <w:pPr>
        <w:spacing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寿县县委宣传部2022年一般公共预算基本支出246.01万元，其中，人员经费211.14万元，公用经费34.86万元。</w:t>
      </w:r>
    </w:p>
    <w:p>
      <w:pPr>
        <w:spacing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一）人员经费311.14万元，主要包括:基本工资、津贴补贴、奖金、伙食补助费、绩效工资、机关事业单位基本养老保险费、职业年金缴费、职工基本医疗保险缴费、公务员医疗补助缴费、其他社会保障缴费、住房公积金、医疗费、其他工资福利支出。</w:t>
      </w:r>
    </w:p>
    <w:p>
      <w:pPr>
        <w:spacing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（二）公用经费34.86万元，主要包括：办公费、邮电费、差旅费、会议费、培训费、公务接待费、工会经费、其他交通费用、其他商品服务支出。</w:t>
      </w:r>
    </w:p>
    <w:p>
      <w:pPr>
        <w:pStyle w:val="6"/>
        <w:adjustRightInd w:val="0"/>
        <w:snapToGrid w:val="0"/>
        <w:spacing w:before="0" w:beforeAutospacing="0" w:after="0" w:afterAutospacing="0" w:line="600" w:lineRule="exact"/>
        <w:ind w:firstLine="640" w:firstLineChars="200"/>
        <w:rPr>
          <w:rFonts w:ascii="黑体" w:hAnsi="仿宋" w:eastAsia="黑体"/>
          <w:sz w:val="32"/>
          <w:szCs w:val="32"/>
        </w:rPr>
      </w:pPr>
      <w:r>
        <w:rPr>
          <w:rFonts w:hint="eastAsia" w:ascii="黑体" w:hAnsi="仿宋" w:eastAsia="黑体"/>
          <w:sz w:val="32"/>
          <w:szCs w:val="32"/>
        </w:rPr>
        <w:t>七、关于2022年政府性基金预算支出表的说明</w:t>
      </w:r>
    </w:p>
    <w:p>
      <w:pPr>
        <w:pStyle w:val="6"/>
        <w:adjustRightInd w:val="0"/>
        <w:snapToGrid w:val="0"/>
        <w:spacing w:before="0" w:beforeAutospacing="0" w:after="0" w:afterAutospacing="0"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寿县县委宣传部2022年没有政府性基金预算拨款收入，也没有使用政府性基金预算拨款安排的支出。</w:t>
      </w:r>
    </w:p>
    <w:p>
      <w:pPr>
        <w:pStyle w:val="6"/>
        <w:adjustRightInd w:val="0"/>
        <w:snapToGrid w:val="0"/>
        <w:spacing w:before="0" w:beforeAutospacing="0" w:after="0" w:afterAutospacing="0" w:line="600" w:lineRule="exact"/>
        <w:ind w:firstLine="640" w:firstLineChars="200"/>
        <w:rPr>
          <w:rFonts w:ascii="黑体" w:hAnsi="仿宋" w:eastAsia="黑体"/>
          <w:sz w:val="32"/>
          <w:szCs w:val="32"/>
        </w:rPr>
      </w:pPr>
      <w:r>
        <w:rPr>
          <w:rFonts w:hint="eastAsia" w:ascii="黑体" w:hAnsi="仿宋" w:eastAsia="黑体"/>
          <w:sz w:val="32"/>
          <w:szCs w:val="32"/>
        </w:rPr>
        <w:t>八、关于2022年国有资本经营预算支出表的说明</w:t>
      </w:r>
    </w:p>
    <w:p>
      <w:pPr>
        <w:pStyle w:val="6"/>
        <w:adjustRightInd w:val="0"/>
        <w:snapToGrid w:val="0"/>
        <w:spacing w:before="0" w:beforeAutospacing="0" w:after="0" w:afterAutospacing="0"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寿县县委宣传部2022年没有国有资本经营预算拨款收入，也没有使用国有资本经营预算拨款安排的支出。</w:t>
      </w:r>
    </w:p>
    <w:p>
      <w:pPr>
        <w:pStyle w:val="6"/>
        <w:adjustRightInd w:val="0"/>
        <w:snapToGrid w:val="0"/>
        <w:spacing w:before="0" w:beforeAutospacing="0" w:after="0" w:afterAutospacing="0" w:line="600" w:lineRule="exact"/>
        <w:ind w:firstLine="640" w:firstLineChars="200"/>
        <w:rPr>
          <w:rFonts w:ascii="黑体" w:hAnsi="仿宋" w:eastAsia="黑体"/>
          <w:sz w:val="32"/>
          <w:szCs w:val="32"/>
        </w:rPr>
      </w:pPr>
      <w:r>
        <w:rPr>
          <w:rFonts w:hint="eastAsia" w:ascii="黑体" w:hAnsi="仿宋" w:eastAsia="黑体"/>
          <w:sz w:val="32"/>
          <w:szCs w:val="32"/>
        </w:rPr>
        <w:t>九、关于2022年项目支出表的说明</w:t>
      </w:r>
    </w:p>
    <w:p>
      <w:pPr>
        <w:pStyle w:val="6"/>
        <w:adjustRightInd w:val="0"/>
        <w:snapToGrid w:val="0"/>
        <w:spacing w:before="0" w:beforeAutospacing="0" w:after="0" w:afterAutospacing="0"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寿县县委宣传部2022年预算共安排项目支出322.5万元，与2021年持平，全部是本年财政拨款安排。项目支出322.5万元全部是一般公共预算拨款安排。</w:t>
      </w:r>
      <w:r>
        <w:rPr>
          <w:rFonts w:asciiTheme="minorEastAsia" w:hAnsiTheme="minorEastAsia" w:eastAsiaTheme="minorEastAsia"/>
          <w:sz w:val="32"/>
          <w:szCs w:val="32"/>
        </w:rPr>
        <w:t xml:space="preserve"> </w:t>
      </w:r>
    </w:p>
    <w:p>
      <w:pPr>
        <w:pStyle w:val="6"/>
        <w:adjustRightInd w:val="0"/>
        <w:snapToGrid w:val="0"/>
        <w:spacing w:before="0" w:beforeAutospacing="0" w:after="0" w:afterAutospacing="0" w:line="600" w:lineRule="exact"/>
        <w:ind w:firstLine="640" w:firstLineChars="200"/>
        <w:rPr>
          <w:rFonts w:ascii="黑体" w:hAnsi="仿宋" w:eastAsia="黑体"/>
          <w:sz w:val="32"/>
          <w:szCs w:val="32"/>
        </w:rPr>
      </w:pPr>
      <w:r>
        <w:rPr>
          <w:rFonts w:hint="eastAsia" w:ascii="黑体" w:hAnsi="仿宋" w:eastAsia="黑体"/>
          <w:sz w:val="32"/>
          <w:szCs w:val="32"/>
        </w:rPr>
        <w:t>十、关于2022年政府采购支出表的说明</w:t>
      </w:r>
    </w:p>
    <w:p>
      <w:pPr>
        <w:pStyle w:val="6"/>
        <w:adjustRightInd w:val="0"/>
        <w:snapToGrid w:val="0"/>
        <w:spacing w:before="0" w:beforeAutospacing="0" w:after="0" w:afterAutospacing="0" w:line="600" w:lineRule="exact"/>
        <w:ind w:firstLine="640" w:firstLineChars="200"/>
        <w:outlineLvl w:val="0"/>
        <w:rPr>
          <w:rFonts w:asciiTheme="minorEastAsia" w:hAnsiTheme="minorEastAsia" w:eastAsiaTheme="minorEastAsia"/>
          <w:sz w:val="32"/>
          <w:szCs w:val="32"/>
        </w:rPr>
      </w:pPr>
      <w:r>
        <w:rPr>
          <w:rFonts w:hint="eastAsia" w:asciiTheme="minorEastAsia" w:hAnsiTheme="minorEastAsia" w:eastAsiaTheme="minorEastAsia"/>
          <w:sz w:val="32"/>
          <w:szCs w:val="32"/>
        </w:rPr>
        <w:t>寿县县委宣传部2022年没有使用一般公共预算拨款、政府性基金预算拨款、国有资本经营预算拨款、财政专户管理资金和单位资金安排的政府采购支出。</w:t>
      </w:r>
    </w:p>
    <w:p>
      <w:pPr>
        <w:pStyle w:val="6"/>
        <w:adjustRightInd w:val="0"/>
        <w:snapToGrid w:val="0"/>
        <w:spacing w:before="0" w:beforeAutospacing="0" w:after="0" w:afterAutospacing="0" w:line="600" w:lineRule="exact"/>
        <w:ind w:firstLine="640" w:firstLineChars="200"/>
        <w:rPr>
          <w:rFonts w:ascii="黑体" w:hAnsi="仿宋" w:eastAsia="黑体"/>
          <w:sz w:val="32"/>
          <w:szCs w:val="32"/>
        </w:rPr>
      </w:pPr>
      <w:r>
        <w:rPr>
          <w:rFonts w:hint="eastAsia" w:ascii="黑体" w:hAnsi="仿宋" w:eastAsia="黑体"/>
          <w:sz w:val="32"/>
          <w:szCs w:val="32"/>
        </w:rPr>
        <w:t>十一、关于2022年政府购买服务支出表的说明</w:t>
      </w:r>
    </w:p>
    <w:p>
      <w:pPr>
        <w:pStyle w:val="6"/>
        <w:adjustRightInd w:val="0"/>
        <w:snapToGrid w:val="0"/>
        <w:spacing w:before="0" w:beforeAutospacing="0" w:after="0" w:afterAutospacing="0" w:line="600" w:lineRule="exact"/>
        <w:ind w:firstLine="640" w:firstLineChars="200"/>
        <w:outlineLvl w:val="0"/>
        <w:rPr>
          <w:rFonts w:asciiTheme="minorEastAsia" w:hAnsiTheme="minorEastAsia" w:eastAsiaTheme="minorEastAsia"/>
          <w:sz w:val="32"/>
          <w:szCs w:val="32"/>
        </w:rPr>
      </w:pPr>
      <w:r>
        <w:rPr>
          <w:rFonts w:hint="eastAsia" w:asciiTheme="minorEastAsia" w:hAnsiTheme="minorEastAsia" w:eastAsiaTheme="minorEastAsia"/>
          <w:sz w:val="32"/>
          <w:szCs w:val="32"/>
        </w:rPr>
        <w:t>寿县县委宣传部2022年没有安排政府购买服务支出。</w:t>
      </w:r>
    </w:p>
    <w:p>
      <w:pPr>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十二、其他重要事项情况说明</w:t>
      </w:r>
    </w:p>
    <w:p>
      <w:pPr>
        <w:adjustRightInd w:val="0"/>
        <w:snapToGrid w:val="0"/>
        <w:spacing w:line="600" w:lineRule="exact"/>
        <w:ind w:firstLine="643" w:firstLineChars="200"/>
        <w:rPr>
          <w:rFonts w:ascii="仿宋_GB2312" w:hAnsi="楷体" w:eastAsia="仿宋_GB2312"/>
          <w:b/>
          <w:sz w:val="32"/>
          <w:szCs w:val="32"/>
        </w:rPr>
      </w:pPr>
      <w:r>
        <w:rPr>
          <w:rFonts w:hint="eastAsia" w:ascii="仿宋_GB2312" w:hAnsi="楷体" w:eastAsia="仿宋_GB2312"/>
          <w:b/>
          <w:sz w:val="32"/>
          <w:szCs w:val="32"/>
        </w:rPr>
        <w:t>（一）项目及绩效目标情况。</w:t>
      </w:r>
    </w:p>
    <w:p>
      <w:pPr>
        <w:pStyle w:val="6"/>
        <w:adjustRightInd w:val="0"/>
        <w:snapToGrid w:val="0"/>
        <w:spacing w:before="0" w:beforeAutospacing="0" w:after="0" w:afterAutospacing="0" w:line="600" w:lineRule="exact"/>
        <w:ind w:firstLine="627" w:firstLineChars="196"/>
        <w:rPr>
          <w:rFonts w:asciiTheme="minorEastAsia" w:hAnsiTheme="minorEastAsia" w:eastAsiaTheme="minorEastAsia"/>
          <w:sz w:val="32"/>
          <w:szCs w:val="32"/>
        </w:rPr>
      </w:pPr>
      <w:r>
        <w:rPr>
          <w:rFonts w:hint="eastAsia" w:asciiTheme="minorEastAsia" w:hAnsiTheme="minorEastAsia" w:eastAsiaTheme="minorEastAsia"/>
          <w:sz w:val="32"/>
          <w:szCs w:val="32"/>
        </w:rPr>
        <w:t>2022年度寿县县委宣传部专项业务费支出322.5万元，共分2个小项，</w:t>
      </w:r>
      <w:r>
        <w:rPr>
          <w:rFonts w:hint="eastAsia" w:cs="Times New Roman" w:asciiTheme="minorEastAsia" w:hAnsiTheme="minorEastAsia" w:eastAsiaTheme="minorEastAsia"/>
          <w:sz w:val="32"/>
          <w:szCs w:val="32"/>
        </w:rPr>
        <w:t>主要用于城市文明创建和对外宣传，</w:t>
      </w:r>
      <w:r>
        <w:rPr>
          <w:rFonts w:hint="eastAsia" w:asciiTheme="minorEastAsia" w:hAnsiTheme="minorEastAsia" w:eastAsiaTheme="minorEastAsia"/>
          <w:sz w:val="32"/>
          <w:szCs w:val="32"/>
        </w:rPr>
        <w:t>均属于公用经费支出，主要用于保障机构日常运转、完成日常工作任务，不属于真正的项目支出，同时进行了项目绩效目标评价。</w:t>
      </w:r>
    </w:p>
    <w:p>
      <w:pPr>
        <w:adjustRightInd w:val="0"/>
        <w:snapToGrid w:val="0"/>
        <w:spacing w:line="600" w:lineRule="exact"/>
        <w:ind w:firstLine="803" w:firstLineChars="250"/>
        <w:rPr>
          <w:rFonts w:ascii="仿宋_GB2312" w:hAnsi="楷体" w:eastAsia="仿宋_GB2312"/>
          <w:b/>
          <w:sz w:val="32"/>
          <w:szCs w:val="32"/>
        </w:rPr>
      </w:pPr>
      <w:r>
        <w:rPr>
          <w:rFonts w:hint="eastAsia" w:ascii="仿宋_GB2312" w:hAnsi="楷体" w:eastAsia="仿宋_GB2312"/>
          <w:b/>
          <w:sz w:val="32"/>
          <w:szCs w:val="32"/>
        </w:rPr>
        <w:t>1.“宣传工作经费”项目。</w:t>
      </w:r>
    </w:p>
    <w:p>
      <w:pPr>
        <w:adjustRightInd w:val="0"/>
        <w:snapToGrid w:val="0"/>
        <w:spacing w:line="600" w:lineRule="exact"/>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（1）项目概述：宣传工作经费。</w:t>
      </w:r>
    </w:p>
    <w:p>
      <w:pPr>
        <w:adjustRightInd w:val="0"/>
        <w:snapToGrid w:val="0"/>
        <w:spacing w:line="600" w:lineRule="exact"/>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（2）立项依据：《中国共产党宣传工作条例》。</w:t>
      </w:r>
    </w:p>
    <w:p>
      <w:pPr>
        <w:adjustRightInd w:val="0"/>
        <w:snapToGrid w:val="0"/>
        <w:spacing w:line="600" w:lineRule="exact"/>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（3）实施主体：中共寿县县委宣传部</w:t>
      </w:r>
    </w:p>
    <w:p>
      <w:pPr>
        <w:adjustRightInd w:val="0"/>
        <w:snapToGrid w:val="0"/>
        <w:spacing w:line="600" w:lineRule="exact"/>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（4）起止时间：2022年1月1日至2022年12月31日。</w:t>
      </w:r>
    </w:p>
    <w:p>
      <w:pPr>
        <w:adjustRightInd w:val="0"/>
        <w:snapToGrid w:val="0"/>
        <w:spacing w:line="600" w:lineRule="exact"/>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（5）项目内容： 保障2022年度全年宣传思想文化工作各项任务序时高质量完成。</w:t>
      </w:r>
    </w:p>
    <w:p>
      <w:pPr>
        <w:adjustRightInd w:val="0"/>
        <w:snapToGrid w:val="0"/>
        <w:spacing w:line="600" w:lineRule="exact"/>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（6）年度预算安排：322万元。</w:t>
      </w:r>
    </w:p>
    <w:p>
      <w:pPr>
        <w:pStyle w:val="6"/>
        <w:adjustRightInd w:val="0"/>
        <w:snapToGrid w:val="0"/>
        <w:spacing w:before="0" w:beforeAutospacing="0" w:after="0" w:afterAutospacing="0" w:line="600" w:lineRule="exact"/>
        <w:ind w:firstLine="784" w:firstLineChars="245"/>
        <w:rPr>
          <w:rFonts w:cs="Times New Roman" w:asciiTheme="minorEastAsia" w:hAnsiTheme="minorEastAsia" w:eastAsiaTheme="minorEastAsia"/>
          <w:kern w:val="2"/>
          <w:sz w:val="32"/>
          <w:szCs w:val="32"/>
        </w:rPr>
      </w:pPr>
      <w:r>
        <w:rPr>
          <w:rFonts w:hint="eastAsia" w:asciiTheme="minorEastAsia" w:hAnsiTheme="minorEastAsia" w:eastAsiaTheme="minorEastAsia"/>
          <w:sz w:val="32"/>
          <w:szCs w:val="32"/>
        </w:rPr>
        <w:t>（7）绩效目标：完成年度工作任务。</w:t>
      </w:r>
    </w:p>
    <w:tbl>
      <w:tblPr>
        <w:tblStyle w:val="7"/>
        <w:tblW w:w="9020" w:type="dxa"/>
        <w:tblInd w:w="93" w:type="dxa"/>
        <w:tblLayout w:type="fixed"/>
        <w:tblCellMar>
          <w:top w:w="0" w:type="dxa"/>
          <w:left w:w="108" w:type="dxa"/>
          <w:bottom w:w="0" w:type="dxa"/>
          <w:right w:w="108" w:type="dxa"/>
        </w:tblCellMar>
      </w:tblPr>
      <w:tblGrid>
        <w:gridCol w:w="9020"/>
      </w:tblGrid>
      <w:tr>
        <w:tblPrEx>
          <w:tblCellMar>
            <w:top w:w="0" w:type="dxa"/>
            <w:left w:w="108" w:type="dxa"/>
            <w:bottom w:w="0" w:type="dxa"/>
            <w:right w:w="108" w:type="dxa"/>
          </w:tblCellMar>
        </w:tblPrEx>
        <w:trPr>
          <w:trHeight w:val="360" w:hRule="atLeast"/>
        </w:trPr>
        <w:tc>
          <w:tcPr>
            <w:tcW w:w="9020" w:type="dxa"/>
            <w:tcBorders>
              <w:top w:val="nil"/>
              <w:left w:val="nil"/>
              <w:bottom w:val="nil"/>
              <w:right w:val="nil"/>
            </w:tcBorders>
            <w:vAlign w:val="center"/>
          </w:tcPr>
          <w:p>
            <w:pPr>
              <w:spacing w:line="600" w:lineRule="exact"/>
              <w:rPr>
                <w:b/>
                <w:bCs/>
                <w:sz w:val="32"/>
                <w:szCs w:val="32"/>
              </w:rPr>
            </w:pPr>
          </w:p>
          <w:tbl>
            <w:tblPr>
              <w:tblStyle w:val="7"/>
              <w:tblW w:w="9020" w:type="dxa"/>
              <w:tblInd w:w="93" w:type="dxa"/>
              <w:tblLayout w:type="fixed"/>
              <w:tblCellMar>
                <w:top w:w="0" w:type="dxa"/>
                <w:left w:w="108" w:type="dxa"/>
                <w:bottom w:w="0" w:type="dxa"/>
                <w:right w:w="108" w:type="dxa"/>
              </w:tblCellMar>
            </w:tblPr>
            <w:tblGrid>
              <w:gridCol w:w="416"/>
              <w:gridCol w:w="820"/>
              <w:gridCol w:w="940"/>
              <w:gridCol w:w="2000"/>
              <w:gridCol w:w="860"/>
              <w:gridCol w:w="732"/>
              <w:gridCol w:w="948"/>
              <w:gridCol w:w="1040"/>
              <w:gridCol w:w="623"/>
              <w:gridCol w:w="641"/>
            </w:tblGrid>
            <w:tr>
              <w:tblPrEx>
                <w:tblCellMar>
                  <w:top w:w="0" w:type="dxa"/>
                  <w:left w:w="108" w:type="dxa"/>
                  <w:bottom w:w="0" w:type="dxa"/>
                  <w:right w:w="108" w:type="dxa"/>
                </w:tblCellMar>
              </w:tblPrEx>
              <w:trPr>
                <w:trHeight w:val="360" w:hRule="atLeast"/>
              </w:trPr>
              <w:tc>
                <w:tcPr>
                  <w:tcW w:w="9020" w:type="dxa"/>
                  <w:gridSpan w:val="10"/>
                  <w:tcBorders>
                    <w:top w:val="nil"/>
                    <w:left w:val="nil"/>
                    <w:bottom w:val="nil"/>
                    <w:right w:val="nil"/>
                  </w:tcBorders>
                  <w:vAlign w:val="center"/>
                </w:tcPr>
                <w:p>
                  <w:pPr>
                    <w:rPr>
                      <w:b/>
                      <w:bCs/>
                      <w:sz w:val="32"/>
                      <w:szCs w:val="32"/>
                    </w:rPr>
                  </w:pPr>
                </w:p>
                <w:p>
                  <w:pPr>
                    <w:jc w:val="center"/>
                    <w:rPr>
                      <w:rFonts w:ascii="宋体" w:hAnsi="宋体" w:cs="宋体"/>
                      <w:b/>
                      <w:bCs/>
                      <w:sz w:val="32"/>
                      <w:szCs w:val="32"/>
                    </w:rPr>
                  </w:pPr>
                  <w:r>
                    <w:rPr>
                      <w:rFonts w:hint="eastAsia"/>
                      <w:b/>
                      <w:bCs/>
                      <w:sz w:val="32"/>
                      <w:szCs w:val="32"/>
                    </w:rPr>
                    <w:t>项目支出绩效目标表</w:t>
                  </w:r>
                </w:p>
              </w:tc>
            </w:tr>
            <w:tr>
              <w:tblPrEx>
                <w:tblCellMar>
                  <w:top w:w="0" w:type="dxa"/>
                  <w:left w:w="108" w:type="dxa"/>
                  <w:bottom w:w="0" w:type="dxa"/>
                  <w:right w:w="108" w:type="dxa"/>
                </w:tblCellMar>
              </w:tblPrEx>
              <w:trPr>
                <w:trHeight w:val="270" w:hRule="atLeast"/>
              </w:trPr>
              <w:tc>
                <w:tcPr>
                  <w:tcW w:w="9020" w:type="dxa"/>
                  <w:gridSpan w:val="10"/>
                  <w:tcBorders>
                    <w:top w:val="nil"/>
                    <w:left w:val="nil"/>
                    <w:bottom w:val="nil"/>
                    <w:right w:val="nil"/>
                  </w:tcBorders>
                  <w:vAlign w:val="center"/>
                </w:tcPr>
                <w:p>
                  <w:pPr>
                    <w:jc w:val="center"/>
                    <w:rPr>
                      <w:rFonts w:ascii="宋体" w:hAnsi="宋体" w:cs="宋体"/>
                      <w:sz w:val="20"/>
                      <w:szCs w:val="20"/>
                    </w:rPr>
                  </w:pPr>
                  <w:r>
                    <w:rPr>
                      <w:rFonts w:hint="eastAsia"/>
                      <w:sz w:val="20"/>
                      <w:szCs w:val="20"/>
                    </w:rPr>
                    <w:t>（2022 年度）</w:t>
                  </w:r>
                </w:p>
              </w:tc>
            </w:tr>
            <w:tr>
              <w:tblPrEx>
                <w:tblCellMar>
                  <w:top w:w="0" w:type="dxa"/>
                  <w:left w:w="108" w:type="dxa"/>
                  <w:bottom w:w="0" w:type="dxa"/>
                  <w:right w:w="108" w:type="dxa"/>
                </w:tblCellMar>
              </w:tblPrEx>
              <w:trPr>
                <w:trHeight w:val="330" w:hRule="atLeast"/>
              </w:trPr>
              <w:tc>
                <w:tcPr>
                  <w:tcW w:w="12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0"/>
                      <w:szCs w:val="20"/>
                    </w:rPr>
                  </w:pPr>
                  <w:r>
                    <w:rPr>
                      <w:rFonts w:hint="eastAsia"/>
                      <w:color w:val="000000"/>
                      <w:sz w:val="20"/>
                      <w:szCs w:val="20"/>
                    </w:rPr>
                    <w:t>项目名称</w:t>
                  </w:r>
                </w:p>
              </w:tc>
              <w:tc>
                <w:tcPr>
                  <w:tcW w:w="7784" w:type="dxa"/>
                  <w:gridSpan w:val="8"/>
                  <w:tcBorders>
                    <w:top w:val="single" w:color="auto" w:sz="4" w:space="0"/>
                    <w:left w:val="nil"/>
                    <w:bottom w:val="single" w:color="auto" w:sz="4" w:space="0"/>
                    <w:right w:val="single" w:color="000000" w:sz="4" w:space="0"/>
                  </w:tcBorders>
                  <w:vAlign w:val="center"/>
                </w:tcPr>
                <w:p>
                  <w:pPr>
                    <w:jc w:val="center"/>
                    <w:rPr>
                      <w:rFonts w:ascii="宋体" w:hAnsi="宋体" w:cs="宋体"/>
                      <w:color w:val="000000"/>
                      <w:sz w:val="20"/>
                      <w:szCs w:val="20"/>
                    </w:rPr>
                  </w:pPr>
                  <w:r>
                    <w:rPr>
                      <w:rFonts w:hint="eastAsia"/>
                      <w:color w:val="000000"/>
                      <w:sz w:val="20"/>
                      <w:szCs w:val="20"/>
                    </w:rPr>
                    <w:t>宣传工作经费　</w:t>
                  </w:r>
                </w:p>
              </w:tc>
            </w:tr>
            <w:tr>
              <w:tblPrEx>
                <w:tblCellMar>
                  <w:top w:w="0" w:type="dxa"/>
                  <w:left w:w="108" w:type="dxa"/>
                  <w:bottom w:w="0" w:type="dxa"/>
                  <w:right w:w="108" w:type="dxa"/>
                </w:tblCellMar>
              </w:tblPrEx>
              <w:trPr>
                <w:trHeight w:val="330" w:hRule="atLeast"/>
              </w:trPr>
              <w:tc>
                <w:tcPr>
                  <w:tcW w:w="12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0"/>
                      <w:szCs w:val="20"/>
                    </w:rPr>
                  </w:pPr>
                  <w:r>
                    <w:rPr>
                      <w:rFonts w:hint="eastAsia"/>
                      <w:color w:val="000000"/>
                      <w:sz w:val="20"/>
                      <w:szCs w:val="20"/>
                    </w:rPr>
                    <w:t>实施单位</w:t>
                  </w:r>
                </w:p>
              </w:tc>
              <w:tc>
                <w:tcPr>
                  <w:tcW w:w="7784" w:type="dxa"/>
                  <w:gridSpan w:val="8"/>
                  <w:tcBorders>
                    <w:top w:val="single" w:color="auto" w:sz="4" w:space="0"/>
                    <w:left w:val="nil"/>
                    <w:bottom w:val="single" w:color="auto" w:sz="4" w:space="0"/>
                    <w:right w:val="single" w:color="auto" w:sz="4" w:space="0"/>
                  </w:tcBorders>
                  <w:vAlign w:val="center"/>
                </w:tcPr>
                <w:p>
                  <w:pPr>
                    <w:jc w:val="center"/>
                    <w:rPr>
                      <w:rFonts w:ascii="宋体" w:hAnsi="宋体" w:cs="宋体"/>
                      <w:color w:val="000000"/>
                      <w:sz w:val="20"/>
                      <w:szCs w:val="20"/>
                    </w:rPr>
                  </w:pPr>
                  <w:r>
                    <w:rPr>
                      <w:rFonts w:hint="eastAsia"/>
                      <w:color w:val="000000"/>
                      <w:sz w:val="20"/>
                      <w:szCs w:val="20"/>
                    </w:rPr>
                    <w:t>中共寿县县委宣传部　</w:t>
                  </w:r>
                </w:p>
              </w:tc>
            </w:tr>
            <w:tr>
              <w:tblPrEx>
                <w:tblCellMar>
                  <w:top w:w="0" w:type="dxa"/>
                  <w:left w:w="108" w:type="dxa"/>
                  <w:bottom w:w="0" w:type="dxa"/>
                  <w:right w:w="108" w:type="dxa"/>
                </w:tblCellMar>
              </w:tblPrEx>
              <w:trPr>
                <w:trHeight w:val="330" w:hRule="atLeast"/>
              </w:trPr>
              <w:tc>
                <w:tcPr>
                  <w:tcW w:w="12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0"/>
                      <w:szCs w:val="20"/>
                    </w:rPr>
                  </w:pPr>
                  <w:r>
                    <w:rPr>
                      <w:rFonts w:hint="eastAsia"/>
                      <w:color w:val="000000"/>
                      <w:sz w:val="20"/>
                      <w:szCs w:val="20"/>
                    </w:rPr>
                    <w:t>项目属性</w:t>
                  </w:r>
                </w:p>
              </w:tc>
              <w:tc>
                <w:tcPr>
                  <w:tcW w:w="7784" w:type="dxa"/>
                  <w:gridSpan w:val="8"/>
                  <w:tcBorders>
                    <w:top w:val="single" w:color="auto" w:sz="4" w:space="0"/>
                    <w:left w:val="nil"/>
                    <w:bottom w:val="single" w:color="auto" w:sz="4" w:space="0"/>
                    <w:right w:val="single" w:color="auto" w:sz="4" w:space="0"/>
                  </w:tcBorders>
                  <w:vAlign w:val="center"/>
                </w:tcPr>
                <w:p>
                  <w:pPr>
                    <w:jc w:val="center"/>
                    <w:rPr>
                      <w:rFonts w:ascii="宋体" w:hAnsi="宋体" w:cs="宋体"/>
                      <w:color w:val="000000"/>
                      <w:sz w:val="20"/>
                      <w:szCs w:val="20"/>
                    </w:rPr>
                  </w:pPr>
                  <w:r>
                    <w:rPr>
                      <w:rFonts w:hint="eastAsia"/>
                      <w:color w:val="000000"/>
                      <w:sz w:val="20"/>
                      <w:szCs w:val="20"/>
                    </w:rPr>
                    <w:t>　</w:t>
                  </w:r>
                </w:p>
              </w:tc>
            </w:tr>
            <w:tr>
              <w:tblPrEx>
                <w:tblCellMar>
                  <w:top w:w="0" w:type="dxa"/>
                  <w:left w:w="108" w:type="dxa"/>
                  <w:bottom w:w="0" w:type="dxa"/>
                  <w:right w:w="108" w:type="dxa"/>
                </w:tblCellMar>
              </w:tblPrEx>
              <w:trPr>
                <w:trHeight w:val="330" w:hRule="atLeast"/>
              </w:trPr>
              <w:tc>
                <w:tcPr>
                  <w:tcW w:w="2176" w:type="dxa"/>
                  <w:gridSpan w:val="3"/>
                  <w:vMerge w:val="restart"/>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s="宋体"/>
                      <w:sz w:val="20"/>
                      <w:szCs w:val="20"/>
                    </w:rPr>
                  </w:pPr>
                  <w:r>
                    <w:rPr>
                      <w:rFonts w:hint="eastAsia"/>
                      <w:sz w:val="20"/>
                      <w:szCs w:val="20"/>
                    </w:rPr>
                    <w:t>项目资金</w:t>
                  </w:r>
                  <w:r>
                    <w:rPr>
                      <w:rFonts w:hint="eastAsia"/>
                      <w:sz w:val="20"/>
                      <w:szCs w:val="20"/>
                    </w:rPr>
                    <w:br w:type="textWrapping"/>
                  </w:r>
                  <w:r>
                    <w:rPr>
                      <w:rFonts w:hint="eastAsia"/>
                      <w:sz w:val="20"/>
                      <w:szCs w:val="20"/>
                    </w:rPr>
                    <w:t>（万元）</w:t>
                  </w: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中期资金总额：</w:t>
                  </w:r>
                </w:p>
              </w:tc>
              <w:tc>
                <w:tcPr>
                  <w:tcW w:w="1592" w:type="dxa"/>
                  <w:gridSpan w:val="2"/>
                  <w:tcBorders>
                    <w:top w:val="single" w:color="auto" w:sz="4" w:space="0"/>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　</w:t>
                  </w:r>
                </w:p>
              </w:tc>
              <w:tc>
                <w:tcPr>
                  <w:tcW w:w="1988" w:type="dxa"/>
                  <w:gridSpan w:val="2"/>
                  <w:tcBorders>
                    <w:top w:val="single" w:color="auto" w:sz="4" w:space="0"/>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年度资金总额：</w:t>
                  </w:r>
                </w:p>
              </w:tc>
              <w:tc>
                <w:tcPr>
                  <w:tcW w:w="1264" w:type="dxa"/>
                  <w:gridSpan w:val="2"/>
                  <w:tcBorders>
                    <w:top w:val="single" w:color="auto" w:sz="4" w:space="0"/>
                    <w:left w:val="nil"/>
                    <w:bottom w:val="single" w:color="auto" w:sz="4" w:space="0"/>
                    <w:right w:val="single" w:color="000000" w:sz="4" w:space="0"/>
                  </w:tcBorders>
                  <w:vAlign w:val="center"/>
                </w:tcPr>
                <w:p>
                  <w:pPr>
                    <w:jc w:val="center"/>
                    <w:rPr>
                      <w:rFonts w:ascii="宋体" w:hAnsi="宋体" w:cs="宋体"/>
                      <w:sz w:val="20"/>
                      <w:szCs w:val="20"/>
                    </w:rPr>
                  </w:pPr>
                  <w:r>
                    <w:rPr>
                      <w:rFonts w:hint="eastAsia"/>
                      <w:sz w:val="20"/>
                      <w:szCs w:val="20"/>
                    </w:rPr>
                    <w:t>322　</w:t>
                  </w:r>
                </w:p>
              </w:tc>
            </w:tr>
            <w:tr>
              <w:tblPrEx>
                <w:tblCellMar>
                  <w:top w:w="0" w:type="dxa"/>
                  <w:left w:w="108" w:type="dxa"/>
                  <w:bottom w:w="0" w:type="dxa"/>
                  <w:right w:w="108" w:type="dxa"/>
                </w:tblCellMar>
              </w:tblPrEx>
              <w:trPr>
                <w:trHeight w:val="330" w:hRule="atLeast"/>
              </w:trPr>
              <w:tc>
                <w:tcPr>
                  <w:tcW w:w="2176" w:type="dxa"/>
                  <w:gridSpan w:val="3"/>
                  <w:vMerge w:val="continue"/>
                  <w:tcBorders>
                    <w:top w:val="single" w:color="auto" w:sz="4" w:space="0"/>
                    <w:left w:val="single" w:color="auto" w:sz="4" w:space="0"/>
                    <w:bottom w:val="single" w:color="000000" w:sz="4" w:space="0"/>
                    <w:right w:val="single" w:color="000000"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其中：财政拨款</w:t>
                  </w:r>
                </w:p>
              </w:tc>
              <w:tc>
                <w:tcPr>
                  <w:tcW w:w="1592" w:type="dxa"/>
                  <w:gridSpan w:val="2"/>
                  <w:tcBorders>
                    <w:top w:val="single" w:color="auto" w:sz="4" w:space="0"/>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　</w:t>
                  </w:r>
                </w:p>
              </w:tc>
              <w:tc>
                <w:tcPr>
                  <w:tcW w:w="1988" w:type="dxa"/>
                  <w:gridSpan w:val="2"/>
                  <w:tcBorders>
                    <w:top w:val="single" w:color="auto" w:sz="4" w:space="0"/>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其中：财政拨款</w:t>
                  </w:r>
                </w:p>
              </w:tc>
              <w:tc>
                <w:tcPr>
                  <w:tcW w:w="1264" w:type="dxa"/>
                  <w:gridSpan w:val="2"/>
                  <w:tcBorders>
                    <w:top w:val="single" w:color="auto" w:sz="4" w:space="0"/>
                    <w:left w:val="nil"/>
                    <w:bottom w:val="single" w:color="auto" w:sz="4" w:space="0"/>
                    <w:right w:val="single" w:color="000000" w:sz="4" w:space="0"/>
                  </w:tcBorders>
                  <w:vAlign w:val="center"/>
                </w:tcPr>
                <w:p>
                  <w:pPr>
                    <w:jc w:val="center"/>
                    <w:rPr>
                      <w:rFonts w:ascii="宋体" w:hAnsi="宋体" w:cs="宋体"/>
                      <w:sz w:val="20"/>
                      <w:szCs w:val="20"/>
                    </w:rPr>
                  </w:pPr>
                  <w:r>
                    <w:rPr>
                      <w:rFonts w:hint="eastAsia"/>
                      <w:sz w:val="20"/>
                      <w:szCs w:val="20"/>
                    </w:rPr>
                    <w:t>322　</w:t>
                  </w:r>
                </w:p>
              </w:tc>
            </w:tr>
            <w:tr>
              <w:tblPrEx>
                <w:tblCellMar>
                  <w:top w:w="0" w:type="dxa"/>
                  <w:left w:w="108" w:type="dxa"/>
                  <w:bottom w:w="0" w:type="dxa"/>
                  <w:right w:w="108" w:type="dxa"/>
                </w:tblCellMar>
              </w:tblPrEx>
              <w:trPr>
                <w:trHeight w:val="330" w:hRule="atLeast"/>
              </w:trPr>
              <w:tc>
                <w:tcPr>
                  <w:tcW w:w="2176" w:type="dxa"/>
                  <w:gridSpan w:val="3"/>
                  <w:vMerge w:val="continue"/>
                  <w:tcBorders>
                    <w:top w:val="single" w:color="auto" w:sz="4" w:space="0"/>
                    <w:left w:val="single" w:color="auto" w:sz="4" w:space="0"/>
                    <w:bottom w:val="single" w:color="000000" w:sz="4" w:space="0"/>
                    <w:right w:val="single" w:color="000000"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其他资金</w:t>
                  </w:r>
                </w:p>
              </w:tc>
              <w:tc>
                <w:tcPr>
                  <w:tcW w:w="1592" w:type="dxa"/>
                  <w:gridSpan w:val="2"/>
                  <w:tcBorders>
                    <w:top w:val="single" w:color="auto" w:sz="4" w:space="0"/>
                    <w:left w:val="nil"/>
                    <w:bottom w:val="single" w:color="auto" w:sz="4" w:space="0"/>
                    <w:right w:val="single" w:color="000000" w:sz="4" w:space="0"/>
                  </w:tcBorders>
                  <w:vAlign w:val="center"/>
                </w:tcPr>
                <w:p>
                  <w:pPr>
                    <w:jc w:val="center"/>
                    <w:rPr>
                      <w:rFonts w:ascii="宋体" w:hAnsi="宋体" w:cs="宋体"/>
                      <w:sz w:val="20"/>
                      <w:szCs w:val="20"/>
                    </w:rPr>
                  </w:pPr>
                  <w:r>
                    <w:rPr>
                      <w:rFonts w:hint="eastAsia"/>
                      <w:sz w:val="20"/>
                      <w:szCs w:val="20"/>
                    </w:rPr>
                    <w:t>　</w:t>
                  </w:r>
                </w:p>
              </w:tc>
              <w:tc>
                <w:tcPr>
                  <w:tcW w:w="1988" w:type="dxa"/>
                  <w:gridSpan w:val="2"/>
                  <w:tcBorders>
                    <w:top w:val="single" w:color="auto" w:sz="4" w:space="0"/>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其他资金</w:t>
                  </w:r>
                </w:p>
              </w:tc>
              <w:tc>
                <w:tcPr>
                  <w:tcW w:w="1264" w:type="dxa"/>
                  <w:gridSpan w:val="2"/>
                  <w:tcBorders>
                    <w:top w:val="single" w:color="auto" w:sz="4" w:space="0"/>
                    <w:left w:val="nil"/>
                    <w:bottom w:val="single" w:color="auto" w:sz="4" w:space="0"/>
                    <w:right w:val="single" w:color="000000" w:sz="4" w:space="0"/>
                  </w:tcBorders>
                  <w:vAlign w:val="center"/>
                </w:tcPr>
                <w:p>
                  <w:pPr>
                    <w:jc w:val="cente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30" w:hRule="atLeast"/>
              </w:trPr>
              <w:tc>
                <w:tcPr>
                  <w:tcW w:w="416" w:type="dxa"/>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总</w:t>
                  </w:r>
                  <w:r>
                    <w:rPr>
                      <w:rFonts w:hint="eastAsia"/>
                      <w:sz w:val="20"/>
                      <w:szCs w:val="20"/>
                    </w:rPr>
                    <w:br w:type="textWrapping"/>
                  </w:r>
                  <w:r>
                    <w:rPr>
                      <w:rFonts w:hint="eastAsia"/>
                      <w:sz w:val="20"/>
                      <w:szCs w:val="20"/>
                    </w:rPr>
                    <w:t>体</w:t>
                  </w:r>
                  <w:r>
                    <w:rPr>
                      <w:rFonts w:hint="eastAsia"/>
                      <w:sz w:val="20"/>
                      <w:szCs w:val="20"/>
                    </w:rPr>
                    <w:br w:type="textWrapping"/>
                  </w:r>
                  <w:r>
                    <w:rPr>
                      <w:rFonts w:hint="eastAsia"/>
                      <w:sz w:val="20"/>
                      <w:szCs w:val="20"/>
                    </w:rPr>
                    <w:t>目</w:t>
                  </w:r>
                  <w:r>
                    <w:rPr>
                      <w:rFonts w:hint="eastAsia"/>
                      <w:sz w:val="20"/>
                      <w:szCs w:val="20"/>
                    </w:rPr>
                    <w:br w:type="textWrapping"/>
                  </w:r>
                  <w:r>
                    <w:rPr>
                      <w:rFonts w:hint="eastAsia"/>
                      <w:sz w:val="20"/>
                      <w:szCs w:val="20"/>
                    </w:rPr>
                    <w:t>标</w:t>
                  </w:r>
                </w:p>
              </w:tc>
              <w:tc>
                <w:tcPr>
                  <w:tcW w:w="5352" w:type="dxa"/>
                  <w:gridSpan w:val="5"/>
                  <w:tcBorders>
                    <w:top w:val="single" w:color="auto" w:sz="4" w:space="0"/>
                    <w:left w:val="nil"/>
                    <w:bottom w:val="single" w:color="auto" w:sz="4" w:space="0"/>
                    <w:right w:val="nil"/>
                  </w:tcBorders>
                  <w:vAlign w:val="center"/>
                </w:tcPr>
                <w:p>
                  <w:pPr>
                    <w:jc w:val="center"/>
                    <w:rPr>
                      <w:rFonts w:ascii="宋体" w:hAnsi="宋体" w:cs="宋体"/>
                      <w:sz w:val="20"/>
                      <w:szCs w:val="20"/>
                    </w:rPr>
                  </w:pPr>
                  <w:r>
                    <w:rPr>
                      <w:rFonts w:hint="eastAsia"/>
                      <w:sz w:val="20"/>
                      <w:szCs w:val="20"/>
                    </w:rPr>
                    <w:t>中期目标（2022年—2022年）</w:t>
                  </w:r>
                </w:p>
              </w:tc>
              <w:tc>
                <w:tcPr>
                  <w:tcW w:w="3252" w:type="dxa"/>
                  <w:gridSpan w:val="4"/>
                  <w:tcBorders>
                    <w:top w:val="single" w:color="auto" w:sz="4" w:space="0"/>
                    <w:left w:val="single" w:color="auto" w:sz="4" w:space="0"/>
                    <w:bottom w:val="single" w:color="auto" w:sz="4" w:space="0"/>
                    <w:right w:val="single" w:color="000000" w:sz="4" w:space="0"/>
                  </w:tcBorders>
                  <w:vAlign w:val="center"/>
                </w:tcPr>
                <w:p>
                  <w:pPr>
                    <w:jc w:val="center"/>
                    <w:rPr>
                      <w:rFonts w:ascii="宋体" w:hAnsi="宋体" w:cs="宋体"/>
                      <w:sz w:val="20"/>
                      <w:szCs w:val="20"/>
                    </w:rPr>
                  </w:pPr>
                  <w:r>
                    <w:rPr>
                      <w:rFonts w:hint="eastAsia"/>
                      <w:sz w:val="20"/>
                      <w:szCs w:val="20"/>
                    </w:rPr>
                    <w:t>年度目标</w:t>
                  </w:r>
                </w:p>
              </w:tc>
            </w:tr>
            <w:tr>
              <w:tblPrEx>
                <w:tblCellMar>
                  <w:top w:w="0" w:type="dxa"/>
                  <w:left w:w="108" w:type="dxa"/>
                  <w:bottom w:w="0" w:type="dxa"/>
                  <w:right w:w="108" w:type="dxa"/>
                </w:tblCellMar>
              </w:tblPrEx>
              <w:trPr>
                <w:trHeight w:val="660" w:hRule="atLeast"/>
              </w:trPr>
              <w:tc>
                <w:tcPr>
                  <w:tcW w:w="416" w:type="dxa"/>
                  <w:vMerge w:val="continue"/>
                  <w:tcBorders>
                    <w:top w:val="nil"/>
                    <w:left w:val="single" w:color="auto" w:sz="4" w:space="0"/>
                    <w:bottom w:val="single" w:color="auto" w:sz="4" w:space="0"/>
                    <w:right w:val="single" w:color="auto" w:sz="4" w:space="0"/>
                  </w:tcBorders>
                  <w:vAlign w:val="center"/>
                </w:tcPr>
                <w:p>
                  <w:pPr>
                    <w:rPr>
                      <w:rFonts w:ascii="宋体" w:hAnsi="宋体" w:cs="宋体"/>
                      <w:sz w:val="20"/>
                      <w:szCs w:val="20"/>
                    </w:rPr>
                  </w:pPr>
                </w:p>
              </w:tc>
              <w:tc>
                <w:tcPr>
                  <w:tcW w:w="5352" w:type="dxa"/>
                  <w:gridSpan w:val="5"/>
                  <w:tcBorders>
                    <w:top w:val="single" w:color="auto" w:sz="4" w:space="0"/>
                    <w:left w:val="nil"/>
                    <w:bottom w:val="single" w:color="auto" w:sz="4" w:space="0"/>
                    <w:right w:val="nil"/>
                  </w:tcBorders>
                </w:tcPr>
                <w:p>
                  <w:pPr>
                    <w:rPr>
                      <w:rFonts w:ascii="宋体" w:hAnsi="宋体" w:cs="宋体"/>
                      <w:sz w:val="20"/>
                      <w:szCs w:val="20"/>
                    </w:rPr>
                  </w:pPr>
                  <w:r>
                    <w:rPr>
                      <w:rFonts w:hint="eastAsia"/>
                      <w:sz w:val="20"/>
                      <w:szCs w:val="20"/>
                    </w:rPr>
                    <w:t>贯彻执行党中央关于宣传思想文化工作的重大方针政策和事业发展总体规划，按照上级宣传部门和县委要求，部署全县宣传思想文化工作，统筹协调推进全县党的意识形态、“扫黄打非”、理论宣讲、社会宣传、对外宣传、文明创建和文化产业发展等工作，确保2022年度宣传思想文化工作再上新台阶。</w:t>
                  </w:r>
                  <w:r>
                    <w:rPr>
                      <w:rFonts w:hint="eastAsia"/>
                      <w:sz w:val="20"/>
                      <w:szCs w:val="20"/>
                    </w:rPr>
                    <w:br w:type="textWrapping"/>
                  </w:r>
                </w:p>
              </w:tc>
              <w:tc>
                <w:tcPr>
                  <w:tcW w:w="3252" w:type="dxa"/>
                  <w:gridSpan w:val="4"/>
                  <w:tcBorders>
                    <w:top w:val="single" w:color="auto" w:sz="4" w:space="0"/>
                    <w:left w:val="single" w:color="auto" w:sz="4" w:space="0"/>
                    <w:bottom w:val="single" w:color="auto" w:sz="4" w:space="0"/>
                    <w:right w:val="single" w:color="000000" w:sz="4" w:space="0"/>
                  </w:tcBorders>
                </w:tcPr>
                <w:p>
                  <w:pPr>
                    <w:rPr>
                      <w:rFonts w:ascii="宋体" w:hAnsi="宋体" w:cs="宋体"/>
                      <w:sz w:val="20"/>
                      <w:szCs w:val="20"/>
                    </w:rPr>
                  </w:pPr>
                  <w:r>
                    <w:rPr>
                      <w:rFonts w:hint="eastAsia"/>
                      <w:sz w:val="20"/>
                      <w:szCs w:val="20"/>
                    </w:rPr>
                    <w:t>贯彻执行党中央关于宣传思想文化工作的重大方针政策和事业发展总体规划，按照上级宣传部门和县委要求，部署全县宣传思想文化工作，统筹协调推进全县党的意识形态、“扫黄打非”、理论宣讲、社会宣传、对外宣传、文明创建和文化产业发展等工作，确保2022年度宣传思想文化工作再上新台阶。</w:t>
                  </w:r>
                  <w:r>
                    <w:rPr>
                      <w:rFonts w:hint="eastAsia"/>
                      <w:sz w:val="20"/>
                      <w:szCs w:val="20"/>
                    </w:rPr>
                    <w:br w:type="textWrapping"/>
                  </w:r>
                </w:p>
              </w:tc>
            </w:tr>
            <w:tr>
              <w:tblPrEx>
                <w:tblCellMar>
                  <w:top w:w="0" w:type="dxa"/>
                  <w:left w:w="108" w:type="dxa"/>
                  <w:bottom w:w="0" w:type="dxa"/>
                  <w:right w:w="108" w:type="dxa"/>
                </w:tblCellMar>
              </w:tblPrEx>
              <w:trPr>
                <w:trHeight w:val="830" w:hRule="atLeast"/>
              </w:trPr>
              <w:tc>
                <w:tcPr>
                  <w:tcW w:w="416"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sz w:val="20"/>
                      <w:szCs w:val="20"/>
                    </w:rPr>
                  </w:pPr>
                  <w:r>
                    <w:rPr>
                      <w:rFonts w:hint="eastAsia"/>
                      <w:sz w:val="20"/>
                      <w:szCs w:val="20"/>
                    </w:rPr>
                    <w:t>绩</w:t>
                  </w:r>
                  <w:r>
                    <w:rPr>
                      <w:rFonts w:hint="eastAsia"/>
                      <w:sz w:val="20"/>
                      <w:szCs w:val="20"/>
                    </w:rPr>
                    <w:br w:type="textWrapping"/>
                  </w:r>
                  <w:r>
                    <w:rPr>
                      <w:rFonts w:hint="eastAsia"/>
                      <w:sz w:val="20"/>
                      <w:szCs w:val="20"/>
                    </w:rPr>
                    <w:t>效</w:t>
                  </w:r>
                  <w:r>
                    <w:rPr>
                      <w:rFonts w:hint="eastAsia"/>
                      <w:sz w:val="20"/>
                      <w:szCs w:val="20"/>
                    </w:rPr>
                    <w:br w:type="textWrapping"/>
                  </w:r>
                  <w:r>
                    <w:rPr>
                      <w:rFonts w:hint="eastAsia"/>
                      <w:sz w:val="20"/>
                      <w:szCs w:val="20"/>
                    </w:rPr>
                    <w:t>指</w:t>
                  </w:r>
                  <w:r>
                    <w:rPr>
                      <w:rFonts w:hint="eastAsia"/>
                      <w:sz w:val="20"/>
                      <w:szCs w:val="20"/>
                    </w:rPr>
                    <w:br w:type="textWrapping"/>
                  </w:r>
                  <w:r>
                    <w:rPr>
                      <w:rFonts w:hint="eastAsia"/>
                      <w:sz w:val="20"/>
                      <w:szCs w:val="20"/>
                    </w:rPr>
                    <w:t>标</w:t>
                  </w:r>
                </w:p>
              </w:tc>
              <w:tc>
                <w:tcPr>
                  <w:tcW w:w="820" w:type="dxa"/>
                  <w:tcBorders>
                    <w:top w:val="nil"/>
                    <w:left w:val="nil"/>
                    <w:bottom w:val="nil"/>
                    <w:right w:val="single" w:color="auto" w:sz="4" w:space="0"/>
                  </w:tcBorders>
                  <w:vAlign w:val="center"/>
                </w:tcPr>
                <w:p>
                  <w:pPr>
                    <w:jc w:val="center"/>
                    <w:rPr>
                      <w:rFonts w:ascii="宋体" w:hAnsi="宋体" w:cs="宋体"/>
                      <w:sz w:val="20"/>
                      <w:szCs w:val="20"/>
                    </w:rPr>
                  </w:pPr>
                  <w:r>
                    <w:rPr>
                      <w:rFonts w:hint="eastAsia"/>
                      <w:sz w:val="20"/>
                      <w:szCs w:val="20"/>
                    </w:rPr>
                    <w:t>一级</w:t>
                  </w:r>
                  <w:r>
                    <w:rPr>
                      <w:rFonts w:hint="eastAsia"/>
                      <w:sz w:val="20"/>
                      <w:szCs w:val="20"/>
                    </w:rPr>
                    <w:br w:type="textWrapping"/>
                  </w:r>
                  <w:r>
                    <w:rPr>
                      <w:rFonts w:hint="eastAsia"/>
                      <w:sz w:val="20"/>
                      <w:szCs w:val="20"/>
                    </w:rPr>
                    <w:t>指标</w:t>
                  </w:r>
                </w:p>
              </w:tc>
              <w:tc>
                <w:tcPr>
                  <w:tcW w:w="940"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二级</w:t>
                  </w:r>
                </w:p>
                <w:p>
                  <w:pPr>
                    <w:jc w:val="center"/>
                    <w:rPr>
                      <w:rFonts w:ascii="宋体" w:hAnsi="宋体" w:cs="宋体"/>
                      <w:sz w:val="20"/>
                      <w:szCs w:val="20"/>
                    </w:rPr>
                  </w:pPr>
                  <w:r>
                    <w:rPr>
                      <w:rFonts w:hint="eastAsia"/>
                      <w:sz w:val="20"/>
                      <w:szCs w:val="20"/>
                    </w:rPr>
                    <w:t>指标</w:t>
                  </w:r>
                </w:p>
              </w:tc>
              <w:tc>
                <w:tcPr>
                  <w:tcW w:w="2000"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三级指标</w:t>
                  </w:r>
                </w:p>
              </w:tc>
              <w:tc>
                <w:tcPr>
                  <w:tcW w:w="860"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指标值</w:t>
                  </w:r>
                </w:p>
              </w:tc>
              <w:tc>
                <w:tcPr>
                  <w:tcW w:w="732"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绩效标准</w:t>
                  </w:r>
                </w:p>
              </w:tc>
              <w:tc>
                <w:tcPr>
                  <w:tcW w:w="948"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二级</w:t>
                  </w:r>
                </w:p>
                <w:p>
                  <w:pPr>
                    <w:jc w:val="center"/>
                    <w:rPr>
                      <w:rFonts w:ascii="宋体" w:hAnsi="宋体" w:cs="宋体"/>
                      <w:sz w:val="20"/>
                      <w:szCs w:val="20"/>
                    </w:rPr>
                  </w:pPr>
                  <w:r>
                    <w:rPr>
                      <w:rFonts w:hint="eastAsia"/>
                      <w:sz w:val="20"/>
                      <w:szCs w:val="20"/>
                    </w:rPr>
                    <w:t>指标</w:t>
                  </w:r>
                </w:p>
              </w:tc>
              <w:tc>
                <w:tcPr>
                  <w:tcW w:w="1040" w:type="dxa"/>
                  <w:tcBorders>
                    <w:top w:val="nil"/>
                    <w:left w:val="nil"/>
                    <w:bottom w:val="single" w:color="auto" w:sz="4" w:space="0"/>
                    <w:right w:val="nil"/>
                  </w:tcBorders>
                  <w:vAlign w:val="center"/>
                </w:tcPr>
                <w:p>
                  <w:pPr>
                    <w:jc w:val="center"/>
                    <w:rPr>
                      <w:rFonts w:ascii="宋体" w:hAnsi="宋体" w:cs="宋体"/>
                      <w:sz w:val="20"/>
                      <w:szCs w:val="20"/>
                    </w:rPr>
                  </w:pPr>
                  <w:r>
                    <w:rPr>
                      <w:rFonts w:hint="eastAsia"/>
                      <w:sz w:val="20"/>
                      <w:szCs w:val="20"/>
                    </w:rPr>
                    <w:t>三级指标</w:t>
                  </w:r>
                </w:p>
              </w:tc>
              <w:tc>
                <w:tcPr>
                  <w:tcW w:w="623" w:type="dxa"/>
                  <w:tcBorders>
                    <w:top w:val="nil"/>
                    <w:left w:val="single" w:color="auto" w:sz="4" w:space="0"/>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指标值</w:t>
                  </w:r>
                </w:p>
              </w:tc>
              <w:tc>
                <w:tcPr>
                  <w:tcW w:w="641"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绩效标准</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产</w:t>
                  </w:r>
                  <w:r>
                    <w:rPr>
                      <w:rFonts w:hint="eastAsia"/>
                      <w:sz w:val="20"/>
                      <w:szCs w:val="20"/>
                    </w:rPr>
                    <w:br w:type="textWrapping"/>
                  </w:r>
                  <w:r>
                    <w:rPr>
                      <w:rFonts w:hint="eastAsia"/>
                      <w:sz w:val="20"/>
                      <w:szCs w:val="20"/>
                    </w:rPr>
                    <w:t>出</w:t>
                  </w:r>
                  <w:r>
                    <w:rPr>
                      <w:rFonts w:hint="eastAsia"/>
                      <w:sz w:val="20"/>
                      <w:szCs w:val="20"/>
                    </w:rPr>
                    <w:br w:type="textWrapping"/>
                  </w:r>
                  <w:r>
                    <w:rPr>
                      <w:rFonts w:hint="eastAsia"/>
                      <w:sz w:val="20"/>
                      <w:szCs w:val="20"/>
                    </w:rPr>
                    <w:t>指</w:t>
                  </w:r>
                  <w:r>
                    <w:rPr>
                      <w:rFonts w:hint="eastAsia"/>
                      <w:sz w:val="20"/>
                      <w:szCs w:val="20"/>
                    </w:rPr>
                    <w:br w:type="textWrapping"/>
                  </w:r>
                  <w:r>
                    <w:rPr>
                      <w:rFonts w:hint="eastAsia"/>
                      <w:sz w:val="20"/>
                      <w:szCs w:val="20"/>
                    </w:rPr>
                    <w:t>标</w:t>
                  </w:r>
                </w:p>
              </w:tc>
              <w:tc>
                <w:tcPr>
                  <w:tcW w:w="940"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数量</w:t>
                  </w:r>
                </w:p>
                <w:p>
                  <w:pPr>
                    <w:jc w:val="center"/>
                    <w:rPr>
                      <w:rFonts w:ascii="宋体" w:hAnsi="宋体" w:cs="宋体"/>
                      <w:sz w:val="20"/>
                      <w:szCs w:val="20"/>
                    </w:rPr>
                  </w:pPr>
                  <w:r>
                    <w:rPr>
                      <w:rFonts w:hint="eastAsia"/>
                      <w:sz w:val="20"/>
                      <w:szCs w:val="20"/>
                    </w:rPr>
                    <w:t>指标</w:t>
                  </w: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指标1：理论宣讲下基层</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≥200次</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数量</w:t>
                  </w:r>
                </w:p>
                <w:p>
                  <w:pPr>
                    <w:jc w:val="center"/>
                    <w:rPr>
                      <w:rFonts w:ascii="宋体" w:hAnsi="宋体" w:cs="宋体"/>
                      <w:sz w:val="20"/>
                      <w:szCs w:val="20"/>
                    </w:rPr>
                  </w:pPr>
                  <w:r>
                    <w:rPr>
                      <w:rFonts w:hint="eastAsia"/>
                      <w:sz w:val="20"/>
                      <w:szCs w:val="20"/>
                    </w:rPr>
                    <w:t>指标</w:t>
                  </w: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指标:3：文化市场检查、“扫黄打非”市际、县际互查</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≥4次</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00"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ascii="宋体" w:hAnsi="宋体" w:cs="宋体"/>
                      <w:sz w:val="20"/>
                      <w:szCs w:val="20"/>
                    </w:rPr>
                    <w:t>指标2：省级以上新闻媒体发布信息</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≥1400次</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ascii="宋体" w:hAnsi="宋体" w:cs="宋体"/>
                      <w:sz w:val="20"/>
                      <w:szCs w:val="20"/>
                    </w:rPr>
                    <w:t>指标4：开展文明创建测评</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≥12次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质量</w:t>
                  </w:r>
                </w:p>
                <w:p>
                  <w:pPr>
                    <w:jc w:val="center"/>
                    <w:rPr>
                      <w:rFonts w:ascii="宋体" w:hAnsi="宋体" w:cs="宋体"/>
                      <w:sz w:val="20"/>
                      <w:szCs w:val="20"/>
                    </w:rPr>
                  </w:pPr>
                  <w:r>
                    <w:rPr>
                      <w:rFonts w:hint="eastAsia"/>
                      <w:sz w:val="20"/>
                      <w:szCs w:val="20"/>
                    </w:rPr>
                    <w:t>指标</w:t>
                  </w: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指标1：全县宣传思想文化发展水平</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高效高质量发展</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质量</w:t>
                  </w:r>
                </w:p>
                <w:p>
                  <w:pPr>
                    <w:jc w:val="center"/>
                    <w:rPr>
                      <w:rFonts w:ascii="宋体" w:hAnsi="宋体" w:cs="宋体"/>
                      <w:sz w:val="20"/>
                      <w:szCs w:val="20"/>
                    </w:rPr>
                  </w:pPr>
                  <w:r>
                    <w:rPr>
                      <w:rFonts w:hint="eastAsia"/>
                      <w:sz w:val="20"/>
                      <w:szCs w:val="20"/>
                    </w:rPr>
                    <w:t>指标</w:t>
                  </w: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时效</w:t>
                  </w:r>
                </w:p>
                <w:p>
                  <w:pPr>
                    <w:jc w:val="center"/>
                    <w:rPr>
                      <w:rFonts w:ascii="宋体" w:hAnsi="宋体" w:cs="宋体"/>
                      <w:sz w:val="20"/>
                      <w:szCs w:val="20"/>
                    </w:rPr>
                  </w:pPr>
                  <w:r>
                    <w:rPr>
                      <w:rFonts w:hint="eastAsia"/>
                      <w:sz w:val="20"/>
                      <w:szCs w:val="20"/>
                    </w:rPr>
                    <w:t>指标</w:t>
                  </w: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指标1：宣传思想文化工作各项支出实际发生期限</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1年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时效</w:t>
                  </w:r>
                </w:p>
                <w:p>
                  <w:pPr>
                    <w:jc w:val="center"/>
                    <w:rPr>
                      <w:rFonts w:ascii="宋体" w:hAnsi="宋体" w:cs="宋体"/>
                      <w:sz w:val="20"/>
                      <w:szCs w:val="20"/>
                    </w:rPr>
                  </w:pPr>
                  <w:r>
                    <w:rPr>
                      <w:rFonts w:hint="eastAsia"/>
                      <w:sz w:val="20"/>
                      <w:szCs w:val="20"/>
                    </w:rPr>
                    <w:t>指标</w:t>
                  </w: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成本</w:t>
                  </w:r>
                </w:p>
                <w:p>
                  <w:pPr>
                    <w:jc w:val="center"/>
                    <w:rPr>
                      <w:rFonts w:ascii="宋体" w:hAnsi="宋体" w:cs="宋体"/>
                      <w:sz w:val="20"/>
                      <w:szCs w:val="20"/>
                    </w:rPr>
                  </w:pPr>
                  <w:r>
                    <w:rPr>
                      <w:rFonts w:hint="eastAsia"/>
                      <w:sz w:val="20"/>
                      <w:szCs w:val="20"/>
                    </w:rPr>
                    <w:t>指标</w:t>
                  </w: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指标1：保障宣传思想文化工作正常运转</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各项支出按照实际发生数支付</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成本</w:t>
                  </w:r>
                </w:p>
                <w:p>
                  <w:pPr>
                    <w:jc w:val="center"/>
                    <w:rPr>
                      <w:rFonts w:ascii="宋体" w:hAnsi="宋体" w:cs="宋体"/>
                      <w:sz w:val="20"/>
                      <w:szCs w:val="20"/>
                    </w:rPr>
                  </w:pPr>
                  <w:r>
                    <w:rPr>
                      <w:rFonts w:hint="eastAsia"/>
                      <w:sz w:val="20"/>
                      <w:szCs w:val="20"/>
                    </w:rPr>
                    <w:t>指标</w:t>
                  </w: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tcBorders>
                    <w:top w:val="nil"/>
                    <w:left w:val="nil"/>
                    <w:bottom w:val="single" w:color="auto" w:sz="4" w:space="0"/>
                    <w:right w:val="single" w:color="auto" w:sz="4" w:space="0"/>
                  </w:tcBorders>
                  <w:vAlign w:val="center"/>
                </w:tcPr>
                <w:p>
                  <w:pPr>
                    <w:jc w:val="cente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860"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　</w:t>
                  </w:r>
                </w:p>
              </w:tc>
              <w:tc>
                <w:tcPr>
                  <w:tcW w:w="948" w:type="dxa"/>
                  <w:tcBorders>
                    <w:top w:val="nil"/>
                    <w:left w:val="nil"/>
                    <w:bottom w:val="single" w:color="auto" w:sz="4" w:space="0"/>
                    <w:right w:val="single" w:color="auto" w:sz="4" w:space="0"/>
                  </w:tcBorders>
                  <w:vAlign w:val="center"/>
                </w:tcPr>
                <w:p>
                  <w:pPr>
                    <w:jc w:val="center"/>
                    <w:rPr>
                      <w:rFonts w:ascii="宋体" w:hAnsi="宋体" w:cs="宋体"/>
                      <w:sz w:val="20"/>
                      <w:szCs w:val="20"/>
                    </w:rPr>
                  </w:pP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效</w:t>
                  </w:r>
                  <w:r>
                    <w:rPr>
                      <w:rFonts w:hint="eastAsia"/>
                      <w:sz w:val="20"/>
                      <w:szCs w:val="20"/>
                    </w:rPr>
                    <w:br w:type="textWrapping"/>
                  </w:r>
                  <w:r>
                    <w:rPr>
                      <w:rFonts w:hint="eastAsia"/>
                      <w:sz w:val="20"/>
                      <w:szCs w:val="20"/>
                    </w:rPr>
                    <w:t>益</w:t>
                  </w:r>
                  <w:r>
                    <w:rPr>
                      <w:rFonts w:hint="eastAsia"/>
                      <w:sz w:val="20"/>
                      <w:szCs w:val="20"/>
                    </w:rPr>
                    <w:br w:type="textWrapping"/>
                  </w:r>
                  <w:r>
                    <w:rPr>
                      <w:rFonts w:hint="eastAsia"/>
                      <w:sz w:val="20"/>
                      <w:szCs w:val="20"/>
                    </w:rPr>
                    <w:t>指</w:t>
                  </w:r>
                  <w:r>
                    <w:rPr>
                      <w:rFonts w:hint="eastAsia"/>
                      <w:sz w:val="20"/>
                      <w:szCs w:val="20"/>
                    </w:rPr>
                    <w:br w:type="textWrapping"/>
                  </w:r>
                  <w:r>
                    <w:rPr>
                      <w:rFonts w:hint="eastAsia"/>
                      <w:sz w:val="20"/>
                      <w:szCs w:val="20"/>
                    </w:rPr>
                    <w:t>标</w:t>
                  </w:r>
                </w:p>
              </w:tc>
              <w:tc>
                <w:tcPr>
                  <w:tcW w:w="940"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sz w:val="20"/>
                      <w:szCs w:val="20"/>
                    </w:rPr>
                  </w:pPr>
                  <w:r>
                    <w:rPr>
                      <w:rFonts w:hint="eastAsia"/>
                      <w:sz w:val="20"/>
                      <w:szCs w:val="20"/>
                    </w:rPr>
                    <w:t>经济效益指标</w:t>
                  </w: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经济效</w:t>
                  </w:r>
                </w:p>
                <w:p>
                  <w:pPr>
                    <w:jc w:val="center"/>
                    <w:rPr>
                      <w:rFonts w:ascii="宋体" w:hAnsi="宋体" w:cs="宋体"/>
                      <w:sz w:val="20"/>
                      <w:szCs w:val="20"/>
                    </w:rPr>
                  </w:pPr>
                  <w:r>
                    <w:rPr>
                      <w:rFonts w:hint="eastAsia"/>
                      <w:sz w:val="20"/>
                      <w:szCs w:val="20"/>
                    </w:rPr>
                    <w:t>益指标</w:t>
                  </w: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sz w:val="20"/>
                      <w:szCs w:val="20"/>
                    </w:rPr>
                  </w:pPr>
                  <w:r>
                    <w:rPr>
                      <w:rFonts w:hint="eastAsia"/>
                      <w:sz w:val="20"/>
                      <w:szCs w:val="20"/>
                    </w:rPr>
                    <w:t>社会效益指标</w:t>
                  </w: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指标1：宣传思想文化工作产生的社会效益</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寿县形象美誉度提升</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社会效</w:t>
                  </w:r>
                </w:p>
                <w:p>
                  <w:pPr>
                    <w:jc w:val="center"/>
                    <w:rPr>
                      <w:rFonts w:ascii="宋体" w:hAnsi="宋体" w:cs="宋体"/>
                      <w:sz w:val="20"/>
                      <w:szCs w:val="20"/>
                    </w:rPr>
                  </w:pPr>
                  <w:r>
                    <w:rPr>
                      <w:rFonts w:hint="eastAsia"/>
                      <w:sz w:val="20"/>
                      <w:szCs w:val="20"/>
                    </w:rPr>
                    <w:t>益指标</w:t>
                  </w: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sz w:val="20"/>
                      <w:szCs w:val="20"/>
                    </w:rPr>
                  </w:pPr>
                  <w:r>
                    <w:rPr>
                      <w:rFonts w:hint="eastAsia"/>
                      <w:sz w:val="20"/>
                      <w:szCs w:val="20"/>
                    </w:rPr>
                    <w:t>生态效益指标</w:t>
                  </w: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sz w:val="20"/>
                      <w:szCs w:val="20"/>
                    </w:rPr>
                  </w:pPr>
                  <w:r>
                    <w:rPr>
                      <w:rFonts w:hint="eastAsia"/>
                      <w:sz w:val="20"/>
                      <w:szCs w:val="20"/>
                    </w:rPr>
                    <w:t>生态效益指标</w:t>
                  </w: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sz w:val="20"/>
                      <w:szCs w:val="20"/>
                    </w:rPr>
                  </w:pPr>
                  <w:r>
                    <w:rPr>
                      <w:rFonts w:hint="eastAsia"/>
                      <w:sz w:val="20"/>
                      <w:szCs w:val="20"/>
                    </w:rPr>
                    <w:t>可持续影响</w:t>
                  </w:r>
                  <w:r>
                    <w:rPr>
                      <w:rFonts w:hint="eastAsia"/>
                      <w:sz w:val="20"/>
                      <w:szCs w:val="20"/>
                    </w:rPr>
                    <w:br w:type="textWrapping"/>
                  </w:r>
                  <w:r>
                    <w:rPr>
                      <w:rFonts w:hint="eastAsia"/>
                      <w:sz w:val="20"/>
                      <w:szCs w:val="20"/>
                    </w:rPr>
                    <w:t>指标</w:t>
                  </w: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指标1：宣传思想文化工作产生的可持续影响</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长期正面影响</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可持续</w:t>
                  </w:r>
                </w:p>
                <w:p>
                  <w:pPr>
                    <w:jc w:val="center"/>
                    <w:rPr>
                      <w:sz w:val="20"/>
                      <w:szCs w:val="20"/>
                    </w:rPr>
                  </w:pPr>
                  <w:r>
                    <w:rPr>
                      <w:rFonts w:hint="eastAsia"/>
                      <w:sz w:val="20"/>
                      <w:szCs w:val="20"/>
                    </w:rPr>
                    <w:t>影响</w:t>
                  </w:r>
                </w:p>
                <w:p>
                  <w:pPr>
                    <w:jc w:val="center"/>
                    <w:rPr>
                      <w:rFonts w:ascii="宋体" w:hAnsi="宋体" w:cs="宋体"/>
                      <w:sz w:val="20"/>
                      <w:szCs w:val="20"/>
                    </w:rPr>
                  </w:pPr>
                  <w:r>
                    <w:rPr>
                      <w:rFonts w:hint="eastAsia"/>
                      <w:sz w:val="20"/>
                      <w:szCs w:val="20"/>
                    </w:rPr>
                    <w:t>指标</w:t>
                  </w: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rPr>
                      <w:rFonts w:ascii="宋体" w:hAnsi="宋体" w:cs="宋体"/>
                      <w:sz w:val="20"/>
                      <w:szCs w:val="20"/>
                    </w:rPr>
                  </w:pPr>
                </w:p>
              </w:tc>
              <w:tc>
                <w:tcPr>
                  <w:tcW w:w="940" w:type="dxa"/>
                  <w:tcBorders>
                    <w:top w:val="nil"/>
                    <w:left w:val="nil"/>
                    <w:bottom w:val="single" w:color="auto" w:sz="4" w:space="0"/>
                    <w:right w:val="single" w:color="auto" w:sz="4" w:space="0"/>
                  </w:tcBorders>
                  <w:vAlign w:val="center"/>
                </w:tcPr>
                <w:p>
                  <w:pPr>
                    <w:jc w:val="cente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86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948" w:type="dxa"/>
                  <w:tcBorders>
                    <w:top w:val="nil"/>
                    <w:left w:val="nil"/>
                    <w:bottom w:val="single" w:color="auto" w:sz="4" w:space="0"/>
                    <w:right w:val="single" w:color="auto" w:sz="4" w:space="0"/>
                  </w:tcBorders>
                  <w:vAlign w:val="center"/>
                </w:tcPr>
                <w:p>
                  <w:pPr>
                    <w:jc w:val="center"/>
                    <w:rPr>
                      <w:rFonts w:ascii="宋体" w:hAnsi="宋体" w:cs="宋体"/>
                      <w:sz w:val="20"/>
                      <w:szCs w:val="20"/>
                    </w:rPr>
                  </w:pPr>
                </w:p>
              </w:tc>
              <w:tc>
                <w:tcPr>
                  <w:tcW w:w="1040" w:type="dxa"/>
                  <w:tcBorders>
                    <w:top w:val="nil"/>
                    <w:left w:val="nil"/>
                    <w:bottom w:val="single" w:color="auto" w:sz="4" w:space="0"/>
                    <w:right w:val="nil"/>
                  </w:tcBorders>
                  <w:vAlign w:val="center"/>
                </w:tcPr>
                <w:p>
                  <w:pPr>
                    <w:rPr>
                      <w:rFonts w:ascii="宋体" w:hAnsi="宋体" w:cs="宋体"/>
                      <w:sz w:val="20"/>
                      <w:szCs w:val="20"/>
                    </w:rPr>
                  </w:pPr>
                  <w:r>
                    <w:rPr>
                      <w:rFonts w:hint="eastAsia"/>
                      <w:sz w:val="20"/>
                      <w:szCs w:val="20"/>
                    </w:rPr>
                    <w:t>　</w:t>
                  </w:r>
                </w:p>
              </w:tc>
              <w:tc>
                <w:tcPr>
                  <w:tcW w:w="623" w:type="dxa"/>
                  <w:tcBorders>
                    <w:top w:val="nil"/>
                    <w:left w:val="single" w:color="auto" w:sz="4" w:space="0"/>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sz w:val="20"/>
                      <w:szCs w:val="20"/>
                    </w:rPr>
                  </w:pPr>
                  <w:r>
                    <w:rPr>
                      <w:rFonts w:hint="eastAsia"/>
                      <w:sz w:val="20"/>
                      <w:szCs w:val="20"/>
                    </w:rPr>
                    <w:t>满意度指标</w:t>
                  </w:r>
                </w:p>
              </w:tc>
              <w:tc>
                <w:tcPr>
                  <w:tcW w:w="940"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sz w:val="20"/>
                      <w:szCs w:val="20"/>
                    </w:rPr>
                  </w:pPr>
                  <w:r>
                    <w:rPr>
                      <w:rFonts w:hint="eastAsia"/>
                      <w:sz w:val="20"/>
                      <w:szCs w:val="20"/>
                    </w:rPr>
                    <w:t>服务对象满意度指标</w:t>
                  </w: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指标1：群众满意度</w:t>
                  </w:r>
                </w:p>
              </w:tc>
              <w:tc>
                <w:tcPr>
                  <w:tcW w:w="860"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群众满意度高　</w:t>
                  </w:r>
                </w:p>
              </w:tc>
              <w:tc>
                <w:tcPr>
                  <w:tcW w:w="732"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　</w:t>
                  </w:r>
                </w:p>
              </w:tc>
              <w:tc>
                <w:tcPr>
                  <w:tcW w:w="948" w:type="dxa"/>
                  <w:vMerge w:val="restart"/>
                  <w:tcBorders>
                    <w:top w:val="nil"/>
                    <w:left w:val="single" w:color="auto" w:sz="4" w:space="0"/>
                    <w:bottom w:val="single" w:color="000000" w:sz="4" w:space="0"/>
                    <w:right w:val="single" w:color="auto" w:sz="4" w:space="0"/>
                  </w:tcBorders>
                  <w:vAlign w:val="center"/>
                </w:tcPr>
                <w:p>
                  <w:pPr>
                    <w:jc w:val="center"/>
                    <w:rPr>
                      <w:sz w:val="20"/>
                      <w:szCs w:val="20"/>
                    </w:rPr>
                  </w:pPr>
                  <w:r>
                    <w:rPr>
                      <w:rFonts w:hint="eastAsia"/>
                      <w:sz w:val="20"/>
                      <w:szCs w:val="20"/>
                    </w:rPr>
                    <w:t>服务对</w:t>
                  </w:r>
                </w:p>
                <w:p>
                  <w:pPr>
                    <w:jc w:val="center"/>
                    <w:rPr>
                      <w:sz w:val="20"/>
                      <w:szCs w:val="20"/>
                    </w:rPr>
                  </w:pPr>
                  <w:r>
                    <w:rPr>
                      <w:rFonts w:hint="eastAsia"/>
                      <w:sz w:val="20"/>
                      <w:szCs w:val="20"/>
                    </w:rPr>
                    <w:t>象满意</w:t>
                  </w:r>
                </w:p>
                <w:p>
                  <w:pPr>
                    <w:jc w:val="center"/>
                    <w:rPr>
                      <w:rFonts w:ascii="宋体" w:hAnsi="宋体" w:cs="宋体"/>
                      <w:sz w:val="20"/>
                      <w:szCs w:val="20"/>
                    </w:rPr>
                  </w:pPr>
                  <w:r>
                    <w:rPr>
                      <w:rFonts w:hint="eastAsia"/>
                      <w:sz w:val="20"/>
                      <w:szCs w:val="20"/>
                    </w:rPr>
                    <w:t>度指标</w:t>
                  </w: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指标1：</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94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860"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　</w:t>
                  </w:r>
                </w:p>
              </w:tc>
              <w:tc>
                <w:tcPr>
                  <w:tcW w:w="948"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104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xml:space="preserve"> </w:t>
                  </w:r>
                </w:p>
              </w:tc>
              <w:tc>
                <w:tcPr>
                  <w:tcW w:w="623"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r>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820" w:type="dxa"/>
                  <w:vMerge w:val="continue"/>
                  <w:tcBorders>
                    <w:top w:val="nil"/>
                    <w:left w:val="single" w:color="auto" w:sz="4" w:space="0"/>
                    <w:bottom w:val="single" w:color="000000" w:sz="4" w:space="0"/>
                    <w:right w:val="single" w:color="auto" w:sz="4" w:space="0"/>
                  </w:tcBorders>
                  <w:vAlign w:val="center"/>
                </w:tcPr>
                <w:p>
                  <w:pPr>
                    <w:rPr>
                      <w:rFonts w:ascii="宋体" w:hAnsi="宋体" w:cs="宋体"/>
                      <w:sz w:val="20"/>
                      <w:szCs w:val="20"/>
                    </w:rPr>
                  </w:pPr>
                </w:p>
              </w:tc>
              <w:tc>
                <w:tcPr>
                  <w:tcW w:w="940" w:type="dxa"/>
                  <w:tcBorders>
                    <w:top w:val="nil"/>
                    <w:left w:val="nil"/>
                    <w:bottom w:val="single" w:color="auto" w:sz="4" w:space="0"/>
                    <w:right w:val="single" w:color="auto" w:sz="4" w:space="0"/>
                  </w:tcBorders>
                  <w:vAlign w:val="center"/>
                </w:tcPr>
                <w:p>
                  <w:pPr>
                    <w:jc w:val="center"/>
                    <w:rPr>
                      <w:rFonts w:ascii="宋体" w:hAnsi="宋体" w:cs="宋体"/>
                      <w:sz w:val="20"/>
                      <w:szCs w:val="20"/>
                    </w:rPr>
                  </w:pPr>
                </w:p>
              </w:tc>
              <w:tc>
                <w:tcPr>
                  <w:tcW w:w="2000"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860"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　</w:t>
                  </w:r>
                </w:p>
              </w:tc>
              <w:tc>
                <w:tcPr>
                  <w:tcW w:w="732" w:type="dxa"/>
                  <w:tcBorders>
                    <w:top w:val="nil"/>
                    <w:left w:val="nil"/>
                    <w:bottom w:val="single" w:color="auto" w:sz="4" w:space="0"/>
                    <w:right w:val="single" w:color="auto" w:sz="4" w:space="0"/>
                  </w:tcBorders>
                  <w:vAlign w:val="center"/>
                </w:tcPr>
                <w:p>
                  <w:pPr>
                    <w:jc w:val="center"/>
                    <w:rPr>
                      <w:rFonts w:ascii="宋体" w:hAnsi="宋体" w:cs="宋体"/>
                      <w:sz w:val="20"/>
                      <w:szCs w:val="20"/>
                    </w:rPr>
                  </w:pPr>
                  <w:r>
                    <w:rPr>
                      <w:rFonts w:hint="eastAsia"/>
                      <w:sz w:val="20"/>
                      <w:szCs w:val="20"/>
                    </w:rPr>
                    <w:t>　</w:t>
                  </w:r>
                </w:p>
              </w:tc>
              <w:tc>
                <w:tcPr>
                  <w:tcW w:w="948" w:type="dxa"/>
                  <w:tcBorders>
                    <w:top w:val="nil"/>
                    <w:left w:val="nil"/>
                    <w:bottom w:val="single" w:color="auto" w:sz="4" w:space="0"/>
                    <w:right w:val="single" w:color="auto" w:sz="4" w:space="0"/>
                  </w:tcBorders>
                  <w:vAlign w:val="center"/>
                </w:tcPr>
                <w:p>
                  <w:pPr>
                    <w:jc w:val="center"/>
                    <w:rPr>
                      <w:rFonts w:ascii="宋体" w:hAnsi="宋体" w:cs="宋体"/>
                      <w:sz w:val="20"/>
                      <w:szCs w:val="20"/>
                    </w:rPr>
                  </w:pPr>
                </w:p>
              </w:tc>
              <w:tc>
                <w:tcPr>
                  <w:tcW w:w="1040" w:type="dxa"/>
                  <w:tcBorders>
                    <w:top w:val="nil"/>
                    <w:left w:val="nil"/>
                    <w:bottom w:val="single" w:color="auto" w:sz="4" w:space="0"/>
                    <w:right w:val="nil"/>
                  </w:tcBorders>
                  <w:vAlign w:val="center"/>
                </w:tcPr>
                <w:p>
                  <w:pPr>
                    <w:rPr>
                      <w:rFonts w:ascii="宋体" w:hAnsi="宋体" w:cs="宋体"/>
                      <w:sz w:val="20"/>
                      <w:szCs w:val="20"/>
                    </w:rPr>
                  </w:pPr>
                  <w:r>
                    <w:rPr>
                      <w:rFonts w:hint="eastAsia"/>
                      <w:sz w:val="20"/>
                      <w:szCs w:val="20"/>
                    </w:rPr>
                    <w:t>　</w:t>
                  </w:r>
                </w:p>
              </w:tc>
              <w:tc>
                <w:tcPr>
                  <w:tcW w:w="623" w:type="dxa"/>
                  <w:tcBorders>
                    <w:top w:val="nil"/>
                    <w:left w:val="single" w:color="auto" w:sz="4" w:space="0"/>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c>
                <w:tcPr>
                  <w:tcW w:w="641" w:type="dxa"/>
                  <w:tcBorders>
                    <w:top w:val="nil"/>
                    <w:left w:val="nil"/>
                    <w:bottom w:val="single" w:color="auto" w:sz="4" w:space="0"/>
                    <w:right w:val="single" w:color="auto" w:sz="4" w:space="0"/>
                  </w:tcBorders>
                  <w:vAlign w:val="center"/>
                </w:tcPr>
                <w:p>
                  <w:pPr>
                    <w:rPr>
                      <w:rFonts w:ascii="宋体" w:hAnsi="宋体" w:cs="宋体"/>
                      <w:sz w:val="20"/>
                      <w:szCs w:val="20"/>
                    </w:rPr>
                  </w:pPr>
                  <w:r>
                    <w:rPr>
                      <w:rFonts w:hint="eastAsia"/>
                      <w:sz w:val="20"/>
                      <w:szCs w:val="20"/>
                    </w:rPr>
                    <w:t>　</w:t>
                  </w:r>
                </w:p>
              </w:tc>
            </w:tr>
          </w:tbl>
          <w:p/>
          <w:p>
            <w:pPr>
              <w:spacing w:line="600" w:lineRule="exact"/>
              <w:jc w:val="center"/>
              <w:rPr>
                <w:rFonts w:ascii="宋体" w:hAnsi="宋体" w:cs="宋体"/>
                <w:b/>
                <w:bCs/>
                <w:sz w:val="32"/>
                <w:szCs w:val="32"/>
              </w:rPr>
            </w:pPr>
          </w:p>
        </w:tc>
      </w:tr>
    </w:tbl>
    <w:p>
      <w:pPr>
        <w:adjustRightInd w:val="0"/>
        <w:snapToGrid w:val="0"/>
        <w:spacing w:line="600" w:lineRule="exact"/>
        <w:ind w:firstLine="643" w:firstLineChars="200"/>
        <w:rPr>
          <w:rFonts w:ascii="仿宋_GB2312" w:hAnsi="楷体" w:eastAsia="仿宋_GB2312"/>
          <w:b/>
          <w:sz w:val="32"/>
          <w:szCs w:val="32"/>
        </w:rPr>
      </w:pPr>
      <w:r>
        <w:rPr>
          <w:rFonts w:hint="eastAsia" w:ascii="仿宋_GB2312" w:hAnsi="楷体" w:eastAsia="仿宋_GB2312"/>
          <w:b/>
          <w:sz w:val="32"/>
          <w:szCs w:val="32"/>
        </w:rPr>
        <w:t>（二）机关运行经费。</w:t>
      </w:r>
    </w:p>
    <w:p>
      <w:pPr>
        <w:pStyle w:val="6"/>
        <w:adjustRightInd w:val="0"/>
        <w:snapToGrid w:val="0"/>
        <w:spacing w:before="0" w:beforeAutospacing="0" w:after="0" w:afterAutospacing="0" w:line="600" w:lineRule="exact"/>
        <w:ind w:firstLine="627" w:firstLineChars="196"/>
        <w:rPr>
          <w:rFonts w:asciiTheme="minorEastAsia" w:hAnsiTheme="minorEastAsia" w:eastAsiaTheme="minorEastAsia"/>
          <w:color w:val="000000"/>
          <w:sz w:val="32"/>
          <w:szCs w:val="32"/>
        </w:rPr>
      </w:pPr>
      <w:r>
        <w:rPr>
          <w:rFonts w:hint="eastAsia" w:asciiTheme="minorEastAsia" w:hAnsiTheme="minorEastAsia" w:eastAsiaTheme="minorEastAsia"/>
          <w:sz w:val="32"/>
          <w:szCs w:val="32"/>
        </w:rPr>
        <w:t>寿县县委宣传部2022年机关运行经费财政拨款预算356.86万元，比2021年预算减少1.66万元，下降0.64%，下降的</w:t>
      </w:r>
      <w:r>
        <w:rPr>
          <w:rFonts w:hint="eastAsia" w:cs="Times New Roman" w:asciiTheme="minorEastAsia" w:hAnsiTheme="minorEastAsia" w:eastAsiaTheme="minorEastAsia"/>
          <w:kern w:val="2"/>
          <w:sz w:val="32"/>
          <w:szCs w:val="32"/>
        </w:rPr>
        <w:t>主要原因是人员退休、调出，公用经费减少。</w:t>
      </w:r>
    </w:p>
    <w:p>
      <w:pPr>
        <w:adjustRightInd w:val="0"/>
        <w:snapToGrid w:val="0"/>
        <w:spacing w:line="600" w:lineRule="exact"/>
        <w:ind w:firstLine="643" w:firstLineChars="200"/>
        <w:rPr>
          <w:rFonts w:ascii="仿宋_GB2312" w:hAnsi="楷体" w:eastAsia="仿宋_GB2312"/>
          <w:b/>
          <w:sz w:val="32"/>
          <w:szCs w:val="32"/>
        </w:rPr>
      </w:pPr>
      <w:r>
        <w:rPr>
          <w:rFonts w:hint="eastAsia" w:ascii="仿宋_GB2312" w:hAnsi="楷体" w:eastAsia="仿宋_GB2312"/>
          <w:b/>
          <w:sz w:val="32"/>
          <w:szCs w:val="32"/>
        </w:rPr>
        <w:t>（三）政府采购情况。</w:t>
      </w:r>
    </w:p>
    <w:p>
      <w:pPr>
        <w:pStyle w:val="6"/>
        <w:adjustRightInd w:val="0"/>
        <w:snapToGrid w:val="0"/>
        <w:spacing w:before="0" w:beforeAutospacing="0" w:after="0" w:afterAutospacing="0" w:line="600" w:lineRule="exact"/>
        <w:ind w:firstLine="640" w:firstLineChars="200"/>
        <w:outlineLvl w:val="0"/>
        <w:rPr>
          <w:rFonts w:asciiTheme="minorEastAsia" w:hAnsiTheme="minorEastAsia" w:eastAsiaTheme="minorEastAsia"/>
          <w:sz w:val="32"/>
          <w:szCs w:val="32"/>
        </w:rPr>
      </w:pPr>
      <w:r>
        <w:rPr>
          <w:rFonts w:hint="eastAsia" w:asciiTheme="minorEastAsia" w:hAnsiTheme="minorEastAsia" w:eastAsiaTheme="minorEastAsia"/>
          <w:sz w:val="32"/>
          <w:szCs w:val="32"/>
        </w:rPr>
        <w:t>寿县县委宣传部2022年预算没有安排政府采购支出。</w:t>
      </w:r>
    </w:p>
    <w:p>
      <w:pPr>
        <w:adjustRightInd w:val="0"/>
        <w:snapToGrid w:val="0"/>
        <w:spacing w:line="600" w:lineRule="exact"/>
        <w:ind w:firstLine="643" w:firstLineChars="200"/>
        <w:rPr>
          <w:rFonts w:ascii="仿宋_GB2312" w:hAnsi="楷体" w:eastAsia="仿宋_GB2312"/>
          <w:b/>
          <w:sz w:val="32"/>
          <w:szCs w:val="32"/>
        </w:rPr>
      </w:pPr>
      <w:r>
        <w:rPr>
          <w:rFonts w:hint="eastAsia" w:ascii="仿宋_GB2312" w:hAnsi="楷体" w:eastAsia="仿宋_GB2312"/>
          <w:b/>
          <w:sz w:val="32"/>
          <w:szCs w:val="32"/>
        </w:rPr>
        <w:t>（四）国有资产占有使用情况。</w:t>
      </w:r>
    </w:p>
    <w:p>
      <w:pPr>
        <w:adjustRightInd w:val="0"/>
        <w:snapToGrid w:val="0"/>
        <w:spacing w:line="600" w:lineRule="exact"/>
        <w:ind w:firstLine="640" w:firstLineChars="200"/>
        <w:rPr>
          <w:rFonts w:asciiTheme="minorEastAsia" w:hAnsiTheme="minorEastAsia" w:eastAsiaTheme="minorEastAsia"/>
          <w:color w:val="3366FF"/>
          <w:sz w:val="32"/>
          <w:szCs w:val="32"/>
        </w:rPr>
      </w:pPr>
      <w:r>
        <w:rPr>
          <w:rFonts w:hint="eastAsia" w:asciiTheme="minorEastAsia" w:hAnsiTheme="minorEastAsia" w:eastAsiaTheme="minorEastAsia"/>
          <w:sz w:val="32"/>
          <w:szCs w:val="32"/>
        </w:rPr>
        <w:t>截至2021年12月31日，</w:t>
      </w:r>
      <w:r>
        <w:rPr>
          <w:rFonts w:hint="eastAsia" w:cs="宋体" w:asciiTheme="minorEastAsia" w:hAnsiTheme="minorEastAsia" w:eastAsiaTheme="minorEastAsia"/>
          <w:kern w:val="0"/>
          <w:sz w:val="32"/>
          <w:szCs w:val="32"/>
        </w:rPr>
        <w:t>寿县县委宣传部</w:t>
      </w:r>
      <w:r>
        <w:rPr>
          <w:rFonts w:hint="eastAsia" w:asciiTheme="minorEastAsia" w:hAnsiTheme="minorEastAsia" w:eastAsiaTheme="minorEastAsia"/>
          <w:sz w:val="32"/>
          <w:szCs w:val="32"/>
        </w:rPr>
        <w:t>共有车辆0辆；单位价值50万元以上的通用设备0台（套）；单位价值100万元以上的专用设备0台（套）。</w:t>
      </w:r>
    </w:p>
    <w:p>
      <w:pPr>
        <w:adjustRightInd w:val="0"/>
        <w:snapToGrid w:val="0"/>
        <w:spacing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2022年部门预算安排购置公务用车0辆，购置费0万元；安排购置单位价值50万元以上的通用设备0台（套），购置费0万元；安排购置单位价值100万元以上专用设备0台（套），购置费0万元。</w:t>
      </w:r>
    </w:p>
    <w:p>
      <w:pPr>
        <w:adjustRightInd w:val="0"/>
        <w:snapToGrid w:val="0"/>
        <w:spacing w:line="600" w:lineRule="exact"/>
        <w:ind w:firstLine="643" w:firstLineChars="200"/>
        <w:rPr>
          <w:rFonts w:ascii="仿宋_GB2312" w:hAnsi="楷体" w:eastAsia="仿宋_GB2312"/>
          <w:b/>
          <w:sz w:val="32"/>
          <w:szCs w:val="32"/>
        </w:rPr>
      </w:pPr>
      <w:r>
        <w:rPr>
          <w:rFonts w:hint="eastAsia" w:ascii="仿宋_GB2312" w:hAnsi="楷体" w:eastAsia="仿宋_GB2312"/>
          <w:b/>
          <w:sz w:val="32"/>
          <w:szCs w:val="32"/>
        </w:rPr>
        <w:t>（五）绩效目标设置情况。</w:t>
      </w:r>
    </w:p>
    <w:p>
      <w:pPr>
        <w:adjustRightInd w:val="0"/>
        <w:snapToGrid w:val="0"/>
        <w:spacing w:line="600" w:lineRule="exact"/>
        <w:ind w:firstLine="640" w:firstLineChars="200"/>
        <w:outlineLvl w:val="0"/>
        <w:rPr>
          <w:rFonts w:asciiTheme="minorEastAsia" w:hAnsiTheme="minorEastAsia" w:eastAsiaTheme="minorEastAsia"/>
          <w:sz w:val="32"/>
          <w:szCs w:val="32"/>
        </w:rPr>
      </w:pPr>
      <w:r>
        <w:rPr>
          <w:rFonts w:hint="eastAsia" w:asciiTheme="minorEastAsia" w:hAnsiTheme="minorEastAsia" w:eastAsiaTheme="minorEastAsia"/>
          <w:sz w:val="32"/>
          <w:szCs w:val="32"/>
        </w:rPr>
        <w:t>2022年，</w:t>
      </w:r>
      <w:r>
        <w:rPr>
          <w:rFonts w:hint="eastAsia" w:cs="宋体" w:asciiTheme="minorEastAsia" w:hAnsiTheme="minorEastAsia" w:eastAsiaTheme="minorEastAsia"/>
          <w:kern w:val="0"/>
          <w:sz w:val="32"/>
          <w:szCs w:val="32"/>
        </w:rPr>
        <w:t>寿县县委宣传部</w:t>
      </w:r>
      <w:r>
        <w:rPr>
          <w:rFonts w:hint="eastAsia" w:asciiTheme="minorEastAsia" w:hAnsiTheme="minorEastAsia" w:eastAsiaTheme="minorEastAsia"/>
          <w:sz w:val="32"/>
          <w:szCs w:val="32"/>
        </w:rPr>
        <w:t>2个项目实行了绩效目标管理，涉及一般公共预算当年财政拨款332.5万元。</w:t>
      </w:r>
    </w:p>
    <w:p>
      <w:pPr>
        <w:adjustRightInd w:val="0"/>
        <w:snapToGrid w:val="0"/>
        <w:spacing w:line="600" w:lineRule="exact"/>
        <w:ind w:firstLine="640" w:firstLineChars="200"/>
        <w:outlineLvl w:val="0"/>
        <w:rPr>
          <w:rFonts w:asciiTheme="minorEastAsia" w:hAnsiTheme="minorEastAsia" w:eastAsiaTheme="minorEastAsia"/>
          <w:sz w:val="32"/>
          <w:szCs w:val="32"/>
        </w:rPr>
      </w:pPr>
    </w:p>
    <w:p>
      <w:pPr>
        <w:adjustRightInd w:val="0"/>
        <w:snapToGrid w:val="0"/>
        <w:spacing w:line="600" w:lineRule="exact"/>
        <w:jc w:val="center"/>
        <w:rPr>
          <w:rFonts w:ascii="方正小标宋简体" w:hAnsi="方正小标宋简体" w:eastAsia="方正小标宋简体" w:cs="宋体"/>
          <w:sz w:val="44"/>
          <w:szCs w:val="44"/>
        </w:rPr>
      </w:pPr>
      <w:r>
        <w:rPr>
          <w:rFonts w:hint="eastAsia" w:ascii="方正小标宋简体" w:hAnsi="方正小标宋简体" w:eastAsia="方正小标宋简体" w:cs="宋体"/>
          <w:sz w:val="44"/>
          <w:szCs w:val="44"/>
        </w:rPr>
        <w:t>第四部分 名词解释</w:t>
      </w:r>
    </w:p>
    <w:p>
      <w:pPr>
        <w:adjustRightInd w:val="0"/>
        <w:snapToGrid w:val="0"/>
        <w:spacing w:line="600" w:lineRule="exact"/>
        <w:jc w:val="center"/>
        <w:rPr>
          <w:rFonts w:ascii="方正小标宋简体" w:hAnsi="方正小标宋简体" w:eastAsia="方正小标宋简体" w:cs="宋体"/>
          <w:sz w:val="44"/>
          <w:szCs w:val="44"/>
        </w:rPr>
      </w:pPr>
    </w:p>
    <w:p>
      <w:pPr>
        <w:adjustRightInd w:val="0"/>
        <w:snapToGrid w:val="0"/>
        <w:spacing w:line="600" w:lineRule="exact"/>
        <w:ind w:firstLine="640" w:firstLineChars="200"/>
        <w:rPr>
          <w:rFonts w:asciiTheme="minorEastAsia" w:hAnsiTheme="minorEastAsia" w:eastAsiaTheme="minorEastAsia"/>
          <w:sz w:val="32"/>
          <w:szCs w:val="32"/>
        </w:rPr>
      </w:pPr>
      <w:r>
        <w:rPr>
          <w:rFonts w:hint="eastAsia" w:ascii="黑体" w:hAnsi="仿宋" w:eastAsia="黑体"/>
          <w:sz w:val="32"/>
          <w:szCs w:val="32"/>
        </w:rPr>
        <w:t>一、财政拨款收入</w:t>
      </w:r>
      <w:r>
        <w:rPr>
          <w:rFonts w:hint="eastAsia" w:ascii="仿宋_GB2312" w:hAnsi="仿宋" w:eastAsia="仿宋_GB2312"/>
          <w:b/>
          <w:sz w:val="32"/>
          <w:szCs w:val="32"/>
        </w:rPr>
        <w:t>：</w:t>
      </w:r>
      <w:r>
        <w:rPr>
          <w:rFonts w:hint="eastAsia" w:asciiTheme="minorEastAsia" w:hAnsiTheme="minorEastAsia" w:eastAsiaTheme="minorEastAsia"/>
          <w:sz w:val="32"/>
          <w:szCs w:val="32"/>
        </w:rPr>
        <w:t>指部门或单位从同级财政部门取得的财政预算资金。</w:t>
      </w:r>
    </w:p>
    <w:p>
      <w:pPr>
        <w:pStyle w:val="6"/>
        <w:adjustRightInd w:val="0"/>
        <w:snapToGrid w:val="0"/>
        <w:spacing w:line="600" w:lineRule="exact"/>
        <w:ind w:firstLine="627" w:firstLineChars="196"/>
        <w:rPr>
          <w:rFonts w:asciiTheme="minorEastAsia" w:hAnsiTheme="minorEastAsia" w:eastAsiaTheme="minorEastAsia"/>
          <w:sz w:val="32"/>
          <w:szCs w:val="32"/>
        </w:rPr>
      </w:pPr>
      <w:r>
        <w:rPr>
          <w:rFonts w:hint="eastAsia" w:ascii="黑体" w:hAnsi="仿宋" w:eastAsia="黑体" w:cs="Times New Roman"/>
          <w:kern w:val="2"/>
          <w:sz w:val="32"/>
          <w:szCs w:val="32"/>
        </w:rPr>
        <w:t>二、事业收入：</w:t>
      </w:r>
      <w:r>
        <w:rPr>
          <w:rFonts w:hint="eastAsia" w:cs="Times New Roman" w:asciiTheme="minorEastAsia" w:hAnsiTheme="minorEastAsia" w:eastAsiaTheme="minorEastAsia"/>
          <w:kern w:val="2"/>
          <w:sz w:val="32"/>
          <w:szCs w:val="32"/>
        </w:rPr>
        <w:t>指事业单位开展专业业务活动及辅助活动所取得的收入。</w:t>
      </w:r>
    </w:p>
    <w:p>
      <w:pPr>
        <w:pStyle w:val="6"/>
        <w:adjustRightInd w:val="0"/>
        <w:snapToGrid w:val="0"/>
        <w:spacing w:before="0" w:beforeAutospacing="0" w:after="0" w:afterAutospacing="0" w:line="600" w:lineRule="exact"/>
        <w:ind w:firstLine="627" w:firstLineChars="196"/>
        <w:rPr>
          <w:rFonts w:cs="Times New Roman" w:asciiTheme="minorEastAsia" w:hAnsiTheme="minorEastAsia" w:eastAsiaTheme="minorEastAsia"/>
          <w:kern w:val="2"/>
          <w:sz w:val="32"/>
          <w:szCs w:val="32"/>
        </w:rPr>
      </w:pPr>
      <w:r>
        <w:rPr>
          <w:rFonts w:hint="eastAsia" w:ascii="黑体" w:hAnsi="黑体" w:eastAsia="黑体"/>
          <w:sz w:val="32"/>
          <w:szCs w:val="32"/>
        </w:rPr>
        <w:t>三、财政专户管理资金：</w:t>
      </w:r>
      <w:r>
        <w:rPr>
          <w:rFonts w:hint="eastAsia" w:cs="Times New Roman" w:asciiTheme="minorEastAsia" w:hAnsiTheme="minorEastAsia" w:eastAsiaTheme="minorEastAsia"/>
          <w:kern w:val="2"/>
          <w:sz w:val="32"/>
          <w:szCs w:val="32"/>
        </w:rPr>
        <w:t>指按照非税收入管理相关规定，纳入财政专户管理的教育收费等。</w:t>
      </w:r>
    </w:p>
    <w:p>
      <w:pPr>
        <w:pStyle w:val="6"/>
        <w:adjustRightInd w:val="0"/>
        <w:snapToGrid w:val="0"/>
        <w:spacing w:line="600" w:lineRule="exact"/>
        <w:ind w:firstLine="627" w:firstLineChars="196"/>
        <w:rPr>
          <w:rFonts w:cs="Times New Roman" w:asciiTheme="minorEastAsia" w:hAnsiTheme="minorEastAsia" w:eastAsiaTheme="minorEastAsia"/>
          <w:kern w:val="2"/>
          <w:sz w:val="32"/>
          <w:szCs w:val="32"/>
        </w:rPr>
      </w:pPr>
      <w:r>
        <w:rPr>
          <w:rFonts w:hint="eastAsia" w:ascii="黑体" w:hAnsi="黑体" w:eastAsia="黑体"/>
          <w:sz w:val="32"/>
          <w:szCs w:val="32"/>
        </w:rPr>
        <w:t>四、事业单位经营收入：</w:t>
      </w:r>
      <w:r>
        <w:rPr>
          <w:rFonts w:hint="eastAsia" w:cs="Times New Roman" w:asciiTheme="minorEastAsia" w:hAnsiTheme="minorEastAsia" w:eastAsiaTheme="minorEastAsia"/>
          <w:kern w:val="2"/>
          <w:sz w:val="32"/>
          <w:szCs w:val="32"/>
        </w:rPr>
        <w:t>指事业单位在专业业务活动及其辅助活动之外开展非独立核算经营活动取得的收入。</w:t>
      </w:r>
    </w:p>
    <w:p>
      <w:pPr>
        <w:pStyle w:val="6"/>
        <w:adjustRightInd w:val="0"/>
        <w:snapToGrid w:val="0"/>
        <w:spacing w:line="600" w:lineRule="exact"/>
        <w:ind w:firstLine="627" w:firstLineChars="196"/>
        <w:rPr>
          <w:rFonts w:cs="Times New Roman" w:asciiTheme="minorEastAsia" w:hAnsiTheme="minorEastAsia" w:eastAsiaTheme="minorEastAsia"/>
          <w:kern w:val="2"/>
          <w:sz w:val="32"/>
          <w:szCs w:val="32"/>
        </w:rPr>
      </w:pPr>
      <w:r>
        <w:rPr>
          <w:rFonts w:hint="eastAsia" w:ascii="黑体" w:hAnsi="黑体" w:eastAsia="黑体"/>
          <w:sz w:val="32"/>
          <w:szCs w:val="32"/>
        </w:rPr>
        <w:t>五、附属单位上缴收入：</w:t>
      </w:r>
      <w:r>
        <w:rPr>
          <w:rFonts w:hint="eastAsia" w:cs="Times New Roman" w:asciiTheme="minorEastAsia" w:hAnsiTheme="minorEastAsia" w:eastAsiaTheme="minorEastAsia"/>
          <w:kern w:val="2"/>
          <w:sz w:val="32"/>
          <w:szCs w:val="32"/>
        </w:rPr>
        <w:t>本单位所属下级单位上缴给本单位的全部收入。</w:t>
      </w:r>
    </w:p>
    <w:p>
      <w:pPr>
        <w:pStyle w:val="6"/>
        <w:adjustRightInd w:val="0"/>
        <w:snapToGrid w:val="0"/>
        <w:spacing w:before="0" w:beforeAutospacing="0" w:after="0" w:afterAutospacing="0" w:line="600" w:lineRule="exact"/>
        <w:ind w:firstLine="627" w:firstLineChars="196"/>
        <w:rPr>
          <w:rFonts w:cs="Times New Roman" w:asciiTheme="minorEastAsia" w:hAnsiTheme="minorEastAsia" w:eastAsiaTheme="minorEastAsia"/>
          <w:kern w:val="2"/>
          <w:sz w:val="32"/>
          <w:szCs w:val="32"/>
        </w:rPr>
      </w:pPr>
      <w:r>
        <w:rPr>
          <w:rFonts w:hint="eastAsia" w:ascii="黑体" w:hAnsi="黑体" w:eastAsia="黑体"/>
          <w:sz w:val="32"/>
          <w:szCs w:val="32"/>
        </w:rPr>
        <w:t>六、上年结转：</w:t>
      </w:r>
      <w:r>
        <w:rPr>
          <w:rFonts w:hint="eastAsia" w:cs="Times New Roman" w:asciiTheme="minorEastAsia" w:hAnsiTheme="minorEastAsia" w:eastAsiaTheme="minorEastAsia"/>
          <w:kern w:val="2"/>
          <w:sz w:val="32"/>
          <w:szCs w:val="32"/>
        </w:rPr>
        <w:t>指以前年度安排、结转到本年仍按原用途继续使用的资金。</w:t>
      </w:r>
    </w:p>
    <w:p>
      <w:pPr>
        <w:pStyle w:val="6"/>
        <w:adjustRightInd w:val="0"/>
        <w:snapToGrid w:val="0"/>
        <w:spacing w:before="0" w:beforeAutospacing="0" w:after="0" w:afterAutospacing="0" w:line="600" w:lineRule="exact"/>
        <w:ind w:firstLine="627" w:firstLineChars="196"/>
        <w:rPr>
          <w:rFonts w:cs="Times New Roman" w:asciiTheme="minorEastAsia" w:hAnsiTheme="minorEastAsia" w:eastAsiaTheme="minorEastAsia"/>
          <w:kern w:val="2"/>
          <w:sz w:val="32"/>
          <w:szCs w:val="32"/>
        </w:rPr>
      </w:pPr>
      <w:r>
        <w:rPr>
          <w:rFonts w:hint="eastAsia" w:ascii="黑体" w:hAnsi="黑体" w:eastAsia="黑体"/>
          <w:sz w:val="32"/>
          <w:szCs w:val="32"/>
        </w:rPr>
        <w:t>七、结转下年：</w:t>
      </w:r>
      <w:r>
        <w:rPr>
          <w:rFonts w:hint="eastAsia" w:cs="Times New Roman" w:asciiTheme="minorEastAsia" w:hAnsiTheme="minorEastAsia" w:eastAsiaTheme="minorEastAsia"/>
          <w:kern w:val="2"/>
          <w:sz w:val="32"/>
          <w:szCs w:val="32"/>
        </w:rPr>
        <w:t>指以前年度预算安排、因客观条件发生变化无法按原计划实施，需以后年度按原用途继续使用的资金。</w:t>
      </w:r>
    </w:p>
    <w:p>
      <w:pPr>
        <w:pStyle w:val="6"/>
        <w:adjustRightInd w:val="0"/>
        <w:snapToGrid w:val="0"/>
        <w:spacing w:before="0" w:beforeAutospacing="0" w:after="0" w:afterAutospacing="0" w:line="600" w:lineRule="exact"/>
        <w:ind w:firstLine="627" w:firstLineChars="196"/>
        <w:rPr>
          <w:rFonts w:asciiTheme="minorEastAsia" w:hAnsiTheme="minorEastAsia" w:eastAsiaTheme="minorEastAsia"/>
          <w:sz w:val="32"/>
          <w:szCs w:val="32"/>
        </w:rPr>
      </w:pPr>
      <w:r>
        <w:rPr>
          <w:rFonts w:hint="eastAsia" w:ascii="黑体" w:hAnsi="黑体" w:eastAsia="黑体"/>
          <w:sz w:val="32"/>
          <w:szCs w:val="32"/>
        </w:rPr>
        <w:t>八、基本支出</w:t>
      </w:r>
      <w:r>
        <w:rPr>
          <w:rFonts w:hint="eastAsia" w:ascii="仿宋_GB2312" w:hAnsi="黑体" w:eastAsia="仿宋_GB2312"/>
          <w:b/>
          <w:sz w:val="32"/>
          <w:szCs w:val="32"/>
        </w:rPr>
        <w:t>：</w:t>
      </w:r>
      <w:r>
        <w:rPr>
          <w:rFonts w:hint="eastAsia" w:asciiTheme="minorEastAsia" w:hAnsiTheme="minorEastAsia" w:eastAsiaTheme="minorEastAsia"/>
          <w:sz w:val="32"/>
          <w:szCs w:val="32"/>
        </w:rPr>
        <w:t>指为保障机构正常运转、完成日常工作任务而发生的人员支出和公用支出。</w:t>
      </w:r>
    </w:p>
    <w:p>
      <w:pPr>
        <w:pStyle w:val="6"/>
        <w:spacing w:before="0" w:beforeAutospacing="0" w:after="0" w:afterAutospacing="0" w:line="600" w:lineRule="exact"/>
        <w:ind w:firstLine="627" w:firstLineChars="196"/>
        <w:jc w:val="both"/>
        <w:rPr>
          <w:rFonts w:asciiTheme="minorEastAsia" w:hAnsiTheme="minorEastAsia" w:eastAsiaTheme="minorEastAsia"/>
          <w:sz w:val="32"/>
          <w:szCs w:val="32"/>
        </w:rPr>
      </w:pPr>
      <w:r>
        <w:rPr>
          <w:rFonts w:hint="eastAsia" w:ascii="黑体" w:hAnsi="黑体" w:eastAsia="黑体"/>
          <w:sz w:val="32"/>
          <w:szCs w:val="32"/>
        </w:rPr>
        <w:t>九、项目支出</w:t>
      </w:r>
      <w:r>
        <w:rPr>
          <w:rFonts w:hint="eastAsia" w:ascii="仿宋_GB2312" w:hAnsi="黑体" w:eastAsia="仿宋_GB2312"/>
          <w:b/>
          <w:sz w:val="32"/>
          <w:szCs w:val="32"/>
        </w:rPr>
        <w:t>：</w:t>
      </w:r>
      <w:r>
        <w:rPr>
          <w:rFonts w:hint="eastAsia" w:asciiTheme="minorEastAsia" w:hAnsiTheme="minorEastAsia" w:eastAsiaTheme="minorEastAsia"/>
          <w:sz w:val="32"/>
          <w:szCs w:val="32"/>
        </w:rPr>
        <w:t>指在除基本支出之外的支出，主要用于完成特定的工作任务和事业发展目标。</w:t>
      </w:r>
      <w:r>
        <w:rPr>
          <w:rFonts w:asciiTheme="minorEastAsia" w:hAnsiTheme="minorEastAsia" w:eastAsiaTheme="minorEastAsia"/>
          <w:sz w:val="32"/>
          <w:szCs w:val="32"/>
        </w:rPr>
        <w:br w:type="textWrapping"/>
      </w:r>
      <w:r>
        <w:rPr>
          <w:rFonts w:hint="eastAsia" w:ascii="仿宋_GB2312" w:hAnsi="黑体" w:eastAsia="仿宋_GB2312"/>
          <w:sz w:val="32"/>
          <w:szCs w:val="32"/>
        </w:rPr>
        <w:t xml:space="preserve">   </w:t>
      </w:r>
      <w:r>
        <w:rPr>
          <w:rFonts w:hint="eastAsia" w:ascii="黑体" w:hAnsi="黑体" w:eastAsia="黑体"/>
          <w:sz w:val="32"/>
          <w:szCs w:val="32"/>
        </w:rPr>
        <w:t xml:space="preserve"> 十、机关运行经费:</w:t>
      </w:r>
      <w:r>
        <w:rPr>
          <w:rFonts w:hint="eastAsia" w:asciiTheme="minorEastAsia" w:hAnsiTheme="minorEastAsia" w:eastAsiaTheme="minorEastAsia"/>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sectPr>
      <w:footerReference r:id="rId4" w:type="default"/>
      <w:pgSz w:w="11906" w:h="16838"/>
      <w:pgMar w:top="1134" w:right="1077" w:bottom="1134"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fldChar w:fldCharType="begin"/>
    </w:r>
    <w:r>
      <w:instrText xml:space="preserve"> PAGE   \* MERGEFORMAT </w:instrText>
    </w:r>
    <w:r>
      <w:fldChar w:fldCharType="separate"/>
    </w:r>
    <w:r>
      <w:rPr>
        <w:lang w:val="zh-CN"/>
      </w:rPr>
      <w:t>15</w:t>
    </w:r>
    <w:r>
      <w:rPr>
        <w:lang w:val="zh-CN"/>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22</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4EF3"/>
    <w:rsid w:val="00001C4D"/>
    <w:rsid w:val="00003A55"/>
    <w:rsid w:val="00004F0D"/>
    <w:rsid w:val="0000665B"/>
    <w:rsid w:val="00010F1F"/>
    <w:rsid w:val="0001185F"/>
    <w:rsid w:val="00011A3F"/>
    <w:rsid w:val="00011FD3"/>
    <w:rsid w:val="00020DE5"/>
    <w:rsid w:val="0002245A"/>
    <w:rsid w:val="000235D0"/>
    <w:rsid w:val="0002496B"/>
    <w:rsid w:val="000378DE"/>
    <w:rsid w:val="0004172E"/>
    <w:rsid w:val="00041A3C"/>
    <w:rsid w:val="00044AF5"/>
    <w:rsid w:val="0004504D"/>
    <w:rsid w:val="00046C78"/>
    <w:rsid w:val="0005172D"/>
    <w:rsid w:val="00054C28"/>
    <w:rsid w:val="000612EA"/>
    <w:rsid w:val="00062F83"/>
    <w:rsid w:val="00066783"/>
    <w:rsid w:val="00066E8F"/>
    <w:rsid w:val="0007222A"/>
    <w:rsid w:val="00074058"/>
    <w:rsid w:val="000767EB"/>
    <w:rsid w:val="00076D39"/>
    <w:rsid w:val="00080FA1"/>
    <w:rsid w:val="00086201"/>
    <w:rsid w:val="000876F2"/>
    <w:rsid w:val="000900BD"/>
    <w:rsid w:val="00091AAC"/>
    <w:rsid w:val="000922BD"/>
    <w:rsid w:val="000A2776"/>
    <w:rsid w:val="000A2B6B"/>
    <w:rsid w:val="000A3109"/>
    <w:rsid w:val="000A440A"/>
    <w:rsid w:val="000A494F"/>
    <w:rsid w:val="000A5B80"/>
    <w:rsid w:val="000A7793"/>
    <w:rsid w:val="000B102E"/>
    <w:rsid w:val="000B7C34"/>
    <w:rsid w:val="000C6AF4"/>
    <w:rsid w:val="000C751B"/>
    <w:rsid w:val="000D0688"/>
    <w:rsid w:val="000D56C5"/>
    <w:rsid w:val="000D58A5"/>
    <w:rsid w:val="000E208B"/>
    <w:rsid w:val="000E4F06"/>
    <w:rsid w:val="000F01D6"/>
    <w:rsid w:val="000F560D"/>
    <w:rsid w:val="000F591D"/>
    <w:rsid w:val="000F678E"/>
    <w:rsid w:val="001003FB"/>
    <w:rsid w:val="00101A9A"/>
    <w:rsid w:val="00102014"/>
    <w:rsid w:val="00103721"/>
    <w:rsid w:val="001055D0"/>
    <w:rsid w:val="001119B2"/>
    <w:rsid w:val="00112450"/>
    <w:rsid w:val="00112D2B"/>
    <w:rsid w:val="00116634"/>
    <w:rsid w:val="00120CF9"/>
    <w:rsid w:val="001278AA"/>
    <w:rsid w:val="00130820"/>
    <w:rsid w:val="00130975"/>
    <w:rsid w:val="00132B96"/>
    <w:rsid w:val="001403E5"/>
    <w:rsid w:val="001431FA"/>
    <w:rsid w:val="00144CED"/>
    <w:rsid w:val="00153162"/>
    <w:rsid w:val="00153F41"/>
    <w:rsid w:val="00154DD9"/>
    <w:rsid w:val="00154EB8"/>
    <w:rsid w:val="0015647F"/>
    <w:rsid w:val="001576E5"/>
    <w:rsid w:val="00165ECB"/>
    <w:rsid w:val="001748CD"/>
    <w:rsid w:val="0017717F"/>
    <w:rsid w:val="00177A02"/>
    <w:rsid w:val="001822C2"/>
    <w:rsid w:val="001852B4"/>
    <w:rsid w:val="00194180"/>
    <w:rsid w:val="00196579"/>
    <w:rsid w:val="001A022B"/>
    <w:rsid w:val="001A1297"/>
    <w:rsid w:val="001A252D"/>
    <w:rsid w:val="001B3434"/>
    <w:rsid w:val="001C0BD2"/>
    <w:rsid w:val="001C0F29"/>
    <w:rsid w:val="001C3708"/>
    <w:rsid w:val="001D029A"/>
    <w:rsid w:val="001D12BA"/>
    <w:rsid w:val="001D2191"/>
    <w:rsid w:val="001D513F"/>
    <w:rsid w:val="001D561C"/>
    <w:rsid w:val="001D7312"/>
    <w:rsid w:val="001D73EC"/>
    <w:rsid w:val="001E36E2"/>
    <w:rsid w:val="001E46D7"/>
    <w:rsid w:val="001E6ED2"/>
    <w:rsid w:val="001F0790"/>
    <w:rsid w:val="001F07F0"/>
    <w:rsid w:val="001F32D7"/>
    <w:rsid w:val="001F37B1"/>
    <w:rsid w:val="001F5422"/>
    <w:rsid w:val="0020030E"/>
    <w:rsid w:val="00201BB6"/>
    <w:rsid w:val="00204AF2"/>
    <w:rsid w:val="00204EFF"/>
    <w:rsid w:val="00206349"/>
    <w:rsid w:val="00210E2A"/>
    <w:rsid w:val="00212A5F"/>
    <w:rsid w:val="00212A7F"/>
    <w:rsid w:val="00213575"/>
    <w:rsid w:val="002161FA"/>
    <w:rsid w:val="00216582"/>
    <w:rsid w:val="00216F14"/>
    <w:rsid w:val="00223037"/>
    <w:rsid w:val="00223DD6"/>
    <w:rsid w:val="00232957"/>
    <w:rsid w:val="0023587C"/>
    <w:rsid w:val="00235E7C"/>
    <w:rsid w:val="00240354"/>
    <w:rsid w:val="00241D6B"/>
    <w:rsid w:val="0024228B"/>
    <w:rsid w:val="0024264B"/>
    <w:rsid w:val="00244ADF"/>
    <w:rsid w:val="00262483"/>
    <w:rsid w:val="00263FFD"/>
    <w:rsid w:val="00264952"/>
    <w:rsid w:val="00264F08"/>
    <w:rsid w:val="00265181"/>
    <w:rsid w:val="00266F6F"/>
    <w:rsid w:val="00271BD2"/>
    <w:rsid w:val="002731B1"/>
    <w:rsid w:val="00274682"/>
    <w:rsid w:val="00275175"/>
    <w:rsid w:val="00281B96"/>
    <w:rsid w:val="002822B7"/>
    <w:rsid w:val="002843F3"/>
    <w:rsid w:val="00284AD1"/>
    <w:rsid w:val="00284B1C"/>
    <w:rsid w:val="0028771E"/>
    <w:rsid w:val="002912FF"/>
    <w:rsid w:val="0029292C"/>
    <w:rsid w:val="002A0005"/>
    <w:rsid w:val="002A0119"/>
    <w:rsid w:val="002A15BD"/>
    <w:rsid w:val="002A201D"/>
    <w:rsid w:val="002A2BA9"/>
    <w:rsid w:val="002A4CEA"/>
    <w:rsid w:val="002A6E39"/>
    <w:rsid w:val="002B4F53"/>
    <w:rsid w:val="002B4FEF"/>
    <w:rsid w:val="002B568B"/>
    <w:rsid w:val="002C451D"/>
    <w:rsid w:val="002D1FE7"/>
    <w:rsid w:val="002D3774"/>
    <w:rsid w:val="002D38D8"/>
    <w:rsid w:val="002D3CBA"/>
    <w:rsid w:val="002D43CF"/>
    <w:rsid w:val="002D5BA6"/>
    <w:rsid w:val="002D7D3E"/>
    <w:rsid w:val="002E5F07"/>
    <w:rsid w:val="002E6EE7"/>
    <w:rsid w:val="002F50BC"/>
    <w:rsid w:val="002F6B5C"/>
    <w:rsid w:val="002F7DA1"/>
    <w:rsid w:val="00300844"/>
    <w:rsid w:val="00303152"/>
    <w:rsid w:val="00306434"/>
    <w:rsid w:val="00311280"/>
    <w:rsid w:val="00312897"/>
    <w:rsid w:val="00315AC7"/>
    <w:rsid w:val="003202A5"/>
    <w:rsid w:val="00322E4D"/>
    <w:rsid w:val="0033096E"/>
    <w:rsid w:val="00336AE6"/>
    <w:rsid w:val="0034241B"/>
    <w:rsid w:val="00344196"/>
    <w:rsid w:val="0034469C"/>
    <w:rsid w:val="0034526F"/>
    <w:rsid w:val="003479E4"/>
    <w:rsid w:val="003607C5"/>
    <w:rsid w:val="003613BE"/>
    <w:rsid w:val="00361D0B"/>
    <w:rsid w:val="00364339"/>
    <w:rsid w:val="00367518"/>
    <w:rsid w:val="003708B2"/>
    <w:rsid w:val="0037368D"/>
    <w:rsid w:val="00374A95"/>
    <w:rsid w:val="003764C5"/>
    <w:rsid w:val="00376B6E"/>
    <w:rsid w:val="003853BB"/>
    <w:rsid w:val="003872E9"/>
    <w:rsid w:val="00387A5C"/>
    <w:rsid w:val="00392333"/>
    <w:rsid w:val="00394026"/>
    <w:rsid w:val="00396026"/>
    <w:rsid w:val="00397065"/>
    <w:rsid w:val="003A1262"/>
    <w:rsid w:val="003A2273"/>
    <w:rsid w:val="003A3AB3"/>
    <w:rsid w:val="003B59A4"/>
    <w:rsid w:val="003B70C8"/>
    <w:rsid w:val="003B742B"/>
    <w:rsid w:val="003C052F"/>
    <w:rsid w:val="003C11AF"/>
    <w:rsid w:val="003C18FB"/>
    <w:rsid w:val="003C1D28"/>
    <w:rsid w:val="003C3C10"/>
    <w:rsid w:val="003C5996"/>
    <w:rsid w:val="003C60DA"/>
    <w:rsid w:val="003C69BD"/>
    <w:rsid w:val="003D1D2A"/>
    <w:rsid w:val="003D2A66"/>
    <w:rsid w:val="003D5C34"/>
    <w:rsid w:val="003D7E92"/>
    <w:rsid w:val="003E1239"/>
    <w:rsid w:val="003E20CD"/>
    <w:rsid w:val="003E43F8"/>
    <w:rsid w:val="003E4E65"/>
    <w:rsid w:val="003E6CE9"/>
    <w:rsid w:val="003F17B8"/>
    <w:rsid w:val="003F2586"/>
    <w:rsid w:val="003F369E"/>
    <w:rsid w:val="003F48A6"/>
    <w:rsid w:val="003F4E12"/>
    <w:rsid w:val="003F6420"/>
    <w:rsid w:val="003F736F"/>
    <w:rsid w:val="003F7A4E"/>
    <w:rsid w:val="003F7F66"/>
    <w:rsid w:val="0040046F"/>
    <w:rsid w:val="00405697"/>
    <w:rsid w:val="004074D7"/>
    <w:rsid w:val="00414C62"/>
    <w:rsid w:val="00416F0B"/>
    <w:rsid w:val="00417956"/>
    <w:rsid w:val="004205EB"/>
    <w:rsid w:val="00421510"/>
    <w:rsid w:val="00422A81"/>
    <w:rsid w:val="004271C2"/>
    <w:rsid w:val="00427398"/>
    <w:rsid w:val="0043251E"/>
    <w:rsid w:val="004348D5"/>
    <w:rsid w:val="00440A66"/>
    <w:rsid w:val="00443AD4"/>
    <w:rsid w:val="00446019"/>
    <w:rsid w:val="00456891"/>
    <w:rsid w:val="00457E1E"/>
    <w:rsid w:val="00464B12"/>
    <w:rsid w:val="00465648"/>
    <w:rsid w:val="00465890"/>
    <w:rsid w:val="00477601"/>
    <w:rsid w:val="00477896"/>
    <w:rsid w:val="00481181"/>
    <w:rsid w:val="0048209E"/>
    <w:rsid w:val="00486114"/>
    <w:rsid w:val="004869A4"/>
    <w:rsid w:val="0048782D"/>
    <w:rsid w:val="00492545"/>
    <w:rsid w:val="00492E81"/>
    <w:rsid w:val="004A17BF"/>
    <w:rsid w:val="004A34C0"/>
    <w:rsid w:val="004A4E47"/>
    <w:rsid w:val="004A63C3"/>
    <w:rsid w:val="004B18F7"/>
    <w:rsid w:val="004B45C1"/>
    <w:rsid w:val="004C2D13"/>
    <w:rsid w:val="004C39F8"/>
    <w:rsid w:val="004C6A0B"/>
    <w:rsid w:val="004D16C1"/>
    <w:rsid w:val="004D4377"/>
    <w:rsid w:val="004D5AFE"/>
    <w:rsid w:val="004E3769"/>
    <w:rsid w:val="004E5D79"/>
    <w:rsid w:val="004F07E0"/>
    <w:rsid w:val="004F0F7B"/>
    <w:rsid w:val="004F2B8B"/>
    <w:rsid w:val="004F6506"/>
    <w:rsid w:val="005035AE"/>
    <w:rsid w:val="00503C64"/>
    <w:rsid w:val="00505B42"/>
    <w:rsid w:val="005073A2"/>
    <w:rsid w:val="00511848"/>
    <w:rsid w:val="00513252"/>
    <w:rsid w:val="00515E34"/>
    <w:rsid w:val="00517A1B"/>
    <w:rsid w:val="0052036E"/>
    <w:rsid w:val="0052098F"/>
    <w:rsid w:val="00520F09"/>
    <w:rsid w:val="00527460"/>
    <w:rsid w:val="00530BC3"/>
    <w:rsid w:val="00532451"/>
    <w:rsid w:val="00536194"/>
    <w:rsid w:val="005375D0"/>
    <w:rsid w:val="005404B7"/>
    <w:rsid w:val="005422A6"/>
    <w:rsid w:val="00542C85"/>
    <w:rsid w:val="00543AF0"/>
    <w:rsid w:val="00545495"/>
    <w:rsid w:val="005560DF"/>
    <w:rsid w:val="005566B5"/>
    <w:rsid w:val="00556ACC"/>
    <w:rsid w:val="00556B3C"/>
    <w:rsid w:val="005672DB"/>
    <w:rsid w:val="00570085"/>
    <w:rsid w:val="005720A0"/>
    <w:rsid w:val="00573536"/>
    <w:rsid w:val="005738ED"/>
    <w:rsid w:val="005749F4"/>
    <w:rsid w:val="005851C2"/>
    <w:rsid w:val="00587B5C"/>
    <w:rsid w:val="0059103C"/>
    <w:rsid w:val="005A0A22"/>
    <w:rsid w:val="005B0E21"/>
    <w:rsid w:val="005B0ECF"/>
    <w:rsid w:val="005B11A4"/>
    <w:rsid w:val="005B4458"/>
    <w:rsid w:val="005B68B7"/>
    <w:rsid w:val="005C28DE"/>
    <w:rsid w:val="005C2D46"/>
    <w:rsid w:val="005C542F"/>
    <w:rsid w:val="005C66FF"/>
    <w:rsid w:val="005D141D"/>
    <w:rsid w:val="005D1F22"/>
    <w:rsid w:val="005D384F"/>
    <w:rsid w:val="005D617F"/>
    <w:rsid w:val="005D7F46"/>
    <w:rsid w:val="005E05AF"/>
    <w:rsid w:val="005E0697"/>
    <w:rsid w:val="005E089F"/>
    <w:rsid w:val="005E39D1"/>
    <w:rsid w:val="005F42CE"/>
    <w:rsid w:val="005F43C4"/>
    <w:rsid w:val="005F67C0"/>
    <w:rsid w:val="005F7E38"/>
    <w:rsid w:val="006056A7"/>
    <w:rsid w:val="00612140"/>
    <w:rsid w:val="00613EE8"/>
    <w:rsid w:val="00614EC4"/>
    <w:rsid w:val="00615C41"/>
    <w:rsid w:val="00616DE7"/>
    <w:rsid w:val="00620E62"/>
    <w:rsid w:val="00622F70"/>
    <w:rsid w:val="0062426F"/>
    <w:rsid w:val="006308F5"/>
    <w:rsid w:val="00631013"/>
    <w:rsid w:val="00633459"/>
    <w:rsid w:val="00634A98"/>
    <w:rsid w:val="006374E0"/>
    <w:rsid w:val="006376DB"/>
    <w:rsid w:val="0064263C"/>
    <w:rsid w:val="00645436"/>
    <w:rsid w:val="006456B8"/>
    <w:rsid w:val="0064594E"/>
    <w:rsid w:val="00654F07"/>
    <w:rsid w:val="00656BF5"/>
    <w:rsid w:val="00657A31"/>
    <w:rsid w:val="00660201"/>
    <w:rsid w:val="00664AC7"/>
    <w:rsid w:val="0066794A"/>
    <w:rsid w:val="00670DCE"/>
    <w:rsid w:val="00671243"/>
    <w:rsid w:val="00680702"/>
    <w:rsid w:val="0068587E"/>
    <w:rsid w:val="0068788C"/>
    <w:rsid w:val="00696430"/>
    <w:rsid w:val="006A0FCD"/>
    <w:rsid w:val="006A288D"/>
    <w:rsid w:val="006A49EE"/>
    <w:rsid w:val="006A54A2"/>
    <w:rsid w:val="006A59F4"/>
    <w:rsid w:val="006B04A0"/>
    <w:rsid w:val="006B309C"/>
    <w:rsid w:val="006B5BB8"/>
    <w:rsid w:val="006C0606"/>
    <w:rsid w:val="006C0D39"/>
    <w:rsid w:val="006C208D"/>
    <w:rsid w:val="006C5CA9"/>
    <w:rsid w:val="006C7CE6"/>
    <w:rsid w:val="006D7F79"/>
    <w:rsid w:val="006E2E5E"/>
    <w:rsid w:val="006F077B"/>
    <w:rsid w:val="006F5F84"/>
    <w:rsid w:val="007028CE"/>
    <w:rsid w:val="0070441A"/>
    <w:rsid w:val="00707041"/>
    <w:rsid w:val="00710708"/>
    <w:rsid w:val="00710E1F"/>
    <w:rsid w:val="007110A4"/>
    <w:rsid w:val="00714275"/>
    <w:rsid w:val="00715743"/>
    <w:rsid w:val="0071575A"/>
    <w:rsid w:val="00716783"/>
    <w:rsid w:val="007220E1"/>
    <w:rsid w:val="00722E4C"/>
    <w:rsid w:val="00727AAB"/>
    <w:rsid w:val="00732B18"/>
    <w:rsid w:val="0073588B"/>
    <w:rsid w:val="00735A73"/>
    <w:rsid w:val="007361AD"/>
    <w:rsid w:val="00740224"/>
    <w:rsid w:val="0074079B"/>
    <w:rsid w:val="00741687"/>
    <w:rsid w:val="0074378C"/>
    <w:rsid w:val="007456AE"/>
    <w:rsid w:val="0074635D"/>
    <w:rsid w:val="00746CE0"/>
    <w:rsid w:val="007507F4"/>
    <w:rsid w:val="00753AFD"/>
    <w:rsid w:val="00755B89"/>
    <w:rsid w:val="00755C84"/>
    <w:rsid w:val="00763351"/>
    <w:rsid w:val="00766EAD"/>
    <w:rsid w:val="007711B0"/>
    <w:rsid w:val="00771958"/>
    <w:rsid w:val="00776EE1"/>
    <w:rsid w:val="00787632"/>
    <w:rsid w:val="00795B9A"/>
    <w:rsid w:val="007A0D9E"/>
    <w:rsid w:val="007B1B53"/>
    <w:rsid w:val="007B2F62"/>
    <w:rsid w:val="007B3A89"/>
    <w:rsid w:val="007B71F4"/>
    <w:rsid w:val="007B76CC"/>
    <w:rsid w:val="007C06FB"/>
    <w:rsid w:val="007C24BB"/>
    <w:rsid w:val="007C719C"/>
    <w:rsid w:val="007E5802"/>
    <w:rsid w:val="007E78AE"/>
    <w:rsid w:val="007E795C"/>
    <w:rsid w:val="00802C2F"/>
    <w:rsid w:val="008274B3"/>
    <w:rsid w:val="008277DE"/>
    <w:rsid w:val="00831FAA"/>
    <w:rsid w:val="00837C89"/>
    <w:rsid w:val="0084029F"/>
    <w:rsid w:val="00842829"/>
    <w:rsid w:val="00845831"/>
    <w:rsid w:val="00850039"/>
    <w:rsid w:val="00850D77"/>
    <w:rsid w:val="008553E8"/>
    <w:rsid w:val="00855475"/>
    <w:rsid w:val="008619C0"/>
    <w:rsid w:val="00864A65"/>
    <w:rsid w:val="008653EE"/>
    <w:rsid w:val="008671E1"/>
    <w:rsid w:val="00870B98"/>
    <w:rsid w:val="00873BAD"/>
    <w:rsid w:val="00874923"/>
    <w:rsid w:val="00876DCB"/>
    <w:rsid w:val="00877781"/>
    <w:rsid w:val="00880749"/>
    <w:rsid w:val="0088165C"/>
    <w:rsid w:val="00883F24"/>
    <w:rsid w:val="00884EF3"/>
    <w:rsid w:val="00884F63"/>
    <w:rsid w:val="00887E4C"/>
    <w:rsid w:val="008938B9"/>
    <w:rsid w:val="008A35EB"/>
    <w:rsid w:val="008A5956"/>
    <w:rsid w:val="008B096B"/>
    <w:rsid w:val="008B0EC5"/>
    <w:rsid w:val="008B6CBB"/>
    <w:rsid w:val="008C4CF4"/>
    <w:rsid w:val="008C576D"/>
    <w:rsid w:val="008C7933"/>
    <w:rsid w:val="008D0B29"/>
    <w:rsid w:val="008D2E27"/>
    <w:rsid w:val="008D4556"/>
    <w:rsid w:val="008D7118"/>
    <w:rsid w:val="008E2EAA"/>
    <w:rsid w:val="008E3B53"/>
    <w:rsid w:val="008E6387"/>
    <w:rsid w:val="008F088B"/>
    <w:rsid w:val="008F1453"/>
    <w:rsid w:val="008F429C"/>
    <w:rsid w:val="008F430F"/>
    <w:rsid w:val="009004CD"/>
    <w:rsid w:val="009014F5"/>
    <w:rsid w:val="0090196E"/>
    <w:rsid w:val="00901EC3"/>
    <w:rsid w:val="0090208D"/>
    <w:rsid w:val="0091270C"/>
    <w:rsid w:val="00912832"/>
    <w:rsid w:val="00913636"/>
    <w:rsid w:val="0091481C"/>
    <w:rsid w:val="0091660C"/>
    <w:rsid w:val="0092492B"/>
    <w:rsid w:val="0092511F"/>
    <w:rsid w:val="0092634C"/>
    <w:rsid w:val="009340C8"/>
    <w:rsid w:val="0094235B"/>
    <w:rsid w:val="00946992"/>
    <w:rsid w:val="00952F19"/>
    <w:rsid w:val="009531FE"/>
    <w:rsid w:val="00954BA6"/>
    <w:rsid w:val="00956354"/>
    <w:rsid w:val="009636BD"/>
    <w:rsid w:val="00966E69"/>
    <w:rsid w:val="00971CE5"/>
    <w:rsid w:val="0097393E"/>
    <w:rsid w:val="00973E5C"/>
    <w:rsid w:val="0097584C"/>
    <w:rsid w:val="009772DC"/>
    <w:rsid w:val="0098072D"/>
    <w:rsid w:val="00984D8B"/>
    <w:rsid w:val="0098740D"/>
    <w:rsid w:val="00994F0E"/>
    <w:rsid w:val="00996EB5"/>
    <w:rsid w:val="009A2AC0"/>
    <w:rsid w:val="009A46F9"/>
    <w:rsid w:val="009A4818"/>
    <w:rsid w:val="009B052D"/>
    <w:rsid w:val="009B63C8"/>
    <w:rsid w:val="009C2A87"/>
    <w:rsid w:val="009C493D"/>
    <w:rsid w:val="009C7E66"/>
    <w:rsid w:val="009D6311"/>
    <w:rsid w:val="009D6373"/>
    <w:rsid w:val="009E1D5C"/>
    <w:rsid w:val="009E2DE8"/>
    <w:rsid w:val="009E4817"/>
    <w:rsid w:val="009E4968"/>
    <w:rsid w:val="009E6899"/>
    <w:rsid w:val="009F0CB4"/>
    <w:rsid w:val="00A012BA"/>
    <w:rsid w:val="00A01DE6"/>
    <w:rsid w:val="00A04B86"/>
    <w:rsid w:val="00A054BC"/>
    <w:rsid w:val="00A067BC"/>
    <w:rsid w:val="00A0692F"/>
    <w:rsid w:val="00A07986"/>
    <w:rsid w:val="00A07B94"/>
    <w:rsid w:val="00A101B6"/>
    <w:rsid w:val="00A10362"/>
    <w:rsid w:val="00A14C1B"/>
    <w:rsid w:val="00A22990"/>
    <w:rsid w:val="00A33E37"/>
    <w:rsid w:val="00A33EC0"/>
    <w:rsid w:val="00A3675B"/>
    <w:rsid w:val="00A411E7"/>
    <w:rsid w:val="00A45394"/>
    <w:rsid w:val="00A50CB9"/>
    <w:rsid w:val="00A519AE"/>
    <w:rsid w:val="00A60F6F"/>
    <w:rsid w:val="00A635B6"/>
    <w:rsid w:val="00A637EB"/>
    <w:rsid w:val="00A6402E"/>
    <w:rsid w:val="00A643D4"/>
    <w:rsid w:val="00A64936"/>
    <w:rsid w:val="00A655D0"/>
    <w:rsid w:val="00A661BA"/>
    <w:rsid w:val="00A666E6"/>
    <w:rsid w:val="00A80281"/>
    <w:rsid w:val="00A813B4"/>
    <w:rsid w:val="00A85CAC"/>
    <w:rsid w:val="00A86E16"/>
    <w:rsid w:val="00A91B46"/>
    <w:rsid w:val="00A96C2F"/>
    <w:rsid w:val="00AA2F3F"/>
    <w:rsid w:val="00AA6510"/>
    <w:rsid w:val="00AB18BA"/>
    <w:rsid w:val="00AB3162"/>
    <w:rsid w:val="00AB3DC4"/>
    <w:rsid w:val="00AB4257"/>
    <w:rsid w:val="00AC4555"/>
    <w:rsid w:val="00AC7D74"/>
    <w:rsid w:val="00AD022C"/>
    <w:rsid w:val="00AD303C"/>
    <w:rsid w:val="00AD4670"/>
    <w:rsid w:val="00AD48C7"/>
    <w:rsid w:val="00AD6A1E"/>
    <w:rsid w:val="00AE423C"/>
    <w:rsid w:val="00AE59A2"/>
    <w:rsid w:val="00AE6D7A"/>
    <w:rsid w:val="00AE6D95"/>
    <w:rsid w:val="00AF11AD"/>
    <w:rsid w:val="00AF35B1"/>
    <w:rsid w:val="00AF79A3"/>
    <w:rsid w:val="00B022DB"/>
    <w:rsid w:val="00B02744"/>
    <w:rsid w:val="00B10C6D"/>
    <w:rsid w:val="00B122F7"/>
    <w:rsid w:val="00B1288A"/>
    <w:rsid w:val="00B133EB"/>
    <w:rsid w:val="00B1516E"/>
    <w:rsid w:val="00B160C4"/>
    <w:rsid w:val="00B20BA8"/>
    <w:rsid w:val="00B20F47"/>
    <w:rsid w:val="00B222C0"/>
    <w:rsid w:val="00B242DB"/>
    <w:rsid w:val="00B32A12"/>
    <w:rsid w:val="00B32CDF"/>
    <w:rsid w:val="00B346B9"/>
    <w:rsid w:val="00B34ACF"/>
    <w:rsid w:val="00B41180"/>
    <w:rsid w:val="00B421CD"/>
    <w:rsid w:val="00B43BD6"/>
    <w:rsid w:val="00B451F6"/>
    <w:rsid w:val="00B47D24"/>
    <w:rsid w:val="00B47F29"/>
    <w:rsid w:val="00B505B3"/>
    <w:rsid w:val="00B613F4"/>
    <w:rsid w:val="00B62D55"/>
    <w:rsid w:val="00B6658E"/>
    <w:rsid w:val="00B67C2F"/>
    <w:rsid w:val="00B71D99"/>
    <w:rsid w:val="00B73B33"/>
    <w:rsid w:val="00B73BA8"/>
    <w:rsid w:val="00B74799"/>
    <w:rsid w:val="00B75808"/>
    <w:rsid w:val="00B833E6"/>
    <w:rsid w:val="00B92470"/>
    <w:rsid w:val="00B93AC4"/>
    <w:rsid w:val="00B951A4"/>
    <w:rsid w:val="00B95691"/>
    <w:rsid w:val="00BA5EAE"/>
    <w:rsid w:val="00BA698B"/>
    <w:rsid w:val="00BA7C5B"/>
    <w:rsid w:val="00BB08AD"/>
    <w:rsid w:val="00BB3B2A"/>
    <w:rsid w:val="00BB790A"/>
    <w:rsid w:val="00BB7CE8"/>
    <w:rsid w:val="00BB7D79"/>
    <w:rsid w:val="00BC11BF"/>
    <w:rsid w:val="00BC4E44"/>
    <w:rsid w:val="00BC5748"/>
    <w:rsid w:val="00BC73C5"/>
    <w:rsid w:val="00BC76E7"/>
    <w:rsid w:val="00BD5856"/>
    <w:rsid w:val="00BD7B2E"/>
    <w:rsid w:val="00BE7EE3"/>
    <w:rsid w:val="00BF19D4"/>
    <w:rsid w:val="00BF1A11"/>
    <w:rsid w:val="00BF31A2"/>
    <w:rsid w:val="00BF3884"/>
    <w:rsid w:val="00BF5F40"/>
    <w:rsid w:val="00BF6887"/>
    <w:rsid w:val="00C00534"/>
    <w:rsid w:val="00C00A7D"/>
    <w:rsid w:val="00C0101E"/>
    <w:rsid w:val="00C01050"/>
    <w:rsid w:val="00C0278A"/>
    <w:rsid w:val="00C04464"/>
    <w:rsid w:val="00C07C17"/>
    <w:rsid w:val="00C101A5"/>
    <w:rsid w:val="00C21019"/>
    <w:rsid w:val="00C26F63"/>
    <w:rsid w:val="00C3120F"/>
    <w:rsid w:val="00C339D0"/>
    <w:rsid w:val="00C33E51"/>
    <w:rsid w:val="00C33EBC"/>
    <w:rsid w:val="00C359C1"/>
    <w:rsid w:val="00C36363"/>
    <w:rsid w:val="00C36618"/>
    <w:rsid w:val="00C36EB0"/>
    <w:rsid w:val="00C40B80"/>
    <w:rsid w:val="00C431B1"/>
    <w:rsid w:val="00C4560D"/>
    <w:rsid w:val="00C4788B"/>
    <w:rsid w:val="00C47F0E"/>
    <w:rsid w:val="00C50415"/>
    <w:rsid w:val="00C52432"/>
    <w:rsid w:val="00C54FF6"/>
    <w:rsid w:val="00C5684C"/>
    <w:rsid w:val="00C5738B"/>
    <w:rsid w:val="00C607EA"/>
    <w:rsid w:val="00C6175F"/>
    <w:rsid w:val="00C6189A"/>
    <w:rsid w:val="00C73941"/>
    <w:rsid w:val="00C76AC9"/>
    <w:rsid w:val="00C80099"/>
    <w:rsid w:val="00C8284A"/>
    <w:rsid w:val="00C82F44"/>
    <w:rsid w:val="00C84238"/>
    <w:rsid w:val="00C85201"/>
    <w:rsid w:val="00C956E8"/>
    <w:rsid w:val="00C95E76"/>
    <w:rsid w:val="00C96A16"/>
    <w:rsid w:val="00C96B2A"/>
    <w:rsid w:val="00CA0519"/>
    <w:rsid w:val="00CA0830"/>
    <w:rsid w:val="00CA0DAB"/>
    <w:rsid w:val="00CA5E16"/>
    <w:rsid w:val="00CA632A"/>
    <w:rsid w:val="00CA6807"/>
    <w:rsid w:val="00CB0AD1"/>
    <w:rsid w:val="00CB28A4"/>
    <w:rsid w:val="00CB770B"/>
    <w:rsid w:val="00CC30D2"/>
    <w:rsid w:val="00CC3738"/>
    <w:rsid w:val="00CC43B8"/>
    <w:rsid w:val="00CC5AE2"/>
    <w:rsid w:val="00CD6D48"/>
    <w:rsid w:val="00CE0C13"/>
    <w:rsid w:val="00CE15C2"/>
    <w:rsid w:val="00CE486A"/>
    <w:rsid w:val="00CE4FAE"/>
    <w:rsid w:val="00CF5990"/>
    <w:rsid w:val="00CF64D3"/>
    <w:rsid w:val="00CF70F3"/>
    <w:rsid w:val="00D03EA1"/>
    <w:rsid w:val="00D075AC"/>
    <w:rsid w:val="00D078E9"/>
    <w:rsid w:val="00D1401D"/>
    <w:rsid w:val="00D170D2"/>
    <w:rsid w:val="00D1757B"/>
    <w:rsid w:val="00D251D8"/>
    <w:rsid w:val="00D27203"/>
    <w:rsid w:val="00D27256"/>
    <w:rsid w:val="00D274BD"/>
    <w:rsid w:val="00D37795"/>
    <w:rsid w:val="00D40487"/>
    <w:rsid w:val="00D41B2F"/>
    <w:rsid w:val="00D42C98"/>
    <w:rsid w:val="00D42D34"/>
    <w:rsid w:val="00D45982"/>
    <w:rsid w:val="00D46408"/>
    <w:rsid w:val="00D52E86"/>
    <w:rsid w:val="00D5339B"/>
    <w:rsid w:val="00D53DD9"/>
    <w:rsid w:val="00D60F41"/>
    <w:rsid w:val="00D6170A"/>
    <w:rsid w:val="00D61843"/>
    <w:rsid w:val="00D62DAF"/>
    <w:rsid w:val="00D6754B"/>
    <w:rsid w:val="00D7721D"/>
    <w:rsid w:val="00D773A8"/>
    <w:rsid w:val="00D80D42"/>
    <w:rsid w:val="00D84005"/>
    <w:rsid w:val="00D84594"/>
    <w:rsid w:val="00D90837"/>
    <w:rsid w:val="00D93D87"/>
    <w:rsid w:val="00DA10CB"/>
    <w:rsid w:val="00DB065C"/>
    <w:rsid w:val="00DB3194"/>
    <w:rsid w:val="00DB5900"/>
    <w:rsid w:val="00DB7C3C"/>
    <w:rsid w:val="00DC0BEB"/>
    <w:rsid w:val="00DC5B60"/>
    <w:rsid w:val="00DD27E8"/>
    <w:rsid w:val="00DD53A1"/>
    <w:rsid w:val="00DD6909"/>
    <w:rsid w:val="00DE2AB7"/>
    <w:rsid w:val="00DF03C1"/>
    <w:rsid w:val="00DF76BC"/>
    <w:rsid w:val="00E0276C"/>
    <w:rsid w:val="00E05F0B"/>
    <w:rsid w:val="00E05FB7"/>
    <w:rsid w:val="00E1479A"/>
    <w:rsid w:val="00E15132"/>
    <w:rsid w:val="00E1520F"/>
    <w:rsid w:val="00E17CAB"/>
    <w:rsid w:val="00E208A8"/>
    <w:rsid w:val="00E2266D"/>
    <w:rsid w:val="00E30532"/>
    <w:rsid w:val="00E335B2"/>
    <w:rsid w:val="00E36BA2"/>
    <w:rsid w:val="00E379A2"/>
    <w:rsid w:val="00E45F1E"/>
    <w:rsid w:val="00E548F8"/>
    <w:rsid w:val="00E56542"/>
    <w:rsid w:val="00E56ACB"/>
    <w:rsid w:val="00E6028D"/>
    <w:rsid w:val="00E615FA"/>
    <w:rsid w:val="00E64893"/>
    <w:rsid w:val="00E7553A"/>
    <w:rsid w:val="00E76927"/>
    <w:rsid w:val="00E817E9"/>
    <w:rsid w:val="00E81888"/>
    <w:rsid w:val="00E81B96"/>
    <w:rsid w:val="00E91D5F"/>
    <w:rsid w:val="00E929E3"/>
    <w:rsid w:val="00E9360E"/>
    <w:rsid w:val="00E957C9"/>
    <w:rsid w:val="00EA0180"/>
    <w:rsid w:val="00EA0C02"/>
    <w:rsid w:val="00EA2965"/>
    <w:rsid w:val="00EA67DF"/>
    <w:rsid w:val="00EA6CBA"/>
    <w:rsid w:val="00EB0CE3"/>
    <w:rsid w:val="00EC3187"/>
    <w:rsid w:val="00EC4FE9"/>
    <w:rsid w:val="00ED307F"/>
    <w:rsid w:val="00ED414E"/>
    <w:rsid w:val="00ED7475"/>
    <w:rsid w:val="00EE32E9"/>
    <w:rsid w:val="00EE482B"/>
    <w:rsid w:val="00EE7924"/>
    <w:rsid w:val="00EE7E9C"/>
    <w:rsid w:val="00EF078F"/>
    <w:rsid w:val="00EF19F7"/>
    <w:rsid w:val="00EF4421"/>
    <w:rsid w:val="00EF44B3"/>
    <w:rsid w:val="00EF459A"/>
    <w:rsid w:val="00EF56E9"/>
    <w:rsid w:val="00F00150"/>
    <w:rsid w:val="00F00DEB"/>
    <w:rsid w:val="00F00E14"/>
    <w:rsid w:val="00F0139E"/>
    <w:rsid w:val="00F03C25"/>
    <w:rsid w:val="00F051CA"/>
    <w:rsid w:val="00F0626F"/>
    <w:rsid w:val="00F06647"/>
    <w:rsid w:val="00F11E1D"/>
    <w:rsid w:val="00F143AE"/>
    <w:rsid w:val="00F24679"/>
    <w:rsid w:val="00F33052"/>
    <w:rsid w:val="00F33190"/>
    <w:rsid w:val="00F34855"/>
    <w:rsid w:val="00F35CFB"/>
    <w:rsid w:val="00F4131B"/>
    <w:rsid w:val="00F4165F"/>
    <w:rsid w:val="00F42834"/>
    <w:rsid w:val="00F4338B"/>
    <w:rsid w:val="00F57D7D"/>
    <w:rsid w:val="00F6132D"/>
    <w:rsid w:val="00F6277C"/>
    <w:rsid w:val="00F62E7A"/>
    <w:rsid w:val="00F662EC"/>
    <w:rsid w:val="00F75808"/>
    <w:rsid w:val="00F85055"/>
    <w:rsid w:val="00F859B3"/>
    <w:rsid w:val="00F85E23"/>
    <w:rsid w:val="00F8649C"/>
    <w:rsid w:val="00F86876"/>
    <w:rsid w:val="00F9141A"/>
    <w:rsid w:val="00F91ABE"/>
    <w:rsid w:val="00FA0AEA"/>
    <w:rsid w:val="00FA1852"/>
    <w:rsid w:val="00FA3A2F"/>
    <w:rsid w:val="00FA4039"/>
    <w:rsid w:val="00FA4ECF"/>
    <w:rsid w:val="00FA4F06"/>
    <w:rsid w:val="00FB0EE4"/>
    <w:rsid w:val="00FB28D6"/>
    <w:rsid w:val="00FC5CAD"/>
    <w:rsid w:val="00FC6C4B"/>
    <w:rsid w:val="00FC7B63"/>
    <w:rsid w:val="00FD2F5D"/>
    <w:rsid w:val="00FD7647"/>
    <w:rsid w:val="00FE4839"/>
    <w:rsid w:val="00FF0413"/>
    <w:rsid w:val="00FF6961"/>
    <w:rsid w:val="05C30C8B"/>
    <w:rsid w:val="08A71940"/>
    <w:rsid w:val="0D18335F"/>
    <w:rsid w:val="0F4D5D3B"/>
    <w:rsid w:val="107F0E0C"/>
    <w:rsid w:val="149D2DE5"/>
    <w:rsid w:val="16515577"/>
    <w:rsid w:val="2483194D"/>
    <w:rsid w:val="274D6682"/>
    <w:rsid w:val="28B82A64"/>
    <w:rsid w:val="28DF7FA5"/>
    <w:rsid w:val="2FC9247C"/>
    <w:rsid w:val="45171F5F"/>
    <w:rsid w:val="49EA4FB1"/>
    <w:rsid w:val="4DE2243D"/>
    <w:rsid w:val="51D620DD"/>
    <w:rsid w:val="52C94A44"/>
    <w:rsid w:val="547A6A60"/>
    <w:rsid w:val="556F4099"/>
    <w:rsid w:val="5A5E709D"/>
    <w:rsid w:val="619A4C7D"/>
    <w:rsid w:val="660712E0"/>
    <w:rsid w:val="67C259CC"/>
    <w:rsid w:val="6B9923BB"/>
    <w:rsid w:val="6E7365C0"/>
    <w:rsid w:val="77874AC8"/>
    <w:rsid w:val="7AE97E67"/>
    <w:rsid w:val="7FCC1129"/>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uiPriority w:val="0"/>
    <w:pPr>
      <w:shd w:val="clear" w:color="auto" w:fill="000080"/>
    </w:pPr>
  </w:style>
  <w:style w:type="paragraph" w:styleId="3">
    <w:name w:val="Balloon Text"/>
    <w:basedOn w:val="1"/>
    <w:semiHidden/>
    <w:uiPriority w:val="0"/>
    <w:rPr>
      <w:sz w:val="18"/>
      <w:szCs w:val="18"/>
    </w:rPr>
  </w:style>
  <w:style w:type="paragraph" w:styleId="4">
    <w:name w:val="footer"/>
    <w:basedOn w:val="1"/>
    <w:link w:val="10"/>
    <w:uiPriority w:val="99"/>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0"/>
    <w:rPr>
      <w:b/>
    </w:rPr>
  </w:style>
  <w:style w:type="character" w:customStyle="1" w:styleId="10">
    <w:name w:val="页脚 Char"/>
    <w:basedOn w:val="8"/>
    <w:link w:val="4"/>
    <w:uiPriority w:val="99"/>
    <w:rPr>
      <w:kern w:val="2"/>
      <w:sz w:val="18"/>
      <w:szCs w:val="18"/>
    </w:rPr>
  </w:style>
  <w:style w:type="character" w:customStyle="1" w:styleId="11">
    <w:name w:val="页眉 Char"/>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1.emf"/><Relationship Id="rId15" Type="http://schemas.openxmlformats.org/officeDocument/2006/relationships/image" Target="media/image10.emf"/><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995</Words>
  <Characters>5676</Characters>
  <Lines>47</Lines>
  <Paragraphs>13</Paragraphs>
  <TotalTime>261</TotalTime>
  <ScaleCrop>false</ScaleCrop>
  <LinksUpToDate>false</LinksUpToDate>
  <CharactersWithSpaces>6658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2022-02-13T10:03:00Z</dcterms:created>
  <dc:creator>微软用户</dc:creator>
  <cp:lastModifiedBy>在此</cp:lastModifiedBy>
  <cp:lastPrinted>2019-01-15T08:53:00Z</cp:lastPrinted>
  <dcterms:modified xsi:type="dcterms:W3CDTF">2022-02-17T01:05:52Z</dcterms:modified>
  <dc:title>安徽省财政厅2015年部门预算</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CE3D587BE85248CD8263D5CAA88501F1</vt:lpwstr>
  </property>
</Properties>
</file>