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rPr>
      </w:pPr>
    </w:p>
    <w:p>
      <w:pPr>
        <w:jc w:val="center"/>
        <w:rPr>
          <w:rFonts w:ascii="黑体" w:hAnsi="黑体" w:eastAsia="黑体"/>
          <w:bCs/>
          <w:sz w:val="44"/>
          <w:szCs w:val="44"/>
        </w:rPr>
      </w:pPr>
      <w:r>
        <w:rPr>
          <w:rFonts w:hint="eastAsia" w:ascii="黑体" w:hAnsi="黑体" w:eastAsia="黑体"/>
          <w:bCs/>
          <w:sz w:val="44"/>
          <w:szCs w:val="44"/>
        </w:rPr>
        <w:t>寿县</w:t>
      </w:r>
      <w:r>
        <w:rPr>
          <w:rFonts w:hint="eastAsia" w:ascii="方正小标宋_GBK" w:eastAsia="方正小标宋_GBK" w:cs="方正小标宋_GBK"/>
          <w:color w:val="000000"/>
          <w:sz w:val="44"/>
          <w:szCs w:val="44"/>
        </w:rPr>
        <w:t>人大常委会办公室</w:t>
      </w:r>
      <w:r>
        <w:rPr>
          <w:rFonts w:hint="eastAsia" w:ascii="黑体" w:hAnsi="黑体" w:eastAsia="黑体"/>
          <w:bCs/>
          <w:sz w:val="44"/>
          <w:szCs w:val="44"/>
        </w:rPr>
        <w:t>2019年部门预算公开</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rPr>
          <w:sz w:val="52"/>
          <w:szCs w:val="52"/>
        </w:rPr>
      </w:pPr>
    </w:p>
    <w:p>
      <w:pPr>
        <w:jc w:val="center"/>
        <w:rPr>
          <w:rFonts w:ascii="宋体"/>
          <w:b/>
          <w:sz w:val="48"/>
          <w:szCs w:val="48"/>
        </w:rPr>
      </w:pPr>
      <w:r>
        <w:rPr>
          <w:rFonts w:ascii="宋体" w:hAnsi="宋体"/>
          <w:b/>
          <w:sz w:val="48"/>
          <w:szCs w:val="48"/>
        </w:rPr>
        <w:t xml:space="preserve">2019 </w:t>
      </w:r>
      <w:r>
        <w:rPr>
          <w:rFonts w:hint="eastAsia" w:ascii="宋体" w:hAnsi="宋体"/>
          <w:b/>
          <w:sz w:val="48"/>
          <w:szCs w:val="48"/>
        </w:rPr>
        <w:t>年</w:t>
      </w:r>
      <w:r>
        <w:rPr>
          <w:rFonts w:ascii="宋体" w:hAnsi="宋体"/>
          <w:b/>
          <w:sz w:val="48"/>
          <w:szCs w:val="48"/>
        </w:rPr>
        <w:t xml:space="preserve"> </w:t>
      </w:r>
      <w:r>
        <w:rPr>
          <w:rFonts w:hint="eastAsia" w:ascii="宋体" w:hAnsi="宋体"/>
          <w:b/>
          <w:sz w:val="48"/>
          <w:szCs w:val="48"/>
        </w:rPr>
        <w:t>3</w:t>
      </w:r>
      <w:r>
        <w:rPr>
          <w:rFonts w:ascii="宋体" w:hAnsi="宋体"/>
          <w:b/>
          <w:sz w:val="48"/>
          <w:szCs w:val="48"/>
        </w:rPr>
        <w:t xml:space="preserve"> </w:t>
      </w:r>
      <w:r>
        <w:rPr>
          <w:rFonts w:hint="eastAsia" w:ascii="宋体" w:hAnsi="宋体"/>
          <w:b/>
          <w:sz w:val="48"/>
          <w:szCs w:val="48"/>
        </w:rPr>
        <w:t>月</w:t>
      </w:r>
    </w:p>
    <w:p>
      <w:pPr>
        <w:jc w:val="center"/>
        <w:rPr>
          <w:sz w:val="52"/>
          <w:szCs w:val="52"/>
        </w:rPr>
      </w:pPr>
    </w:p>
    <w:p>
      <w:pPr>
        <w:rPr>
          <w:sz w:val="52"/>
          <w:szCs w:val="52"/>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adjustRightInd w:val="0"/>
        <w:snapToGrid w:val="0"/>
        <w:spacing w:before="0" w:beforeAutospacing="0" w:after="0" w:afterAutospacing="0" w:line="500" w:lineRule="exact"/>
        <w:jc w:val="center"/>
        <w:rPr>
          <w:rFonts w:ascii="黑体" w:hAnsi="黑体" w:eastAsia="黑体"/>
          <w:bCs/>
          <w:sz w:val="44"/>
          <w:szCs w:val="44"/>
        </w:rPr>
      </w:pPr>
    </w:p>
    <w:p>
      <w:pPr>
        <w:pStyle w:val="9"/>
        <w:widowControl w:val="0"/>
        <w:shd w:val="clear" w:color="auto" w:fill="FFFFFF"/>
        <w:spacing w:before="0" w:beforeAutospacing="0" w:after="0" w:afterAutospacing="0" w:line="600" w:lineRule="exact"/>
        <w:ind w:firstLine="880"/>
        <w:jc w:val="center"/>
        <w:rPr>
          <w:rFonts w:ascii="方正小标宋_GBK" w:eastAsia="方正小标宋_GBK" w:cs="方正小标宋_GBK"/>
          <w:color w:val="000000"/>
          <w:sz w:val="44"/>
          <w:szCs w:val="44"/>
        </w:rPr>
      </w:pPr>
    </w:p>
    <w:p>
      <w:pPr>
        <w:pStyle w:val="9"/>
        <w:widowControl w:val="0"/>
        <w:shd w:val="clear" w:color="auto" w:fill="FFFFFF"/>
        <w:spacing w:before="0" w:beforeAutospacing="0" w:after="0" w:afterAutospacing="0" w:line="600" w:lineRule="exact"/>
        <w:jc w:val="center"/>
        <w:rPr>
          <w:rFonts w:ascii="方正小标宋_GBK" w:eastAsia="方正小标宋_GBK" w:cs="Times New Roman"/>
          <w:color w:val="000000"/>
          <w:sz w:val="44"/>
          <w:szCs w:val="44"/>
        </w:rPr>
      </w:pPr>
      <w:r>
        <w:rPr>
          <w:rFonts w:hint="eastAsia" w:ascii="方正小标宋_GBK" w:eastAsia="方正小标宋_GBK" w:cs="方正小标宋_GBK"/>
          <w:color w:val="000000"/>
          <w:sz w:val="44"/>
          <w:szCs w:val="44"/>
        </w:rPr>
        <w:t>寿县人大常委会办公室</w:t>
      </w:r>
      <w:r>
        <w:rPr>
          <w:rFonts w:ascii="方正小标宋_GBK" w:eastAsia="方正小标宋_GBK" w:cs="方正小标宋_GBK"/>
          <w:color w:val="000000"/>
          <w:sz w:val="44"/>
          <w:szCs w:val="44"/>
        </w:rPr>
        <w:t>201</w:t>
      </w:r>
      <w:r>
        <w:rPr>
          <w:rFonts w:hint="eastAsia" w:ascii="方正小标宋_GBK" w:eastAsia="方正小标宋_GBK" w:cs="方正小标宋_GBK"/>
          <w:color w:val="000000"/>
          <w:sz w:val="44"/>
          <w:szCs w:val="44"/>
        </w:rPr>
        <w:t>9年部门预算公开</w:t>
      </w:r>
    </w:p>
    <w:p>
      <w:pPr>
        <w:pStyle w:val="9"/>
        <w:widowControl w:val="0"/>
        <w:shd w:val="clear" w:color="auto" w:fill="FFFFFF"/>
        <w:spacing w:before="0" w:beforeAutospacing="0" w:after="0" w:afterAutospacing="0" w:line="600" w:lineRule="exact"/>
        <w:jc w:val="center"/>
        <w:rPr>
          <w:rFonts w:ascii="仿宋_GB2312" w:hAnsi="华文中宋" w:eastAsia="仿宋_GB2312" w:cs="仿宋_GB2312"/>
          <w:color w:val="000000"/>
          <w:sz w:val="36"/>
          <w:szCs w:val="36"/>
        </w:rPr>
      </w:pPr>
      <w:r>
        <w:rPr>
          <w:rFonts w:hint="eastAsia" w:ascii="仿宋_GB2312" w:hAnsi="华文中宋" w:eastAsia="仿宋_GB2312" w:cs="仿宋_GB2312"/>
          <w:color w:val="000000"/>
          <w:sz w:val="36"/>
          <w:szCs w:val="36"/>
        </w:rPr>
        <w:t>（县人大办本级）</w:t>
      </w:r>
    </w:p>
    <w:p>
      <w:pPr>
        <w:pStyle w:val="9"/>
        <w:widowControl w:val="0"/>
        <w:shd w:val="clear" w:color="auto" w:fill="FFFFFF"/>
        <w:spacing w:before="0" w:beforeAutospacing="0" w:after="0" w:afterAutospacing="0" w:line="600" w:lineRule="exact"/>
        <w:jc w:val="center"/>
        <w:rPr>
          <w:rFonts w:ascii="仿宋_GB2312" w:hAnsi="华文中宋" w:eastAsia="仿宋_GB2312" w:cs="仿宋_GB2312"/>
          <w:color w:val="000000"/>
          <w:sz w:val="36"/>
          <w:szCs w:val="36"/>
        </w:rPr>
      </w:pPr>
    </w:p>
    <w:p>
      <w:pPr>
        <w:pStyle w:val="9"/>
        <w:adjustRightInd w:val="0"/>
        <w:snapToGrid w:val="0"/>
        <w:spacing w:before="0" w:beforeAutospacing="0" w:after="0" w:afterAutospacing="0" w:line="600" w:lineRule="exact"/>
        <w:jc w:val="center"/>
        <w:rPr>
          <w:rFonts w:ascii="黑体" w:hAnsi="黑体" w:eastAsia="黑体"/>
          <w:bCs/>
          <w:sz w:val="44"/>
          <w:szCs w:val="44"/>
        </w:rPr>
      </w:pPr>
      <w:r>
        <w:rPr>
          <w:rFonts w:hint="eastAsia" w:ascii="黑体" w:hAnsi="黑体" w:eastAsia="黑体"/>
          <w:bCs/>
          <w:sz w:val="44"/>
          <w:szCs w:val="44"/>
        </w:rPr>
        <w:t>目　录</w:t>
      </w:r>
    </w:p>
    <w:p>
      <w:pPr>
        <w:pStyle w:val="9"/>
        <w:adjustRightInd w:val="0"/>
        <w:snapToGrid w:val="0"/>
        <w:spacing w:before="0" w:beforeAutospacing="0" w:after="0" w:afterAutospacing="0" w:line="600" w:lineRule="exact"/>
        <w:ind w:firstLine="643" w:firstLineChars="200"/>
        <w:jc w:val="both"/>
        <w:rPr>
          <w:rFonts w:ascii="仿宋_GB2312" w:hAnsi="仿宋" w:eastAsia="仿宋_GB2312" w:cs="仿宋"/>
          <w:b/>
          <w:sz w:val="32"/>
          <w:szCs w:val="32"/>
        </w:rPr>
      </w:pPr>
    </w:p>
    <w:p>
      <w:pPr>
        <w:pStyle w:val="9"/>
        <w:adjustRightInd w:val="0"/>
        <w:snapToGrid w:val="0"/>
        <w:spacing w:before="0" w:beforeAutospacing="0" w:after="0" w:afterAutospacing="0" w:line="600" w:lineRule="exact"/>
        <w:ind w:firstLine="640" w:firstLineChars="200"/>
        <w:rPr>
          <w:rFonts w:ascii="黑体" w:hAnsi="黑体" w:eastAsia="黑体" w:cs="仿宋"/>
          <w:sz w:val="32"/>
          <w:szCs w:val="32"/>
        </w:rPr>
      </w:pPr>
      <w:r>
        <w:rPr>
          <w:rFonts w:hint="eastAsia" w:ascii="黑体" w:hAnsi="黑体" w:eastAsia="黑体" w:cs="仿宋"/>
          <w:sz w:val="32"/>
          <w:szCs w:val="32"/>
        </w:rPr>
        <w:t>第一部分 部门概况</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一、主要职责</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二、部门预算单位构成</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三、2019年度主要工作任务</w:t>
      </w:r>
    </w:p>
    <w:p>
      <w:pPr>
        <w:pStyle w:val="9"/>
        <w:adjustRightInd w:val="0"/>
        <w:snapToGrid w:val="0"/>
        <w:spacing w:before="0" w:beforeAutospacing="0" w:after="0" w:afterAutospacing="0" w:line="600" w:lineRule="exact"/>
        <w:ind w:firstLine="640" w:firstLineChars="200"/>
        <w:rPr>
          <w:rFonts w:ascii="黑体" w:hAnsi="黑体" w:eastAsia="黑体" w:cs="仿宋"/>
          <w:sz w:val="32"/>
          <w:szCs w:val="32"/>
        </w:rPr>
      </w:pPr>
      <w:r>
        <w:rPr>
          <w:rFonts w:hint="eastAsia" w:ascii="黑体" w:hAnsi="黑体" w:eastAsia="黑体" w:cs="仿宋"/>
          <w:sz w:val="32"/>
          <w:szCs w:val="32"/>
        </w:rPr>
        <w:t>第二部分 2019年部门预算表</w:t>
      </w:r>
    </w:p>
    <w:p>
      <w:pPr>
        <w:pStyle w:val="9"/>
        <w:adjustRightInd w:val="0"/>
        <w:snapToGrid w:val="0"/>
        <w:spacing w:before="0" w:beforeAutospacing="0" w:after="0" w:afterAutospacing="0" w:line="600" w:lineRule="exact"/>
        <w:ind w:firstLine="960" w:firstLineChars="300"/>
        <w:outlineLvl w:val="0"/>
        <w:rPr>
          <w:rFonts w:ascii="仿宋_GB2312" w:hAnsi="仿宋" w:eastAsia="仿宋_GB2312" w:cs="仿宋"/>
          <w:bCs/>
          <w:sz w:val="32"/>
          <w:szCs w:val="32"/>
        </w:rPr>
      </w:pPr>
      <w:r>
        <w:rPr>
          <w:rFonts w:hint="eastAsia" w:ascii="仿宋_GB2312" w:hAnsi="仿宋" w:eastAsia="仿宋_GB2312" w:cs="仿宋"/>
          <w:bCs/>
          <w:sz w:val="32"/>
          <w:szCs w:val="32"/>
        </w:rPr>
        <w:t>一、2019年部门财政拨款收支预算总表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二、2019年部门一般公共预算支出表</w:t>
      </w:r>
    </w:p>
    <w:p>
      <w:pPr>
        <w:pStyle w:val="9"/>
        <w:adjustRightInd w:val="0"/>
        <w:snapToGrid w:val="0"/>
        <w:spacing w:before="0" w:beforeAutospacing="0" w:after="0" w:afterAutospacing="0" w:line="600" w:lineRule="exact"/>
        <w:ind w:firstLine="960" w:firstLineChars="300"/>
        <w:outlineLvl w:val="0"/>
        <w:rPr>
          <w:rFonts w:ascii="仿宋_GB2312" w:hAnsi="仿宋" w:eastAsia="仿宋_GB2312" w:cs="仿宋"/>
          <w:bCs/>
          <w:sz w:val="32"/>
          <w:szCs w:val="32"/>
        </w:rPr>
      </w:pPr>
      <w:r>
        <w:rPr>
          <w:rFonts w:hint="eastAsia" w:ascii="仿宋_GB2312" w:hAnsi="仿宋" w:eastAsia="仿宋_GB2312" w:cs="仿宋"/>
          <w:bCs/>
          <w:sz w:val="32"/>
          <w:szCs w:val="32"/>
        </w:rPr>
        <w:t>三、2019年部门一般公共预算基本支出预算表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四、2019年部门政府性基金预算支出表</w:t>
      </w:r>
    </w:p>
    <w:p>
      <w:pPr>
        <w:pStyle w:val="9"/>
        <w:adjustRightInd w:val="0"/>
        <w:snapToGrid w:val="0"/>
        <w:spacing w:before="0" w:beforeAutospacing="0" w:after="0" w:afterAutospacing="0" w:line="600" w:lineRule="exact"/>
        <w:ind w:firstLine="960" w:firstLineChars="300"/>
        <w:outlineLvl w:val="0"/>
        <w:rPr>
          <w:rFonts w:ascii="仿宋_GB2312" w:hAnsi="仿宋" w:eastAsia="仿宋_GB2312" w:cs="仿宋"/>
          <w:bCs/>
          <w:sz w:val="32"/>
          <w:szCs w:val="32"/>
        </w:rPr>
      </w:pPr>
      <w:r>
        <w:rPr>
          <w:rFonts w:hint="eastAsia" w:ascii="仿宋_GB2312" w:hAnsi="仿宋" w:eastAsia="仿宋_GB2312" w:cs="仿宋"/>
          <w:bCs/>
          <w:sz w:val="32"/>
          <w:szCs w:val="32"/>
        </w:rPr>
        <w:t>五、2019年部门国有资本经营预算支出表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六、2019年部门收支预算总表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七、2019年部门收入预算总表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八、2019年部门支出预算总表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九、2019年部门政府采购支出表</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十、2019年县级部门专项资金清单</w:t>
      </w:r>
    </w:p>
    <w:p>
      <w:pPr>
        <w:spacing w:line="600" w:lineRule="exact"/>
        <w:ind w:firstLine="200"/>
        <w:jc w:val="left"/>
        <w:rPr>
          <w:rFonts w:ascii="仿宋_GB2312" w:hAnsi="仿宋" w:eastAsia="仿宋_GB2312" w:cs="仿宋"/>
          <w:bCs/>
          <w:kern w:val="0"/>
          <w:sz w:val="32"/>
          <w:szCs w:val="32"/>
        </w:rPr>
      </w:pPr>
      <w:r>
        <w:rPr>
          <w:rFonts w:hint="eastAsia" w:ascii="仿宋_GB2312" w:hAnsi="仿宋" w:eastAsia="仿宋_GB2312" w:cs="仿宋"/>
          <w:bCs/>
          <w:sz w:val="32"/>
          <w:szCs w:val="32"/>
        </w:rPr>
        <w:t xml:space="preserve">     十一、</w:t>
      </w:r>
      <w:r>
        <w:rPr>
          <w:rFonts w:hint="eastAsia" w:ascii="仿宋_GB2312" w:hAnsi="仿宋" w:eastAsia="仿宋_GB2312" w:cs="仿宋"/>
          <w:bCs/>
          <w:kern w:val="0"/>
          <w:sz w:val="32"/>
          <w:szCs w:val="32"/>
        </w:rPr>
        <w:t>2019年“三公”经费支出预算表</w:t>
      </w:r>
    </w:p>
    <w:p>
      <w:pPr>
        <w:pStyle w:val="9"/>
        <w:adjustRightInd w:val="0"/>
        <w:snapToGrid w:val="0"/>
        <w:spacing w:before="0" w:beforeAutospacing="0" w:after="0" w:afterAutospacing="0" w:line="600" w:lineRule="exact"/>
        <w:ind w:firstLine="640" w:firstLineChars="200"/>
        <w:rPr>
          <w:rFonts w:ascii="黑体" w:hAnsi="黑体" w:eastAsia="黑体" w:cs="仿宋"/>
          <w:sz w:val="32"/>
          <w:szCs w:val="32"/>
        </w:rPr>
      </w:pPr>
      <w:r>
        <w:rPr>
          <w:rFonts w:hint="eastAsia" w:ascii="黑体" w:hAnsi="黑体" w:eastAsia="黑体" w:cs="仿宋"/>
          <w:sz w:val="32"/>
          <w:szCs w:val="32"/>
        </w:rPr>
        <w:t>第三部分 2019年部门预算情况说明</w:t>
      </w:r>
    </w:p>
    <w:p>
      <w:pPr>
        <w:pStyle w:val="9"/>
        <w:adjustRightInd w:val="0"/>
        <w:snapToGrid w:val="0"/>
        <w:spacing w:before="0" w:beforeAutospacing="0" w:after="0" w:afterAutospacing="0" w:line="600" w:lineRule="exact"/>
        <w:ind w:firstLine="960" w:firstLineChars="300"/>
        <w:outlineLvl w:val="0"/>
        <w:rPr>
          <w:rFonts w:ascii="仿宋_GB2312" w:hAnsi="仿宋" w:eastAsia="仿宋_GB2312" w:cs="仿宋"/>
          <w:bCs/>
          <w:sz w:val="32"/>
          <w:szCs w:val="32"/>
        </w:rPr>
      </w:pPr>
      <w:r>
        <w:rPr>
          <w:rFonts w:hint="eastAsia" w:ascii="仿宋_GB2312" w:hAnsi="仿宋" w:eastAsia="仿宋_GB2312" w:cs="仿宋"/>
          <w:bCs/>
          <w:sz w:val="32"/>
          <w:szCs w:val="32"/>
        </w:rPr>
        <w:t>一、关于2019年财政拨款收支预算总体情况说明</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二、关于2019年一般公共预算财政拨款情况说明</w:t>
      </w:r>
    </w:p>
    <w:p>
      <w:pPr>
        <w:pStyle w:val="9"/>
        <w:adjustRightInd w:val="0"/>
        <w:snapToGrid w:val="0"/>
        <w:spacing w:before="0" w:beforeAutospacing="0" w:after="0" w:afterAutospacing="0" w:line="600" w:lineRule="exact"/>
        <w:ind w:firstLine="960" w:firstLineChars="300"/>
        <w:outlineLvl w:val="0"/>
        <w:rPr>
          <w:rFonts w:ascii="仿宋_GB2312" w:hAnsi="仿宋" w:eastAsia="仿宋_GB2312" w:cs="仿宋"/>
          <w:bCs/>
          <w:sz w:val="32"/>
          <w:szCs w:val="32"/>
        </w:rPr>
      </w:pPr>
      <w:r>
        <w:rPr>
          <w:rFonts w:hint="eastAsia" w:ascii="仿宋_GB2312" w:hAnsi="仿宋" w:eastAsia="仿宋_GB2312" w:cs="仿宋"/>
          <w:bCs/>
          <w:sz w:val="32"/>
          <w:szCs w:val="32"/>
        </w:rPr>
        <w:t>三、关于2019年一般公共预算基本支出情况说明</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四、关于2019年政府性基金预算拨款情况说明</w:t>
      </w:r>
    </w:p>
    <w:p>
      <w:pPr>
        <w:pStyle w:val="9"/>
        <w:adjustRightInd w:val="0"/>
        <w:snapToGrid w:val="0"/>
        <w:spacing w:before="0" w:beforeAutospacing="0" w:after="0" w:afterAutospacing="0" w:line="600" w:lineRule="exact"/>
        <w:ind w:firstLine="960" w:firstLineChars="300"/>
        <w:outlineLvl w:val="0"/>
        <w:rPr>
          <w:rFonts w:ascii="仿宋_GB2312" w:hAnsi="仿宋" w:eastAsia="仿宋_GB2312" w:cs="仿宋"/>
          <w:bCs/>
          <w:sz w:val="32"/>
          <w:szCs w:val="32"/>
        </w:rPr>
      </w:pPr>
      <w:r>
        <w:rPr>
          <w:rFonts w:hint="eastAsia" w:ascii="仿宋_GB2312" w:hAnsi="仿宋" w:eastAsia="仿宋_GB2312" w:cs="仿宋"/>
          <w:bCs/>
          <w:sz w:val="32"/>
          <w:szCs w:val="32"/>
        </w:rPr>
        <w:t>五、关于2019年国有资本经营预算拨款情况说明</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六、关于2019年收支预算总体情况说明</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七、关于2019年收入预算情况说明</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八、关于2019年支出预算情况说明</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 xml:space="preserve">九、关于2019年“三公”经费财政拨款预算情况说明 </w:t>
      </w:r>
    </w:p>
    <w:p>
      <w:pPr>
        <w:pStyle w:val="9"/>
        <w:adjustRightInd w:val="0"/>
        <w:snapToGrid w:val="0"/>
        <w:spacing w:before="0" w:beforeAutospacing="0" w:after="0" w:afterAutospacing="0" w:line="600" w:lineRule="exact"/>
        <w:ind w:firstLine="960" w:firstLineChars="300"/>
        <w:rPr>
          <w:rFonts w:ascii="仿宋_GB2312" w:hAnsi="仿宋" w:eastAsia="仿宋_GB2312" w:cs="仿宋"/>
          <w:bCs/>
          <w:sz w:val="32"/>
          <w:szCs w:val="32"/>
        </w:rPr>
      </w:pPr>
      <w:r>
        <w:rPr>
          <w:rFonts w:hint="eastAsia" w:ascii="仿宋_GB2312" w:hAnsi="仿宋" w:eastAsia="仿宋_GB2312" w:cs="仿宋"/>
          <w:bCs/>
          <w:sz w:val="32"/>
          <w:szCs w:val="32"/>
        </w:rPr>
        <w:t>十、其他重要事项情况说明</w:t>
      </w:r>
    </w:p>
    <w:p>
      <w:pPr>
        <w:pStyle w:val="9"/>
        <w:adjustRightInd w:val="0"/>
        <w:snapToGrid w:val="0"/>
        <w:spacing w:before="0" w:beforeAutospacing="0" w:after="0" w:afterAutospacing="0" w:line="600" w:lineRule="exact"/>
        <w:ind w:firstLine="640" w:firstLineChars="200"/>
        <w:rPr>
          <w:rFonts w:ascii="黑体" w:hAnsi="黑体" w:eastAsia="黑体" w:cs="仿宋"/>
          <w:sz w:val="32"/>
          <w:szCs w:val="32"/>
        </w:rPr>
      </w:pPr>
      <w:r>
        <w:rPr>
          <w:rFonts w:hint="eastAsia" w:ascii="黑体" w:hAnsi="黑体" w:eastAsia="黑体" w:cs="仿宋"/>
          <w:sz w:val="32"/>
          <w:szCs w:val="32"/>
        </w:rPr>
        <w:t>第四部分 名词解释</w:t>
      </w:r>
    </w:p>
    <w:p>
      <w:pPr>
        <w:pStyle w:val="9"/>
        <w:adjustRightInd w:val="0"/>
        <w:snapToGrid w:val="0"/>
        <w:spacing w:before="0" w:beforeAutospacing="0" w:after="0" w:afterAutospacing="0" w:line="600" w:lineRule="exact"/>
        <w:ind w:firstLine="200"/>
        <w:rPr>
          <w:rFonts w:ascii="黑体" w:hAnsi="黑体" w:eastAsia="黑体"/>
          <w:bCs/>
          <w:sz w:val="36"/>
          <w:szCs w:val="36"/>
        </w:rPr>
      </w:pPr>
    </w:p>
    <w:p>
      <w:pPr>
        <w:pStyle w:val="9"/>
        <w:adjustRightInd w:val="0"/>
        <w:snapToGrid w:val="0"/>
        <w:spacing w:before="0" w:beforeAutospacing="0" w:after="0" w:afterAutospacing="0" w:line="480" w:lineRule="exact"/>
        <w:ind w:firstLine="200"/>
        <w:jc w:val="center"/>
        <w:rPr>
          <w:rFonts w:ascii="黑体" w:hAnsi="黑体" w:eastAsia="黑体" w:cs="Times New Roman"/>
          <w:color w:val="000000"/>
          <w:sz w:val="32"/>
          <w:szCs w:val="32"/>
        </w:rPr>
      </w:pPr>
      <w:r>
        <w:rPr>
          <w:rFonts w:ascii="黑体" w:hAnsi="黑体" w:eastAsia="黑体"/>
          <w:bCs/>
          <w:sz w:val="36"/>
          <w:szCs w:val="36"/>
        </w:rPr>
        <w:br w:type="page"/>
      </w:r>
      <w:r>
        <w:rPr>
          <w:rFonts w:hint="eastAsia" w:ascii="黑体" w:hAnsi="黑体" w:eastAsia="黑体" w:cs="黑体"/>
          <w:color w:val="000000"/>
          <w:sz w:val="32"/>
          <w:szCs w:val="32"/>
        </w:rPr>
        <w:t>第一部分  部门概况</w:t>
      </w:r>
    </w:p>
    <w:p>
      <w:pPr>
        <w:pStyle w:val="9"/>
        <w:widowControl w:val="0"/>
        <w:shd w:val="clear" w:color="auto" w:fill="FFFFFF"/>
        <w:spacing w:before="0" w:beforeAutospacing="0" w:after="0" w:afterAutospacing="0" w:line="480" w:lineRule="exact"/>
        <w:ind w:firstLine="643" w:firstLineChars="200"/>
        <w:rPr>
          <w:rFonts w:ascii="楷体_GB2312" w:eastAsia="楷体_GB2312" w:cs="Times New Roman"/>
          <w:b/>
          <w:bCs/>
          <w:color w:val="000000"/>
          <w:sz w:val="32"/>
          <w:szCs w:val="32"/>
        </w:rPr>
      </w:pPr>
      <w:r>
        <w:rPr>
          <w:rFonts w:hint="eastAsia" w:ascii="楷体_GB2312" w:eastAsia="楷体_GB2312" w:cs="楷体_GB2312"/>
          <w:b/>
          <w:bCs/>
          <w:color w:val="000000"/>
          <w:sz w:val="32"/>
          <w:szCs w:val="32"/>
        </w:rPr>
        <w:t>一、主要职能</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1.为“三会”服务，负责组织协调办理人大常委会、主任会交办的事项。</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2.协调人大常委会机关与外部的联系，负责催办人大常委会、主任会交办的有关事项。</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3.办理常委会人事任免事项，负责本机关人事管理。</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4.协调常委会组成人员，各工作委员会和人大代表进行视察、调查和检查。</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5.保持同人大代表的联系，做好人民来信来访工作。</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6.负责办理上级人大常委会委托的其它工作。</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7.负责起草文件，文书处理，收集整理信息。</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8.负责档案、资料管理和机要保密工作。</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9.负责常委会机关行政事务管理和保卫工作。</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10.负责机关老干部工作。</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11.负责机关学习、党建、</w:t>
      </w:r>
      <w:r>
        <w:rPr>
          <w:rFonts w:hint="eastAsia" w:ascii="仿宋_GB2312" w:hAnsi="宋体" w:eastAsia="仿宋_GB2312" w:cs="仿宋_GB2312"/>
          <w:color w:val="000000"/>
          <w:kern w:val="0"/>
          <w:sz w:val="32"/>
          <w:szCs w:val="32"/>
          <w:lang w:eastAsia="zh-CN"/>
        </w:rPr>
        <w:t>脱贫攻坚</w:t>
      </w:r>
      <w:r>
        <w:rPr>
          <w:rFonts w:hint="eastAsia" w:ascii="仿宋_GB2312" w:hAnsi="宋体" w:eastAsia="仿宋_GB2312" w:cs="仿宋_GB2312"/>
          <w:color w:val="000000"/>
          <w:kern w:val="0"/>
          <w:sz w:val="32"/>
          <w:szCs w:val="32"/>
        </w:rPr>
        <w:t>、社会治安综合治理、计划生育、精神文明建设、文体活动等。</w:t>
      </w:r>
    </w:p>
    <w:p>
      <w:pPr>
        <w:widowControl/>
        <w:tabs>
          <w:tab w:val="left" w:pos="720"/>
        </w:tabs>
        <w:spacing w:line="480" w:lineRule="exact"/>
        <w:ind w:firstLine="640" w:firstLineChars="200"/>
        <w:jc w:val="left"/>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12.办理常委会领导交办的其它事项。</w:t>
      </w:r>
    </w:p>
    <w:p>
      <w:pPr>
        <w:pStyle w:val="9"/>
        <w:widowControl w:val="0"/>
        <w:shd w:val="clear" w:color="auto" w:fill="FFFFFF"/>
        <w:spacing w:before="0" w:beforeAutospacing="0" w:after="0" w:afterAutospacing="0" w:line="480" w:lineRule="exact"/>
        <w:ind w:firstLine="643" w:firstLineChars="200"/>
        <w:rPr>
          <w:rFonts w:ascii="楷体_GB2312" w:eastAsia="楷体_GB2312" w:cs="Times New Roman"/>
          <w:b/>
          <w:bCs/>
          <w:color w:val="000000"/>
          <w:sz w:val="32"/>
          <w:szCs w:val="32"/>
        </w:rPr>
      </w:pPr>
      <w:r>
        <w:rPr>
          <w:rFonts w:hint="eastAsia" w:ascii="楷体_GB2312" w:eastAsia="楷体_GB2312" w:cs="楷体_GB2312"/>
          <w:b/>
          <w:bCs/>
          <w:color w:val="000000"/>
          <w:sz w:val="32"/>
          <w:szCs w:val="32"/>
        </w:rPr>
        <w:t>二、部门预算单位构成</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从预算单位构成看，寿县人大办</w:t>
      </w:r>
      <w:r>
        <w:rPr>
          <w:rFonts w:ascii="仿宋_GB2312" w:hAnsi="华文仿宋" w:eastAsia="仿宋_GB2312" w:cs="仿宋_GB2312"/>
          <w:color w:val="000000"/>
          <w:sz w:val="32"/>
          <w:szCs w:val="32"/>
        </w:rPr>
        <w:t>2018</w:t>
      </w:r>
      <w:r>
        <w:rPr>
          <w:rFonts w:hint="eastAsia" w:ascii="仿宋_GB2312" w:hAnsi="华文仿宋" w:eastAsia="仿宋_GB2312" w:cs="仿宋_GB2312"/>
          <w:color w:val="000000"/>
          <w:sz w:val="32"/>
          <w:szCs w:val="32"/>
        </w:rPr>
        <w:t>年度部门预算为本级预算。</w:t>
      </w:r>
    </w:p>
    <w:tbl>
      <w:tblPr>
        <w:tblStyle w:val="10"/>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Layout w:type="fixed"/>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80" w:lineRule="exact"/>
              <w:jc w:val="center"/>
              <w:rPr>
                <w:rFonts w:ascii="仿宋_GB2312" w:hAnsi="宋体" w:eastAsia="仿宋_GB2312"/>
                <w:sz w:val="32"/>
                <w:szCs w:val="32"/>
              </w:rPr>
            </w:pPr>
            <w:r>
              <w:rPr>
                <w:rFonts w:hint="eastAsia" w:ascii="仿宋_GB2312" w:hAnsi="宋体" w:eastAsia="仿宋_GB2312"/>
                <w:sz w:val="32"/>
                <w:szCs w:val="32"/>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80" w:lineRule="exact"/>
              <w:jc w:val="center"/>
              <w:rPr>
                <w:rFonts w:ascii="仿宋_GB2312" w:hAnsi="宋体" w:eastAsia="仿宋_GB2312"/>
                <w:sz w:val="32"/>
                <w:szCs w:val="32"/>
              </w:rPr>
            </w:pPr>
            <w:r>
              <w:rPr>
                <w:rFonts w:hint="eastAsia" w:ascii="仿宋_GB2312" w:hAnsi="宋体" w:eastAsia="仿宋_GB2312"/>
                <w:sz w:val="32"/>
                <w:szCs w:val="32"/>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480" w:lineRule="exact"/>
              <w:jc w:val="center"/>
              <w:rPr>
                <w:rFonts w:ascii="仿宋_GB2312" w:hAnsi="宋体" w:eastAsia="仿宋_GB2312"/>
                <w:sz w:val="32"/>
                <w:szCs w:val="32"/>
              </w:rPr>
            </w:pPr>
            <w:r>
              <w:rPr>
                <w:rFonts w:hint="eastAsia" w:ascii="仿宋_GB2312" w:hAnsi="宋体" w:eastAsia="仿宋_GB2312"/>
                <w:sz w:val="32"/>
                <w:szCs w:val="32"/>
              </w:rPr>
              <w:t>单位性质</w:t>
            </w:r>
          </w:p>
        </w:tc>
      </w:tr>
      <w:tr>
        <w:tblPrEx>
          <w:tblLayout w:type="fixed"/>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80" w:lineRule="exact"/>
              <w:jc w:val="center"/>
              <w:rPr>
                <w:rFonts w:ascii="仿宋_GB2312" w:hAnsi="宋体" w:eastAsia="仿宋_GB2312" w:cs="宋体"/>
                <w:sz w:val="32"/>
                <w:szCs w:val="32"/>
              </w:rPr>
            </w:pPr>
            <w:r>
              <w:rPr>
                <w:rFonts w:hint="eastAsia" w:ascii="仿宋_GB2312" w:hAnsi="宋体" w:eastAsia="仿宋_GB2312"/>
                <w:sz w:val="32"/>
                <w:szCs w:val="32"/>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80" w:lineRule="exact"/>
              <w:rPr>
                <w:rFonts w:ascii="仿宋_GB2312" w:hAnsi="宋体" w:eastAsia="仿宋_GB2312"/>
                <w:sz w:val="32"/>
                <w:szCs w:val="32"/>
                <w:u w:val="single"/>
              </w:rPr>
            </w:pPr>
            <w:r>
              <w:rPr>
                <w:rFonts w:hint="eastAsia" w:ascii="仿宋_GB2312" w:hAnsi="仿宋" w:eastAsia="仿宋_GB2312" w:cs="仿宋"/>
                <w:bCs/>
                <w:sz w:val="32"/>
                <w:szCs w:val="32"/>
              </w:rPr>
              <w:t>寿县人大办本级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480" w:lineRule="exact"/>
              <w:rPr>
                <w:rFonts w:ascii="仿宋_GB2312" w:hAnsi="宋体" w:eastAsia="仿宋_GB2312"/>
                <w:sz w:val="32"/>
                <w:szCs w:val="32"/>
                <w:u w:val="single"/>
              </w:rPr>
            </w:pPr>
            <w:r>
              <w:rPr>
                <w:rFonts w:hint="eastAsia" w:ascii="仿宋_GB2312" w:hAnsi="仿宋" w:eastAsia="仿宋_GB2312" w:cs="仿宋"/>
                <w:bCs/>
                <w:sz w:val="32"/>
                <w:szCs w:val="32"/>
              </w:rPr>
              <w:t>行政单位</w:t>
            </w:r>
          </w:p>
        </w:tc>
      </w:tr>
      <w:tr>
        <w:tblPrEx>
          <w:tblLayout w:type="fixed"/>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80" w:lineRule="exact"/>
              <w:jc w:val="center"/>
              <w:rPr>
                <w:rFonts w:ascii="仿宋_GB2312" w:hAnsi="宋体" w:eastAsia="仿宋_GB2312" w:cs="宋体"/>
                <w:sz w:val="32"/>
                <w:szCs w:val="32"/>
              </w:rPr>
            </w:pP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480" w:lineRule="exact"/>
              <w:rPr>
                <w:rFonts w:ascii="仿宋_GB2312" w:hAnsi="宋体" w:eastAsia="仿宋_GB2312"/>
                <w:sz w:val="32"/>
                <w:szCs w:val="32"/>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480" w:lineRule="exact"/>
              <w:rPr>
                <w:rFonts w:ascii="仿宋_GB2312" w:hAnsi="宋体" w:eastAsia="仿宋_GB2312"/>
                <w:sz w:val="32"/>
                <w:szCs w:val="32"/>
                <w:u w:val="single"/>
              </w:rPr>
            </w:pPr>
          </w:p>
        </w:tc>
      </w:tr>
    </w:tbl>
    <w:p>
      <w:pPr>
        <w:pStyle w:val="9"/>
        <w:widowControl w:val="0"/>
        <w:shd w:val="clear" w:color="auto" w:fill="FFFFFF"/>
        <w:spacing w:before="0" w:beforeAutospacing="0" w:after="0" w:afterAutospacing="0" w:line="480" w:lineRule="exact"/>
        <w:ind w:firstLine="643" w:firstLineChars="200"/>
        <w:rPr>
          <w:rFonts w:ascii="楷体_GB2312" w:eastAsia="楷体_GB2312" w:cs="Times New Roman"/>
          <w:b/>
          <w:bCs/>
          <w:color w:val="000000"/>
          <w:sz w:val="32"/>
          <w:szCs w:val="32"/>
        </w:rPr>
      </w:pPr>
      <w:r>
        <w:rPr>
          <w:rFonts w:hint="eastAsia" w:ascii="楷体_GB2312" w:eastAsia="楷体_GB2312" w:cs="楷体_GB2312"/>
          <w:b/>
          <w:bCs/>
          <w:color w:val="000000"/>
          <w:sz w:val="32"/>
          <w:szCs w:val="32"/>
        </w:rPr>
        <w:t>三、2019年主要工作任务</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1、坚持把政治建设摆在首位；坚持把党的领导</w:t>
      </w:r>
      <w:bookmarkStart w:id="0" w:name="_GoBack"/>
      <w:bookmarkEnd w:id="0"/>
      <w:r>
        <w:rPr>
          <w:rFonts w:hint="eastAsia" w:ascii="仿宋_GB2312" w:hAnsi="华文仿宋" w:eastAsia="仿宋_GB2312" w:cs="仿宋_GB2312"/>
          <w:color w:val="000000"/>
          <w:sz w:val="32"/>
          <w:szCs w:val="32"/>
        </w:rPr>
        <w:t>贯穿人大工作各方面；认真履行重大事项决定权；坚持党管干部和人大依法任免相统一的原则；积极参与中心工作。</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2、加强对经济工作的监督；积极推进高质量发展；加强对监察和司法工作的监督；保障民生改善。</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3、制定代表工作年度计划；健全完善议案建议督办制度；强化代表履职管理；拓宽代表履职渠道；认真落实“双联系”制度。</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4、加强机关党的建设；加强党风廉政建设；落实意识形态工作责任制；着力建设“两个机关”；支持全面深化改革；深入落实县委《关于进一步加强人大工作和建设的意见》；积极配合上级人大常委会做好视察调研等工作。</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p>
    <w:p>
      <w:pPr>
        <w:pStyle w:val="9"/>
        <w:widowControl w:val="0"/>
        <w:shd w:val="clear" w:color="auto" w:fill="FFFFFF"/>
        <w:spacing w:before="0" w:beforeAutospacing="0" w:after="0" w:afterAutospacing="0" w:line="480" w:lineRule="exact"/>
        <w:jc w:val="center"/>
        <w:rPr>
          <w:rFonts w:ascii="黑体" w:hAnsi="黑体" w:eastAsia="黑体" w:cs="Times New Roman"/>
          <w:color w:val="000000"/>
          <w:sz w:val="32"/>
          <w:szCs w:val="32"/>
        </w:rPr>
      </w:pPr>
      <w:r>
        <w:rPr>
          <w:rFonts w:hint="eastAsia" w:ascii="黑体" w:hAnsi="黑体" w:eastAsia="黑体" w:cs="黑体"/>
          <w:color w:val="000000"/>
          <w:sz w:val="32"/>
          <w:szCs w:val="32"/>
        </w:rPr>
        <w:t xml:space="preserve">第二部分  </w:t>
      </w:r>
      <w:r>
        <w:rPr>
          <w:rFonts w:ascii="黑体" w:hAnsi="黑体" w:eastAsia="黑体" w:cs="黑体"/>
          <w:color w:val="000000"/>
          <w:sz w:val="32"/>
          <w:szCs w:val="32"/>
        </w:rPr>
        <w:t>201</w:t>
      </w:r>
      <w:r>
        <w:rPr>
          <w:rFonts w:hint="eastAsia" w:ascii="黑体" w:hAnsi="黑体" w:eastAsia="黑体" w:cs="黑体"/>
          <w:color w:val="000000"/>
          <w:sz w:val="32"/>
          <w:szCs w:val="32"/>
        </w:rPr>
        <w:t>9年部门预算表</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rPr>
        <w:t>见附件：人大办2019部门预算公开表.xls</w:t>
      </w:r>
    </w:p>
    <w:p>
      <w:pPr>
        <w:pStyle w:val="9"/>
        <w:widowControl w:val="0"/>
        <w:shd w:val="clear" w:color="auto" w:fill="FFFFFF"/>
        <w:spacing w:before="0" w:beforeAutospacing="0" w:after="0" w:afterAutospacing="0" w:line="480" w:lineRule="exact"/>
        <w:ind w:firstLine="640" w:firstLineChars="200"/>
        <w:rPr>
          <w:rFonts w:ascii="仿宋_GB2312" w:hAnsi="华文仿宋" w:eastAsia="仿宋_GB2312" w:cs="仿宋_GB2312"/>
          <w:color w:val="000000"/>
          <w:sz w:val="32"/>
          <w:szCs w:val="32"/>
        </w:rPr>
      </w:pPr>
    </w:p>
    <w:p>
      <w:pPr>
        <w:pStyle w:val="9"/>
        <w:widowControl w:val="0"/>
        <w:shd w:val="clear" w:color="auto" w:fill="FFFFFF"/>
        <w:spacing w:before="0" w:beforeAutospacing="0" w:after="0" w:afterAutospacing="0" w:line="480" w:lineRule="exact"/>
        <w:jc w:val="center"/>
        <w:rPr>
          <w:rFonts w:ascii="黑体" w:hAnsi="黑体" w:eastAsia="黑体" w:cs="Times New Roman"/>
          <w:color w:val="000000"/>
          <w:sz w:val="32"/>
          <w:szCs w:val="32"/>
        </w:rPr>
      </w:pPr>
      <w:r>
        <w:rPr>
          <w:rFonts w:hint="eastAsia" w:ascii="黑体" w:hAnsi="黑体" w:eastAsia="黑体" w:cs="黑体"/>
          <w:color w:val="000000"/>
          <w:sz w:val="32"/>
          <w:szCs w:val="32"/>
        </w:rPr>
        <w:t xml:space="preserve">第三部分   </w:t>
      </w:r>
      <w:r>
        <w:rPr>
          <w:rFonts w:ascii="黑体" w:hAnsi="黑体" w:eastAsia="黑体" w:cs="黑体"/>
          <w:color w:val="000000"/>
          <w:sz w:val="32"/>
          <w:szCs w:val="32"/>
        </w:rPr>
        <w:t>201</w:t>
      </w:r>
      <w:r>
        <w:rPr>
          <w:rFonts w:hint="eastAsia" w:ascii="黑体" w:hAnsi="黑体" w:eastAsia="黑体" w:cs="黑体"/>
          <w:color w:val="000000"/>
          <w:sz w:val="32"/>
          <w:szCs w:val="32"/>
        </w:rPr>
        <w:t>9年部门预算安排情况说明</w:t>
      </w:r>
    </w:p>
    <w:p>
      <w:pPr>
        <w:pStyle w:val="9"/>
        <w:widowControl w:val="0"/>
        <w:shd w:val="clear" w:color="auto" w:fill="FFFFFF"/>
        <w:spacing w:before="0" w:beforeAutospacing="0" w:after="0" w:afterAutospacing="0" w:line="480" w:lineRule="exact"/>
        <w:ind w:firstLine="643" w:firstLineChars="200"/>
        <w:rPr>
          <w:rFonts w:ascii="楷体_GB2312" w:hAnsi="楷体" w:eastAsia="楷体_GB2312" w:cs="Times New Roman"/>
          <w:b/>
          <w:bCs/>
          <w:color w:val="000000"/>
          <w:sz w:val="32"/>
          <w:szCs w:val="32"/>
        </w:rPr>
      </w:pPr>
      <w:r>
        <w:rPr>
          <w:rFonts w:hint="eastAsia" w:ascii="楷体_GB2312" w:hAnsi="楷体" w:eastAsia="楷体_GB2312" w:cs="楷体_GB2312"/>
          <w:b/>
          <w:bCs/>
          <w:color w:val="000000"/>
          <w:sz w:val="32"/>
          <w:szCs w:val="32"/>
        </w:rPr>
        <w:t>一、</w:t>
      </w:r>
      <w:r>
        <w:rPr>
          <w:rFonts w:hint="eastAsia" w:ascii="楷体_GB2312" w:hAnsi="楷体" w:eastAsia="楷体_GB2312" w:cs="仿宋"/>
          <w:b/>
          <w:bCs/>
          <w:sz w:val="32"/>
          <w:szCs w:val="32"/>
        </w:rPr>
        <w:t>关于2019年财政拨款收支预算总体情况说明</w:t>
      </w:r>
    </w:p>
    <w:p>
      <w:pPr>
        <w:pStyle w:val="9"/>
        <w:widowControl w:val="0"/>
        <w:adjustRightInd w:val="0"/>
        <w:snapToGrid w:val="0"/>
        <w:spacing w:before="0" w:beforeAutospacing="0" w:after="0" w:afterAutospacing="0" w:line="480" w:lineRule="exact"/>
        <w:ind w:firstLine="640" w:firstLineChars="200"/>
        <w:rPr>
          <w:rFonts w:ascii="仿宋_GB2312" w:eastAsia="仿宋_GB2312" w:cs="Times New Roman"/>
          <w:color w:val="000000"/>
          <w:sz w:val="32"/>
          <w:szCs w:val="32"/>
        </w:rPr>
      </w:pPr>
      <w:r>
        <w:rPr>
          <w:rFonts w:hint="eastAsia" w:ascii="仿宋_GB2312" w:hAnsi="仿宋" w:eastAsia="仿宋_GB2312" w:cs="Times New Roman"/>
          <w:kern w:val="2"/>
          <w:sz w:val="32"/>
          <w:szCs w:val="32"/>
        </w:rPr>
        <w:t>寿县人大办2019年财政拨款收支预算375.53万元。收入来源全部为一般公共预算拨款，共375.53万元。支出按功能分类分为：一般公共服务支出340.16万元，占90.58%；社会保障和就业支出10.06万元，占2.68%；卫生健康支出8.89万元，占2.37%；住房保障支出16.42万元，占4.37%。</w:t>
      </w:r>
    </w:p>
    <w:p>
      <w:pPr>
        <w:pStyle w:val="9"/>
        <w:adjustRightInd w:val="0"/>
        <w:snapToGrid w:val="0"/>
        <w:spacing w:before="0" w:beforeAutospacing="0" w:after="0" w:afterAutospacing="0" w:line="480" w:lineRule="exact"/>
        <w:ind w:firstLine="643" w:firstLineChars="200"/>
        <w:rPr>
          <w:rFonts w:ascii="楷体_GB2312" w:hAnsi="仿宋" w:eastAsia="楷体_GB2312" w:cs="仿宋"/>
          <w:b/>
          <w:bCs/>
          <w:sz w:val="32"/>
          <w:szCs w:val="32"/>
        </w:rPr>
      </w:pPr>
      <w:r>
        <w:rPr>
          <w:rFonts w:hint="eastAsia" w:ascii="楷体_GB2312" w:eastAsia="楷体_GB2312" w:cs="楷体_GB2312"/>
          <w:b/>
          <w:bCs/>
          <w:color w:val="000000"/>
          <w:sz w:val="32"/>
          <w:szCs w:val="32"/>
        </w:rPr>
        <w:t>二、</w:t>
      </w:r>
      <w:r>
        <w:rPr>
          <w:rFonts w:hint="eastAsia" w:ascii="楷体_GB2312" w:hAnsi="仿宋" w:eastAsia="楷体_GB2312" w:cs="仿宋"/>
          <w:b/>
          <w:bCs/>
          <w:sz w:val="32"/>
          <w:szCs w:val="32"/>
        </w:rPr>
        <w:t>关于2019年一般公共预算财政拨款情况说明</w:t>
      </w:r>
    </w:p>
    <w:p>
      <w:pPr>
        <w:pStyle w:val="9"/>
        <w:widowControl w:val="0"/>
        <w:adjustRightInd w:val="0"/>
        <w:snapToGrid w:val="0"/>
        <w:spacing w:before="0" w:beforeAutospacing="0" w:after="0" w:afterAutospacing="0" w:line="48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9"/>
        <w:widowControl w:val="0"/>
        <w:adjustRightInd w:val="0"/>
        <w:snapToGrid w:val="0"/>
        <w:spacing w:before="0" w:beforeAutospacing="0" w:after="0" w:afterAutospacing="0" w:line="48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寿县人大办2019年一般公共预算拨款375.53万元，比2018年预算拨款减少7.85万元，下降2.05%，主要原因是2018年当年3人退休。</w:t>
      </w:r>
    </w:p>
    <w:p>
      <w:pPr>
        <w:pStyle w:val="9"/>
        <w:widowControl w:val="0"/>
        <w:adjustRightInd w:val="0"/>
        <w:snapToGrid w:val="0"/>
        <w:spacing w:before="0" w:beforeAutospacing="0" w:after="0" w:afterAutospacing="0" w:line="48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(二)一般公共预算拨款结构情况</w:t>
      </w:r>
    </w:p>
    <w:p>
      <w:pPr>
        <w:pStyle w:val="9"/>
        <w:widowControl w:val="0"/>
        <w:adjustRightInd w:val="0"/>
        <w:snapToGrid w:val="0"/>
        <w:spacing w:before="0" w:beforeAutospacing="0" w:after="0" w:afterAutospacing="0" w:line="480" w:lineRule="exact"/>
        <w:ind w:firstLine="627" w:firstLineChars="196"/>
        <w:rPr>
          <w:rFonts w:ascii="仿宋_GB2312" w:hAnsi="仿宋" w:eastAsia="仿宋_GB2312" w:cs="Times New Roman"/>
          <w:kern w:val="2"/>
          <w:sz w:val="32"/>
          <w:szCs w:val="32"/>
        </w:rPr>
      </w:pPr>
      <w:r>
        <w:rPr>
          <w:rFonts w:hint="eastAsia" w:ascii="仿宋_GB2312" w:hAnsi="仿宋" w:eastAsia="仿宋_GB2312"/>
          <w:sz w:val="32"/>
          <w:szCs w:val="32"/>
        </w:rPr>
        <w:t>一般公共服务支出（类）人大事务（款）行政运行（项）</w:t>
      </w:r>
      <w:r>
        <w:rPr>
          <w:rFonts w:hint="eastAsia" w:ascii="仿宋_GB2312" w:hAnsi="仿宋" w:eastAsia="仿宋_GB2312" w:cs="Times New Roman"/>
          <w:kern w:val="2"/>
          <w:sz w:val="32"/>
          <w:szCs w:val="32"/>
        </w:rPr>
        <w:t>340.16万元，占90.58%；</w:t>
      </w:r>
      <w:r>
        <w:rPr>
          <w:rFonts w:hint="eastAsia" w:ascii="仿宋_GB2312" w:hAnsi="仿宋" w:eastAsia="仿宋_GB2312"/>
          <w:sz w:val="32"/>
          <w:szCs w:val="32"/>
        </w:rPr>
        <w:t>社会保障和就业支出（类）行政事业单位离退休（款）归口管理的行政事业单位离退休（项）</w:t>
      </w:r>
      <w:r>
        <w:rPr>
          <w:rFonts w:hint="eastAsia" w:ascii="仿宋_GB2312" w:hAnsi="仿宋" w:eastAsia="仿宋_GB2312" w:cs="Times New Roman"/>
          <w:kern w:val="2"/>
          <w:sz w:val="32"/>
          <w:szCs w:val="32"/>
        </w:rPr>
        <w:t>10.06万元，占2.68%；</w:t>
      </w:r>
      <w:r>
        <w:rPr>
          <w:rFonts w:hint="eastAsia" w:ascii="仿宋_GB2312" w:hAnsi="仿宋" w:eastAsia="仿宋_GB2312"/>
          <w:sz w:val="32"/>
          <w:szCs w:val="32"/>
        </w:rPr>
        <w:t>卫生健康支出（类）行政单位医疗（款）医疗保险支出（项）</w:t>
      </w:r>
      <w:r>
        <w:rPr>
          <w:rFonts w:hint="eastAsia" w:ascii="仿宋_GB2312" w:hAnsi="仿宋" w:eastAsia="仿宋_GB2312" w:cs="Times New Roman"/>
          <w:kern w:val="2"/>
          <w:sz w:val="32"/>
          <w:szCs w:val="32"/>
        </w:rPr>
        <w:t>8.89万元，占2.37%；</w:t>
      </w:r>
      <w:r>
        <w:rPr>
          <w:rFonts w:hint="eastAsia" w:ascii="仿宋_GB2312" w:hAnsi="仿宋" w:eastAsia="仿宋_GB2312"/>
          <w:sz w:val="32"/>
          <w:szCs w:val="32"/>
        </w:rPr>
        <w:t>住房保障支出（类）住房改革支出（款）住房公积金（项）</w:t>
      </w:r>
      <w:r>
        <w:rPr>
          <w:rFonts w:hint="eastAsia" w:ascii="仿宋_GB2312" w:hAnsi="仿宋" w:eastAsia="仿宋_GB2312" w:cs="Times New Roman"/>
          <w:kern w:val="2"/>
          <w:sz w:val="32"/>
          <w:szCs w:val="32"/>
        </w:rPr>
        <w:t>16.42万元，占4.37%。</w:t>
      </w:r>
    </w:p>
    <w:p>
      <w:pPr>
        <w:adjustRightInd w:val="0"/>
        <w:snapToGrid w:val="0"/>
        <w:spacing w:line="480" w:lineRule="exact"/>
        <w:ind w:firstLine="643" w:firstLineChars="200"/>
        <w:jc w:val="left"/>
        <w:rPr>
          <w:rFonts w:ascii="楷体_GB2312" w:hAnsi="仿宋" w:eastAsia="楷体_GB2312"/>
          <w:b/>
          <w:sz w:val="32"/>
          <w:szCs w:val="32"/>
        </w:rPr>
      </w:pPr>
      <w:r>
        <w:rPr>
          <w:rFonts w:hint="eastAsia" w:ascii="楷体_GB2312" w:hAnsi="仿宋" w:eastAsia="楷体_GB2312"/>
          <w:b/>
          <w:sz w:val="32"/>
          <w:szCs w:val="32"/>
        </w:rPr>
        <w:t>(三)一般公共预算拨款具体使用情况</w:t>
      </w:r>
    </w:p>
    <w:p>
      <w:pPr>
        <w:adjustRightInd w:val="0"/>
        <w:snapToGrid w:val="0"/>
        <w:spacing w:line="48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1.</w:t>
      </w:r>
      <w:r>
        <w:rPr>
          <w:rFonts w:hint="eastAsia" w:ascii="仿宋_GB2312" w:hAnsi="仿宋"/>
          <w:b/>
          <w:sz w:val="32"/>
          <w:szCs w:val="32"/>
        </w:rPr>
        <w:t xml:space="preserve"> </w:t>
      </w:r>
      <w:r>
        <w:rPr>
          <w:rFonts w:hint="eastAsia" w:ascii="仿宋_GB2312" w:hAnsi="仿宋" w:eastAsia="仿宋_GB2312"/>
          <w:b/>
          <w:sz w:val="32"/>
          <w:szCs w:val="32"/>
        </w:rPr>
        <w:t>一般公共服务支出（类）人大事务（款）行政运行（项）</w:t>
      </w:r>
      <w:r>
        <w:rPr>
          <w:rFonts w:hint="eastAsia" w:ascii="仿宋_GB2312" w:hAnsi="仿宋" w:eastAsia="仿宋_GB2312"/>
          <w:sz w:val="32"/>
          <w:szCs w:val="32"/>
        </w:rPr>
        <w:t>2019年预算340.16万元，比2018年预算增加8.18万元，增长2.46%，增长原因主要是2019年预算县乡人大代表培训费用。</w:t>
      </w:r>
    </w:p>
    <w:p>
      <w:pPr>
        <w:adjustRightInd w:val="0"/>
        <w:snapToGrid w:val="0"/>
        <w:spacing w:line="48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2.社会保障和就业支出（类）行政事业单位离退休（款）归口管理的行政事业单位离退休（项）</w:t>
      </w:r>
      <w:r>
        <w:rPr>
          <w:rFonts w:hint="eastAsia" w:ascii="仿宋_GB2312" w:hAnsi="仿宋" w:eastAsia="仿宋_GB2312"/>
          <w:sz w:val="32"/>
          <w:szCs w:val="32"/>
        </w:rPr>
        <w:t>2019年预算10.06万元，比2018年预算增加1.8万元，增长21.79%，增长原因主要是离休人员护理费增长1.8万元。</w:t>
      </w:r>
    </w:p>
    <w:p>
      <w:pPr>
        <w:adjustRightInd w:val="0"/>
        <w:snapToGrid w:val="0"/>
        <w:spacing w:line="600" w:lineRule="exact"/>
        <w:ind w:firstLine="643"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sz w:val="32"/>
          <w:szCs w:val="32"/>
        </w:rPr>
        <w:t>3.卫生健康支出（类）行政单位医疗（款）医疗保险支出（项）</w:t>
      </w:r>
      <w:r>
        <w:rPr>
          <w:rFonts w:hint="eastAsia" w:ascii="仿宋_GB2312" w:hAnsi="仿宋" w:eastAsia="仿宋_GB2312"/>
          <w:sz w:val="32"/>
          <w:szCs w:val="32"/>
        </w:rPr>
        <w:t>2019年预算8.89万元，比2018年预算增加</w:t>
      </w:r>
      <w:r>
        <w:rPr>
          <w:rFonts w:hint="eastAsia" w:ascii="仿宋_GB2312" w:hAnsi="仿宋" w:eastAsia="仿宋_GB2312"/>
          <w:color w:val="000000" w:themeColor="text1"/>
          <w:sz w:val="32"/>
          <w:szCs w:val="32"/>
          <w14:textFill>
            <w14:solidFill>
              <w14:schemeClr w14:val="tx1"/>
            </w14:solidFill>
          </w14:textFill>
        </w:rPr>
        <w:t>0.39万元，增长4.59%，增长的主要原因是人均月工资增加，医疗保险支出增加。</w:t>
      </w:r>
    </w:p>
    <w:p>
      <w:pPr>
        <w:adjustRightInd w:val="0"/>
        <w:snapToGrid w:val="0"/>
        <w:spacing w:line="48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4.住房保障支出（类）住房改革支出（款）住房公积金（项）</w:t>
      </w:r>
      <w:r>
        <w:rPr>
          <w:rFonts w:hint="eastAsia" w:ascii="仿宋_GB2312" w:hAnsi="仿宋" w:eastAsia="仿宋_GB2312"/>
          <w:sz w:val="32"/>
          <w:szCs w:val="32"/>
        </w:rPr>
        <w:t>2019年预算16.42万元，比2018年预算减少3.12万元，下降15.97%，下降原因主要是2018年当年退休3人，导致公积金减少。</w:t>
      </w:r>
    </w:p>
    <w:p>
      <w:pPr>
        <w:pStyle w:val="9"/>
        <w:adjustRightInd w:val="0"/>
        <w:snapToGrid w:val="0"/>
        <w:spacing w:before="0" w:beforeAutospacing="0" w:after="0" w:afterAutospacing="0" w:line="480" w:lineRule="exact"/>
        <w:ind w:firstLine="643" w:firstLineChars="200"/>
        <w:outlineLvl w:val="0"/>
        <w:rPr>
          <w:rFonts w:ascii="楷体_GB2312" w:hAnsi="仿宋" w:eastAsia="楷体_GB2312" w:cs="仿宋"/>
          <w:b/>
          <w:bCs/>
          <w:sz w:val="32"/>
          <w:szCs w:val="32"/>
        </w:rPr>
      </w:pPr>
      <w:r>
        <w:rPr>
          <w:rFonts w:hint="eastAsia" w:ascii="楷体_GB2312" w:eastAsia="楷体_GB2312" w:cs="楷体_GB2312"/>
          <w:b/>
          <w:bCs/>
          <w:color w:val="000000"/>
          <w:sz w:val="32"/>
          <w:szCs w:val="32"/>
        </w:rPr>
        <w:t>三、</w:t>
      </w:r>
      <w:r>
        <w:rPr>
          <w:rFonts w:hint="eastAsia" w:ascii="楷体_GB2312" w:hAnsi="仿宋" w:eastAsia="楷体_GB2312" w:cs="仿宋"/>
          <w:b/>
          <w:bCs/>
          <w:sz w:val="32"/>
          <w:szCs w:val="32"/>
        </w:rPr>
        <w:t>关于2019年一般公共预算基本支出情况说明</w:t>
      </w:r>
    </w:p>
    <w:p>
      <w:pPr>
        <w:pStyle w:val="9"/>
        <w:widowControl w:val="0"/>
        <w:adjustRightInd w:val="0"/>
        <w:snapToGrid w:val="0"/>
        <w:spacing w:before="0" w:beforeAutospacing="0" w:after="0" w:afterAutospacing="0" w:line="48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寿县人大办</w:t>
      </w:r>
      <w:r>
        <w:rPr>
          <w:rFonts w:hint="eastAsia" w:ascii="仿宋_GB2312" w:hAnsi="仿宋" w:eastAsia="仿宋_GB2312"/>
          <w:sz w:val="32"/>
          <w:szCs w:val="32"/>
        </w:rPr>
        <w:t>2019年一般公共预算基本支出375.53万元，其中：</w:t>
      </w:r>
    </w:p>
    <w:p>
      <w:pPr>
        <w:pStyle w:val="9"/>
        <w:widowControl w:val="0"/>
        <w:adjustRightInd w:val="0"/>
        <w:snapToGrid w:val="0"/>
        <w:spacing w:before="0" w:beforeAutospacing="0" w:after="0" w:afterAutospacing="0" w:line="480" w:lineRule="exact"/>
        <w:ind w:firstLine="640" w:firstLineChars="200"/>
        <w:rPr>
          <w:rFonts w:ascii="仿宋_GB2312" w:eastAsia="仿宋_GB2312" w:cs="仿宋_GB2312"/>
          <w:color w:val="000000"/>
          <w:sz w:val="32"/>
          <w:szCs w:val="32"/>
        </w:rPr>
      </w:pPr>
      <w:r>
        <w:rPr>
          <w:rFonts w:hint="eastAsia" w:ascii="仿宋_GB2312" w:hAnsi="仿宋" w:eastAsia="仿宋_GB2312"/>
          <w:sz w:val="32"/>
          <w:szCs w:val="32"/>
        </w:rPr>
        <w:t>工资福利支出190.34万元，主要包括：基本工资、津贴补贴、机关事业单位基本养老保险缴费、职工基本医疗保险缴费、住房公积金、医疗费、其他工资福利支出等。商品和服务支出173.12万元，主要包括：办公费、印刷费、邮电费、差旅费、会议费、培训费、工会经费、其他商品和服务支出等。对个人和家庭的补助12.07万元，主要包括：离休费、遗属补助等。</w:t>
      </w:r>
    </w:p>
    <w:p>
      <w:pPr>
        <w:pStyle w:val="9"/>
        <w:widowControl w:val="0"/>
        <w:adjustRightInd w:val="0"/>
        <w:snapToGrid w:val="0"/>
        <w:spacing w:before="0" w:beforeAutospacing="0" w:after="0" w:afterAutospacing="0" w:line="4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四、关于2019年政府性基金预算拨款情况说明</w:t>
      </w:r>
    </w:p>
    <w:p>
      <w:pPr>
        <w:pStyle w:val="9"/>
        <w:widowControl w:val="0"/>
        <w:adjustRightInd w:val="0"/>
        <w:snapToGrid w:val="0"/>
        <w:spacing w:before="0" w:beforeAutospacing="0" w:after="0" w:afterAutospacing="0" w:line="48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寿县人大办</w:t>
      </w:r>
      <w:r>
        <w:rPr>
          <w:rFonts w:hint="eastAsia" w:ascii="仿宋_GB2312" w:hAnsi="仿宋" w:eastAsia="仿宋_GB2312"/>
          <w:sz w:val="32"/>
          <w:szCs w:val="32"/>
        </w:rPr>
        <w:t>2019年没有政府性基金预算拨款收入，也没有使用政府性基金预算拨款安排的支出。</w:t>
      </w:r>
    </w:p>
    <w:p>
      <w:pPr>
        <w:pStyle w:val="9"/>
        <w:widowControl w:val="0"/>
        <w:adjustRightInd w:val="0"/>
        <w:snapToGrid w:val="0"/>
        <w:spacing w:before="0" w:beforeAutospacing="0" w:after="0" w:afterAutospacing="0" w:line="4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五、关于2019年国有资本经营预算拨款情况说明</w:t>
      </w:r>
    </w:p>
    <w:p>
      <w:pPr>
        <w:pStyle w:val="9"/>
        <w:widowControl w:val="0"/>
        <w:adjustRightInd w:val="0"/>
        <w:snapToGrid w:val="0"/>
        <w:spacing w:before="0" w:beforeAutospacing="0" w:after="0" w:afterAutospacing="0" w:line="48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寿县人大办</w:t>
      </w:r>
      <w:r>
        <w:rPr>
          <w:rFonts w:hint="eastAsia" w:ascii="仿宋_GB2312" w:hAnsi="仿宋" w:eastAsia="仿宋_GB2312"/>
          <w:sz w:val="32"/>
          <w:szCs w:val="32"/>
        </w:rPr>
        <w:t>2019年没有国有资本经营预算拨款收入，也没有使用国有资本经营预算拨款安排的支出。</w:t>
      </w:r>
    </w:p>
    <w:p>
      <w:pPr>
        <w:pStyle w:val="9"/>
        <w:widowControl w:val="0"/>
        <w:adjustRightInd w:val="0"/>
        <w:snapToGrid w:val="0"/>
        <w:spacing w:before="0" w:beforeAutospacing="0" w:after="0" w:afterAutospacing="0" w:line="4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六、关于2019年收支预算总体情况说明</w:t>
      </w:r>
    </w:p>
    <w:p>
      <w:pPr>
        <w:pStyle w:val="9"/>
        <w:widowControl w:val="0"/>
        <w:adjustRightInd w:val="0"/>
        <w:snapToGrid w:val="0"/>
        <w:spacing w:before="0" w:beforeAutospacing="0" w:after="0" w:afterAutospacing="0" w:line="480" w:lineRule="exact"/>
        <w:ind w:firstLine="627" w:firstLineChars="196"/>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寿县人大办</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寿县人大办</w:t>
      </w:r>
      <w:r>
        <w:rPr>
          <w:rFonts w:hint="eastAsia" w:ascii="仿宋_GB2312" w:hAnsi="仿宋" w:eastAsia="仿宋_GB2312"/>
          <w:sz w:val="32"/>
          <w:szCs w:val="32"/>
        </w:rPr>
        <w:t>2019年收支总预算375.53万元，收入全部是一般公共预算拨款收入，支出包括：一般公共服务、社会保障和就业支出、卫生健康支出、住房保障支出等。</w:t>
      </w:r>
    </w:p>
    <w:p>
      <w:pPr>
        <w:pStyle w:val="9"/>
        <w:widowControl w:val="0"/>
        <w:adjustRightInd w:val="0"/>
        <w:snapToGrid w:val="0"/>
        <w:spacing w:before="0" w:beforeAutospacing="0" w:after="0" w:afterAutospacing="0" w:line="480" w:lineRule="exact"/>
        <w:ind w:firstLine="630" w:firstLineChars="196"/>
        <w:rPr>
          <w:rFonts w:ascii="楷体_GB2312" w:hAnsi="黑体" w:eastAsia="楷体_GB2312"/>
          <w:b/>
          <w:sz w:val="32"/>
          <w:szCs w:val="32"/>
        </w:rPr>
      </w:pPr>
      <w:r>
        <w:rPr>
          <w:rFonts w:hint="eastAsia" w:ascii="楷体_GB2312" w:hAnsi="黑体" w:eastAsia="楷体_GB2312"/>
          <w:b/>
          <w:sz w:val="32"/>
          <w:szCs w:val="32"/>
        </w:rPr>
        <w:t>七、关于2019年收入预算情况说明</w:t>
      </w:r>
    </w:p>
    <w:p>
      <w:pPr>
        <w:adjustRightInd w:val="0"/>
        <w:snapToGrid w:val="0"/>
        <w:spacing w:line="4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寿县人大办2019年收入预算375.53万元，全部为一般公共预算拨款收入，比2018年预算减少7.85万元，下降2.05%，下降原因主要是2018年当年3人退休。</w:t>
      </w:r>
    </w:p>
    <w:p>
      <w:pPr>
        <w:adjustRightInd w:val="0"/>
        <w:snapToGrid w:val="0"/>
        <w:spacing w:line="480" w:lineRule="exact"/>
        <w:ind w:firstLine="643" w:firstLineChars="200"/>
        <w:jc w:val="left"/>
        <w:rPr>
          <w:rFonts w:ascii="楷体_GB2312" w:hAnsi="黑体" w:eastAsia="楷体_GB2312"/>
          <w:b/>
          <w:sz w:val="32"/>
          <w:szCs w:val="32"/>
        </w:rPr>
      </w:pPr>
      <w:r>
        <w:rPr>
          <w:rFonts w:hint="eastAsia" w:ascii="楷体_GB2312" w:hAnsi="黑体" w:eastAsia="楷体_GB2312"/>
          <w:b/>
          <w:sz w:val="32"/>
          <w:szCs w:val="32"/>
        </w:rPr>
        <w:t>八、关于2019年支出预算情况说明</w:t>
      </w:r>
    </w:p>
    <w:p>
      <w:pPr>
        <w:adjustRightInd w:val="0"/>
        <w:snapToGrid w:val="0"/>
        <w:spacing w:line="4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寿县人大办2019年支出预算375.53万元，比2018年预算减少7.85万元，下降2.05%，下降原因主要是2018年当年3人退休。全部支出375.53万元都是基本支出，主要用于保障机构日常运转、完成年度工作计划、围绕全县中心开展工作等。</w:t>
      </w:r>
    </w:p>
    <w:p>
      <w:pPr>
        <w:widowControl/>
        <w:spacing w:line="48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 xml:space="preserve">九、关于2019年“三公”经费财政拨款预算情况说明 </w:t>
      </w:r>
    </w:p>
    <w:p>
      <w:pPr>
        <w:pStyle w:val="9"/>
        <w:adjustRightInd w:val="0"/>
        <w:snapToGrid w:val="0"/>
        <w:spacing w:before="0" w:beforeAutospacing="0" w:after="0" w:afterAutospacing="0" w:line="48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1.因公出国（境）费用： 2019年人大办未安排因公出国（境）费用。</w:t>
      </w:r>
    </w:p>
    <w:p>
      <w:pPr>
        <w:pStyle w:val="9"/>
        <w:adjustRightInd w:val="0"/>
        <w:snapToGrid w:val="0"/>
        <w:spacing w:before="0" w:beforeAutospacing="0" w:after="0" w:afterAutospacing="0" w:line="48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2.公务接待费：2019年安排公务接待费预算33万元，与上年预算数持平。</w:t>
      </w:r>
      <w:r>
        <w:rPr>
          <w:rFonts w:hint="eastAsia" w:ascii="仿宋_GB2312" w:eastAsia="仿宋_GB2312" w:cs="仿宋_GB2312"/>
          <w:color w:val="000000"/>
          <w:sz w:val="32"/>
          <w:szCs w:val="32"/>
        </w:rPr>
        <w:t>主要</w:t>
      </w:r>
      <w:r>
        <w:rPr>
          <w:rFonts w:hint="eastAsia" w:ascii="仿宋_GB2312" w:hAnsi="Verdana" w:eastAsia="仿宋_GB2312" w:cs="仿宋_GB2312"/>
          <w:color w:val="000000"/>
          <w:sz w:val="32"/>
          <w:szCs w:val="32"/>
        </w:rPr>
        <w:t>用于接待省市人大来寿视察、检查和调研及外省市县人大来寿考察、指导和工作调研等公务往来支出。人大办在公务接待经费支出方面近几年已大幅压缩，收支基本持平。</w:t>
      </w:r>
    </w:p>
    <w:p>
      <w:pPr>
        <w:pStyle w:val="9"/>
        <w:adjustRightInd w:val="0"/>
        <w:snapToGrid w:val="0"/>
        <w:spacing w:before="0" w:beforeAutospacing="0" w:after="0" w:afterAutospacing="0" w:line="48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3.公务用车购置及运行维护费：</w:t>
      </w:r>
      <w:r>
        <w:rPr>
          <w:rFonts w:ascii="仿宋_GB2312" w:eastAsia="仿宋_GB2312" w:cs="仿宋_GB2312"/>
          <w:color w:val="000000"/>
          <w:sz w:val="32"/>
          <w:szCs w:val="32"/>
        </w:rPr>
        <w:t>201</w:t>
      </w:r>
      <w:r>
        <w:rPr>
          <w:rFonts w:hint="eastAsia" w:ascii="仿宋_GB2312" w:eastAsia="仿宋_GB2312" w:cs="仿宋_GB2312"/>
          <w:color w:val="000000"/>
          <w:sz w:val="32"/>
          <w:szCs w:val="32"/>
        </w:rPr>
        <w:t>9年安排公务用车购置及运行维护费预算</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万元。公车改革后，人大办无公务用车。</w:t>
      </w:r>
    </w:p>
    <w:p>
      <w:pPr>
        <w:adjustRightInd w:val="0"/>
        <w:snapToGrid w:val="0"/>
        <w:spacing w:line="480" w:lineRule="exact"/>
        <w:ind w:firstLine="643" w:firstLineChars="200"/>
        <w:jc w:val="left"/>
        <w:rPr>
          <w:rFonts w:ascii="楷体_GB2312" w:hAnsi="黑体" w:eastAsia="楷体_GB2312"/>
          <w:b/>
          <w:sz w:val="32"/>
          <w:szCs w:val="32"/>
        </w:rPr>
      </w:pPr>
      <w:r>
        <w:rPr>
          <w:rFonts w:hint="eastAsia" w:ascii="楷体_GB2312" w:hAnsi="黑体" w:eastAsia="楷体_GB2312"/>
          <w:b/>
          <w:sz w:val="32"/>
          <w:szCs w:val="32"/>
        </w:rPr>
        <w:t>十、其他重要事项情况说明</w:t>
      </w:r>
    </w:p>
    <w:p>
      <w:pPr>
        <w:pStyle w:val="9"/>
        <w:widowControl w:val="0"/>
        <w:shd w:val="clear" w:color="auto" w:fill="FFFFFF"/>
        <w:spacing w:before="0" w:beforeAutospacing="0" w:after="0" w:afterAutospacing="0" w:line="480" w:lineRule="exact"/>
        <w:ind w:firstLine="643" w:firstLineChars="200"/>
        <w:rPr>
          <w:rFonts w:ascii="仿宋_GB2312" w:eastAsia="仿宋_GB2312" w:cs="Times New Roman"/>
          <w:b/>
          <w:color w:val="000000"/>
          <w:sz w:val="32"/>
          <w:szCs w:val="32"/>
        </w:rPr>
      </w:pPr>
      <w:r>
        <w:rPr>
          <w:rFonts w:hint="eastAsia" w:ascii="仿宋_GB2312" w:eastAsia="仿宋_GB2312" w:cs="仿宋_GB2312"/>
          <w:b/>
          <w:color w:val="000000"/>
          <w:sz w:val="32"/>
          <w:szCs w:val="32"/>
        </w:rPr>
        <w:t>(一)机关运行经费</w:t>
      </w:r>
    </w:p>
    <w:p>
      <w:pPr>
        <w:pStyle w:val="9"/>
        <w:widowControl w:val="0"/>
        <w:shd w:val="clear" w:color="auto" w:fill="FFFFFF"/>
        <w:spacing w:before="0" w:beforeAutospacing="0" w:after="0" w:afterAutospacing="0" w:line="48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201</w:t>
      </w:r>
      <w:r>
        <w:rPr>
          <w:rFonts w:hint="eastAsia" w:ascii="仿宋_GB2312" w:eastAsia="仿宋_GB2312" w:cs="仿宋_GB2312"/>
          <w:color w:val="000000"/>
          <w:sz w:val="32"/>
          <w:szCs w:val="32"/>
        </w:rPr>
        <w:t>9年人大办本级机关运行经费财政拨款预算173.14万元，</w:t>
      </w:r>
      <w:r>
        <w:rPr>
          <w:rFonts w:hint="eastAsia" w:ascii="仿宋_GB2312" w:hAnsi="仿宋" w:eastAsia="仿宋_GB2312"/>
          <w:sz w:val="32"/>
          <w:szCs w:val="32"/>
        </w:rPr>
        <w:t>比2018年增加6.69万元，增长3.86%，增长原因主要是2019年预算县乡人大代表培训费用</w:t>
      </w:r>
      <w:r>
        <w:rPr>
          <w:rFonts w:hint="eastAsia" w:ascii="仿宋_GB2312" w:eastAsia="仿宋_GB2312" w:cs="仿宋_GB2312"/>
          <w:color w:val="000000"/>
          <w:sz w:val="32"/>
          <w:szCs w:val="32"/>
        </w:rPr>
        <w:t>。</w:t>
      </w:r>
    </w:p>
    <w:p>
      <w:pPr>
        <w:pStyle w:val="9"/>
        <w:widowControl w:val="0"/>
        <w:shd w:val="clear" w:color="auto" w:fill="FFFFFF"/>
        <w:spacing w:before="0" w:beforeAutospacing="0" w:after="0" w:afterAutospacing="0" w:line="480" w:lineRule="exact"/>
        <w:ind w:firstLine="643" w:firstLineChars="200"/>
        <w:rPr>
          <w:rFonts w:ascii="仿宋_GB2312" w:eastAsia="仿宋_GB2312" w:cs="Times New Roman"/>
          <w:b/>
          <w:color w:val="000000"/>
          <w:sz w:val="32"/>
          <w:szCs w:val="32"/>
        </w:rPr>
      </w:pPr>
      <w:r>
        <w:rPr>
          <w:rFonts w:hint="eastAsia" w:ascii="仿宋_GB2312" w:eastAsia="仿宋_GB2312" w:cs="仿宋_GB2312"/>
          <w:b/>
          <w:color w:val="000000"/>
          <w:sz w:val="32"/>
          <w:szCs w:val="32"/>
        </w:rPr>
        <w:t>(二)政府采购情况</w:t>
      </w:r>
    </w:p>
    <w:p>
      <w:pPr>
        <w:pStyle w:val="9"/>
        <w:widowControl w:val="0"/>
        <w:shd w:val="clear" w:color="auto" w:fill="FFFFFF"/>
        <w:spacing w:before="0" w:beforeAutospacing="0" w:after="0" w:afterAutospacing="0" w:line="48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201</w:t>
      </w:r>
      <w:r>
        <w:rPr>
          <w:rFonts w:hint="eastAsia" w:ascii="仿宋_GB2312" w:eastAsia="仿宋_GB2312" w:cs="仿宋_GB2312"/>
          <w:color w:val="000000"/>
          <w:sz w:val="32"/>
          <w:szCs w:val="32"/>
        </w:rPr>
        <w:t>9年人大办无政府采购预算。</w:t>
      </w:r>
    </w:p>
    <w:p>
      <w:pPr>
        <w:pStyle w:val="9"/>
        <w:widowControl w:val="0"/>
        <w:shd w:val="clear" w:color="auto" w:fill="FFFFFF"/>
        <w:spacing w:before="0" w:beforeAutospacing="0" w:after="0" w:afterAutospacing="0" w:line="480" w:lineRule="exact"/>
        <w:ind w:firstLine="643" w:firstLineChars="200"/>
        <w:rPr>
          <w:rFonts w:ascii="仿宋_GB2312" w:eastAsia="仿宋_GB2312" w:cs="Times New Roman"/>
          <w:b/>
          <w:color w:val="000000"/>
          <w:sz w:val="32"/>
          <w:szCs w:val="32"/>
        </w:rPr>
      </w:pPr>
      <w:r>
        <w:rPr>
          <w:rFonts w:hint="eastAsia" w:ascii="仿宋_GB2312" w:eastAsia="仿宋_GB2312" w:cs="仿宋_GB2312"/>
          <w:b/>
          <w:color w:val="000000"/>
          <w:sz w:val="32"/>
          <w:szCs w:val="32"/>
        </w:rPr>
        <w:t>(三)国有资产占有使用情况</w:t>
      </w:r>
    </w:p>
    <w:p>
      <w:pPr>
        <w:pStyle w:val="9"/>
        <w:widowControl w:val="0"/>
        <w:shd w:val="clear" w:color="auto" w:fill="FFFFFF"/>
        <w:spacing w:before="0" w:beforeAutospacing="0" w:after="0" w:afterAutospacing="0" w:line="4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w:t>
      </w:r>
      <w:r>
        <w:rPr>
          <w:rFonts w:hint="eastAsia" w:ascii="仿宋_GB2312" w:eastAsia="仿宋_GB2312" w:cs="仿宋_GB2312"/>
          <w:color w:val="000000"/>
          <w:sz w:val="32"/>
          <w:szCs w:val="32"/>
        </w:rPr>
        <w:t>8年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日，人大办本级共有国有资产</w:t>
      </w:r>
      <w:r>
        <w:rPr>
          <w:rFonts w:ascii="仿宋_GB2312" w:eastAsia="仿宋_GB2312" w:cs="仿宋_GB2312"/>
          <w:color w:val="000000"/>
          <w:sz w:val="32"/>
          <w:szCs w:val="32"/>
        </w:rPr>
        <w:t>108.84</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201</w:t>
      </w:r>
      <w:r>
        <w:rPr>
          <w:rFonts w:hint="eastAsia" w:ascii="仿宋_GB2312" w:eastAsia="仿宋_GB2312" w:cs="仿宋_GB2312"/>
          <w:color w:val="000000"/>
          <w:sz w:val="32"/>
          <w:szCs w:val="32"/>
        </w:rPr>
        <w:t>9年部门预算没有安排新增国有资产。</w:t>
      </w:r>
    </w:p>
    <w:p>
      <w:pPr>
        <w:pStyle w:val="9"/>
        <w:widowControl w:val="0"/>
        <w:shd w:val="clear" w:color="auto" w:fill="FFFFFF"/>
        <w:spacing w:before="0" w:beforeAutospacing="0" w:after="0" w:afterAutospacing="0" w:line="480" w:lineRule="exact"/>
        <w:ind w:firstLine="643" w:firstLineChars="200"/>
        <w:rPr>
          <w:rFonts w:ascii="仿宋_GB2312" w:eastAsia="仿宋_GB2312" w:cs="Times New Roman"/>
          <w:b/>
          <w:color w:val="000000"/>
          <w:sz w:val="32"/>
          <w:szCs w:val="32"/>
        </w:rPr>
      </w:pPr>
      <w:r>
        <w:rPr>
          <w:rFonts w:hint="eastAsia" w:ascii="仿宋_GB2312" w:eastAsia="仿宋_GB2312" w:cs="仿宋_GB2312"/>
          <w:b/>
          <w:color w:val="000000"/>
          <w:sz w:val="32"/>
          <w:szCs w:val="32"/>
        </w:rPr>
        <w:t>(四)预算绩效目标设置情况</w:t>
      </w:r>
    </w:p>
    <w:p>
      <w:pPr>
        <w:adjustRightInd w:val="0"/>
        <w:snapToGrid w:val="0"/>
        <w:spacing w:line="48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寿县人大办</w:t>
      </w:r>
      <w:r>
        <w:rPr>
          <w:rFonts w:hint="eastAsia" w:ascii="仿宋_GB2312" w:hAnsi="楷体" w:eastAsia="仿宋_GB2312"/>
          <w:sz w:val="32"/>
          <w:szCs w:val="32"/>
        </w:rPr>
        <w:t>2019年项目支出按规定设置支出绩效目标，其中，部门预算编制了人大代表视察经费、基层人大代表培训经费、人大代表议案建议办理经费等8个项目支出绩效目标，涉及一般公共预算财政拨款136万元。</w:t>
      </w:r>
    </w:p>
    <w:p>
      <w:pPr>
        <w:adjustRightInd w:val="0"/>
        <w:snapToGrid w:val="0"/>
        <w:spacing w:line="480" w:lineRule="exact"/>
        <w:ind w:firstLine="640" w:firstLineChars="200"/>
        <w:jc w:val="left"/>
        <w:rPr>
          <w:rFonts w:ascii="仿宋_GB2312" w:hAnsi="楷体" w:eastAsia="仿宋_GB2312"/>
          <w:sz w:val="32"/>
          <w:szCs w:val="32"/>
        </w:rPr>
      </w:pPr>
    </w:p>
    <w:p>
      <w:pPr>
        <w:adjustRightInd w:val="0"/>
        <w:snapToGrid w:val="0"/>
        <w:spacing w:line="480" w:lineRule="exact"/>
        <w:jc w:val="center"/>
        <w:rPr>
          <w:rFonts w:ascii="黑体" w:hAnsi="黑体" w:eastAsia="黑体"/>
          <w:sz w:val="32"/>
          <w:szCs w:val="32"/>
        </w:rPr>
      </w:pPr>
      <w:r>
        <w:rPr>
          <w:rFonts w:hint="eastAsia" w:ascii="黑体" w:hAnsi="黑体" w:eastAsia="黑体" w:cs="宋体"/>
          <w:bCs/>
          <w:sz w:val="32"/>
          <w:szCs w:val="32"/>
        </w:rPr>
        <w:t>第四部分 名词解释</w:t>
      </w:r>
    </w:p>
    <w:p>
      <w:pPr>
        <w:adjustRightInd w:val="0"/>
        <w:snapToGrid w:val="0"/>
        <w:spacing w:line="480" w:lineRule="exact"/>
        <w:ind w:firstLine="643" w:firstLineChars="200"/>
        <w:jc w:val="left"/>
        <w:rPr>
          <w:rFonts w:ascii="仿宋_GB2312" w:hAnsi="黑体" w:eastAsia="仿宋_GB2312"/>
          <w:sz w:val="32"/>
          <w:szCs w:val="32"/>
        </w:rPr>
      </w:pPr>
      <w:r>
        <w:rPr>
          <w:rFonts w:hint="eastAsia" w:ascii="仿宋_GB2312" w:hAnsi="黑体" w:eastAsia="仿宋_GB2312"/>
          <w:b/>
          <w:sz w:val="32"/>
          <w:szCs w:val="32"/>
        </w:rPr>
        <w:t>一、财政拨款收入：</w:t>
      </w:r>
      <w:r>
        <w:rPr>
          <w:rFonts w:hint="eastAsia" w:ascii="仿宋_GB2312" w:hAnsi="黑体" w:eastAsia="仿宋_GB2312"/>
          <w:sz w:val="32"/>
          <w:szCs w:val="32"/>
        </w:rPr>
        <w:t>指县财政当年拨付的资金，主要包括一般公共预算拨款收入、政府性基金预算拨款收入、国有资本经营预算拨款收入。</w:t>
      </w:r>
    </w:p>
    <w:p>
      <w:pPr>
        <w:pStyle w:val="9"/>
        <w:widowControl w:val="0"/>
        <w:adjustRightInd w:val="0"/>
        <w:snapToGrid w:val="0"/>
        <w:spacing w:before="0" w:beforeAutospacing="0" w:after="0" w:afterAutospacing="0" w:line="480" w:lineRule="exact"/>
        <w:ind w:firstLine="630" w:firstLineChars="196"/>
        <w:rPr>
          <w:rFonts w:ascii="仿宋_GB2312" w:hAnsi="黑体" w:eastAsia="仿宋_GB2312" w:cs="Times New Roman"/>
          <w:kern w:val="2"/>
          <w:sz w:val="32"/>
          <w:szCs w:val="32"/>
        </w:rPr>
      </w:pPr>
      <w:r>
        <w:rPr>
          <w:rFonts w:hint="eastAsia" w:ascii="仿宋_GB2312" w:hAnsi="黑体" w:eastAsia="仿宋_GB2312" w:cs="Times New Roman"/>
          <w:b/>
          <w:kern w:val="2"/>
          <w:sz w:val="32"/>
          <w:szCs w:val="32"/>
        </w:rPr>
        <w:t>二、财政专户管理非税收入：</w:t>
      </w:r>
      <w:r>
        <w:rPr>
          <w:rFonts w:hint="eastAsia" w:ascii="仿宋_GB2312" w:hAnsi="黑体" w:eastAsia="仿宋_GB2312" w:cs="Times New Roman"/>
          <w:kern w:val="2"/>
          <w:sz w:val="32"/>
          <w:szCs w:val="32"/>
        </w:rPr>
        <w:t>指按照非税收入管理相关规定，纳入财政专户管理的教育收费等。</w:t>
      </w:r>
    </w:p>
    <w:p>
      <w:pPr>
        <w:pStyle w:val="9"/>
        <w:widowControl w:val="0"/>
        <w:adjustRightInd w:val="0"/>
        <w:snapToGrid w:val="0"/>
        <w:spacing w:before="0" w:beforeAutospacing="0" w:after="0" w:afterAutospacing="0" w:line="480" w:lineRule="exact"/>
        <w:ind w:firstLine="630" w:firstLineChars="196"/>
        <w:rPr>
          <w:rFonts w:ascii="仿宋_GB2312" w:hAnsi="黑体" w:eastAsia="仿宋_GB2312" w:cs="Times New Roman"/>
          <w:kern w:val="2"/>
          <w:sz w:val="32"/>
          <w:szCs w:val="32"/>
        </w:rPr>
      </w:pPr>
      <w:r>
        <w:rPr>
          <w:rFonts w:hint="eastAsia" w:ascii="仿宋_GB2312" w:hAnsi="黑体" w:eastAsia="仿宋_GB2312" w:cs="Times New Roman"/>
          <w:b/>
          <w:kern w:val="2"/>
          <w:sz w:val="32"/>
          <w:szCs w:val="32"/>
        </w:rPr>
        <w:t>三、其他收入：</w:t>
      </w:r>
      <w:r>
        <w:rPr>
          <w:rFonts w:hint="eastAsia" w:ascii="仿宋_GB2312" w:hAnsi="黑体" w:eastAsia="仿宋_GB2312" w:cs="Times New Roman"/>
          <w:kern w:val="2"/>
          <w:sz w:val="32"/>
          <w:szCs w:val="32"/>
        </w:rPr>
        <w:t>指除了财政拨款收入、财政专户管理非税收入等以外的收入。</w:t>
      </w:r>
    </w:p>
    <w:p>
      <w:pPr>
        <w:pStyle w:val="9"/>
        <w:widowControl w:val="0"/>
        <w:adjustRightInd w:val="0"/>
        <w:snapToGrid w:val="0"/>
        <w:spacing w:before="0" w:beforeAutospacing="0" w:after="0" w:afterAutospacing="0" w:line="480" w:lineRule="exact"/>
        <w:ind w:firstLine="630" w:firstLineChars="196"/>
        <w:rPr>
          <w:rFonts w:ascii="仿宋_GB2312" w:hAnsi="黑体" w:eastAsia="仿宋_GB2312" w:cs="Times New Roman"/>
          <w:kern w:val="2"/>
          <w:sz w:val="32"/>
          <w:szCs w:val="32"/>
        </w:rPr>
      </w:pPr>
      <w:r>
        <w:rPr>
          <w:rFonts w:hint="eastAsia" w:ascii="仿宋_GB2312" w:hAnsi="黑体" w:eastAsia="仿宋_GB2312" w:cs="Times New Roman"/>
          <w:b/>
          <w:kern w:val="2"/>
          <w:sz w:val="32"/>
          <w:szCs w:val="32"/>
        </w:rPr>
        <w:t>四、上年结转：</w:t>
      </w:r>
      <w:r>
        <w:rPr>
          <w:rFonts w:hint="eastAsia" w:ascii="仿宋_GB2312" w:hAnsi="黑体" w:eastAsia="仿宋_GB2312" w:cs="Times New Roman"/>
          <w:kern w:val="2"/>
          <w:sz w:val="32"/>
          <w:szCs w:val="32"/>
        </w:rPr>
        <w:t>指以前年度安排、结转到本年仍按原用途继续使用的资金。</w:t>
      </w:r>
    </w:p>
    <w:p>
      <w:pPr>
        <w:pStyle w:val="9"/>
        <w:widowControl w:val="0"/>
        <w:adjustRightInd w:val="0"/>
        <w:snapToGrid w:val="0"/>
        <w:spacing w:before="0" w:beforeAutospacing="0" w:after="0" w:afterAutospacing="0" w:line="480" w:lineRule="exact"/>
        <w:ind w:firstLine="630" w:firstLineChars="196"/>
        <w:rPr>
          <w:rFonts w:ascii="仿宋_GB2312" w:hAnsi="黑体" w:eastAsia="仿宋_GB2312" w:cs="Times New Roman"/>
          <w:kern w:val="2"/>
          <w:sz w:val="32"/>
          <w:szCs w:val="32"/>
        </w:rPr>
      </w:pPr>
      <w:r>
        <w:rPr>
          <w:rFonts w:hint="eastAsia" w:ascii="仿宋_GB2312" w:hAnsi="黑体" w:eastAsia="仿宋_GB2312" w:cs="Times New Roman"/>
          <w:b/>
          <w:kern w:val="2"/>
          <w:sz w:val="32"/>
          <w:szCs w:val="32"/>
        </w:rPr>
        <w:t>五、结转下年：</w:t>
      </w:r>
      <w:r>
        <w:rPr>
          <w:rFonts w:hint="eastAsia" w:ascii="仿宋_GB2312" w:hAnsi="黑体" w:eastAsia="仿宋_GB2312" w:cs="Times New Roman"/>
          <w:kern w:val="2"/>
          <w:sz w:val="32"/>
          <w:szCs w:val="32"/>
        </w:rPr>
        <w:t>指以前年度预算安排、因客观条件发生变化无法按原计划实施，需以后年度按原用途继续使用的资金。</w:t>
      </w:r>
    </w:p>
    <w:p>
      <w:pPr>
        <w:pStyle w:val="9"/>
        <w:widowControl w:val="0"/>
        <w:adjustRightInd w:val="0"/>
        <w:snapToGrid w:val="0"/>
        <w:spacing w:before="0" w:beforeAutospacing="0" w:after="0" w:afterAutospacing="0" w:line="480" w:lineRule="exact"/>
        <w:ind w:firstLine="630" w:firstLineChars="196"/>
        <w:rPr>
          <w:rFonts w:ascii="仿宋_GB2312" w:hAnsi="黑体" w:eastAsia="仿宋_GB2312"/>
          <w:sz w:val="32"/>
          <w:szCs w:val="32"/>
        </w:rPr>
      </w:pPr>
      <w:r>
        <w:rPr>
          <w:rFonts w:hint="eastAsia" w:ascii="仿宋_GB2312" w:hAnsi="黑体" w:eastAsia="仿宋_GB2312" w:cs="Times New Roman"/>
          <w:b/>
          <w:kern w:val="2"/>
          <w:sz w:val="32"/>
          <w:szCs w:val="32"/>
        </w:rPr>
        <w:t>六、基本支出：</w:t>
      </w:r>
      <w:r>
        <w:rPr>
          <w:rFonts w:hint="eastAsia" w:ascii="仿宋_GB2312" w:hAnsi="黑体" w:eastAsia="仿宋_GB2312"/>
          <w:sz w:val="32"/>
          <w:szCs w:val="32"/>
        </w:rPr>
        <w:t>指为保障机构正常运转、完成日常工作任务而发生的人员支出和公用支出。</w:t>
      </w:r>
    </w:p>
    <w:p>
      <w:pPr>
        <w:pStyle w:val="9"/>
        <w:widowControl w:val="0"/>
        <w:spacing w:before="0" w:beforeAutospacing="0" w:after="0" w:afterAutospacing="0" w:line="480" w:lineRule="exact"/>
        <w:ind w:firstLine="630" w:firstLineChars="196"/>
        <w:rPr>
          <w:rFonts w:ascii="仿宋_GB2312" w:hAnsi="黑体" w:eastAsia="仿宋_GB2312"/>
          <w:sz w:val="32"/>
          <w:szCs w:val="32"/>
        </w:rPr>
      </w:pPr>
      <w:r>
        <w:rPr>
          <w:rFonts w:hint="eastAsia" w:ascii="仿宋_GB2312" w:hAnsi="黑体" w:eastAsia="仿宋_GB2312" w:cs="Times New Roman"/>
          <w:b/>
          <w:kern w:val="2"/>
          <w:sz w:val="32"/>
          <w:szCs w:val="32"/>
        </w:rPr>
        <w:t>七、项目支出：</w:t>
      </w:r>
      <w:r>
        <w:rPr>
          <w:rFonts w:hint="eastAsia" w:ascii="仿宋_GB2312" w:hAnsi="黑体" w:eastAsia="仿宋_GB2312"/>
          <w:sz w:val="32"/>
          <w:szCs w:val="32"/>
        </w:rPr>
        <w:t>指在基本支出之外为完成特定行政任务和事业发展目标所发生的支出。</w:t>
      </w:r>
    </w:p>
    <w:p>
      <w:pPr>
        <w:pStyle w:val="9"/>
        <w:widowControl w:val="0"/>
        <w:spacing w:before="0" w:beforeAutospacing="0" w:after="0" w:afterAutospacing="0" w:line="480" w:lineRule="exact"/>
        <w:ind w:firstLine="630" w:firstLineChars="196"/>
        <w:rPr>
          <w:rFonts w:ascii="仿宋_GB2312" w:hAnsi="黑体" w:eastAsia="仿宋_GB2312"/>
          <w:sz w:val="32"/>
          <w:szCs w:val="32"/>
        </w:rPr>
      </w:pPr>
      <w:r>
        <w:rPr>
          <w:rFonts w:hint="eastAsia" w:ascii="仿宋_GB2312" w:hAnsi="黑体" w:eastAsia="仿宋_GB2312" w:cs="Times New Roman"/>
          <w:b/>
          <w:kern w:val="2"/>
          <w:sz w:val="32"/>
          <w:szCs w:val="32"/>
        </w:rPr>
        <w:t>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9"/>
        <w:widowControl w:val="0"/>
        <w:spacing w:before="0" w:beforeAutospacing="0" w:after="0" w:afterAutospacing="0" w:line="480" w:lineRule="exact"/>
        <w:ind w:firstLine="540" w:firstLineChars="168"/>
        <w:rPr>
          <w:rFonts w:ascii="仿宋_GB2312" w:hAnsi="黑体" w:eastAsia="仿宋_GB2312" w:cs="Arial"/>
          <w:sz w:val="32"/>
          <w:szCs w:val="32"/>
          <w:shd w:val="clear" w:color="auto" w:fill="FFFFFF"/>
        </w:rPr>
      </w:pPr>
      <w:r>
        <w:rPr>
          <w:rFonts w:hint="eastAsia" w:ascii="仿宋_GB2312" w:hAnsi="黑体" w:eastAsia="仿宋_GB2312" w:cs="Times New Roman"/>
          <w:b/>
          <w:kern w:val="2"/>
          <w:sz w:val="32"/>
          <w:szCs w:val="32"/>
        </w:rPr>
        <w:t>九、支出功能分类科目:</w:t>
      </w:r>
      <w:r>
        <w:rPr>
          <w:rFonts w:hint="eastAsia" w:ascii="仿宋_GB2312" w:hAnsi="黑体" w:eastAsia="仿宋_GB2312" w:cs="Arial"/>
          <w:sz w:val="32"/>
          <w:szCs w:val="32"/>
          <w:shd w:val="clear" w:color="auto" w:fill="FFFFFF"/>
        </w:rPr>
        <w:t>主要反映政府活动的不同功能和政策目标，具体设类、款、项三级。</w:t>
      </w:r>
    </w:p>
    <w:p>
      <w:pPr>
        <w:pStyle w:val="9"/>
        <w:widowControl w:val="0"/>
        <w:spacing w:before="0" w:beforeAutospacing="0" w:after="0" w:afterAutospacing="0" w:line="480" w:lineRule="exact"/>
        <w:ind w:firstLine="540" w:firstLineChars="168"/>
        <w:rPr>
          <w:rFonts w:ascii="仿宋_GB2312" w:hAnsi="黑体" w:eastAsia="仿宋_GB2312" w:cs="Arial"/>
          <w:sz w:val="32"/>
          <w:szCs w:val="32"/>
          <w:shd w:val="clear" w:color="auto" w:fill="FFFFFF"/>
        </w:rPr>
      </w:pPr>
      <w:r>
        <w:rPr>
          <w:rFonts w:hint="eastAsia" w:ascii="仿宋_GB2312" w:hAnsi="黑体" w:eastAsia="仿宋_GB2312" w:cs="Times New Roman"/>
          <w:b/>
          <w:kern w:val="2"/>
          <w:sz w:val="32"/>
          <w:szCs w:val="32"/>
        </w:rPr>
        <w:t>十、支出经济分类科目：</w:t>
      </w:r>
      <w:r>
        <w:rPr>
          <w:rFonts w:hint="eastAsia" w:ascii="仿宋_GB2312" w:hAnsi="黑体" w:eastAsia="仿宋_GB2312" w:cs="Arial"/>
          <w:sz w:val="32"/>
          <w:szCs w:val="32"/>
          <w:shd w:val="clear" w:color="auto" w:fill="FFFFFF"/>
        </w:rPr>
        <w:t>是指政府支出按经济性质和具体用途所作的一种分类科目，具体设类、款两级。</w:t>
      </w:r>
    </w:p>
    <w:sectPr>
      <w:footerReference r:id="rId3" w:type="default"/>
      <w:footerReference r:id="rId4" w:type="even"/>
      <w:pgSz w:w="11907" w:h="16840"/>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- 5 -</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- 6 -</w: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88"/>
    <w:rsid w:val="00010D40"/>
    <w:rsid w:val="00010EE6"/>
    <w:rsid w:val="000112B3"/>
    <w:rsid w:val="000112B7"/>
    <w:rsid w:val="00025243"/>
    <w:rsid w:val="00045DC8"/>
    <w:rsid w:val="00051853"/>
    <w:rsid w:val="00066589"/>
    <w:rsid w:val="00090CD6"/>
    <w:rsid w:val="000A53D4"/>
    <w:rsid w:val="000B2D7D"/>
    <w:rsid w:val="000B3583"/>
    <w:rsid w:val="000C19B9"/>
    <w:rsid w:val="000C45CF"/>
    <w:rsid w:val="000D3E75"/>
    <w:rsid w:val="000D53FB"/>
    <w:rsid w:val="000F534B"/>
    <w:rsid w:val="00102084"/>
    <w:rsid w:val="00103005"/>
    <w:rsid w:val="0014245D"/>
    <w:rsid w:val="001466FA"/>
    <w:rsid w:val="00153833"/>
    <w:rsid w:val="00160655"/>
    <w:rsid w:val="00165D0D"/>
    <w:rsid w:val="00166CAC"/>
    <w:rsid w:val="00171598"/>
    <w:rsid w:val="0018204E"/>
    <w:rsid w:val="0018297A"/>
    <w:rsid w:val="00187451"/>
    <w:rsid w:val="001971CF"/>
    <w:rsid w:val="001A5227"/>
    <w:rsid w:val="001B65A9"/>
    <w:rsid w:val="001D1ADA"/>
    <w:rsid w:val="001D2BF9"/>
    <w:rsid w:val="001F7955"/>
    <w:rsid w:val="0021633B"/>
    <w:rsid w:val="00232988"/>
    <w:rsid w:val="00232CEA"/>
    <w:rsid w:val="00270AB6"/>
    <w:rsid w:val="002733C9"/>
    <w:rsid w:val="00280B6D"/>
    <w:rsid w:val="00282B0B"/>
    <w:rsid w:val="0028603E"/>
    <w:rsid w:val="00292A54"/>
    <w:rsid w:val="002D6643"/>
    <w:rsid w:val="002E2FA3"/>
    <w:rsid w:val="002F1D43"/>
    <w:rsid w:val="002F30C3"/>
    <w:rsid w:val="003017A7"/>
    <w:rsid w:val="00301856"/>
    <w:rsid w:val="0031228F"/>
    <w:rsid w:val="00326D6D"/>
    <w:rsid w:val="00336C7B"/>
    <w:rsid w:val="00340359"/>
    <w:rsid w:val="00351CBD"/>
    <w:rsid w:val="00355405"/>
    <w:rsid w:val="00355839"/>
    <w:rsid w:val="003570C7"/>
    <w:rsid w:val="003749CA"/>
    <w:rsid w:val="003A3944"/>
    <w:rsid w:val="003A6315"/>
    <w:rsid w:val="003B43E2"/>
    <w:rsid w:val="003D584F"/>
    <w:rsid w:val="003E7433"/>
    <w:rsid w:val="003F4B33"/>
    <w:rsid w:val="00407D0C"/>
    <w:rsid w:val="00423A31"/>
    <w:rsid w:val="00425EA0"/>
    <w:rsid w:val="00430C4B"/>
    <w:rsid w:val="00440D27"/>
    <w:rsid w:val="0044254E"/>
    <w:rsid w:val="00445D18"/>
    <w:rsid w:val="00454DE1"/>
    <w:rsid w:val="00461C09"/>
    <w:rsid w:val="00462ABA"/>
    <w:rsid w:val="00481FAD"/>
    <w:rsid w:val="0048254C"/>
    <w:rsid w:val="004B0916"/>
    <w:rsid w:val="004C56D0"/>
    <w:rsid w:val="004D5DC4"/>
    <w:rsid w:val="004E1494"/>
    <w:rsid w:val="004E6F18"/>
    <w:rsid w:val="004F0C9C"/>
    <w:rsid w:val="004F23A3"/>
    <w:rsid w:val="004F32C7"/>
    <w:rsid w:val="0052717A"/>
    <w:rsid w:val="00537B6C"/>
    <w:rsid w:val="00550379"/>
    <w:rsid w:val="0056018B"/>
    <w:rsid w:val="00567540"/>
    <w:rsid w:val="00582488"/>
    <w:rsid w:val="00583890"/>
    <w:rsid w:val="00586400"/>
    <w:rsid w:val="0059614B"/>
    <w:rsid w:val="006040B5"/>
    <w:rsid w:val="00604C83"/>
    <w:rsid w:val="00620AE1"/>
    <w:rsid w:val="00626F04"/>
    <w:rsid w:val="00634F30"/>
    <w:rsid w:val="00642612"/>
    <w:rsid w:val="006516A1"/>
    <w:rsid w:val="00652BD4"/>
    <w:rsid w:val="00655611"/>
    <w:rsid w:val="0066000A"/>
    <w:rsid w:val="00671F7B"/>
    <w:rsid w:val="006742E9"/>
    <w:rsid w:val="00694C7C"/>
    <w:rsid w:val="006A3A87"/>
    <w:rsid w:val="006D0E81"/>
    <w:rsid w:val="006E19D8"/>
    <w:rsid w:val="0070299A"/>
    <w:rsid w:val="00713B0F"/>
    <w:rsid w:val="00721F20"/>
    <w:rsid w:val="00722104"/>
    <w:rsid w:val="00722DE9"/>
    <w:rsid w:val="007259C2"/>
    <w:rsid w:val="00725FFD"/>
    <w:rsid w:val="00743027"/>
    <w:rsid w:val="00754C0C"/>
    <w:rsid w:val="0075558B"/>
    <w:rsid w:val="007754C4"/>
    <w:rsid w:val="00786982"/>
    <w:rsid w:val="00794A6F"/>
    <w:rsid w:val="007A0BFC"/>
    <w:rsid w:val="007B3C09"/>
    <w:rsid w:val="007C2483"/>
    <w:rsid w:val="007C6C9B"/>
    <w:rsid w:val="007D1EFD"/>
    <w:rsid w:val="007D4149"/>
    <w:rsid w:val="007D6076"/>
    <w:rsid w:val="007F35DC"/>
    <w:rsid w:val="00803DFB"/>
    <w:rsid w:val="00812D51"/>
    <w:rsid w:val="008150D4"/>
    <w:rsid w:val="008219D8"/>
    <w:rsid w:val="00821F55"/>
    <w:rsid w:val="00822D10"/>
    <w:rsid w:val="0087079C"/>
    <w:rsid w:val="00874E8D"/>
    <w:rsid w:val="008A4A15"/>
    <w:rsid w:val="008B78E4"/>
    <w:rsid w:val="008C519D"/>
    <w:rsid w:val="008E005B"/>
    <w:rsid w:val="0091544B"/>
    <w:rsid w:val="00920656"/>
    <w:rsid w:val="00926C45"/>
    <w:rsid w:val="0095273D"/>
    <w:rsid w:val="00953316"/>
    <w:rsid w:val="00955FE5"/>
    <w:rsid w:val="009929C9"/>
    <w:rsid w:val="009A0038"/>
    <w:rsid w:val="009B2BD2"/>
    <w:rsid w:val="009B46FB"/>
    <w:rsid w:val="009C084A"/>
    <w:rsid w:val="009C169A"/>
    <w:rsid w:val="009C37C4"/>
    <w:rsid w:val="009E3B9F"/>
    <w:rsid w:val="00A14B1F"/>
    <w:rsid w:val="00A156E4"/>
    <w:rsid w:val="00A20CAC"/>
    <w:rsid w:val="00A23C33"/>
    <w:rsid w:val="00A54070"/>
    <w:rsid w:val="00A63233"/>
    <w:rsid w:val="00A65294"/>
    <w:rsid w:val="00A93010"/>
    <w:rsid w:val="00AD4AA4"/>
    <w:rsid w:val="00AD576E"/>
    <w:rsid w:val="00AE09BE"/>
    <w:rsid w:val="00AE5CDB"/>
    <w:rsid w:val="00AE5E15"/>
    <w:rsid w:val="00AE6ED1"/>
    <w:rsid w:val="00B107A1"/>
    <w:rsid w:val="00B21CCB"/>
    <w:rsid w:val="00B266F9"/>
    <w:rsid w:val="00B27363"/>
    <w:rsid w:val="00B30F41"/>
    <w:rsid w:val="00B32D12"/>
    <w:rsid w:val="00B50ACD"/>
    <w:rsid w:val="00B92039"/>
    <w:rsid w:val="00B95195"/>
    <w:rsid w:val="00B964C8"/>
    <w:rsid w:val="00BA3AB4"/>
    <w:rsid w:val="00BA52A6"/>
    <w:rsid w:val="00BB5955"/>
    <w:rsid w:val="00BD3053"/>
    <w:rsid w:val="00BD5DF3"/>
    <w:rsid w:val="00BF3D59"/>
    <w:rsid w:val="00BF5E41"/>
    <w:rsid w:val="00BF7778"/>
    <w:rsid w:val="00C06793"/>
    <w:rsid w:val="00C1487D"/>
    <w:rsid w:val="00C15E78"/>
    <w:rsid w:val="00C20988"/>
    <w:rsid w:val="00C22AC2"/>
    <w:rsid w:val="00C35A40"/>
    <w:rsid w:val="00C8304C"/>
    <w:rsid w:val="00C95F06"/>
    <w:rsid w:val="00C97CF4"/>
    <w:rsid w:val="00CA3781"/>
    <w:rsid w:val="00CB2C66"/>
    <w:rsid w:val="00CC7766"/>
    <w:rsid w:val="00CD1615"/>
    <w:rsid w:val="00CE17FC"/>
    <w:rsid w:val="00CE2879"/>
    <w:rsid w:val="00D01D34"/>
    <w:rsid w:val="00D22C45"/>
    <w:rsid w:val="00D32C07"/>
    <w:rsid w:val="00D37799"/>
    <w:rsid w:val="00D44AD9"/>
    <w:rsid w:val="00D53A42"/>
    <w:rsid w:val="00D6110C"/>
    <w:rsid w:val="00D71F86"/>
    <w:rsid w:val="00D72635"/>
    <w:rsid w:val="00D80644"/>
    <w:rsid w:val="00D84C34"/>
    <w:rsid w:val="00DB2646"/>
    <w:rsid w:val="00DB6004"/>
    <w:rsid w:val="00DC1E4E"/>
    <w:rsid w:val="00DE1376"/>
    <w:rsid w:val="00DE45A5"/>
    <w:rsid w:val="00DF0B9A"/>
    <w:rsid w:val="00DF2181"/>
    <w:rsid w:val="00E11E14"/>
    <w:rsid w:val="00E16F8F"/>
    <w:rsid w:val="00E53E6D"/>
    <w:rsid w:val="00E622D8"/>
    <w:rsid w:val="00E71DAD"/>
    <w:rsid w:val="00E75752"/>
    <w:rsid w:val="00E75E31"/>
    <w:rsid w:val="00E80449"/>
    <w:rsid w:val="00EA018B"/>
    <w:rsid w:val="00EA1686"/>
    <w:rsid w:val="00EB555E"/>
    <w:rsid w:val="00EC09B7"/>
    <w:rsid w:val="00EE28A7"/>
    <w:rsid w:val="00EE582A"/>
    <w:rsid w:val="00F03B9E"/>
    <w:rsid w:val="00F3169B"/>
    <w:rsid w:val="00F33E2B"/>
    <w:rsid w:val="00F369E6"/>
    <w:rsid w:val="00F437A9"/>
    <w:rsid w:val="00F5524E"/>
    <w:rsid w:val="00F55CFB"/>
    <w:rsid w:val="00F704BF"/>
    <w:rsid w:val="00F75996"/>
    <w:rsid w:val="00F76CC9"/>
    <w:rsid w:val="00F77D3E"/>
    <w:rsid w:val="00F8123A"/>
    <w:rsid w:val="00F90FDE"/>
    <w:rsid w:val="00F96EF0"/>
    <w:rsid w:val="00FA0E92"/>
    <w:rsid w:val="00FA1B4D"/>
    <w:rsid w:val="00FB27FC"/>
    <w:rsid w:val="00FB3B48"/>
    <w:rsid w:val="00FC0D88"/>
    <w:rsid w:val="00FC19FC"/>
    <w:rsid w:val="00FC5925"/>
    <w:rsid w:val="00FD1B0C"/>
    <w:rsid w:val="00FE3944"/>
    <w:rsid w:val="00FE6D41"/>
    <w:rsid w:val="0681256E"/>
    <w:rsid w:val="44FF7F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99"/>
    <w:pPr>
      <w:shd w:val="clear" w:color="auto" w:fill="FFFFFF"/>
      <w:spacing w:before="120" w:line="533" w:lineRule="exact"/>
      <w:ind w:firstLine="480"/>
      <w:jc w:val="left"/>
    </w:pPr>
    <w:rPr>
      <w:rFonts w:ascii="MingLiU" w:eastAsia="MingLiU" w:cs="MingLiU"/>
      <w:spacing w:val="30"/>
      <w:kern w:val="0"/>
      <w:sz w:val="26"/>
      <w:szCs w:val="26"/>
    </w:rPr>
  </w:style>
  <w:style w:type="paragraph" w:styleId="4">
    <w:name w:val="Body Text Indent"/>
    <w:basedOn w:val="1"/>
    <w:link w:val="16"/>
    <w:qFormat/>
    <w:uiPriority w:val="99"/>
    <w:pPr>
      <w:spacing w:after="120"/>
      <w:ind w:left="420" w:leftChars="200"/>
    </w:pPr>
  </w:style>
  <w:style w:type="paragraph" w:styleId="5">
    <w:name w:val="Date"/>
    <w:basedOn w:val="1"/>
    <w:next w:val="1"/>
    <w:link w:val="17"/>
    <w:qFormat/>
    <w:uiPriority w:val="99"/>
    <w:pPr>
      <w:ind w:left="100" w:leftChars="25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99"/>
    <w:rPr>
      <w:rFonts w:cs="Times New Roman"/>
      <w:b/>
      <w:bCs/>
    </w:rPr>
  </w:style>
  <w:style w:type="character" w:styleId="13">
    <w:name w:val="page number"/>
    <w:basedOn w:val="11"/>
    <w:qFormat/>
    <w:uiPriority w:val="99"/>
    <w:rPr>
      <w:rFonts w:cs="Times New Roman"/>
    </w:rPr>
  </w:style>
  <w:style w:type="character" w:customStyle="1" w:styleId="14">
    <w:name w:val="标题 1 Char"/>
    <w:basedOn w:val="11"/>
    <w:link w:val="2"/>
    <w:locked/>
    <w:uiPriority w:val="99"/>
    <w:rPr>
      <w:rFonts w:ascii="宋体" w:eastAsia="宋体" w:cs="宋体"/>
      <w:b/>
      <w:bCs/>
      <w:kern w:val="36"/>
      <w:sz w:val="48"/>
      <w:szCs w:val="48"/>
    </w:rPr>
  </w:style>
  <w:style w:type="character" w:customStyle="1" w:styleId="15">
    <w:name w:val="Body Text Char"/>
    <w:basedOn w:val="11"/>
    <w:qFormat/>
    <w:locked/>
    <w:uiPriority w:val="99"/>
    <w:rPr>
      <w:rFonts w:ascii="MingLiU" w:eastAsia="MingLiU" w:cs="Times New Roman"/>
      <w:spacing w:val="30"/>
      <w:sz w:val="26"/>
      <w:shd w:val="clear" w:color="auto" w:fill="FFFFFF"/>
    </w:rPr>
  </w:style>
  <w:style w:type="character" w:customStyle="1" w:styleId="16">
    <w:name w:val="正文文本缩进 Char"/>
    <w:basedOn w:val="11"/>
    <w:link w:val="4"/>
    <w:qFormat/>
    <w:locked/>
    <w:uiPriority w:val="99"/>
    <w:rPr>
      <w:rFonts w:cs="Times New Roman"/>
      <w:kern w:val="2"/>
      <w:sz w:val="24"/>
      <w:szCs w:val="24"/>
    </w:rPr>
  </w:style>
  <w:style w:type="character" w:customStyle="1" w:styleId="17">
    <w:name w:val="日期 Char"/>
    <w:basedOn w:val="11"/>
    <w:link w:val="5"/>
    <w:semiHidden/>
    <w:qFormat/>
    <w:locked/>
    <w:uiPriority w:val="99"/>
    <w:rPr>
      <w:rFonts w:cs="Times New Roman"/>
      <w:sz w:val="21"/>
      <w:szCs w:val="21"/>
    </w:rPr>
  </w:style>
  <w:style w:type="character" w:customStyle="1" w:styleId="18">
    <w:name w:val="批注框文本 Char"/>
    <w:basedOn w:val="11"/>
    <w:link w:val="6"/>
    <w:semiHidden/>
    <w:qFormat/>
    <w:locked/>
    <w:uiPriority w:val="99"/>
    <w:rPr>
      <w:rFonts w:cs="Times New Roman"/>
      <w:sz w:val="2"/>
      <w:szCs w:val="2"/>
    </w:rPr>
  </w:style>
  <w:style w:type="character" w:customStyle="1" w:styleId="19">
    <w:name w:val="页脚 Char"/>
    <w:basedOn w:val="11"/>
    <w:link w:val="7"/>
    <w:qFormat/>
    <w:locked/>
    <w:uiPriority w:val="99"/>
    <w:rPr>
      <w:rFonts w:cs="Times New Roman"/>
      <w:kern w:val="2"/>
      <w:sz w:val="18"/>
      <w:szCs w:val="18"/>
    </w:rPr>
  </w:style>
  <w:style w:type="character" w:customStyle="1" w:styleId="20">
    <w:name w:val="页眉 Char"/>
    <w:basedOn w:val="11"/>
    <w:link w:val="8"/>
    <w:qFormat/>
    <w:locked/>
    <w:uiPriority w:val="99"/>
    <w:rPr>
      <w:rFonts w:cs="Times New Roman"/>
      <w:kern w:val="2"/>
      <w:sz w:val="18"/>
      <w:szCs w:val="18"/>
    </w:rPr>
  </w:style>
  <w:style w:type="character" w:customStyle="1" w:styleId="21">
    <w:name w:val="正文文本 + Arial Narrow"/>
    <w:basedOn w:val="15"/>
    <w:qFormat/>
    <w:uiPriority w:val="99"/>
    <w:rPr>
      <w:rFonts w:ascii="Arial Narrow" w:hAnsi="Arial Narrow" w:eastAsia="MingLiU" w:cs="Arial Narrow"/>
      <w:spacing w:val="10"/>
      <w:sz w:val="33"/>
      <w:szCs w:val="33"/>
      <w:shd w:val="clear" w:color="auto" w:fill="FFFFFF"/>
      <w:lang w:val="en-US" w:eastAsia="en-US"/>
    </w:rPr>
  </w:style>
  <w:style w:type="character" w:customStyle="1" w:styleId="22">
    <w:name w:val="Body Text Char1"/>
    <w:basedOn w:val="11"/>
    <w:semiHidden/>
    <w:qFormat/>
    <w:locked/>
    <w:uiPriority w:val="99"/>
    <w:rPr>
      <w:rFonts w:cs="Times New Roman"/>
      <w:sz w:val="21"/>
      <w:szCs w:val="21"/>
    </w:rPr>
  </w:style>
  <w:style w:type="character" w:customStyle="1" w:styleId="23">
    <w:name w:val="正文文本 Char"/>
    <w:basedOn w:val="11"/>
    <w:link w:val="3"/>
    <w:qFormat/>
    <w:locked/>
    <w:uiPriority w:val="99"/>
    <w:rPr>
      <w:rFonts w:cs="Times New Roman"/>
      <w:kern w:val="2"/>
      <w:sz w:val="24"/>
      <w:szCs w:val="24"/>
    </w:rPr>
  </w:style>
  <w:style w:type="paragraph" w:styleId="24">
    <w:name w:val="List Paragraph"/>
    <w:basedOn w:val="1"/>
    <w:qFormat/>
    <w:uiPriority w:val="99"/>
    <w:pPr>
      <w:ind w:firstLine="420" w:firstLineChars="200"/>
    </w:pPr>
    <w:rPr>
      <w:rFonts w:ascii="Calibri" w:hAnsi="Calibri" w:cs="Calibri"/>
    </w:rPr>
  </w:style>
  <w:style w:type="character" w:customStyle="1" w:styleId="25">
    <w:name w:val="正文文本 + SimSun"/>
    <w:basedOn w:val="11"/>
    <w:qFormat/>
    <w:uiPriority w:val="99"/>
    <w:rPr>
      <w:rFonts w:ascii="宋体" w:hAnsi="宋体" w:eastAsia="宋体" w:cs="宋体"/>
      <w:b/>
      <w:bCs/>
      <w:color w:val="000000"/>
      <w:spacing w:val="0"/>
      <w:w w:val="100"/>
      <w:position w:val="0"/>
      <w:sz w:val="16"/>
      <w:szCs w:val="16"/>
      <w:u w:val="none"/>
      <w:lang w:val="en-US"/>
    </w:rPr>
  </w:style>
  <w:style w:type="paragraph" w:customStyle="1" w:styleId="26">
    <w:name w:val="Char"/>
    <w:basedOn w:val="1"/>
    <w:qFormat/>
    <w:uiPriority w:val="99"/>
    <w:pPr>
      <w:spacing w:line="360" w:lineRule="auto"/>
    </w:pPr>
    <w:rPr>
      <w:rFonts w:ascii="宋体" w:hAnsi="宋体" w:cs="宋体"/>
      <w:b/>
      <w:bCs/>
      <w:sz w:val="28"/>
      <w:szCs w:val="28"/>
    </w:rPr>
  </w:style>
  <w:style w:type="paragraph" w:customStyle="1" w:styleId="27">
    <w:name w:val="msonormal msonormal"/>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28">
    <w:name w:val="apple-converted-space"/>
    <w:basedOn w:val="11"/>
    <w:qFormat/>
    <w:uiPriority w:val="99"/>
    <w:rPr>
      <w:rFonts w:cs="Times New Roman"/>
    </w:rPr>
  </w:style>
  <w:style w:type="paragraph" w:customStyle="1" w:styleId="29">
    <w:name w:val="Char Char Char"/>
    <w:basedOn w:val="1"/>
    <w:qFormat/>
    <w:uiPriority w:val="99"/>
    <w:pPr>
      <w:spacing w:line="360" w:lineRule="auto"/>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623</Words>
  <Characters>3552</Characters>
  <Lines>29</Lines>
  <Paragraphs>8</Paragraphs>
  <TotalTime>0</TotalTime>
  <ScaleCrop>false</ScaleCrop>
  <LinksUpToDate>false</LinksUpToDate>
  <CharactersWithSpaces>4167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2021-06-04T01:21:00Z</dcterms:created>
  <dc:creator>Lenovo User</dc:creator>
  <cp:lastModifiedBy>权添良</cp:lastModifiedBy>
  <cp:lastPrinted>2018-03-02T02:26:00Z</cp:lastPrinted>
  <dcterms:modified xsi:type="dcterms:W3CDTF">2023-08-18T02:18:58Z</dcterms:modified>
  <dc:title>关于成立党建工作领导小组的通知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