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83E24E">
      <w:pPr>
        <w:pStyle w:val="4"/>
        <w:widowControl/>
        <w:shd w:val="clear" w:color="auto" w:fill="FFFFFF"/>
        <w:adjustRightInd w:val="0"/>
        <w:snapToGrid w:val="0"/>
        <w:spacing w:beforeAutospacing="0" w:afterAutospacing="0" w:line="600" w:lineRule="exact"/>
        <w:jc w:val="center"/>
        <w:rPr>
          <w:rFonts w:ascii="方正小标宋简体" w:hAnsi="方正小标宋简体" w:eastAsia="方正小标宋简体" w:cs="方正小标宋简体"/>
          <w:color w:val="000000" w:themeColor="text1"/>
          <w:sz w:val="44"/>
          <w:szCs w:val="44"/>
          <w:shd w:val="clear" w:color="auto" w:fill="FFFFFF"/>
        </w:rPr>
      </w:pPr>
      <w:r>
        <w:rPr>
          <w:rFonts w:hint="eastAsia" w:ascii="方正小标宋简体" w:hAnsi="方正小标宋简体" w:eastAsia="方正小标宋简体" w:cs="方正小标宋简体"/>
          <w:color w:val="000000" w:themeColor="text1"/>
          <w:sz w:val="44"/>
          <w:szCs w:val="44"/>
          <w:shd w:val="clear" w:color="auto" w:fill="FFFFFF"/>
        </w:rPr>
        <w:t>寿县发展和改革委员会县级储备补贴项目支出绩效评价报告</w:t>
      </w:r>
    </w:p>
    <w:p w14:paraId="638E53EB">
      <w:pPr>
        <w:adjustRightInd w:val="0"/>
        <w:snapToGrid w:val="0"/>
        <w:spacing w:line="600" w:lineRule="exact"/>
        <w:ind w:left="644"/>
        <w:rPr>
          <w:rFonts w:ascii="仿宋_GB2312" w:hAnsi="仿宋_GB2312" w:eastAsia="仿宋_GB2312" w:cs="仿宋_GB2312"/>
          <w:color w:val="000000" w:themeColor="text1"/>
          <w:spacing w:val="6"/>
          <w:sz w:val="32"/>
          <w:szCs w:val="32"/>
        </w:rPr>
      </w:pPr>
    </w:p>
    <w:p w14:paraId="2E8B0A1E">
      <w:pPr>
        <w:adjustRightInd w:val="0"/>
        <w:snapToGrid w:val="0"/>
        <w:spacing w:line="600" w:lineRule="exact"/>
        <w:ind w:left="644"/>
        <w:rPr>
          <w:rFonts w:ascii="黑体" w:hAnsi="黑体" w:eastAsia="黑体" w:cs="黑体"/>
          <w:color w:val="000000" w:themeColor="text1"/>
          <w:sz w:val="32"/>
          <w:szCs w:val="32"/>
        </w:rPr>
      </w:pPr>
      <w:r>
        <w:rPr>
          <w:rFonts w:hint="eastAsia" w:ascii="黑体" w:hAnsi="黑体" w:eastAsia="黑体" w:cs="黑体"/>
          <w:color w:val="000000" w:themeColor="text1"/>
          <w:spacing w:val="6"/>
          <w:sz w:val="32"/>
          <w:szCs w:val="32"/>
        </w:rPr>
        <w:t>一、项目基本情况</w:t>
      </w:r>
    </w:p>
    <w:p w14:paraId="2AAED84B">
      <w:pPr>
        <w:pStyle w:val="4"/>
        <w:widowControl/>
        <w:shd w:val="clear" w:color="auto" w:fill="FFFFFF"/>
        <w:adjustRightInd w:val="0"/>
        <w:snapToGrid w:val="0"/>
        <w:spacing w:beforeAutospacing="0" w:afterAutospacing="0" w:line="600" w:lineRule="exact"/>
        <w:jc w:val="both"/>
        <w:rPr>
          <w:rFonts w:ascii="仿宋_GB2312" w:hAnsi="仿宋_GB2312" w:eastAsia="仿宋_GB2312" w:cs="仿宋_GB2312"/>
          <w:b/>
          <w:bCs/>
          <w:color w:val="000000" w:themeColor="text1"/>
          <w:sz w:val="32"/>
          <w:szCs w:val="32"/>
        </w:rPr>
      </w:pPr>
      <w:r>
        <w:rPr>
          <w:rFonts w:hint="eastAsia" w:ascii="仿宋_GB2312" w:hAnsi="仿宋_GB2312" w:eastAsia="仿宋_GB2312" w:cs="仿宋_GB2312"/>
          <w:b/>
          <w:bCs/>
          <w:color w:val="000000" w:themeColor="text1"/>
          <w:sz w:val="32"/>
          <w:szCs w:val="32"/>
          <w:shd w:val="clear" w:color="auto" w:fill="FFFFFF"/>
        </w:rPr>
        <w:t>　　（一）项目概况</w:t>
      </w:r>
    </w:p>
    <w:p w14:paraId="6285686C">
      <w:pPr>
        <w:pStyle w:val="4"/>
        <w:widowControl/>
        <w:shd w:val="clear" w:color="auto" w:fill="FFFFFF"/>
        <w:adjustRightInd w:val="0"/>
        <w:snapToGrid w:val="0"/>
        <w:spacing w:beforeAutospacing="0" w:afterAutospacing="0" w:line="600" w:lineRule="exact"/>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shd w:val="clear" w:color="auto" w:fill="FFFFFF"/>
        </w:rPr>
        <w:t>　　1.项目背景</w:t>
      </w:r>
    </w:p>
    <w:p w14:paraId="48A8D504">
      <w:pPr>
        <w:pStyle w:val="4"/>
        <w:widowControl/>
        <w:shd w:val="clear" w:color="auto" w:fill="FFFFFF"/>
        <w:adjustRightInd w:val="0"/>
        <w:snapToGrid w:val="0"/>
        <w:spacing w:beforeAutospacing="0" w:afterAutospacing="0" w:line="600" w:lineRule="exact"/>
        <w:jc w:val="both"/>
        <w:rPr>
          <w:rFonts w:ascii="仿宋_GB2312" w:hAnsi="仿宋_GB2312" w:eastAsia="仿宋_GB2312" w:cs="仿宋_GB2312"/>
          <w:color w:val="000000" w:themeColor="text1"/>
          <w:sz w:val="32"/>
          <w:szCs w:val="32"/>
          <w:shd w:val="clear" w:color="auto" w:fill="FFFFFF"/>
        </w:rPr>
      </w:pPr>
      <w:r>
        <w:rPr>
          <w:rFonts w:hint="eastAsia" w:ascii="仿宋_GB2312" w:hAnsi="仿宋_GB2312" w:eastAsia="仿宋_GB2312" w:cs="仿宋_GB2312"/>
          <w:color w:val="000000" w:themeColor="text1"/>
          <w:sz w:val="32"/>
          <w:szCs w:val="32"/>
          <w:shd w:val="clear" w:color="auto" w:fill="FFFFFF"/>
        </w:rPr>
        <w:t>　为了调节全县粮食供求总量，稳定粮食市场，以及应对重大自然灾害或者其他突发事件等情况，既解决地方粮食安全问题，又解决了农民卖粮难问题，对农民增收，乡村振兴意义非凡。</w:t>
      </w:r>
    </w:p>
    <w:p w14:paraId="7642345B">
      <w:pPr>
        <w:pStyle w:val="4"/>
        <w:widowControl/>
        <w:shd w:val="clear" w:color="auto" w:fill="FFFFFF"/>
        <w:adjustRightInd w:val="0"/>
        <w:snapToGrid w:val="0"/>
        <w:spacing w:beforeAutospacing="0" w:afterAutospacing="0" w:line="600" w:lineRule="exact"/>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shd w:val="clear" w:color="auto" w:fill="FFFFFF"/>
        </w:rPr>
        <w:t>　　2.主要内容及实施情况</w:t>
      </w:r>
    </w:p>
    <w:p w14:paraId="6DFAC6E3">
      <w:pPr>
        <w:pStyle w:val="4"/>
        <w:widowControl/>
        <w:shd w:val="clear" w:color="auto" w:fill="FFFFFF"/>
        <w:adjustRightInd w:val="0"/>
        <w:snapToGrid w:val="0"/>
        <w:spacing w:beforeAutospacing="0" w:afterAutospacing="0" w:line="600" w:lineRule="exact"/>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shd w:val="clear" w:color="auto" w:fill="FFFFFF"/>
        </w:rPr>
        <w:t>　　寿县发展和改革委员会2023年申请的县级储备补贴，主要用于保障粮食储备工作正常开展，实施周期为2023年1月至2023年12月。</w:t>
      </w:r>
    </w:p>
    <w:p w14:paraId="0792A6FB">
      <w:pPr>
        <w:pStyle w:val="4"/>
        <w:widowControl/>
        <w:shd w:val="clear" w:color="auto" w:fill="FFFFFF"/>
        <w:adjustRightInd w:val="0"/>
        <w:snapToGrid w:val="0"/>
        <w:spacing w:beforeAutospacing="0" w:afterAutospacing="0" w:line="600" w:lineRule="exact"/>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shd w:val="clear" w:color="auto" w:fill="FFFFFF"/>
        </w:rPr>
        <w:t>　　3.资金投入和使用情况</w:t>
      </w:r>
    </w:p>
    <w:p w14:paraId="710B868B">
      <w:pPr>
        <w:pStyle w:val="4"/>
        <w:widowControl/>
        <w:shd w:val="clear" w:color="auto" w:fill="FFFFFF"/>
        <w:adjustRightInd w:val="0"/>
        <w:snapToGrid w:val="0"/>
        <w:spacing w:beforeAutospacing="0" w:afterAutospacing="0" w:line="600" w:lineRule="exact"/>
        <w:jc w:val="both"/>
        <w:rPr>
          <w:rFonts w:ascii="仿宋_GB2312" w:hAnsi="仿宋_GB2312" w:eastAsia="仿宋_GB2312" w:cs="仿宋_GB2312"/>
          <w:color w:val="000000" w:themeColor="text1"/>
          <w:sz w:val="32"/>
          <w:szCs w:val="32"/>
          <w:shd w:val="clear" w:color="auto" w:fill="FFFFFF"/>
        </w:rPr>
      </w:pPr>
      <w:r>
        <w:rPr>
          <w:rFonts w:hint="eastAsia" w:ascii="仿宋_GB2312" w:hAnsi="仿宋_GB2312" w:eastAsia="仿宋_GB2312" w:cs="仿宋_GB2312"/>
          <w:color w:val="000000" w:themeColor="text1"/>
          <w:sz w:val="32"/>
          <w:szCs w:val="32"/>
          <w:shd w:val="clear" w:color="auto" w:fill="FFFFFF"/>
        </w:rPr>
        <w:t>　　2023年</w:t>
      </w:r>
      <w:bookmarkStart w:id="0" w:name="_GoBack"/>
      <w:bookmarkEnd w:id="0"/>
      <w:r>
        <w:rPr>
          <w:rFonts w:hint="eastAsia" w:ascii="仿宋_GB2312" w:hAnsi="仿宋_GB2312" w:eastAsia="仿宋_GB2312" w:cs="仿宋_GB2312"/>
          <w:color w:val="000000" w:themeColor="text1"/>
          <w:sz w:val="32"/>
          <w:szCs w:val="32"/>
          <w:shd w:val="clear" w:color="auto" w:fill="FFFFFF"/>
        </w:rPr>
        <w:t>寿县发展和改革委员会县级储备补贴193.97万元。资金使用按照国家、省、市的要求，用于</w:t>
      </w:r>
      <w:r>
        <w:rPr>
          <w:rFonts w:ascii="仿宋_GB2312" w:hAnsi="仿宋_GB2312" w:eastAsia="仿宋_GB2312" w:cs="仿宋_GB2312"/>
          <w:color w:val="000000" w:themeColor="text1"/>
          <w:sz w:val="32"/>
          <w:szCs w:val="32"/>
          <w:shd w:val="clear" w:color="auto" w:fill="FFFFFF"/>
        </w:rPr>
        <w:t>县级储备粮保管费用等</w:t>
      </w:r>
      <w:r>
        <w:rPr>
          <w:rFonts w:hint="eastAsia" w:ascii="仿宋_GB2312" w:hAnsi="仿宋_GB2312" w:eastAsia="仿宋_GB2312" w:cs="仿宋_GB2312"/>
          <w:color w:val="000000" w:themeColor="text1"/>
          <w:sz w:val="32"/>
          <w:szCs w:val="32"/>
          <w:shd w:val="clear" w:color="auto" w:fill="FFFFFF"/>
        </w:rPr>
        <w:t>，使其成为助力乡村振兴的重要力量。</w:t>
      </w:r>
    </w:p>
    <w:p w14:paraId="01CBA072">
      <w:pPr>
        <w:pStyle w:val="4"/>
        <w:widowControl/>
        <w:shd w:val="clear" w:color="auto" w:fill="FFFFFF"/>
        <w:adjustRightInd w:val="0"/>
        <w:snapToGrid w:val="0"/>
        <w:spacing w:beforeAutospacing="0" w:afterAutospacing="0" w:line="600" w:lineRule="exact"/>
        <w:jc w:val="both"/>
        <w:rPr>
          <w:rFonts w:ascii="仿宋_GB2312" w:hAnsi="仿宋_GB2312" w:eastAsia="仿宋_GB2312" w:cs="仿宋_GB2312"/>
          <w:b/>
          <w:bCs/>
          <w:color w:val="000000" w:themeColor="text1"/>
          <w:sz w:val="32"/>
          <w:szCs w:val="32"/>
        </w:rPr>
      </w:pPr>
      <w:r>
        <w:rPr>
          <w:rFonts w:hint="eastAsia" w:ascii="仿宋_GB2312" w:hAnsi="仿宋_GB2312" w:eastAsia="仿宋_GB2312" w:cs="仿宋_GB2312"/>
          <w:b/>
          <w:bCs/>
          <w:color w:val="000000" w:themeColor="text1"/>
          <w:sz w:val="32"/>
          <w:szCs w:val="32"/>
          <w:shd w:val="clear" w:color="auto" w:fill="FFFFFF"/>
        </w:rPr>
        <w:t>　　（二）项目绩效目标</w:t>
      </w:r>
    </w:p>
    <w:p w14:paraId="5F214A6B">
      <w:pPr>
        <w:pStyle w:val="4"/>
        <w:widowControl/>
        <w:shd w:val="clear" w:color="auto" w:fill="FFFFFF"/>
        <w:adjustRightInd w:val="0"/>
        <w:snapToGrid w:val="0"/>
        <w:spacing w:beforeAutospacing="0" w:afterAutospacing="0" w:line="60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shd w:val="clear" w:color="auto" w:fill="FFFFFF"/>
        </w:rPr>
        <w:t>围绕粮食安全，粮食储备等工作，进一步加强粮食储备安全建设，开展县级储备，保障粮食安全。</w:t>
      </w:r>
    </w:p>
    <w:p w14:paraId="674712E7">
      <w:pPr>
        <w:adjustRightInd w:val="0"/>
        <w:snapToGrid w:val="0"/>
        <w:spacing w:line="600" w:lineRule="exact"/>
        <w:ind w:left="644"/>
        <w:rPr>
          <w:rFonts w:ascii="黑体" w:hAnsi="黑体" w:eastAsia="黑体" w:cs="黑体"/>
          <w:color w:val="000000" w:themeColor="text1"/>
          <w:spacing w:val="6"/>
          <w:sz w:val="32"/>
          <w:szCs w:val="32"/>
        </w:rPr>
      </w:pPr>
      <w:r>
        <w:rPr>
          <w:rFonts w:hint="eastAsia" w:ascii="黑体" w:hAnsi="黑体" w:eastAsia="黑体" w:cs="黑体"/>
          <w:color w:val="000000" w:themeColor="text1"/>
          <w:spacing w:val="6"/>
          <w:sz w:val="32"/>
          <w:szCs w:val="32"/>
        </w:rPr>
        <w:t>二、绩效评价工作开展情况</w:t>
      </w:r>
    </w:p>
    <w:p w14:paraId="567437EA">
      <w:pPr>
        <w:pStyle w:val="4"/>
        <w:widowControl/>
        <w:shd w:val="clear" w:color="auto" w:fill="FFFFFF"/>
        <w:adjustRightInd w:val="0"/>
        <w:snapToGrid w:val="0"/>
        <w:spacing w:beforeAutospacing="0" w:afterAutospacing="0" w:line="600" w:lineRule="exact"/>
        <w:ind w:firstLine="643" w:firstLineChars="200"/>
        <w:jc w:val="both"/>
        <w:rPr>
          <w:rFonts w:ascii="仿宋_GB2312" w:hAnsi="仿宋_GB2312" w:eastAsia="仿宋_GB2312" w:cs="仿宋_GB2312"/>
          <w:b/>
          <w:bCs/>
          <w:color w:val="000000" w:themeColor="text1"/>
          <w:sz w:val="32"/>
          <w:szCs w:val="32"/>
        </w:rPr>
      </w:pPr>
      <w:r>
        <w:rPr>
          <w:rFonts w:hint="eastAsia" w:ascii="仿宋_GB2312" w:hAnsi="仿宋_GB2312" w:eastAsia="仿宋_GB2312" w:cs="仿宋_GB2312"/>
          <w:b/>
          <w:bCs/>
          <w:color w:val="000000" w:themeColor="text1"/>
          <w:sz w:val="32"/>
          <w:szCs w:val="32"/>
          <w:shd w:val="clear" w:color="auto" w:fill="FFFFFF"/>
        </w:rPr>
        <w:t>（一）绩效评价目的、对象和范围</w:t>
      </w:r>
    </w:p>
    <w:p w14:paraId="6EA315CF">
      <w:pPr>
        <w:pStyle w:val="4"/>
        <w:shd w:val="clear" w:color="auto" w:fill="FFFFFF"/>
        <w:topLinePunct/>
        <w:spacing w:beforeAutospacing="0" w:afterAutospacing="0" w:line="560" w:lineRule="exact"/>
        <w:ind w:firstLine="640" w:firstLineChars="200"/>
        <w:jc w:val="both"/>
        <w:rPr>
          <w:rFonts w:eastAsia="仿宋_GB2312" w:cs="仿宋_GB2312" w:asciiTheme="majorHAnsi" w:hAnsiTheme="majorHAnsi"/>
          <w:color w:val="000000"/>
          <w:sz w:val="32"/>
          <w:szCs w:val="32"/>
        </w:rPr>
      </w:pPr>
      <w:r>
        <w:rPr>
          <w:rFonts w:eastAsia="仿宋_GB2312" w:cs="仿宋_GB2312" w:asciiTheme="majorHAnsi" w:hAnsiTheme="majorHAnsi"/>
          <w:color w:val="000000"/>
          <w:sz w:val="32"/>
          <w:szCs w:val="32"/>
        </w:rPr>
        <w:t>该项目依据寿县财政局、寿县粮食和物资储备局《寿县县级储备粮专项资金管理办法》（寿财建［2022]56号）第三条，县级储备粮保管费用根据县政府下达的承储规模总量计补，实行定额包干，超支不补，结余留用。第四条，县级储备粮银行贷款利息根据县政府下达的承储规模总量、入库成本、以及同期银行一年期贷款利率等计补。</w:t>
      </w:r>
    </w:p>
    <w:p w14:paraId="17E714CA">
      <w:pPr>
        <w:pStyle w:val="4"/>
        <w:widowControl/>
        <w:shd w:val="clear" w:color="auto" w:fill="FFFFFF"/>
        <w:adjustRightInd w:val="0"/>
        <w:snapToGrid w:val="0"/>
        <w:spacing w:beforeAutospacing="0" w:afterAutospacing="0" w:line="600" w:lineRule="exact"/>
        <w:jc w:val="both"/>
        <w:rPr>
          <w:rFonts w:ascii="仿宋_GB2312" w:hAnsi="仿宋_GB2312" w:eastAsia="仿宋_GB2312" w:cs="仿宋_GB2312"/>
          <w:b/>
          <w:bCs/>
          <w:color w:val="000000" w:themeColor="text1"/>
          <w:sz w:val="32"/>
          <w:szCs w:val="32"/>
        </w:rPr>
      </w:pPr>
      <w:r>
        <w:rPr>
          <w:rFonts w:hint="eastAsia" w:ascii="仿宋_GB2312" w:hAnsi="仿宋_GB2312" w:eastAsia="仿宋_GB2312" w:cs="仿宋_GB2312"/>
          <w:b/>
          <w:bCs/>
          <w:color w:val="000000" w:themeColor="text1"/>
          <w:sz w:val="32"/>
          <w:szCs w:val="32"/>
          <w:shd w:val="clear" w:color="auto" w:fill="FFFFFF"/>
        </w:rPr>
        <w:t>　　（二）绩效评价原则、评价指标体系（附表说明）、评价方法、评价标准等</w:t>
      </w:r>
    </w:p>
    <w:p w14:paraId="0A40CB65">
      <w:pPr>
        <w:pStyle w:val="4"/>
        <w:widowControl/>
        <w:shd w:val="clear" w:color="auto" w:fill="FFFFFF"/>
        <w:adjustRightInd w:val="0"/>
        <w:snapToGrid w:val="0"/>
        <w:spacing w:beforeAutospacing="0" w:afterAutospacing="0" w:line="600" w:lineRule="exact"/>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shd w:val="clear" w:color="auto" w:fill="FFFFFF"/>
        </w:rPr>
        <w:t>　　县发改委按照政策相符、依据充分等原则，本着科学、规范的原则，对本单位的项目进行绩效评价，本次绩效评价总分值为100分，具体包括：项目资金实施（10分）、产出指标（60分）、效益指标（20分）、满意度指标（10分），每个项目均设置一级指标、二级指标、三级指标。</w:t>
      </w:r>
    </w:p>
    <w:p w14:paraId="64F6B74E">
      <w:pPr>
        <w:pStyle w:val="4"/>
        <w:widowControl/>
        <w:shd w:val="clear" w:color="auto" w:fill="FFFFFF"/>
        <w:adjustRightInd w:val="0"/>
        <w:snapToGrid w:val="0"/>
        <w:spacing w:beforeAutospacing="0" w:afterAutospacing="0" w:line="600" w:lineRule="exact"/>
        <w:jc w:val="both"/>
        <w:rPr>
          <w:rFonts w:ascii="仿宋_GB2312" w:hAnsi="仿宋_GB2312" w:eastAsia="仿宋_GB2312" w:cs="仿宋_GB2312"/>
          <w:b/>
          <w:bCs/>
          <w:color w:val="000000" w:themeColor="text1"/>
          <w:sz w:val="32"/>
          <w:szCs w:val="32"/>
        </w:rPr>
      </w:pPr>
      <w:r>
        <w:rPr>
          <w:rFonts w:hint="eastAsia" w:ascii="仿宋_GB2312" w:hAnsi="仿宋_GB2312" w:eastAsia="仿宋_GB2312" w:cs="仿宋_GB2312"/>
          <w:b/>
          <w:bCs/>
          <w:color w:val="000000" w:themeColor="text1"/>
          <w:sz w:val="32"/>
          <w:szCs w:val="32"/>
          <w:shd w:val="clear" w:color="auto" w:fill="FFFFFF"/>
        </w:rPr>
        <w:t>　　（三）绩效评价工作过程</w:t>
      </w:r>
    </w:p>
    <w:p w14:paraId="10B13617">
      <w:pPr>
        <w:pStyle w:val="4"/>
        <w:widowControl/>
        <w:shd w:val="clear" w:color="auto" w:fill="FFFFFF"/>
        <w:adjustRightInd w:val="0"/>
        <w:snapToGrid w:val="0"/>
        <w:spacing w:beforeAutospacing="0" w:afterAutospacing="0" w:line="600" w:lineRule="exact"/>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shd w:val="clear" w:color="auto" w:fill="FFFFFF"/>
        </w:rPr>
        <w:t>　　按照要求，县发改委预算绩效领导小组对年内实施的项目进行绩效评价。结合事前绩效目标，对每个项目的实际完成情况进行评价，2023年县发改委实施项目全部完成预定目标值。</w:t>
      </w:r>
    </w:p>
    <w:p w14:paraId="6DAB33C7">
      <w:pPr>
        <w:adjustRightInd w:val="0"/>
        <w:snapToGrid w:val="0"/>
        <w:spacing w:line="600" w:lineRule="exact"/>
        <w:ind w:firstLine="664" w:firstLineChars="200"/>
        <w:rPr>
          <w:rFonts w:ascii="黑体" w:hAnsi="黑体" w:eastAsia="黑体" w:cs="黑体"/>
          <w:color w:val="000000" w:themeColor="text1"/>
          <w:spacing w:val="6"/>
          <w:sz w:val="32"/>
          <w:szCs w:val="32"/>
        </w:rPr>
      </w:pPr>
      <w:r>
        <w:rPr>
          <w:rFonts w:hint="eastAsia" w:ascii="黑体" w:hAnsi="黑体" w:eastAsia="黑体" w:cs="黑体"/>
          <w:color w:val="000000" w:themeColor="text1"/>
          <w:spacing w:val="6"/>
          <w:sz w:val="32"/>
          <w:szCs w:val="32"/>
        </w:rPr>
        <w:t>三、综合评价情况及评价结论（附相关自评表）</w:t>
      </w:r>
    </w:p>
    <w:p w14:paraId="60558DDE">
      <w:pPr>
        <w:pStyle w:val="4"/>
        <w:widowControl/>
        <w:shd w:val="clear" w:color="auto" w:fill="FFFFFF"/>
        <w:autoSpaceDE w:val="0"/>
        <w:autoSpaceDN w:val="0"/>
        <w:adjustRightInd w:val="0"/>
        <w:snapToGrid w:val="0"/>
        <w:spacing w:beforeAutospacing="0" w:afterAutospacing="0" w:line="600" w:lineRule="exact"/>
        <w:ind w:firstLine="640" w:firstLineChars="200"/>
        <w:jc w:val="both"/>
        <w:rPr>
          <w:rFonts w:ascii="仿宋_GB2312" w:hAnsi="仿宋_GB2312" w:eastAsia="仿宋_GB2312" w:cs="仿宋_GB2312"/>
          <w:color w:val="000000" w:themeColor="text1"/>
          <w:sz w:val="32"/>
          <w:szCs w:val="32"/>
          <w:shd w:val="clear" w:color="auto" w:fill="FFFFFF"/>
        </w:rPr>
      </w:pPr>
      <w:r>
        <w:rPr>
          <w:rFonts w:hint="eastAsia" w:ascii="仿宋_GB2312" w:hAnsi="仿宋_GB2312" w:eastAsia="仿宋_GB2312" w:cs="仿宋_GB2312"/>
          <w:color w:val="000000" w:themeColor="text1"/>
          <w:sz w:val="32"/>
          <w:szCs w:val="32"/>
          <w:shd w:val="clear" w:color="auto" w:fill="FFFFFF"/>
        </w:rPr>
        <w:t>县发改委县级储备补贴立项程序完整、规范，预算执行及时、有效，较好实现绩效目标。</w:t>
      </w:r>
    </w:p>
    <w:p w14:paraId="02DBEC44">
      <w:pPr>
        <w:adjustRightInd w:val="0"/>
        <w:snapToGrid w:val="0"/>
        <w:spacing w:line="600" w:lineRule="exact"/>
        <w:ind w:firstLine="664" w:firstLineChars="200"/>
        <w:rPr>
          <w:rFonts w:ascii="黑体" w:hAnsi="黑体" w:eastAsia="黑体" w:cs="黑体"/>
          <w:color w:val="000000" w:themeColor="text1"/>
          <w:spacing w:val="6"/>
          <w:sz w:val="32"/>
          <w:szCs w:val="32"/>
        </w:rPr>
      </w:pPr>
      <w:r>
        <w:rPr>
          <w:rFonts w:hint="eastAsia" w:ascii="黑体" w:hAnsi="黑体" w:eastAsia="黑体" w:cs="黑体"/>
          <w:color w:val="000000" w:themeColor="text1"/>
          <w:spacing w:val="6"/>
          <w:sz w:val="32"/>
          <w:szCs w:val="32"/>
        </w:rPr>
        <w:t>四、绩效评价指标分析</w:t>
      </w:r>
    </w:p>
    <w:p w14:paraId="6F2B1FC5">
      <w:pPr>
        <w:pStyle w:val="4"/>
        <w:widowControl/>
        <w:shd w:val="clear" w:color="auto" w:fill="FFFFFF"/>
        <w:adjustRightInd w:val="0"/>
        <w:snapToGrid w:val="0"/>
        <w:spacing w:beforeAutospacing="0" w:afterAutospacing="0" w:line="600" w:lineRule="exact"/>
        <w:jc w:val="both"/>
        <w:rPr>
          <w:rFonts w:ascii="仿宋_GB2312" w:hAnsi="仿宋_GB2312" w:eastAsia="仿宋_GB2312" w:cs="仿宋_GB2312"/>
          <w:b/>
          <w:bCs/>
          <w:color w:val="000000" w:themeColor="text1"/>
          <w:sz w:val="32"/>
          <w:szCs w:val="32"/>
        </w:rPr>
      </w:pPr>
      <w:r>
        <w:rPr>
          <w:rFonts w:hint="eastAsia" w:ascii="仿宋_GB2312" w:hAnsi="仿宋_GB2312" w:eastAsia="仿宋_GB2312" w:cs="仿宋_GB2312"/>
          <w:b/>
          <w:bCs/>
          <w:color w:val="000000" w:themeColor="text1"/>
          <w:sz w:val="32"/>
          <w:szCs w:val="32"/>
          <w:shd w:val="clear" w:color="auto" w:fill="FFFFFF"/>
        </w:rPr>
        <w:t>　　（一）项目决策情况分析</w:t>
      </w:r>
    </w:p>
    <w:p w14:paraId="09CA294C">
      <w:pPr>
        <w:pStyle w:val="4"/>
        <w:widowControl/>
        <w:shd w:val="clear" w:color="auto" w:fill="FFFFFF"/>
        <w:autoSpaceDE w:val="0"/>
        <w:autoSpaceDN w:val="0"/>
        <w:adjustRightInd w:val="0"/>
        <w:snapToGrid w:val="0"/>
        <w:spacing w:beforeAutospacing="0" w:afterAutospacing="0" w:line="600" w:lineRule="exact"/>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shd w:val="clear" w:color="auto" w:fill="FFFFFF"/>
        </w:rPr>
        <w:t>　　我单位结合省、市工作要求，按照县委安排部署，按照规定的程序申请设立；项目设立相关文件、材料符合相关要求；事前已经过必要的可行性研究、绩效评估、集体决策。项目立项符合国家法律法规、国民经济发展规划和相关政策；符合行业发展规划和政策要求；与部门职责范围相符，属于部门履职所需；项目属于公共财政支持范围与相关部门同类项目或部门内部相关项目不重复。</w:t>
      </w:r>
    </w:p>
    <w:p w14:paraId="3B6F5169">
      <w:pPr>
        <w:pStyle w:val="4"/>
        <w:widowControl/>
        <w:shd w:val="clear" w:color="auto" w:fill="FFFFFF"/>
        <w:adjustRightInd w:val="0"/>
        <w:snapToGrid w:val="0"/>
        <w:spacing w:beforeAutospacing="0" w:afterAutospacing="0" w:line="600" w:lineRule="exact"/>
        <w:jc w:val="both"/>
        <w:rPr>
          <w:rFonts w:ascii="仿宋_GB2312" w:hAnsi="仿宋_GB2312" w:eastAsia="仿宋_GB2312" w:cs="仿宋_GB2312"/>
          <w:b/>
          <w:bCs/>
          <w:color w:val="000000" w:themeColor="text1"/>
          <w:sz w:val="32"/>
          <w:szCs w:val="32"/>
        </w:rPr>
      </w:pPr>
      <w:r>
        <w:rPr>
          <w:rFonts w:hint="eastAsia" w:ascii="仿宋_GB2312" w:hAnsi="仿宋_GB2312" w:eastAsia="仿宋_GB2312" w:cs="仿宋_GB2312"/>
          <w:b/>
          <w:bCs/>
          <w:color w:val="000000" w:themeColor="text1"/>
          <w:sz w:val="32"/>
          <w:szCs w:val="32"/>
          <w:shd w:val="clear" w:color="auto" w:fill="FFFFFF"/>
        </w:rPr>
        <w:t>　　（二）项目过程情况分析</w:t>
      </w:r>
    </w:p>
    <w:p w14:paraId="6A6D35CA">
      <w:pPr>
        <w:pStyle w:val="4"/>
        <w:widowControl/>
        <w:shd w:val="clear" w:color="auto" w:fill="FFFFFF"/>
        <w:adjustRightInd w:val="0"/>
        <w:snapToGrid w:val="0"/>
        <w:spacing w:beforeAutospacing="0" w:afterAutospacing="0" w:line="600" w:lineRule="exact"/>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shd w:val="clear" w:color="auto" w:fill="FFFFFF"/>
        </w:rPr>
        <w:t>　　项目资金使用符合财经法规和财务管理制度以及有关专项资金管理办法的规定，资金的拨付有完整的审批程序和手续，资金使用符合项目预算批复或合同规定的用途，不存在截留、挤占、挪用、虚列支出等情况。</w:t>
      </w:r>
    </w:p>
    <w:p w14:paraId="458DE74D">
      <w:pPr>
        <w:pStyle w:val="4"/>
        <w:widowControl/>
        <w:shd w:val="clear" w:color="auto" w:fill="FFFFFF"/>
        <w:adjustRightInd w:val="0"/>
        <w:snapToGrid w:val="0"/>
        <w:spacing w:beforeAutospacing="0" w:afterAutospacing="0" w:line="600" w:lineRule="exact"/>
        <w:jc w:val="both"/>
        <w:rPr>
          <w:rFonts w:ascii="仿宋_GB2312" w:hAnsi="仿宋_GB2312" w:eastAsia="仿宋_GB2312" w:cs="仿宋_GB2312"/>
          <w:b/>
          <w:bCs/>
          <w:color w:val="000000" w:themeColor="text1"/>
          <w:sz w:val="32"/>
          <w:szCs w:val="32"/>
        </w:rPr>
      </w:pPr>
      <w:r>
        <w:rPr>
          <w:rFonts w:hint="eastAsia" w:ascii="仿宋_GB2312" w:hAnsi="仿宋_GB2312" w:eastAsia="仿宋_GB2312" w:cs="仿宋_GB2312"/>
          <w:b/>
          <w:bCs/>
          <w:color w:val="000000" w:themeColor="text1"/>
          <w:sz w:val="32"/>
          <w:szCs w:val="32"/>
          <w:shd w:val="clear" w:color="auto" w:fill="FFFFFF"/>
        </w:rPr>
        <w:t>　　（三）项目产出情况分析</w:t>
      </w:r>
    </w:p>
    <w:p w14:paraId="0FEE9761">
      <w:pPr>
        <w:pStyle w:val="4"/>
        <w:widowControl/>
        <w:shd w:val="clear" w:color="auto" w:fill="FFFFFF"/>
        <w:adjustRightInd w:val="0"/>
        <w:snapToGrid w:val="0"/>
        <w:spacing w:beforeAutospacing="0" w:afterAutospacing="0" w:line="600" w:lineRule="exact"/>
        <w:ind w:firstLine="640" w:firstLineChars="200"/>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shd w:val="clear" w:color="auto" w:fill="FFFFFF"/>
        </w:rPr>
        <w:t>2023年度县级储备补贴较好完成年度目标任务，实现了预期绩效目标。</w:t>
      </w:r>
    </w:p>
    <w:p w14:paraId="24AB7E08">
      <w:pPr>
        <w:pStyle w:val="4"/>
        <w:widowControl/>
        <w:shd w:val="clear" w:color="auto" w:fill="FFFFFF"/>
        <w:adjustRightInd w:val="0"/>
        <w:snapToGrid w:val="0"/>
        <w:spacing w:beforeAutospacing="0" w:afterAutospacing="0" w:line="600" w:lineRule="exact"/>
        <w:jc w:val="both"/>
        <w:rPr>
          <w:rFonts w:ascii="仿宋_GB2312" w:hAnsi="仿宋_GB2312" w:eastAsia="仿宋_GB2312" w:cs="仿宋_GB2312"/>
          <w:b/>
          <w:bCs/>
          <w:color w:val="000000" w:themeColor="text1"/>
          <w:sz w:val="32"/>
          <w:szCs w:val="32"/>
        </w:rPr>
      </w:pPr>
      <w:r>
        <w:rPr>
          <w:rFonts w:hint="eastAsia" w:ascii="仿宋_GB2312" w:hAnsi="仿宋_GB2312" w:eastAsia="仿宋_GB2312" w:cs="仿宋_GB2312"/>
          <w:b/>
          <w:bCs/>
          <w:color w:val="000000" w:themeColor="text1"/>
          <w:sz w:val="32"/>
          <w:szCs w:val="32"/>
          <w:shd w:val="clear" w:color="auto" w:fill="FFFFFF"/>
        </w:rPr>
        <w:t>　　（四）项目效益情况分析</w:t>
      </w:r>
    </w:p>
    <w:p w14:paraId="16F4AD68">
      <w:pPr>
        <w:pStyle w:val="4"/>
        <w:widowControl/>
        <w:shd w:val="clear" w:color="auto" w:fill="FFFFFF"/>
        <w:adjustRightInd w:val="0"/>
        <w:snapToGrid w:val="0"/>
        <w:spacing w:beforeAutospacing="0" w:afterAutospacing="0" w:line="600" w:lineRule="exact"/>
        <w:ind w:firstLine="640" w:firstLineChars="200"/>
        <w:jc w:val="both"/>
        <w:rPr>
          <w:rFonts w:hint="eastAsia" w:ascii="Arial" w:hAnsi="Arial" w:eastAsia="仿宋_GB2312" w:cs="Arial"/>
          <w:color w:val="333333"/>
          <w:sz w:val="32"/>
          <w:szCs w:val="32"/>
          <w:shd w:val="clear" w:color="auto" w:fill="FFFFFF"/>
        </w:rPr>
      </w:pPr>
      <w:r>
        <w:rPr>
          <w:rFonts w:hint="eastAsia" w:ascii="仿宋_GB2312" w:hAnsi="仿宋_GB2312" w:eastAsia="仿宋_GB2312" w:cs="仿宋_GB2312"/>
          <w:color w:val="000000" w:themeColor="text1"/>
          <w:sz w:val="32"/>
          <w:szCs w:val="32"/>
          <w:shd w:val="clear" w:color="auto" w:fill="FFFFFF"/>
        </w:rPr>
        <w:t>县级储备补贴实施，进一步</w:t>
      </w:r>
      <w:r>
        <w:rPr>
          <w:rFonts w:hint="eastAsia" w:ascii="Arial" w:hAnsi="Arial" w:eastAsia="仿宋_GB2312" w:cs="Arial"/>
          <w:color w:val="333333"/>
          <w:sz w:val="32"/>
          <w:szCs w:val="32"/>
          <w:shd w:val="clear" w:color="auto" w:fill="FFFFFF"/>
        </w:rPr>
        <w:t>解决地方粮食安全问题，又解决了农民卖粮难问题，对农民增收，保障了县级粮食储备安全。</w:t>
      </w:r>
    </w:p>
    <w:p w14:paraId="18FF59FC">
      <w:pPr>
        <w:pStyle w:val="4"/>
        <w:widowControl/>
        <w:shd w:val="clear" w:color="auto" w:fill="FFFFFF"/>
        <w:adjustRightInd w:val="0"/>
        <w:snapToGrid w:val="0"/>
        <w:spacing w:beforeAutospacing="0" w:afterAutospacing="0" w:line="600" w:lineRule="exact"/>
        <w:ind w:firstLine="664" w:firstLineChars="200"/>
        <w:jc w:val="both"/>
        <w:rPr>
          <w:rFonts w:ascii="黑体" w:hAnsi="黑体" w:eastAsia="黑体" w:cs="黑体"/>
          <w:color w:val="000000" w:themeColor="text1"/>
          <w:spacing w:val="6"/>
          <w:sz w:val="32"/>
          <w:szCs w:val="32"/>
        </w:rPr>
      </w:pPr>
      <w:r>
        <w:rPr>
          <w:rFonts w:hint="eastAsia" w:ascii="黑体" w:hAnsi="黑体" w:eastAsia="黑体" w:cs="黑体"/>
          <w:color w:val="000000" w:themeColor="text1"/>
          <w:spacing w:val="6"/>
          <w:sz w:val="32"/>
          <w:szCs w:val="32"/>
        </w:rPr>
        <w:t>五、主要经验及做法</w:t>
      </w:r>
    </w:p>
    <w:p w14:paraId="122E2029">
      <w:pPr>
        <w:pStyle w:val="4"/>
        <w:widowControl/>
        <w:shd w:val="clear" w:color="auto" w:fill="FFFFFF"/>
        <w:adjustRightInd w:val="0"/>
        <w:snapToGrid w:val="0"/>
        <w:spacing w:beforeAutospacing="0" w:afterAutospacing="0" w:line="600" w:lineRule="exact"/>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shd w:val="clear" w:color="auto" w:fill="FFFFFF"/>
        </w:rPr>
        <w:t>　　县发改委成立预算绩效管理工作领导小组，明确小组各成员的责任和分工。按照工作计划，开展项目资金的使用，对各项资金实施绩效进行自评，总结问题，分析原因，不断提高项目资金的使用效益。</w:t>
      </w:r>
    </w:p>
    <w:p w14:paraId="495F25A7">
      <w:pPr>
        <w:adjustRightInd w:val="0"/>
        <w:snapToGrid w:val="0"/>
        <w:spacing w:line="600" w:lineRule="exact"/>
        <w:ind w:left="644"/>
        <w:rPr>
          <w:rFonts w:ascii="黑体" w:hAnsi="黑体" w:eastAsia="黑体" w:cs="黑体"/>
          <w:color w:val="000000" w:themeColor="text1"/>
          <w:spacing w:val="6"/>
          <w:sz w:val="32"/>
          <w:szCs w:val="32"/>
        </w:rPr>
      </w:pPr>
      <w:r>
        <w:rPr>
          <w:rFonts w:hint="eastAsia" w:ascii="黑体" w:hAnsi="黑体" w:eastAsia="黑体" w:cs="黑体"/>
          <w:color w:val="000000" w:themeColor="text1"/>
          <w:spacing w:val="6"/>
          <w:sz w:val="32"/>
          <w:szCs w:val="32"/>
        </w:rPr>
        <w:t>六、存在的问题及原因分析</w:t>
      </w:r>
    </w:p>
    <w:p w14:paraId="670DA59F">
      <w:pPr>
        <w:pStyle w:val="4"/>
        <w:widowControl/>
        <w:shd w:val="clear" w:color="auto" w:fill="FFFFFF"/>
        <w:autoSpaceDE w:val="0"/>
        <w:autoSpaceDN w:val="0"/>
        <w:adjustRightInd w:val="0"/>
        <w:snapToGrid w:val="0"/>
        <w:spacing w:beforeAutospacing="0" w:afterAutospacing="0" w:line="600" w:lineRule="exact"/>
        <w:jc w:val="both"/>
        <w:rPr>
          <w:rFonts w:ascii="仿宋_GB2312" w:hAnsi="仿宋_GB2312" w:eastAsia="仿宋_GB2312" w:cs="仿宋_GB2312"/>
          <w:color w:val="000000" w:themeColor="text1"/>
          <w:sz w:val="32"/>
          <w:szCs w:val="32"/>
          <w:shd w:val="clear" w:color="auto" w:fill="FFFFFF"/>
        </w:rPr>
      </w:pPr>
      <w:r>
        <w:rPr>
          <w:rFonts w:hint="eastAsia" w:ascii="仿宋_GB2312" w:hAnsi="仿宋_GB2312" w:eastAsia="仿宋_GB2312" w:cs="仿宋_GB2312"/>
          <w:color w:val="000000" w:themeColor="text1"/>
          <w:sz w:val="32"/>
          <w:szCs w:val="32"/>
          <w:shd w:val="clear" w:color="auto" w:fill="FFFFFF"/>
        </w:rPr>
        <w:t>　　1.绩效意识不够强。主要是绩效意识较淡薄，股室之间的协作程度不高，对绩效理念需进一步增强。</w:t>
      </w:r>
    </w:p>
    <w:p w14:paraId="2E533A35">
      <w:pPr>
        <w:pStyle w:val="4"/>
        <w:widowControl/>
        <w:shd w:val="clear" w:color="auto" w:fill="FFFFFF"/>
        <w:autoSpaceDE w:val="0"/>
        <w:autoSpaceDN w:val="0"/>
        <w:adjustRightInd w:val="0"/>
        <w:snapToGrid w:val="0"/>
        <w:spacing w:beforeAutospacing="0" w:afterAutospacing="0" w:line="600" w:lineRule="exact"/>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shd w:val="clear" w:color="auto" w:fill="FFFFFF"/>
        </w:rPr>
        <w:t>　  2.绩效工作力量薄弱。绩效工作涉及范围广，涵盖了财务管理、预算管理、项目管理、业务管理等内容，仅靠财务人员无法高效地完成，需各相关股室协同配合。</w:t>
      </w:r>
    </w:p>
    <w:p w14:paraId="60026997">
      <w:pPr>
        <w:pStyle w:val="4"/>
        <w:widowControl/>
        <w:shd w:val="clear" w:color="auto" w:fill="FFFFFF"/>
        <w:autoSpaceDE w:val="0"/>
        <w:autoSpaceDN w:val="0"/>
        <w:adjustRightInd w:val="0"/>
        <w:snapToGrid w:val="0"/>
        <w:spacing w:beforeAutospacing="0" w:afterAutospacing="0" w:line="600" w:lineRule="exact"/>
        <w:jc w:val="both"/>
        <w:rPr>
          <w:rFonts w:ascii="黑体" w:hAnsi="黑体" w:eastAsia="黑体" w:cs="黑体"/>
          <w:color w:val="000000" w:themeColor="text1"/>
          <w:sz w:val="32"/>
          <w:szCs w:val="32"/>
        </w:rPr>
      </w:pPr>
      <w:r>
        <w:rPr>
          <w:rFonts w:hint="eastAsia" w:ascii="黑体" w:hAnsi="黑体" w:eastAsia="黑体" w:cs="黑体"/>
          <w:color w:val="000000" w:themeColor="text1"/>
          <w:sz w:val="32"/>
          <w:szCs w:val="32"/>
          <w:shd w:val="clear" w:color="auto" w:fill="FFFFFF"/>
        </w:rPr>
        <w:t>　　七、有关建议</w:t>
      </w:r>
    </w:p>
    <w:p w14:paraId="189E8331">
      <w:pPr>
        <w:pStyle w:val="4"/>
        <w:widowControl/>
        <w:shd w:val="clear" w:color="auto" w:fill="FFFFFF"/>
        <w:adjustRightInd w:val="0"/>
        <w:snapToGrid w:val="0"/>
        <w:spacing w:beforeAutospacing="0" w:afterAutospacing="0" w:line="600" w:lineRule="exact"/>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shd w:val="clear" w:color="auto" w:fill="FFFFFF"/>
        </w:rPr>
        <w:t>　　1.加强项目绩效管理，继续推进已完成项目的效果跟踪，通过参观学习、组织培训、经验推广等方式，使项目效果最大。</w:t>
      </w:r>
    </w:p>
    <w:p w14:paraId="5C06066D">
      <w:pPr>
        <w:pStyle w:val="4"/>
        <w:widowControl/>
        <w:shd w:val="clear" w:color="auto" w:fill="FFFFFF"/>
        <w:autoSpaceDE w:val="0"/>
        <w:autoSpaceDN w:val="0"/>
        <w:adjustRightInd w:val="0"/>
        <w:snapToGrid w:val="0"/>
        <w:spacing w:beforeAutospacing="0" w:afterAutospacing="0" w:line="600" w:lineRule="exact"/>
        <w:jc w:val="both"/>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shd w:val="clear" w:color="auto" w:fill="FFFFFF"/>
        </w:rPr>
        <w:t>　　（二）增加预算绩效管理人员，安排人员充实到预算绩效管理队伍，增强对预算单位绩效管理指导监督作用，加快了解和掌握预算绩效管理内容和实施规程，做好预算绩效工作。</w:t>
      </w:r>
    </w:p>
    <w:p w14:paraId="17B8F33D">
      <w:pPr>
        <w:adjustRightInd w:val="0"/>
        <w:snapToGrid w:val="0"/>
        <w:spacing w:line="600" w:lineRule="exact"/>
        <w:ind w:left="644"/>
        <w:rPr>
          <w:rFonts w:ascii="黑体" w:hAnsi="黑体" w:eastAsia="黑体" w:cs="黑体"/>
          <w:color w:val="000000" w:themeColor="text1"/>
          <w:spacing w:val="6"/>
          <w:sz w:val="32"/>
          <w:szCs w:val="32"/>
        </w:rPr>
      </w:pPr>
      <w:r>
        <w:rPr>
          <w:rFonts w:hint="eastAsia" w:ascii="黑体" w:hAnsi="黑体" w:eastAsia="黑体" w:cs="黑体"/>
          <w:color w:val="000000" w:themeColor="text1"/>
          <w:spacing w:val="6"/>
          <w:sz w:val="32"/>
          <w:szCs w:val="32"/>
        </w:rPr>
        <w:t>八、其他需要说明的问题</w:t>
      </w:r>
    </w:p>
    <w:p w14:paraId="5EB06C0A">
      <w:pPr>
        <w:adjustRightInd w:val="0"/>
        <w:snapToGrid w:val="0"/>
        <w:spacing w:line="600" w:lineRule="exact"/>
        <w:ind w:firstLine="640" w:firstLineChars="200"/>
        <w:rPr>
          <w:rFonts w:ascii="仿宋_GB2312" w:hAnsi="仿宋_GB2312" w:eastAsia="仿宋_GB2312" w:cs="仿宋_GB2312"/>
          <w:color w:val="000000" w:themeColor="text1"/>
          <w:sz w:val="32"/>
          <w:szCs w:val="32"/>
        </w:rPr>
      </w:pPr>
      <w:r>
        <w:rPr>
          <w:rFonts w:hint="eastAsia" w:ascii="仿宋_GB2312" w:hAnsi="仿宋_GB2312" w:eastAsia="仿宋_GB2312" w:cs="仿宋_GB2312"/>
          <w:color w:val="000000" w:themeColor="text1"/>
          <w:sz w:val="32"/>
          <w:szCs w:val="32"/>
        </w:rPr>
        <w:t>无</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Arial">
    <w:panose1 w:val="020B0604020202020204"/>
    <w:charset w:val="00"/>
    <w:family w:val="swiss"/>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13951D">
    <w:pPr>
      <w:pStyle w:val="2"/>
    </w:pPr>
    <w:r>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path/>
          <v:fill on="f" focussize="0,0"/>
          <v:stroke on="f" weight="0.5pt" joinstyle="miter"/>
          <v:imagedata o:title=""/>
          <o:lock v:ext="edit"/>
          <v:textbox inset="0mm,0mm,0mm,0mm" style="mso-fit-shape-to-text:t;">
            <w:txbxContent>
              <w:p w14:paraId="62D8DC14">
                <w:pPr>
                  <w:pStyle w:val="2"/>
                </w:pPr>
                <w:r>
                  <w:rPr>
                    <w:rFonts w:hint="eastAsia"/>
                  </w:rPr>
                  <w:fldChar w:fldCharType="begin"/>
                </w:r>
                <w:r>
                  <w:rPr>
                    <w:rFonts w:hint="eastAsia"/>
                  </w:rPr>
                  <w:instrText xml:space="preserve"> PAGE  \* MERGEFORMAT </w:instrText>
                </w:r>
                <w:r>
                  <w:rPr>
                    <w:rFonts w:hint="eastAsia"/>
                  </w:rPr>
                  <w:fldChar w:fldCharType="separate"/>
                </w:r>
                <w:r>
                  <w:t>- 1 -</w:t>
                </w:r>
                <w:r>
                  <w:rPr>
                    <w:rFonts w:hint="eastAsia"/>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7"/>
  <w:embedSystemFonts/>
  <w:documentProtection w:enforcement="0"/>
  <w:defaultTabStop w:val="420"/>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10541E0"/>
    <w:rsid w:val="00170DD8"/>
    <w:rsid w:val="00361F23"/>
    <w:rsid w:val="00544CF7"/>
    <w:rsid w:val="005E0F43"/>
    <w:rsid w:val="006C26C9"/>
    <w:rsid w:val="008C3D8B"/>
    <w:rsid w:val="008E1B03"/>
    <w:rsid w:val="0091386D"/>
    <w:rsid w:val="00946AC1"/>
    <w:rsid w:val="00A046CE"/>
    <w:rsid w:val="00BB336E"/>
    <w:rsid w:val="00C71819"/>
    <w:rsid w:val="00D14184"/>
    <w:rsid w:val="00E552B1"/>
    <w:rsid w:val="00F75558"/>
    <w:rsid w:val="010541E0"/>
    <w:rsid w:val="013A2EF8"/>
    <w:rsid w:val="1AED2CF5"/>
    <w:rsid w:val="222D798E"/>
    <w:rsid w:val="52A47112"/>
    <w:rsid w:val="626B33DA"/>
    <w:rsid w:val="7D850C1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4</Pages>
  <Words>1572</Words>
  <Characters>1614</Characters>
  <Lines>12</Lines>
  <Paragraphs>3</Paragraphs>
  <TotalTime>23</TotalTime>
  <ScaleCrop>false</ScaleCrop>
  <LinksUpToDate>false</LinksUpToDate>
  <CharactersWithSpaces>1662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2024-07-30T07:59:00Z</dcterms:created>
  <dc:creator>Administrator</dc:creator>
  <cp:lastModifiedBy>杰森</cp:lastModifiedBy>
  <dcterms:modified xsi:type="dcterms:W3CDTF">2026-09-08T09:37:34Z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eyJoZGlkIjoiMzlmOTk4MDliYTFmNjI5NzljODEwOTEyZDU2MWJhZTEiLCJ1c2VySWQiOiI1OTQxODEyNDIifQ==</vt:lpwstr>
  </property>
  <property fmtid="{D5CDD505-2E9C-101B-9397-08002B2CF9AE}" pid="4" name="ICV">
    <vt:lpwstr>70C605C217ED43CE898D0B81E4EE0E99_12</vt:lpwstr>
  </property>
</Properties>
</file>