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0CC" w:rsidRPr="000F40CC" w:rsidRDefault="000F40CC" w:rsidP="00941FB7">
      <w:pPr>
        <w:spacing w:beforeLines="50" w:line="360" w:lineRule="auto"/>
        <w:jc w:val="center"/>
        <w:rPr>
          <w:b/>
          <w:bCs/>
        </w:rPr>
      </w:pPr>
      <w:r w:rsidRPr="000F40CC">
        <w:rPr>
          <w:rFonts w:ascii="宋体" w:eastAsia="宋体" w:hAnsi="宋体"/>
          <w:b/>
          <w:bCs/>
          <w:sz w:val="36"/>
          <w:szCs w:val="36"/>
        </w:rPr>
        <w:t>寿县堰口镇国土空间总体规划（2021-2035年）</w:t>
      </w:r>
    </w:p>
    <w:p w:rsidR="000F40CC" w:rsidRPr="000F40CC" w:rsidRDefault="000F40CC" w:rsidP="00941FB7">
      <w:pPr>
        <w:spacing w:beforeLines="50" w:line="360" w:lineRule="auto"/>
        <w:jc w:val="center"/>
        <w:rPr>
          <w:rFonts w:ascii="宋体" w:eastAsia="宋体" w:hAnsi="宋体"/>
          <w:b/>
          <w:bCs/>
          <w:sz w:val="28"/>
          <w:szCs w:val="28"/>
        </w:rPr>
      </w:pPr>
      <w:r w:rsidRPr="000F40CC">
        <w:rPr>
          <w:rFonts w:ascii="宋体" w:eastAsia="宋体" w:hAnsi="宋体"/>
          <w:b/>
          <w:bCs/>
          <w:sz w:val="28"/>
          <w:szCs w:val="28"/>
        </w:rPr>
        <w:t>前言</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寿县堰口镇国土空间总体规划（2021-2035年）》（以下简称《规划》）是建立国土空间规划体系并监督实施，将主体功能区规划、土地利用规划、城乡规划等空间规划融合为统一的国土空间规划，实现“多规合一”，是党中央、国务院作出的重大决策部署。为加快推进国土空间规划体系建设，以习近平新时代中国特色社会主义思想为指导，认真贯彻创新、协调、绿色、开放、共享的发展理念，充分发挥乡镇总体规划在国土空间规划体系中承上启下的作用，立足寿县堰口镇发展现状特征，统筹安排全镇各项建设活动，推动村镇集聚发展和土地资源节约利用，合理配置村镇公共服务设施和基础设施，兼顾开发与保护，整合优势资源，联动区域，促进堰口镇社会经济全面、协调和可持续发展。</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规划范围为堰口镇全域国土空间范围，包括下辖14个行政村。规划分为镇域和镇政府驻地两个层次。规划期限为2021年至2035年，基期为2020年，近期至2025年，远期至2035年。</w:t>
      </w:r>
    </w:p>
    <w:p w:rsidR="003A3EE8" w:rsidRPr="00257A9E" w:rsidRDefault="003A3EE8" w:rsidP="00941FB7">
      <w:pPr>
        <w:adjustRightInd w:val="0"/>
        <w:snapToGrid w:val="0"/>
        <w:spacing w:beforeLines="50" w:line="360" w:lineRule="auto"/>
        <w:ind w:firstLineChars="200" w:firstLine="723"/>
        <w:jc w:val="center"/>
        <w:rPr>
          <w:rFonts w:ascii="宋体" w:eastAsia="宋体" w:hAnsi="宋体"/>
          <w:b/>
          <w:bCs/>
          <w:sz w:val="36"/>
          <w:szCs w:val="36"/>
        </w:rPr>
      </w:pPr>
      <w:r w:rsidRPr="00257A9E">
        <w:rPr>
          <w:rFonts w:ascii="宋体" w:eastAsia="宋体" w:hAnsi="宋体" w:hint="eastAsia"/>
          <w:b/>
          <w:bCs/>
          <w:sz w:val="36"/>
          <w:szCs w:val="36"/>
        </w:rPr>
        <w:t>第一章 目标策略</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围绕实现“两个一百年”奋斗目标，着眼于新时期发展的新要求，从国家使命、区域视野、地方责任和人民期盼的多维度出发，针对国土空间开发保护中存在的问题和挑战，科学确定国土空间开发、保护、利用、修复的指导思想、城市性质、目标和空间策略。</w:t>
      </w:r>
    </w:p>
    <w:p w:rsidR="003A3EE8" w:rsidRPr="00257A9E" w:rsidRDefault="003A3EE8" w:rsidP="00941FB7">
      <w:pPr>
        <w:adjustRightInd w:val="0"/>
        <w:snapToGrid w:val="0"/>
        <w:spacing w:beforeLines="50" w:line="360" w:lineRule="auto"/>
        <w:ind w:firstLineChars="200" w:firstLine="643"/>
        <w:jc w:val="center"/>
        <w:rPr>
          <w:rFonts w:ascii="仿宋" w:eastAsia="仿宋" w:hAnsi="仿宋"/>
          <w:b/>
          <w:bCs/>
          <w:sz w:val="32"/>
          <w:szCs w:val="32"/>
        </w:rPr>
      </w:pPr>
      <w:r w:rsidRPr="00257A9E">
        <w:rPr>
          <w:rFonts w:ascii="仿宋" w:eastAsia="仿宋" w:hAnsi="仿宋" w:hint="eastAsia"/>
          <w:b/>
          <w:bCs/>
          <w:sz w:val="32"/>
          <w:szCs w:val="32"/>
        </w:rPr>
        <w:t>第一节 总体定位</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lastRenderedPageBreak/>
        <w:t>在保障区域生态安全、维护生态系统服务功能、推进山水林田湖草一体化保护和系统治理、保持并提高生态产品供给能力基础上，充分发挥寿县堰口镇地区特色自然资源，立足产业基础和区域交通资源，联动全镇村庄资源，结合寿县全域旅游发展建设，将堰口镇打造成为</w:t>
      </w:r>
      <w:r w:rsidR="00A12791">
        <w:rPr>
          <w:rFonts w:ascii="仿宋" w:eastAsia="仿宋" w:hAnsi="仿宋" w:hint="eastAsia"/>
          <w:sz w:val="28"/>
          <w:szCs w:val="28"/>
        </w:rPr>
        <w:t>具有特色的</w:t>
      </w:r>
      <w:r w:rsidRPr="000F40CC">
        <w:rPr>
          <w:rFonts w:ascii="仿宋" w:eastAsia="仿宋" w:hAnsi="仿宋"/>
          <w:sz w:val="28"/>
          <w:szCs w:val="28"/>
        </w:rPr>
        <w:t>复合型乡镇</w:t>
      </w:r>
      <w:r w:rsidR="00A12791">
        <w:rPr>
          <w:rFonts w:ascii="仿宋" w:eastAsia="仿宋" w:hAnsi="仿宋" w:hint="eastAsia"/>
          <w:sz w:val="28"/>
          <w:szCs w:val="28"/>
        </w:rPr>
        <w:t>。</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第二节 国土空间开发保护目标</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到2025年，把加快基础设施建设、深化产业园区改造升级、加强和改善民生、促进农民增收、实现乡村振兴作为核心目标，激发堰口发展的内生动力，提高社会生产发展水平。</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到2035年，发挥堰口镇交通区位优势、立足特有资源、发挥历史人文</w:t>
      </w:r>
      <w:r w:rsidR="00A12791">
        <w:rPr>
          <w:rFonts w:ascii="仿宋" w:eastAsia="仿宋" w:hAnsi="仿宋" w:hint="eastAsia"/>
          <w:sz w:val="28"/>
          <w:szCs w:val="28"/>
        </w:rPr>
        <w:t>禀赋</w:t>
      </w:r>
      <w:r w:rsidRPr="000F40CC">
        <w:rPr>
          <w:rFonts w:ascii="仿宋" w:eastAsia="仿宋" w:hAnsi="仿宋"/>
          <w:sz w:val="28"/>
          <w:szCs w:val="28"/>
        </w:rPr>
        <w:t>，打造</w:t>
      </w:r>
      <w:r w:rsidR="00A12791">
        <w:rPr>
          <w:rFonts w:ascii="仿宋" w:eastAsia="仿宋" w:hAnsi="仿宋" w:hint="eastAsia"/>
          <w:sz w:val="28"/>
          <w:szCs w:val="28"/>
        </w:rPr>
        <w:t>特色堰口镇</w:t>
      </w:r>
      <w:r w:rsidRPr="000F40CC">
        <w:rPr>
          <w:rFonts w:ascii="仿宋" w:eastAsia="仿宋" w:hAnsi="仿宋"/>
          <w:sz w:val="28"/>
          <w:szCs w:val="28"/>
        </w:rPr>
        <w:t>。</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到2050年，全面实现国土空间治理体系和治理能力现代化，全面建成满足人民对美好生活的向往、承载高质量发展的美丽家园，全面支撑建成安徽中部片区人居典范城镇，支撑建成富强民主文明和谐美丽的社会主义现代化美好城镇。</w:t>
      </w:r>
    </w:p>
    <w:p w:rsidR="000F40CC" w:rsidRPr="000F40CC" w:rsidRDefault="000F40CC" w:rsidP="00941FB7">
      <w:pPr>
        <w:adjustRightInd w:val="0"/>
        <w:snapToGrid w:val="0"/>
        <w:spacing w:beforeLines="50" w:line="360" w:lineRule="auto"/>
        <w:ind w:firstLineChars="200" w:firstLine="643"/>
        <w:jc w:val="center"/>
        <w:rPr>
          <w:b/>
          <w:bCs/>
        </w:rPr>
      </w:pPr>
      <w:r w:rsidRPr="000F40CC">
        <w:rPr>
          <w:rFonts w:ascii="仿宋" w:eastAsia="仿宋" w:hAnsi="仿宋"/>
          <w:b/>
          <w:bCs/>
          <w:sz w:val="32"/>
          <w:szCs w:val="32"/>
        </w:rPr>
        <w:t>第三节 国土空间开发保护策略</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锚定发展目标，强化资源要素配置，分析资源差异，找出错位发展契机，与周边乡镇协同联动发展。</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t>1、</w:t>
      </w:r>
      <w:r w:rsidR="000F40CC" w:rsidRPr="000F40CC">
        <w:rPr>
          <w:rFonts w:ascii="仿宋" w:eastAsia="仿宋" w:hAnsi="仿宋"/>
          <w:b/>
          <w:bCs/>
          <w:sz w:val="28"/>
          <w:szCs w:val="28"/>
        </w:rPr>
        <w:t>落实底线要求、夯实生态本底</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坚持最严格的生态保护制度。以完善生态安全格局为目标，进行林地、水域保护；通过生态修复手段对水土流失、地质灾害、环境污染等问题进行治理；建立跨区域生态环境联防共治工作机制，协同开展全域国土综合整治。</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lastRenderedPageBreak/>
        <w:t>2、</w:t>
      </w:r>
      <w:r w:rsidR="000F40CC" w:rsidRPr="000F40CC">
        <w:rPr>
          <w:rFonts w:ascii="仿宋" w:eastAsia="仿宋" w:hAnsi="仿宋"/>
          <w:b/>
          <w:bCs/>
          <w:sz w:val="28"/>
          <w:szCs w:val="28"/>
        </w:rPr>
        <w:t>区域联动共建、城乡统筹发展</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依托淮南市城市功能的辐射带动作用，整合境内自然景观的优势资源助推乡镇高质量发展；统筹优化布局“三生”空间，集约节约利用资源，构建分工协作、优势互补的城乡发展格局。</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Pr>
          <w:rFonts w:ascii="仿宋" w:eastAsia="仿宋" w:hAnsi="仿宋" w:hint="eastAsia"/>
          <w:b/>
          <w:bCs/>
          <w:sz w:val="28"/>
          <w:szCs w:val="28"/>
        </w:rPr>
        <w:t>3、</w:t>
      </w:r>
      <w:r w:rsidR="000F40CC" w:rsidRPr="000F40CC">
        <w:rPr>
          <w:rFonts w:ascii="仿宋" w:eastAsia="仿宋" w:hAnsi="仿宋"/>
          <w:b/>
          <w:bCs/>
          <w:sz w:val="28"/>
          <w:szCs w:val="28"/>
        </w:rPr>
        <w:t>设施全面提升、强化基础保障</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补齐基础设施短板，提高乡村交通运输服务水平，推动市政设施区域一体化设置，提高乡村安全设施建设标准；完善公共服务设施体系，盘活存量，分级分类调配公共服务设施布局，强化政府驻地综合服务能力。</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t>4、</w:t>
      </w:r>
      <w:r w:rsidR="000F40CC" w:rsidRPr="000F40CC">
        <w:rPr>
          <w:rFonts w:ascii="仿宋" w:eastAsia="仿宋" w:hAnsi="仿宋"/>
          <w:b/>
          <w:bCs/>
          <w:sz w:val="28"/>
          <w:szCs w:val="28"/>
        </w:rPr>
        <w:t>风貌特色指引、彰显精品文化</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结合现有风貌形态，采用“大分散、小集聚”模式，形成山水林田湖草与乡村共融共生、自然与历史人文交相呼应的江淮丘陵乡镇特色风貌；因地制宜塑造江淮丘陵乡村聚落的空间形态，构建镇—村生活圈，整治提升人居环境品质。</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第二章 国土空间总体格局及用途管制</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按照耕地和永久基本农田保护红线、生态保护红线、城镇开发边界的顺序统筹划定三条控制线，作为统筹优化农业、生态、城镇等各类空间的底线。在此基础上，优化细化主体功能区，构建主体功能明确、优势互补、高质量发展的寿县国土空间新格局。</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第四节 国土空间重要控制线</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落实永久基本农田保护红线、生态保护红线、历史文化保护线、河湖管理范围线、瓦埠湖蓄滞洪区、重大基础设施廊道控制线、洪涝灾害风险控制线等重要控制线。同时划定村庄建设边界重要控制线。</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lastRenderedPageBreak/>
        <w:t>1、</w:t>
      </w:r>
      <w:r w:rsidR="000F40CC" w:rsidRPr="000F40CC">
        <w:rPr>
          <w:rFonts w:ascii="仿宋" w:eastAsia="仿宋" w:hAnsi="仿宋"/>
          <w:b/>
          <w:bCs/>
          <w:sz w:val="28"/>
          <w:szCs w:val="28"/>
        </w:rPr>
        <w:t>优先落实耕地和永久基本农田保护线</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现状耕地应划尽划、应保尽保，根据耕地分布、质量、粮食作物种植情况、土壤污染状况、种植业适宜性评价，将达到质量要求、可以长期稳定利用耕地优先划入永久基本农田实施特殊保护。</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Pr>
          <w:rFonts w:ascii="仿宋" w:eastAsia="仿宋" w:hAnsi="仿宋" w:hint="eastAsia"/>
          <w:b/>
          <w:bCs/>
          <w:sz w:val="28"/>
          <w:szCs w:val="28"/>
        </w:rPr>
        <w:t>2、</w:t>
      </w:r>
      <w:r w:rsidR="000F40CC" w:rsidRPr="000F40CC">
        <w:rPr>
          <w:rFonts w:ascii="仿宋" w:eastAsia="仿宋" w:hAnsi="仿宋"/>
          <w:b/>
          <w:bCs/>
          <w:sz w:val="28"/>
          <w:szCs w:val="28"/>
        </w:rPr>
        <w:t>严格落实生态保护红线</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堰口镇域范围不涉及生态保护红线。</w:t>
      </w:r>
    </w:p>
    <w:p w:rsidR="000F40CC" w:rsidRPr="000F40CC" w:rsidRDefault="003A3EE8" w:rsidP="00941FB7">
      <w:pPr>
        <w:adjustRightInd w:val="0"/>
        <w:snapToGrid w:val="0"/>
        <w:spacing w:beforeLines="50" w:line="360" w:lineRule="auto"/>
        <w:ind w:firstLineChars="200" w:firstLine="562"/>
        <w:rPr>
          <w:b/>
          <w:bCs/>
        </w:rPr>
      </w:pPr>
      <w:r>
        <w:rPr>
          <w:rFonts w:ascii="仿宋" w:eastAsia="仿宋" w:hAnsi="仿宋" w:hint="eastAsia"/>
          <w:b/>
          <w:bCs/>
          <w:sz w:val="28"/>
          <w:szCs w:val="28"/>
        </w:rPr>
        <w:t>3、</w:t>
      </w:r>
      <w:r w:rsidR="000F40CC" w:rsidRPr="000F40CC">
        <w:rPr>
          <w:rFonts w:ascii="仿宋" w:eastAsia="仿宋" w:hAnsi="仿宋"/>
          <w:b/>
          <w:bCs/>
          <w:sz w:val="28"/>
          <w:szCs w:val="28"/>
        </w:rPr>
        <w:t>合理落实城镇开发边界</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在优先划定耕地和永久基本农田、生态保护红线的基础上，避让自然灾害高风险区域，结合人口变化趋势和存量建设用地状况，合理划定城镇开发边界，管控城镇建设用地总量，引导形成集约紧凑的城镇空间格局。划定城镇开发边界，主要位于堰口村、魏岗村、十字路街道、江黄街道。</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Pr>
          <w:rFonts w:ascii="仿宋" w:eastAsia="仿宋" w:hAnsi="仿宋" w:hint="eastAsia"/>
          <w:b/>
          <w:bCs/>
          <w:sz w:val="28"/>
          <w:szCs w:val="28"/>
        </w:rPr>
        <w:t>4、</w:t>
      </w:r>
      <w:r w:rsidR="000F40CC" w:rsidRPr="000F40CC">
        <w:rPr>
          <w:rFonts w:ascii="仿宋" w:eastAsia="仿宋" w:hAnsi="仿宋"/>
          <w:b/>
          <w:bCs/>
          <w:sz w:val="28"/>
          <w:szCs w:val="28"/>
        </w:rPr>
        <w:t>落实历史文化保护线</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依据《中华人民共和国文物保护法》，对镇域内25处县级文物保护单位进行原址保护，落实其保护范围、建设控制地带，依法保护范围内风貌及环境，不得随意改变。</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t>5、</w:t>
      </w:r>
      <w:r w:rsidR="000F40CC" w:rsidRPr="000F40CC">
        <w:rPr>
          <w:rFonts w:ascii="仿宋" w:eastAsia="仿宋" w:hAnsi="仿宋"/>
          <w:b/>
          <w:bCs/>
          <w:sz w:val="28"/>
          <w:szCs w:val="28"/>
        </w:rPr>
        <w:t>河湖管理范围线</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保障河湖生态流量，加大河湖管理力度。落实瓦埠湖管理范围线，范围线内相关活动应满足《安徽省实施﹤中华人民共和国河道管理条例﹥办法》、《水利部关于加强河湖水域岸线空间管控的指导意见》（水河湖〔2022〕216号）管理规定要求。</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Pr>
          <w:rFonts w:ascii="仿宋" w:eastAsia="仿宋" w:hAnsi="仿宋" w:hint="eastAsia"/>
          <w:b/>
          <w:bCs/>
          <w:sz w:val="28"/>
          <w:szCs w:val="28"/>
        </w:rPr>
        <w:t>6、</w:t>
      </w:r>
      <w:r w:rsidR="000F40CC" w:rsidRPr="000F40CC">
        <w:rPr>
          <w:rFonts w:ascii="仿宋" w:eastAsia="仿宋" w:hAnsi="仿宋"/>
          <w:b/>
          <w:bCs/>
          <w:sz w:val="28"/>
          <w:szCs w:val="28"/>
        </w:rPr>
        <w:t>洪涝风险控制线</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lastRenderedPageBreak/>
        <w:t>按照相关要求对洪涝风险控制线内的新建、改建、扩建行为进行管控。严格落实《安徽省行蓄洪区产业发展负面清单》，行蓄洪区内的保庄圩、庄台和设计洪水位以上岗地不纳入负面清单管理范围。</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第五节 国土空间总体格局</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依据现状自然地理条件和资源禀赋，综合考虑堰口镇社会经济发展水平和区域协调，规划形成</w:t>
      </w:r>
      <w:r w:rsidR="00A12791">
        <w:rPr>
          <w:rFonts w:ascii="仿宋" w:eastAsia="仿宋" w:hAnsi="仿宋" w:hint="eastAsia"/>
          <w:sz w:val="28"/>
          <w:szCs w:val="28"/>
        </w:rPr>
        <w:t>综合型</w:t>
      </w:r>
      <w:r w:rsidRPr="000F40CC">
        <w:rPr>
          <w:rFonts w:ascii="仿宋" w:eastAsia="仿宋" w:hAnsi="仿宋"/>
          <w:sz w:val="28"/>
          <w:szCs w:val="28"/>
        </w:rPr>
        <w:t>国土空间总体格局。</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第六节 规划分区与用途管制</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围绕国土空间保护开发总体格局，结合地域特征和经济社会发展水平，遵循全域全覆盖、不交叉、不重叠的基本原则，在上位国土空间总体规划确定的规划分区基础上进行细化，将堰口镇划分为农田保护区、城镇发展区、乡村发展区三大类，其中乡村发展区细分为村庄建设区和一般农业区。</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农田保护区实行最严格的农用地保护制度和建设用途管制制度，禁止一切与粮食生产无关的用途开发，鼓励开展高标准农田建设和国土综合整治。</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城镇发展区重点实行“详细规划+规划许可”的管制方式进行城镇开发和集中建设。</w:t>
      </w:r>
    </w:p>
    <w:p w:rsid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乡村发展区以促进农业和乡村特色产业发展、改善农民生产生活条件为导向，村庄建设用地和各类配套设施用地按照户均村庄建设用地指标进行管控；允许农业和乡村特色产业发展及其配套设施建设，以及为改善农村人居环境而进行的村庄建设与整治。</w:t>
      </w:r>
    </w:p>
    <w:p w:rsidR="003A3EE8" w:rsidRPr="000F40CC" w:rsidRDefault="003A3EE8" w:rsidP="00941FB7">
      <w:pPr>
        <w:adjustRightInd w:val="0"/>
        <w:snapToGrid w:val="0"/>
        <w:spacing w:beforeLines="50" w:line="360" w:lineRule="auto"/>
        <w:ind w:firstLineChars="200" w:firstLine="723"/>
        <w:jc w:val="center"/>
        <w:rPr>
          <w:rFonts w:ascii="仿宋" w:eastAsia="仿宋" w:hAnsi="仿宋"/>
          <w:sz w:val="28"/>
          <w:szCs w:val="28"/>
        </w:rPr>
      </w:pPr>
      <w:bookmarkStart w:id="0" w:name="_Hlk219372552"/>
      <w:r w:rsidRPr="00110639">
        <w:rPr>
          <w:rFonts w:ascii="宋体" w:eastAsia="宋体" w:hAnsi="宋体" w:hint="eastAsia"/>
          <w:b/>
          <w:bCs/>
          <w:sz w:val="36"/>
          <w:szCs w:val="36"/>
        </w:rPr>
        <w:t>第三章 自然资源保护与利用</w:t>
      </w:r>
      <w:bookmarkEnd w:id="0"/>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lastRenderedPageBreak/>
        <w:t>采取“长牙齿”的硬措施，落实最严格的耕地保护制度，加强耕地数量、质量、生态“三位一体”保护，强化耕地用途管制。突出瓦埠湖及其他水域在维护区域生态安全中的核心地位，发挥河湖水系在生态系统中的基础性作用。提升各类资源保护利用效率。</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第七节 耕地资源</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t>1、</w:t>
      </w:r>
      <w:r w:rsidR="000F40CC" w:rsidRPr="000F40CC">
        <w:rPr>
          <w:rFonts w:ascii="仿宋" w:eastAsia="仿宋" w:hAnsi="仿宋"/>
          <w:b/>
          <w:bCs/>
          <w:sz w:val="28"/>
          <w:szCs w:val="28"/>
        </w:rPr>
        <w:t>耕地和永久基本农田保护目标</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落实切实保护耕地资源的基本国策，在行政区全域内整体平衡下达的耕地保有量和永久基本农田保护任务，保证面积不减少、质量有提升。</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t>2、</w:t>
      </w:r>
      <w:r w:rsidR="000F40CC" w:rsidRPr="000F40CC">
        <w:rPr>
          <w:rFonts w:ascii="仿宋" w:eastAsia="仿宋" w:hAnsi="仿宋"/>
          <w:b/>
          <w:bCs/>
          <w:sz w:val="28"/>
          <w:szCs w:val="28"/>
        </w:rPr>
        <w:t>划定农田保护区，落实耕地保护政策</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按照国土空间用途分区以及永久基本农田布局，划定农田保护区。明确农田保护区实行最严格的农用地保护制度和建设用途管制制度，禁止一切与粮食生产无关的用途开发，主要承载粮食生产和农业景观文化传承的功能；对于无法避免的国家级、省级基础设施项目选址，严格按照论证审批程序，在量质并重做好补划前提下，申请转用和征收。</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第八节 水资源</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严控水资源利用上限。落实最严格的水资源管理制度，提升水资源利用效率。</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第九节 林地资源</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t>1、</w:t>
      </w:r>
      <w:r w:rsidR="000F40CC" w:rsidRPr="000F40CC">
        <w:rPr>
          <w:rFonts w:ascii="仿宋" w:eastAsia="仿宋" w:hAnsi="仿宋"/>
          <w:b/>
          <w:bCs/>
          <w:sz w:val="28"/>
          <w:szCs w:val="28"/>
        </w:rPr>
        <w:t>保护林地资源</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以保护优化集中连片林地资源为目标，着力开展森林抚育、退化</w:t>
      </w:r>
      <w:r w:rsidRPr="000F40CC">
        <w:rPr>
          <w:rFonts w:ascii="仿宋" w:eastAsia="仿宋" w:hAnsi="仿宋"/>
          <w:sz w:val="28"/>
          <w:szCs w:val="28"/>
        </w:rPr>
        <w:lastRenderedPageBreak/>
        <w:t>林修复，优化森林结构和功能，统筹推进系统治理，提高森林生态系统质量、稳定性和碳汇增量。</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t>2、</w:t>
      </w:r>
      <w:r w:rsidR="000F40CC" w:rsidRPr="000F40CC">
        <w:rPr>
          <w:rFonts w:ascii="仿宋" w:eastAsia="仿宋" w:hAnsi="仿宋"/>
          <w:b/>
          <w:bCs/>
          <w:sz w:val="28"/>
          <w:szCs w:val="28"/>
        </w:rPr>
        <w:t>加强林地管控</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严格落实林地占补平衡程序，保证林地资源总量稳定、质量优化。对域内各类林地实行“总量控制、区域稳定、动态管理”的管理机制。加强林地资源保护管理，实行分级管控。规范林地保护，除必须的工程建设外，严格控制占用林地。推行集约经营，农林复合经营，在法律允许范围内合理安排各类生产活动，最大限度挖掘林地生产力。</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城镇开发边界内集中分布的林地，条件允许时，宜因地制宜的布局为城市绿地，保障森林覆盖率，提升绿地的覆盖水平。</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第十节 矿产资源</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t>1、</w:t>
      </w:r>
      <w:r w:rsidR="000F40CC" w:rsidRPr="000F40CC">
        <w:rPr>
          <w:rFonts w:ascii="仿宋" w:eastAsia="仿宋" w:hAnsi="仿宋"/>
          <w:b/>
          <w:bCs/>
          <w:sz w:val="28"/>
          <w:szCs w:val="28"/>
        </w:rPr>
        <w:t>矿产资源保护与利用目标</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依据县级矿产资源规划确定的规划分区，优化矿产资源勘查开发保护空间布局。至2035年，矿产资源开采总量和矿山地质治理恢复面积严格落实上级下达指标任务。</w:t>
      </w:r>
    </w:p>
    <w:p w:rsidR="000F40CC" w:rsidRPr="000F40CC" w:rsidRDefault="003A3EE8" w:rsidP="00941FB7">
      <w:pPr>
        <w:adjustRightInd w:val="0"/>
        <w:snapToGrid w:val="0"/>
        <w:spacing w:beforeLines="50" w:line="360" w:lineRule="auto"/>
        <w:ind w:firstLineChars="200" w:firstLine="562"/>
        <w:rPr>
          <w:rFonts w:ascii="仿宋" w:eastAsia="仿宋" w:hAnsi="仿宋"/>
          <w:b/>
          <w:bCs/>
          <w:sz w:val="28"/>
          <w:szCs w:val="28"/>
        </w:rPr>
      </w:pPr>
      <w:r w:rsidRPr="003A3EE8">
        <w:rPr>
          <w:rFonts w:ascii="仿宋" w:eastAsia="仿宋" w:hAnsi="仿宋" w:hint="eastAsia"/>
          <w:b/>
          <w:bCs/>
          <w:sz w:val="28"/>
          <w:szCs w:val="28"/>
        </w:rPr>
        <w:t>2、</w:t>
      </w:r>
      <w:r w:rsidR="000F40CC" w:rsidRPr="000F40CC">
        <w:rPr>
          <w:rFonts w:ascii="仿宋" w:eastAsia="仿宋" w:hAnsi="仿宋"/>
          <w:b/>
          <w:bCs/>
          <w:sz w:val="28"/>
          <w:szCs w:val="28"/>
        </w:rPr>
        <w:t>落实采矿用地绿色发展</w:t>
      </w:r>
    </w:p>
    <w:p w:rsid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切实树立和践行“绿水青山就是金山银山”的理念，不断增强生态环境保护的自觉性，把绿色发展的理念贯穿于矿产资源规划勘察开发利用的全过程，持续推进绿色发展，巩固提升矿产企业综合整治成果，提升矿产资源开发利用水平，进一步改善采矿用地自然生态环境，促进矿业经济与生态环境绿色、健康、持续发展。</w:t>
      </w:r>
    </w:p>
    <w:p w:rsidR="003A3EE8" w:rsidRPr="000F40CC" w:rsidRDefault="003A3EE8" w:rsidP="00941FB7">
      <w:pPr>
        <w:adjustRightInd w:val="0"/>
        <w:snapToGrid w:val="0"/>
        <w:spacing w:beforeLines="50" w:line="360" w:lineRule="auto"/>
        <w:ind w:firstLineChars="200" w:firstLine="723"/>
        <w:jc w:val="center"/>
        <w:rPr>
          <w:rFonts w:ascii="仿宋" w:eastAsia="仿宋" w:hAnsi="仿宋"/>
          <w:sz w:val="28"/>
          <w:szCs w:val="28"/>
        </w:rPr>
      </w:pPr>
      <w:r w:rsidRPr="00110639">
        <w:rPr>
          <w:rFonts w:ascii="宋体" w:eastAsia="宋体" w:hAnsi="宋体" w:hint="eastAsia"/>
          <w:b/>
          <w:bCs/>
          <w:sz w:val="36"/>
          <w:szCs w:val="36"/>
        </w:rPr>
        <w:t>第四章 产业空间引导</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lastRenderedPageBreak/>
        <w:t>统筹一二三产融合发展空间，支撑乡村振兴发展。分类推进乡村治理，推进农村土地综合整治，提升农村用地使用效率；工业用地空间优化整合，活化瓦埠湖“后庭院”</w:t>
      </w:r>
      <w:r w:rsidR="00941FB7">
        <w:rPr>
          <w:rFonts w:ascii="仿宋" w:eastAsia="仿宋" w:hAnsi="仿宋"/>
          <w:sz w:val="28"/>
          <w:szCs w:val="28"/>
        </w:rPr>
        <w:t>优势，推动堰口镇乡</w:t>
      </w:r>
      <w:r w:rsidR="00941FB7">
        <w:rPr>
          <w:rFonts w:ascii="仿宋" w:eastAsia="仿宋" w:hAnsi="仿宋" w:hint="eastAsia"/>
          <w:sz w:val="28"/>
          <w:szCs w:val="28"/>
        </w:rPr>
        <w:t>村</w:t>
      </w:r>
      <w:r w:rsidRPr="000F40CC">
        <w:rPr>
          <w:rFonts w:ascii="仿宋" w:eastAsia="仿宋" w:hAnsi="仿宋"/>
          <w:sz w:val="28"/>
          <w:szCs w:val="28"/>
        </w:rPr>
        <w:t>振兴。</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第十一节 产业发展目标</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依托镇域优良的现代农业基础，大力发展现代农业种植产业，延长特色农产品产业链条，积极推动农产品生产、精深加工、销售、服务一体化发展，多元促进乡村振兴发展，积极融入区域发展大格局。同时，整合镇域工业资源，积极探索镇域工、商产业发展新环境。</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第十二节 产业发展思路</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梳理区域产业功能定位、堰口镇自身产业发展方向，结合产业用地需求，合理规划产业空间布局，落实乡村振兴战略对产业发展的要求，合理布局一二三产业融合发展用地，推动全域产业发展。</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堰口镇应强化现代农业、工业加工制造、农产品加工、特色农业、休闲农业、电子商务等功能的影响力。以市场需求为导向，以“当地居民”需求为主，挖掘区域特色，建设亮点项目，包装形成具有竞争力的品牌。做优基础产业——现代农业种植、渔业、养殖业；做强优势产业——建材、轻纺、机械制造、新能源汽车内饰件等产业；做大特色产业——特色农旅，实现堰口镇“特色品牌、农产品走出去；社会资本、游客引进来”的发展目标。</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第十三节 产业空间格局</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依托现状工业区，商业服务区，打造堰口镇产业发展核心。</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依托S322省道，串联堰口镇堰口村、魏岗村、十字路街道、江黄街道，打造一条贯穿南北的综合服务轴线。</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lastRenderedPageBreak/>
        <w:t>依托G237国道，串联堰口镇马厂村、红桥村、许寺村、八沟村，打造一条贯穿东西的经济发展轴线。</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现代农业片区：以农业种植为主，推进农业现代化发展。</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特色农旅片区：依托紧邻瓦埠湖自然风光，打造“农+旅”模式乡村休闲区域。</w:t>
      </w:r>
    </w:p>
    <w:p w:rsidR="000F40CC" w:rsidRPr="000F40CC" w:rsidRDefault="000F40CC" w:rsidP="00941FB7">
      <w:pPr>
        <w:adjustRightInd w:val="0"/>
        <w:snapToGrid w:val="0"/>
        <w:spacing w:beforeLines="50" w:line="360" w:lineRule="auto"/>
        <w:ind w:firstLineChars="200" w:firstLine="560"/>
      </w:pPr>
      <w:r w:rsidRPr="000F40CC">
        <w:rPr>
          <w:rFonts w:ascii="仿宋" w:eastAsia="仿宋" w:hAnsi="仿宋"/>
          <w:sz w:val="28"/>
          <w:szCs w:val="28"/>
        </w:rPr>
        <w:t>综合发展片区：以现状产业为基础，串联堰口村、魏岗村，主要发展工业、商业服务业等经济性产业</w:t>
      </w:r>
      <w:r w:rsidRPr="000F40CC">
        <w:t>。</w:t>
      </w:r>
    </w:p>
    <w:p w:rsidR="000F40CC" w:rsidRPr="000F40CC" w:rsidRDefault="000F40CC" w:rsidP="00941FB7">
      <w:pPr>
        <w:adjustRightInd w:val="0"/>
        <w:snapToGrid w:val="0"/>
        <w:spacing w:beforeLines="50" w:line="360" w:lineRule="auto"/>
        <w:ind w:firstLineChars="200" w:firstLine="723"/>
        <w:jc w:val="center"/>
        <w:rPr>
          <w:rFonts w:ascii="宋体" w:eastAsia="宋体" w:hAnsi="宋体"/>
          <w:b/>
          <w:bCs/>
          <w:sz w:val="36"/>
          <w:szCs w:val="36"/>
        </w:rPr>
      </w:pPr>
      <w:r w:rsidRPr="000F40CC">
        <w:rPr>
          <w:rFonts w:ascii="宋体" w:eastAsia="宋体" w:hAnsi="宋体"/>
          <w:b/>
          <w:bCs/>
          <w:sz w:val="36"/>
          <w:szCs w:val="36"/>
        </w:rPr>
        <w:t>第五章 镇政府驻地规划</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镇政府驻地坚持工业先行，利用合淮高速产业廊道优势，通过优化镇政府驻地用地布局，衔接道口经济，构建镇政府驻地生产、生活的空间框架，保障第二产业发展空间。</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第十四节 功能结构</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规划功能结构沿中部渠道净化处理后打造城镇景观轴。</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以轴为划分，将驻地范围内形成南北双向景观风貌区。</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第十五节 用地布局规划</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规划堰口镇政府驻地为城镇开发边界范围。用地布局内容主要包含居住用地、公共管理和公共服务用地、商业服务业用地、交通运输用地、工业用地、仓储用地以及绿地与开敞空间用地等。</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第十六节 公共服务设施规划</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规划保留现状镇政府、派出所、乡镇卫生院、血防站、中小学等设施用地，扩建医疗用地等用地，增加幼儿园、全民健身中心、医院</w:t>
      </w:r>
      <w:r w:rsidRPr="000F40CC">
        <w:rPr>
          <w:rFonts w:ascii="仿宋" w:eastAsia="仿宋" w:hAnsi="仿宋"/>
          <w:sz w:val="28"/>
          <w:szCs w:val="28"/>
        </w:rPr>
        <w:lastRenderedPageBreak/>
        <w:t>等用地，设置广场、小游园等开敞空间多处。</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第十七节 商业服务业设施规划</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保留现状便民超市、电信局、邮政局等设施。鼓励对依法登记的宅基地等农村建设用地进行复合利用，发展沿S234两侧零售商业、电子商务等农村产业。升级改造现状堰口商业街，建设更专业化农贸、商贸市场。进一步加强市场管理，营造有序良好的购物环境。</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第十八节 道路交通规划</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sidRPr="009F108B">
        <w:rPr>
          <w:rFonts w:ascii="仿宋" w:eastAsia="仿宋" w:hAnsi="仿宋" w:hint="eastAsia"/>
          <w:b/>
          <w:bCs/>
          <w:sz w:val="28"/>
          <w:szCs w:val="28"/>
        </w:rPr>
        <w:t>1、</w:t>
      </w:r>
      <w:r w:rsidR="000F40CC" w:rsidRPr="000F40CC">
        <w:rPr>
          <w:rFonts w:ascii="仿宋" w:eastAsia="仿宋" w:hAnsi="仿宋"/>
          <w:b/>
          <w:bCs/>
          <w:sz w:val="28"/>
          <w:szCs w:val="28"/>
        </w:rPr>
        <w:t>路网系统</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镇政府驻地道路等级分为省道、干路、支路、游步道四级。</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省道为S234改线工程，重点加强过境交通安全管理，保证沿线居民生活安全。</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干路构成镇政府驻地骨架，包括连接S234的主干路、次干路，联通镇政府驻地的东西、南北各方向，主干路红线宽度按15米控制。应重点加强道路安全管理，保证沿线居民生活安全；结合乡镇风貌，对干路沿线景观风貌进行塑造。次干路为连接各生活区道路，红线宽度按6米控制。</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sidRPr="009F108B">
        <w:rPr>
          <w:rFonts w:ascii="仿宋" w:eastAsia="仿宋" w:hAnsi="仿宋" w:hint="eastAsia"/>
          <w:b/>
          <w:bCs/>
          <w:sz w:val="28"/>
          <w:szCs w:val="28"/>
        </w:rPr>
        <w:t>2、</w:t>
      </w:r>
      <w:r w:rsidR="000F40CC" w:rsidRPr="000F40CC">
        <w:rPr>
          <w:rFonts w:ascii="仿宋" w:eastAsia="仿宋" w:hAnsi="仿宋"/>
          <w:b/>
          <w:bCs/>
          <w:sz w:val="28"/>
          <w:szCs w:val="28"/>
        </w:rPr>
        <w:t>交通设施</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保留现状客运场站，沿主要道路设置公交站点处，满足居民出行需求。</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规划社会停车场地，以见缝插针的形式在主要道路沿线设置路边停车位作为补充停车设施。</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第十九节 绿化和公共空间</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sidRPr="009F108B">
        <w:rPr>
          <w:rFonts w:ascii="仿宋" w:eastAsia="仿宋" w:hAnsi="仿宋" w:hint="eastAsia"/>
          <w:b/>
          <w:bCs/>
          <w:sz w:val="28"/>
          <w:szCs w:val="28"/>
        </w:rPr>
        <w:lastRenderedPageBreak/>
        <w:t>1、</w:t>
      </w:r>
      <w:r w:rsidR="000F40CC" w:rsidRPr="000F40CC">
        <w:rPr>
          <w:rFonts w:ascii="仿宋" w:eastAsia="仿宋" w:hAnsi="仿宋"/>
          <w:b/>
          <w:bCs/>
          <w:sz w:val="28"/>
          <w:szCs w:val="28"/>
        </w:rPr>
        <w:t>形成</w:t>
      </w:r>
      <w:r w:rsidR="00A12791">
        <w:rPr>
          <w:rFonts w:ascii="仿宋" w:eastAsia="仿宋" w:hAnsi="仿宋" w:hint="eastAsia"/>
          <w:b/>
          <w:bCs/>
          <w:sz w:val="28"/>
          <w:szCs w:val="28"/>
        </w:rPr>
        <w:t>复合型</w:t>
      </w:r>
      <w:r w:rsidR="000F40CC" w:rsidRPr="000F40CC">
        <w:rPr>
          <w:rFonts w:ascii="仿宋" w:eastAsia="仿宋" w:hAnsi="仿宋"/>
          <w:b/>
          <w:bCs/>
          <w:sz w:val="28"/>
          <w:szCs w:val="28"/>
        </w:rPr>
        <w:t>的景观格局</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沿中部渠道净化处理后打造城镇景观轴。</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以轴为划分，将驻地范围内形成南北双向景观风貌区，北部以工业风貌为主，南部以城镇风貌为主。</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以镇政府为核心的景观核心点，以“织补”的方式均衡建设绿地。</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sidRPr="009F108B">
        <w:rPr>
          <w:rFonts w:ascii="仿宋" w:eastAsia="仿宋" w:hAnsi="仿宋" w:hint="eastAsia"/>
          <w:b/>
          <w:bCs/>
          <w:sz w:val="28"/>
          <w:szCs w:val="28"/>
        </w:rPr>
        <w:t>2、</w:t>
      </w:r>
      <w:r w:rsidR="000F40CC" w:rsidRPr="000F40CC">
        <w:rPr>
          <w:rFonts w:ascii="仿宋" w:eastAsia="仿宋" w:hAnsi="仿宋"/>
          <w:b/>
          <w:bCs/>
          <w:sz w:val="28"/>
          <w:szCs w:val="28"/>
        </w:rPr>
        <w:t>打造畅游宜居慢行步道系统</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保持镇村肌理与街巷尺度，沿瓦埠湖设慢行步道，打通内部道路微循环，结合公共空间与活动广场，打造畅游村庄慢行步道系统。</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第二十节 基础设施规划</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sidRPr="009F108B">
        <w:rPr>
          <w:rFonts w:ascii="仿宋" w:eastAsia="仿宋" w:hAnsi="仿宋" w:hint="eastAsia"/>
          <w:b/>
          <w:bCs/>
          <w:sz w:val="28"/>
          <w:szCs w:val="28"/>
        </w:rPr>
        <w:t>1、</w:t>
      </w:r>
      <w:r w:rsidR="000F40CC" w:rsidRPr="000F40CC">
        <w:rPr>
          <w:rFonts w:ascii="仿宋" w:eastAsia="仿宋" w:hAnsi="仿宋"/>
          <w:b/>
          <w:bCs/>
          <w:sz w:val="28"/>
          <w:szCs w:val="28"/>
        </w:rPr>
        <w:t>给水工程</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堰口镇政府驻地现状饮用水为镇政府驻地水厂，水源为瓦埠湖饮用水源。规划建设堰口镇三水厂，水源为</w:t>
      </w:r>
      <w:r w:rsidR="009F108B">
        <w:rPr>
          <w:rFonts w:ascii="仿宋" w:eastAsia="仿宋" w:hAnsi="仿宋" w:hint="eastAsia"/>
          <w:sz w:val="28"/>
          <w:szCs w:val="28"/>
        </w:rPr>
        <w:t>瓦埠湖</w:t>
      </w:r>
      <w:r w:rsidRPr="000F40CC">
        <w:rPr>
          <w:rFonts w:ascii="仿宋" w:eastAsia="仿宋" w:hAnsi="仿宋"/>
          <w:sz w:val="28"/>
          <w:szCs w:val="28"/>
        </w:rPr>
        <w:t>。</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Pr>
          <w:rFonts w:ascii="仿宋" w:eastAsia="仿宋" w:hAnsi="仿宋" w:hint="eastAsia"/>
          <w:b/>
          <w:bCs/>
          <w:sz w:val="28"/>
          <w:szCs w:val="28"/>
        </w:rPr>
        <w:t>2、</w:t>
      </w:r>
      <w:r w:rsidR="000F40CC" w:rsidRPr="000F40CC">
        <w:rPr>
          <w:rFonts w:ascii="仿宋" w:eastAsia="仿宋" w:hAnsi="仿宋"/>
          <w:b/>
          <w:bCs/>
          <w:sz w:val="28"/>
          <w:szCs w:val="28"/>
        </w:rPr>
        <w:t>排水工程</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规划采用雨污分流排水体制。</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雨水排入道路边雨水明渠或暗渠，经重力自流就近排入附近农用地。</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堰口镇政府驻地范围内污水通过管网收集至污水处理站，处理后排放，出水水质要求达到《城镇污水处理厂污染物排放标准》一级B类水排放标准。</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sidRPr="009F108B">
        <w:rPr>
          <w:rFonts w:ascii="仿宋" w:eastAsia="仿宋" w:hAnsi="仿宋" w:hint="eastAsia"/>
          <w:b/>
          <w:bCs/>
          <w:sz w:val="28"/>
          <w:szCs w:val="28"/>
        </w:rPr>
        <w:t>3、</w:t>
      </w:r>
      <w:r w:rsidR="000F40CC" w:rsidRPr="000F40CC">
        <w:rPr>
          <w:rFonts w:ascii="仿宋" w:eastAsia="仿宋" w:hAnsi="仿宋"/>
          <w:b/>
          <w:bCs/>
          <w:sz w:val="28"/>
          <w:szCs w:val="28"/>
        </w:rPr>
        <w:t>电力工程</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规划电源为35KV桃源变，远期落实110KV安丰塘变。沿主要道</w:t>
      </w:r>
      <w:r w:rsidRPr="000F40CC">
        <w:rPr>
          <w:rFonts w:ascii="仿宋" w:eastAsia="仿宋" w:hAnsi="仿宋"/>
          <w:sz w:val="28"/>
          <w:szCs w:val="28"/>
        </w:rPr>
        <w:lastRenderedPageBreak/>
        <w:t>路敷设10KV电力主线，采用环网形式提高供电安全性。电力线路近期沿用架空式，合理规划线路走向，避免私拉乱接，引导整齐划一。远期有条件地区可以考虑地埋方式敷设。</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sidRPr="009F108B">
        <w:rPr>
          <w:rFonts w:ascii="仿宋" w:eastAsia="仿宋" w:hAnsi="仿宋" w:hint="eastAsia"/>
          <w:b/>
          <w:bCs/>
          <w:sz w:val="28"/>
          <w:szCs w:val="28"/>
        </w:rPr>
        <w:t>4、</w:t>
      </w:r>
      <w:r w:rsidR="000F40CC" w:rsidRPr="000F40CC">
        <w:rPr>
          <w:rFonts w:ascii="仿宋" w:eastAsia="仿宋" w:hAnsi="仿宋"/>
          <w:b/>
          <w:bCs/>
          <w:sz w:val="28"/>
          <w:szCs w:val="28"/>
        </w:rPr>
        <w:t>电信工程</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通信来源为堰口村通信基站。电信线路采取“枝状”分布，对现状线路进行捆扎整理，远期有条件区域可以考虑下地。现状固定电话、网络主线移动电话已经配套到每户，在镇政府驻地内设电信代办点，代办电信业务。</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sidRPr="009F108B">
        <w:rPr>
          <w:rFonts w:ascii="仿宋" w:eastAsia="仿宋" w:hAnsi="仿宋" w:hint="eastAsia"/>
          <w:b/>
          <w:bCs/>
          <w:sz w:val="28"/>
          <w:szCs w:val="28"/>
        </w:rPr>
        <w:t>5、</w:t>
      </w:r>
      <w:r w:rsidR="000F40CC" w:rsidRPr="000F40CC">
        <w:rPr>
          <w:rFonts w:ascii="仿宋" w:eastAsia="仿宋" w:hAnsi="仿宋"/>
          <w:b/>
          <w:bCs/>
          <w:sz w:val="28"/>
          <w:szCs w:val="28"/>
        </w:rPr>
        <w:t>环卫工程</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完善堰口镇垃圾收运处理。规划生活垃圾收集点，垃圾收集点位置应固定，其服务半径300米，将垃圾送到垃圾处理站再转运至垃圾处理厂统一处理。</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sidRPr="009F108B">
        <w:rPr>
          <w:rFonts w:ascii="仿宋" w:eastAsia="仿宋" w:hAnsi="仿宋" w:hint="eastAsia"/>
          <w:b/>
          <w:bCs/>
          <w:sz w:val="28"/>
          <w:szCs w:val="28"/>
        </w:rPr>
        <w:t>6、</w:t>
      </w:r>
      <w:r w:rsidR="000F40CC" w:rsidRPr="000F40CC">
        <w:rPr>
          <w:rFonts w:ascii="仿宋" w:eastAsia="仿宋" w:hAnsi="仿宋"/>
          <w:b/>
          <w:bCs/>
          <w:sz w:val="28"/>
          <w:szCs w:val="28"/>
        </w:rPr>
        <w:t>安全工程</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规划堰口镇政府为防灾指挥中心。堰口镇按20年一遇防洪标准，10年一遇排涝标准设防。沿主要道路按间距不大于150米设置消火栓。驻地按抗震烈度6度设防，内部主要道路为疏散通道，结合广场以及其他开敞空间设置多处疏散场地。</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第二十一节 “四线”管控</w:t>
      </w:r>
    </w:p>
    <w:p w:rsidR="000F40CC" w:rsidRPr="000F40CC" w:rsidRDefault="009F108B" w:rsidP="00941FB7">
      <w:pPr>
        <w:adjustRightInd w:val="0"/>
        <w:snapToGrid w:val="0"/>
        <w:spacing w:beforeLines="50" w:line="360" w:lineRule="auto"/>
        <w:ind w:firstLineChars="200" w:firstLine="562"/>
        <w:rPr>
          <w:b/>
          <w:bCs/>
        </w:rPr>
      </w:pPr>
      <w:r w:rsidRPr="009F108B">
        <w:rPr>
          <w:rFonts w:ascii="仿宋" w:eastAsia="仿宋" w:hAnsi="仿宋" w:hint="eastAsia"/>
          <w:b/>
          <w:bCs/>
          <w:sz w:val="28"/>
          <w:szCs w:val="28"/>
        </w:rPr>
        <w:t>1、</w:t>
      </w:r>
      <w:r w:rsidR="000F40CC" w:rsidRPr="000F40CC">
        <w:rPr>
          <w:rFonts w:ascii="仿宋" w:eastAsia="仿宋" w:hAnsi="仿宋"/>
          <w:b/>
          <w:bCs/>
          <w:sz w:val="28"/>
          <w:szCs w:val="28"/>
        </w:rPr>
        <w:t>黄线</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将镇政府驻地内变电站、自来水厂、污水处理站等划入黄线范围。参照《城市黄线管理办法》予以管控。</w:t>
      </w:r>
    </w:p>
    <w:p w:rsidR="000F40CC" w:rsidRPr="000F40CC" w:rsidRDefault="009F108B" w:rsidP="00941FB7">
      <w:pPr>
        <w:adjustRightInd w:val="0"/>
        <w:snapToGrid w:val="0"/>
        <w:spacing w:beforeLines="50" w:line="360" w:lineRule="auto"/>
        <w:ind w:firstLineChars="200" w:firstLine="562"/>
        <w:rPr>
          <w:rFonts w:ascii="仿宋" w:eastAsia="仿宋" w:hAnsi="仿宋"/>
          <w:b/>
          <w:bCs/>
          <w:sz w:val="28"/>
          <w:szCs w:val="28"/>
        </w:rPr>
      </w:pPr>
      <w:r w:rsidRPr="009F108B">
        <w:rPr>
          <w:rFonts w:ascii="仿宋" w:eastAsia="仿宋" w:hAnsi="仿宋" w:hint="eastAsia"/>
          <w:b/>
          <w:bCs/>
          <w:sz w:val="28"/>
          <w:szCs w:val="28"/>
        </w:rPr>
        <w:t>2、</w:t>
      </w:r>
      <w:r w:rsidR="000F40CC" w:rsidRPr="000F40CC">
        <w:rPr>
          <w:rFonts w:ascii="仿宋" w:eastAsia="仿宋" w:hAnsi="仿宋"/>
          <w:b/>
          <w:bCs/>
          <w:sz w:val="28"/>
          <w:szCs w:val="28"/>
        </w:rPr>
        <w:t>绿线</w:t>
      </w:r>
    </w:p>
    <w:p w:rsid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lastRenderedPageBreak/>
        <w:t>将镇政府驻地内公园绿地、广场用地划入绿线范围。参照《城市绿线管理办法》予以管控，不得随意更改绿线范围内用地性质。</w:t>
      </w:r>
    </w:p>
    <w:p w:rsidR="00A12791" w:rsidRPr="00A12791" w:rsidRDefault="00A12791" w:rsidP="00941FB7">
      <w:pPr>
        <w:adjustRightInd w:val="0"/>
        <w:snapToGrid w:val="0"/>
        <w:spacing w:beforeLines="50" w:line="360" w:lineRule="auto"/>
        <w:ind w:firstLineChars="200" w:firstLine="562"/>
        <w:rPr>
          <w:rFonts w:ascii="仿宋" w:eastAsia="仿宋" w:hAnsi="仿宋"/>
          <w:b/>
          <w:bCs/>
          <w:sz w:val="28"/>
          <w:szCs w:val="28"/>
        </w:rPr>
      </w:pPr>
      <w:r w:rsidRPr="00A12791">
        <w:rPr>
          <w:rFonts w:ascii="仿宋" w:eastAsia="仿宋" w:hAnsi="仿宋" w:hint="eastAsia"/>
          <w:b/>
          <w:bCs/>
          <w:sz w:val="28"/>
          <w:szCs w:val="28"/>
        </w:rPr>
        <w:t>3、蓝线</w:t>
      </w:r>
    </w:p>
    <w:p w:rsidR="00A12791" w:rsidRPr="00A12791" w:rsidRDefault="00A12791" w:rsidP="00941FB7">
      <w:pPr>
        <w:adjustRightInd w:val="0"/>
        <w:snapToGrid w:val="0"/>
        <w:spacing w:beforeLines="50" w:line="360" w:lineRule="auto"/>
        <w:ind w:firstLineChars="200" w:firstLine="560"/>
        <w:rPr>
          <w:rFonts w:ascii="仿宋" w:eastAsia="仿宋" w:hAnsi="仿宋"/>
          <w:sz w:val="28"/>
          <w:szCs w:val="28"/>
        </w:rPr>
      </w:pPr>
      <w:r>
        <w:rPr>
          <w:rFonts w:ascii="仿宋" w:eastAsia="仿宋" w:hAnsi="仿宋" w:hint="eastAsia"/>
          <w:sz w:val="28"/>
          <w:szCs w:val="28"/>
        </w:rPr>
        <w:t>将镇域范围内水系纳入蓝线范围。参照《城市蓝线管理办法》予以管控。</w:t>
      </w:r>
    </w:p>
    <w:p w:rsidR="00A12791" w:rsidRDefault="00A12791" w:rsidP="00941FB7">
      <w:pPr>
        <w:adjustRightInd w:val="0"/>
        <w:snapToGrid w:val="0"/>
        <w:spacing w:beforeLines="50" w:line="360" w:lineRule="auto"/>
        <w:ind w:firstLineChars="200" w:firstLine="562"/>
        <w:rPr>
          <w:rFonts w:ascii="仿宋" w:eastAsia="仿宋" w:hAnsi="仿宋"/>
          <w:b/>
          <w:bCs/>
          <w:sz w:val="28"/>
          <w:szCs w:val="28"/>
        </w:rPr>
      </w:pPr>
      <w:r w:rsidRPr="00A12791">
        <w:rPr>
          <w:rFonts w:ascii="仿宋" w:eastAsia="仿宋" w:hAnsi="仿宋" w:hint="eastAsia"/>
          <w:b/>
          <w:bCs/>
          <w:sz w:val="28"/>
          <w:szCs w:val="28"/>
        </w:rPr>
        <w:t>4、紫线</w:t>
      </w:r>
    </w:p>
    <w:p w:rsidR="00A12791" w:rsidRPr="00A12791" w:rsidRDefault="00A12791" w:rsidP="00941FB7">
      <w:pPr>
        <w:adjustRightInd w:val="0"/>
        <w:snapToGrid w:val="0"/>
        <w:spacing w:beforeLines="50" w:line="360" w:lineRule="auto"/>
        <w:ind w:firstLineChars="200" w:firstLine="560"/>
        <w:rPr>
          <w:rFonts w:ascii="仿宋" w:eastAsia="仿宋" w:hAnsi="仿宋"/>
          <w:b/>
          <w:bCs/>
          <w:sz w:val="28"/>
          <w:szCs w:val="28"/>
        </w:rPr>
      </w:pPr>
      <w:r>
        <w:rPr>
          <w:rFonts w:ascii="仿宋" w:eastAsia="仿宋" w:hAnsi="仿宋" w:hint="eastAsia"/>
          <w:sz w:val="28"/>
          <w:szCs w:val="28"/>
        </w:rPr>
        <w:t>紫线是指国家历史文化名城内的历史文化街区和省、自治区、直辖市人民政府公布的历史文化街区的保护范围界线，以及历史文化街区外经县级以上人民政府公布保护的历史建筑的保护范围界线。</w:t>
      </w:r>
    </w:p>
    <w:p w:rsidR="000F40CC" w:rsidRPr="000F40CC" w:rsidRDefault="000F40CC" w:rsidP="00941FB7">
      <w:pPr>
        <w:adjustRightInd w:val="0"/>
        <w:snapToGrid w:val="0"/>
        <w:spacing w:beforeLines="50" w:line="360" w:lineRule="auto"/>
        <w:ind w:firstLineChars="200" w:firstLine="723"/>
        <w:jc w:val="center"/>
        <w:rPr>
          <w:rFonts w:ascii="宋体" w:eastAsia="宋体" w:hAnsi="宋体"/>
          <w:b/>
          <w:bCs/>
          <w:sz w:val="36"/>
          <w:szCs w:val="36"/>
        </w:rPr>
      </w:pPr>
      <w:r w:rsidRPr="000F40CC">
        <w:rPr>
          <w:rFonts w:ascii="宋体" w:eastAsia="宋体" w:hAnsi="宋体"/>
          <w:b/>
          <w:bCs/>
          <w:sz w:val="36"/>
          <w:szCs w:val="36"/>
        </w:rPr>
        <w:t>第六章 近期行动与实施保障</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坚持党中央统一领导，按照“统一底图、统一标准、统一规划、统一平台”的要求，健全法规政策和技术保障体系，强化规划传导和用途管控，实施规划全生命周期管理，提升国土空间治理现代化水平，保障规划目标顺利完成。</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第二十</w:t>
      </w:r>
      <w:r w:rsidR="009F108B">
        <w:rPr>
          <w:rFonts w:ascii="仿宋" w:eastAsia="仿宋" w:hAnsi="仿宋" w:hint="eastAsia"/>
          <w:b/>
          <w:bCs/>
          <w:sz w:val="32"/>
          <w:szCs w:val="32"/>
        </w:rPr>
        <w:t>二</w:t>
      </w:r>
      <w:r w:rsidRPr="000F40CC">
        <w:rPr>
          <w:rFonts w:ascii="仿宋" w:eastAsia="仿宋" w:hAnsi="仿宋"/>
          <w:b/>
          <w:bCs/>
          <w:sz w:val="32"/>
          <w:szCs w:val="32"/>
        </w:rPr>
        <w:t>节 制定详细规划单元</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建立规划单元管理模式，明确各单元范围、面积、名称和功能定位，并提出人口与用地规模、开发强度、建筑高度等规划控制要求，形成单元规划指引，指导详细规划编制。</w:t>
      </w:r>
    </w:p>
    <w:p w:rsidR="000F40CC" w:rsidRPr="000F40CC" w:rsidRDefault="000F40CC" w:rsidP="00941FB7">
      <w:pPr>
        <w:adjustRightInd w:val="0"/>
        <w:snapToGrid w:val="0"/>
        <w:spacing w:beforeLines="50" w:line="360" w:lineRule="auto"/>
        <w:ind w:firstLineChars="200" w:firstLine="643"/>
        <w:jc w:val="center"/>
        <w:rPr>
          <w:rFonts w:ascii="仿宋" w:eastAsia="仿宋" w:hAnsi="仿宋"/>
          <w:b/>
          <w:bCs/>
          <w:sz w:val="32"/>
          <w:szCs w:val="32"/>
        </w:rPr>
      </w:pPr>
      <w:r w:rsidRPr="000F40CC">
        <w:rPr>
          <w:rFonts w:ascii="仿宋" w:eastAsia="仿宋" w:hAnsi="仿宋"/>
          <w:b/>
          <w:bCs/>
          <w:sz w:val="32"/>
          <w:szCs w:val="32"/>
        </w:rPr>
        <w:t>第二十</w:t>
      </w:r>
      <w:r w:rsidR="009F108B">
        <w:rPr>
          <w:rFonts w:ascii="仿宋" w:eastAsia="仿宋" w:hAnsi="仿宋" w:hint="eastAsia"/>
          <w:b/>
          <w:bCs/>
          <w:sz w:val="32"/>
          <w:szCs w:val="32"/>
        </w:rPr>
        <w:t>三</w:t>
      </w:r>
      <w:r w:rsidRPr="000F40CC">
        <w:rPr>
          <w:rFonts w:ascii="仿宋" w:eastAsia="仿宋" w:hAnsi="仿宋"/>
          <w:b/>
          <w:bCs/>
          <w:sz w:val="32"/>
          <w:szCs w:val="32"/>
        </w:rPr>
        <w:t>节 近期行动计划</w:t>
      </w:r>
    </w:p>
    <w:p w:rsidR="000F40CC" w:rsidRPr="000F40CC" w:rsidRDefault="000F40CC" w:rsidP="00941FB7">
      <w:pPr>
        <w:adjustRightInd w:val="0"/>
        <w:snapToGrid w:val="0"/>
        <w:spacing w:beforeLines="50" w:line="360" w:lineRule="auto"/>
        <w:ind w:firstLineChars="200" w:firstLine="560"/>
        <w:rPr>
          <w:rFonts w:ascii="仿宋" w:eastAsia="仿宋" w:hAnsi="仿宋"/>
          <w:sz w:val="28"/>
          <w:szCs w:val="28"/>
        </w:rPr>
      </w:pPr>
      <w:r w:rsidRPr="000F40CC">
        <w:rPr>
          <w:rFonts w:ascii="仿宋" w:eastAsia="仿宋" w:hAnsi="仿宋"/>
          <w:sz w:val="28"/>
          <w:szCs w:val="28"/>
        </w:rPr>
        <w:t>综合考虑堰口镇发展和居民诉求，研究提出近期急需推进的交通、水利、产业、社会福利、市政设施、历史文化保护、公共服务设施、其他等项目，为堰口镇全域范围内的重大建设提供指引。</w:t>
      </w:r>
    </w:p>
    <w:p w:rsidR="00A12791" w:rsidRDefault="00A12791">
      <w:pPr>
        <w:sectPr w:rsidR="00A12791">
          <w:pgSz w:w="11906" w:h="16838"/>
          <w:pgMar w:top="1440" w:right="1800" w:bottom="1440" w:left="1800" w:header="851" w:footer="992" w:gutter="0"/>
          <w:cols w:space="425"/>
          <w:docGrid w:type="lines" w:linePitch="312"/>
        </w:sectPr>
      </w:pPr>
    </w:p>
    <w:p w:rsidR="001B010F" w:rsidRDefault="00A12791">
      <w:r w:rsidRPr="00A12791">
        <w:rPr>
          <w:noProof/>
        </w:rPr>
        <w:lastRenderedPageBreak/>
        <w:drawing>
          <wp:anchor distT="0" distB="0" distL="114300" distR="114300" simplePos="0" relativeHeight="251658240" behindDoc="0" locked="0" layoutInCell="1" allowOverlap="1">
            <wp:simplePos x="0" y="0"/>
            <wp:positionH relativeFrom="page">
              <wp:align>right</wp:align>
            </wp:positionH>
            <wp:positionV relativeFrom="paragraph">
              <wp:posOffset>-1182993</wp:posOffset>
            </wp:positionV>
            <wp:extent cx="10691845" cy="7558640"/>
            <wp:effectExtent l="0" t="0" r="0" b="4445"/>
            <wp:wrapNone/>
            <wp:docPr id="17478528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91845" cy="7558640"/>
                    </a:xfrm>
                    <a:prstGeom prst="rect">
                      <a:avLst/>
                    </a:prstGeom>
                    <a:noFill/>
                    <a:ln>
                      <a:noFill/>
                    </a:ln>
                  </pic:spPr>
                </pic:pic>
              </a:graphicData>
            </a:graphic>
          </wp:anchor>
        </w:drawing>
      </w:r>
      <w:r w:rsidRPr="00A12791">
        <w:rPr>
          <w:noProof/>
        </w:rPr>
        <w:drawing>
          <wp:anchor distT="0" distB="0" distL="114300" distR="114300" simplePos="0" relativeHeight="251659264" behindDoc="0" locked="0" layoutInCell="1" allowOverlap="1">
            <wp:simplePos x="0" y="0"/>
            <wp:positionH relativeFrom="column">
              <wp:posOffset>-902335</wp:posOffset>
            </wp:positionH>
            <wp:positionV relativeFrom="paragraph">
              <wp:posOffset>6492685</wp:posOffset>
            </wp:positionV>
            <wp:extent cx="10663555" cy="7538720"/>
            <wp:effectExtent l="0" t="0" r="4445" b="5080"/>
            <wp:wrapNone/>
            <wp:docPr id="18433170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63555" cy="7538720"/>
                    </a:xfrm>
                    <a:prstGeom prst="rect">
                      <a:avLst/>
                    </a:prstGeom>
                    <a:noFill/>
                    <a:ln>
                      <a:noFill/>
                    </a:ln>
                  </pic:spPr>
                </pic:pic>
              </a:graphicData>
            </a:graphic>
          </wp:anchor>
        </w:drawing>
      </w:r>
    </w:p>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r w:rsidRPr="00A12791">
        <w:rPr>
          <w:noProof/>
        </w:rPr>
        <w:lastRenderedPageBreak/>
        <w:drawing>
          <wp:anchor distT="0" distB="0" distL="114300" distR="114300" simplePos="0" relativeHeight="251660288" behindDoc="0" locked="0" layoutInCell="1" allowOverlap="1">
            <wp:simplePos x="0" y="0"/>
            <wp:positionH relativeFrom="page">
              <wp:align>left</wp:align>
            </wp:positionH>
            <wp:positionV relativeFrom="paragraph">
              <wp:posOffset>-1143001</wp:posOffset>
            </wp:positionV>
            <wp:extent cx="10657490" cy="7534353"/>
            <wp:effectExtent l="0" t="0" r="0" b="0"/>
            <wp:wrapNone/>
            <wp:docPr id="19184284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57490" cy="7534353"/>
                    </a:xfrm>
                    <a:prstGeom prst="rect">
                      <a:avLst/>
                    </a:prstGeom>
                    <a:noFill/>
                    <a:ln>
                      <a:noFill/>
                    </a:ln>
                  </pic:spPr>
                </pic:pic>
              </a:graphicData>
            </a:graphic>
          </wp:anchor>
        </w:drawing>
      </w:r>
    </w:p>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r w:rsidRPr="00A12791">
        <w:rPr>
          <w:noProof/>
        </w:rPr>
        <w:lastRenderedPageBreak/>
        <w:drawing>
          <wp:anchor distT="0" distB="0" distL="114300" distR="114300" simplePos="0" relativeHeight="251661312" behindDoc="0" locked="0" layoutInCell="1" allowOverlap="1">
            <wp:simplePos x="0" y="0"/>
            <wp:positionH relativeFrom="page">
              <wp:align>left</wp:align>
            </wp:positionH>
            <wp:positionV relativeFrom="paragraph">
              <wp:posOffset>-1111622</wp:posOffset>
            </wp:positionV>
            <wp:extent cx="10594428" cy="7489771"/>
            <wp:effectExtent l="0" t="0" r="0" b="0"/>
            <wp:wrapNone/>
            <wp:docPr id="16424545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02210" cy="7495272"/>
                    </a:xfrm>
                    <a:prstGeom prst="rect">
                      <a:avLst/>
                    </a:prstGeom>
                    <a:noFill/>
                    <a:ln>
                      <a:noFill/>
                    </a:ln>
                  </pic:spPr>
                </pic:pic>
              </a:graphicData>
            </a:graphic>
          </wp:anchor>
        </w:drawing>
      </w:r>
    </w:p>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p w:rsidR="00A12791" w:rsidRDefault="00A12791">
      <w:r>
        <w:rPr>
          <w:noProof/>
        </w:rPr>
        <w:lastRenderedPageBreak/>
        <w:drawing>
          <wp:anchor distT="0" distB="0" distL="114300" distR="114300" simplePos="0" relativeHeight="251662336" behindDoc="0" locked="0" layoutInCell="1" allowOverlap="1">
            <wp:simplePos x="0" y="0"/>
            <wp:positionH relativeFrom="page">
              <wp:align>left</wp:align>
            </wp:positionH>
            <wp:positionV relativeFrom="paragraph">
              <wp:posOffset>-1143468</wp:posOffset>
            </wp:positionV>
            <wp:extent cx="10583154" cy="7459579"/>
            <wp:effectExtent l="0" t="0" r="8890" b="8255"/>
            <wp:wrapNone/>
            <wp:docPr id="12724190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88701" cy="7463489"/>
                    </a:xfrm>
                    <a:prstGeom prst="rect">
                      <a:avLst/>
                    </a:prstGeom>
                    <a:noFill/>
                    <a:ln>
                      <a:noFill/>
                    </a:ln>
                  </pic:spPr>
                </pic:pic>
              </a:graphicData>
            </a:graphic>
          </wp:anchor>
        </w:drawing>
      </w:r>
    </w:p>
    <w:p w:rsidR="00A12791" w:rsidRDefault="00A12791"/>
    <w:p w:rsidR="00A12791" w:rsidRDefault="00A12791"/>
    <w:p w:rsidR="00A12791" w:rsidRDefault="00A12791"/>
    <w:p w:rsidR="00A12791" w:rsidRDefault="00A12791"/>
    <w:p w:rsidR="00A12791" w:rsidRDefault="00A12791"/>
    <w:p w:rsidR="00A12791" w:rsidRDefault="00A12791"/>
    <w:p w:rsidR="00A12791" w:rsidRPr="000F40CC" w:rsidRDefault="00A12791"/>
    <w:sectPr w:rsidR="00A12791" w:rsidRPr="000F40CC" w:rsidSect="00A12791">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9D2" w:rsidRDefault="002549D2" w:rsidP="00A12791">
      <w:r>
        <w:separator/>
      </w:r>
    </w:p>
  </w:endnote>
  <w:endnote w:type="continuationSeparator" w:id="0">
    <w:p w:rsidR="002549D2" w:rsidRDefault="002549D2" w:rsidP="00A12791">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9D2" w:rsidRDefault="002549D2" w:rsidP="00A12791">
      <w:r>
        <w:separator/>
      </w:r>
    </w:p>
  </w:footnote>
  <w:footnote w:type="continuationSeparator" w:id="0">
    <w:p w:rsidR="002549D2" w:rsidRDefault="002549D2" w:rsidP="00A127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40CC"/>
    <w:rsid w:val="000935F4"/>
    <w:rsid w:val="000F40CC"/>
    <w:rsid w:val="001B010F"/>
    <w:rsid w:val="002549D2"/>
    <w:rsid w:val="003533FF"/>
    <w:rsid w:val="003A3EE8"/>
    <w:rsid w:val="005545D0"/>
    <w:rsid w:val="00941FB7"/>
    <w:rsid w:val="0099647E"/>
    <w:rsid w:val="009F108B"/>
    <w:rsid w:val="00A12791"/>
    <w:rsid w:val="00E12010"/>
    <w:rsid w:val="00FC66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3FF"/>
    <w:pPr>
      <w:widowControl w:val="0"/>
      <w:jc w:val="both"/>
    </w:pPr>
  </w:style>
  <w:style w:type="paragraph" w:styleId="1">
    <w:name w:val="heading 1"/>
    <w:basedOn w:val="a"/>
    <w:next w:val="a"/>
    <w:link w:val="1Char"/>
    <w:uiPriority w:val="9"/>
    <w:qFormat/>
    <w:rsid w:val="000F40C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0F40C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0F40C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0F40C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0F40C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Char"/>
    <w:uiPriority w:val="9"/>
    <w:semiHidden/>
    <w:unhideWhenUsed/>
    <w:qFormat/>
    <w:rsid w:val="000F40CC"/>
    <w:pPr>
      <w:keepNext/>
      <w:keepLines/>
      <w:spacing w:before="40"/>
      <w:outlineLvl w:val="5"/>
    </w:pPr>
    <w:rPr>
      <w:rFonts w:cstheme="majorBidi"/>
      <w:b/>
      <w:bCs/>
      <w:color w:val="0F4761" w:themeColor="accent1" w:themeShade="BF"/>
    </w:rPr>
  </w:style>
  <w:style w:type="paragraph" w:styleId="7">
    <w:name w:val="heading 7"/>
    <w:basedOn w:val="a"/>
    <w:next w:val="a"/>
    <w:link w:val="7Char"/>
    <w:uiPriority w:val="9"/>
    <w:semiHidden/>
    <w:unhideWhenUsed/>
    <w:qFormat/>
    <w:rsid w:val="000F40CC"/>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0F40CC"/>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rsid w:val="000F40C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F40CC"/>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0F40CC"/>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0F40CC"/>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0F40CC"/>
    <w:rPr>
      <w:rFonts w:cstheme="majorBidi"/>
      <w:color w:val="0F4761" w:themeColor="accent1" w:themeShade="BF"/>
      <w:sz w:val="28"/>
      <w:szCs w:val="28"/>
    </w:rPr>
  </w:style>
  <w:style w:type="character" w:customStyle="1" w:styleId="5Char">
    <w:name w:val="标题 5 Char"/>
    <w:basedOn w:val="a0"/>
    <w:link w:val="5"/>
    <w:uiPriority w:val="9"/>
    <w:semiHidden/>
    <w:rsid w:val="000F40CC"/>
    <w:rPr>
      <w:rFonts w:cstheme="majorBidi"/>
      <w:color w:val="0F4761" w:themeColor="accent1" w:themeShade="BF"/>
      <w:sz w:val="24"/>
      <w:szCs w:val="24"/>
    </w:rPr>
  </w:style>
  <w:style w:type="character" w:customStyle="1" w:styleId="6Char">
    <w:name w:val="标题 6 Char"/>
    <w:basedOn w:val="a0"/>
    <w:link w:val="6"/>
    <w:uiPriority w:val="9"/>
    <w:semiHidden/>
    <w:rsid w:val="000F40CC"/>
    <w:rPr>
      <w:rFonts w:cstheme="majorBidi"/>
      <w:b/>
      <w:bCs/>
      <w:color w:val="0F4761" w:themeColor="accent1" w:themeShade="BF"/>
    </w:rPr>
  </w:style>
  <w:style w:type="character" w:customStyle="1" w:styleId="7Char">
    <w:name w:val="标题 7 Char"/>
    <w:basedOn w:val="a0"/>
    <w:link w:val="7"/>
    <w:uiPriority w:val="9"/>
    <w:semiHidden/>
    <w:rsid w:val="000F40CC"/>
    <w:rPr>
      <w:rFonts w:cstheme="majorBidi"/>
      <w:b/>
      <w:bCs/>
      <w:color w:val="595959" w:themeColor="text1" w:themeTint="A6"/>
    </w:rPr>
  </w:style>
  <w:style w:type="character" w:customStyle="1" w:styleId="8Char">
    <w:name w:val="标题 8 Char"/>
    <w:basedOn w:val="a0"/>
    <w:link w:val="8"/>
    <w:uiPriority w:val="9"/>
    <w:semiHidden/>
    <w:rsid w:val="000F40CC"/>
    <w:rPr>
      <w:rFonts w:cstheme="majorBidi"/>
      <w:color w:val="595959" w:themeColor="text1" w:themeTint="A6"/>
    </w:rPr>
  </w:style>
  <w:style w:type="character" w:customStyle="1" w:styleId="9Char">
    <w:name w:val="标题 9 Char"/>
    <w:basedOn w:val="a0"/>
    <w:link w:val="9"/>
    <w:uiPriority w:val="9"/>
    <w:semiHidden/>
    <w:rsid w:val="000F40CC"/>
    <w:rPr>
      <w:rFonts w:eastAsiaTheme="majorEastAsia" w:cstheme="majorBidi"/>
      <w:color w:val="595959" w:themeColor="text1" w:themeTint="A6"/>
    </w:rPr>
  </w:style>
  <w:style w:type="paragraph" w:styleId="a3">
    <w:name w:val="Title"/>
    <w:basedOn w:val="a"/>
    <w:next w:val="a"/>
    <w:link w:val="Char"/>
    <w:uiPriority w:val="10"/>
    <w:qFormat/>
    <w:rsid w:val="000F40CC"/>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0F40C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F40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0F40CC"/>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F40CC"/>
    <w:pPr>
      <w:spacing w:before="160" w:after="160"/>
      <w:jc w:val="center"/>
    </w:pPr>
    <w:rPr>
      <w:i/>
      <w:iCs/>
      <w:color w:val="404040" w:themeColor="text1" w:themeTint="BF"/>
    </w:rPr>
  </w:style>
  <w:style w:type="character" w:customStyle="1" w:styleId="Char1">
    <w:name w:val="引用 Char"/>
    <w:basedOn w:val="a0"/>
    <w:link w:val="a5"/>
    <w:uiPriority w:val="29"/>
    <w:rsid w:val="000F40CC"/>
    <w:rPr>
      <w:i/>
      <w:iCs/>
      <w:color w:val="404040" w:themeColor="text1" w:themeTint="BF"/>
    </w:rPr>
  </w:style>
  <w:style w:type="paragraph" w:styleId="a6">
    <w:name w:val="List Paragraph"/>
    <w:basedOn w:val="a"/>
    <w:uiPriority w:val="34"/>
    <w:qFormat/>
    <w:rsid w:val="000F40CC"/>
    <w:pPr>
      <w:ind w:left="720"/>
      <w:contextualSpacing/>
    </w:pPr>
  </w:style>
  <w:style w:type="character" w:styleId="a7">
    <w:name w:val="Intense Emphasis"/>
    <w:basedOn w:val="a0"/>
    <w:uiPriority w:val="21"/>
    <w:qFormat/>
    <w:rsid w:val="000F40CC"/>
    <w:rPr>
      <w:i/>
      <w:iCs/>
      <w:color w:val="0F4761" w:themeColor="accent1" w:themeShade="BF"/>
    </w:rPr>
  </w:style>
  <w:style w:type="paragraph" w:styleId="a8">
    <w:name w:val="Intense Quote"/>
    <w:basedOn w:val="a"/>
    <w:next w:val="a"/>
    <w:link w:val="Char2"/>
    <w:uiPriority w:val="30"/>
    <w:qFormat/>
    <w:rsid w:val="000F40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明显引用 Char"/>
    <w:basedOn w:val="a0"/>
    <w:link w:val="a8"/>
    <w:uiPriority w:val="30"/>
    <w:rsid w:val="000F40CC"/>
    <w:rPr>
      <w:i/>
      <w:iCs/>
      <w:color w:val="0F4761" w:themeColor="accent1" w:themeShade="BF"/>
    </w:rPr>
  </w:style>
  <w:style w:type="character" w:styleId="a9">
    <w:name w:val="Intense Reference"/>
    <w:basedOn w:val="a0"/>
    <w:uiPriority w:val="32"/>
    <w:qFormat/>
    <w:rsid w:val="000F40CC"/>
    <w:rPr>
      <w:b/>
      <w:bCs/>
      <w:smallCaps/>
      <w:color w:val="0F4761" w:themeColor="accent1" w:themeShade="BF"/>
      <w:spacing w:val="5"/>
    </w:rPr>
  </w:style>
  <w:style w:type="paragraph" w:styleId="aa">
    <w:name w:val="header"/>
    <w:basedOn w:val="a"/>
    <w:link w:val="Char3"/>
    <w:uiPriority w:val="99"/>
    <w:unhideWhenUsed/>
    <w:rsid w:val="00A12791"/>
    <w:pPr>
      <w:tabs>
        <w:tab w:val="center" w:pos="4153"/>
        <w:tab w:val="right" w:pos="8306"/>
      </w:tabs>
      <w:snapToGrid w:val="0"/>
      <w:jc w:val="center"/>
    </w:pPr>
    <w:rPr>
      <w:sz w:val="18"/>
      <w:szCs w:val="18"/>
    </w:rPr>
  </w:style>
  <w:style w:type="character" w:customStyle="1" w:styleId="Char3">
    <w:name w:val="页眉 Char"/>
    <w:basedOn w:val="a0"/>
    <w:link w:val="aa"/>
    <w:uiPriority w:val="99"/>
    <w:rsid w:val="00A12791"/>
    <w:rPr>
      <w:sz w:val="18"/>
      <w:szCs w:val="18"/>
    </w:rPr>
  </w:style>
  <w:style w:type="paragraph" w:styleId="ab">
    <w:name w:val="footer"/>
    <w:basedOn w:val="a"/>
    <w:link w:val="Char4"/>
    <w:uiPriority w:val="99"/>
    <w:unhideWhenUsed/>
    <w:rsid w:val="00A12791"/>
    <w:pPr>
      <w:tabs>
        <w:tab w:val="center" w:pos="4153"/>
        <w:tab w:val="right" w:pos="8306"/>
      </w:tabs>
      <w:snapToGrid w:val="0"/>
      <w:jc w:val="left"/>
    </w:pPr>
    <w:rPr>
      <w:sz w:val="18"/>
      <w:szCs w:val="18"/>
    </w:rPr>
  </w:style>
  <w:style w:type="character" w:customStyle="1" w:styleId="Char4">
    <w:name w:val="页脚 Char"/>
    <w:basedOn w:val="a0"/>
    <w:link w:val="ab"/>
    <w:uiPriority w:val="99"/>
    <w:rsid w:val="00A12791"/>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20</Pages>
  <Words>991</Words>
  <Characters>5650</Characters>
  <Application>Microsoft Office Word</Application>
  <DocSecurity>0</DocSecurity>
  <Lines>47</Lines>
  <Paragraphs>13</Paragraphs>
  <ScaleCrop>false</ScaleCrop>
  <Company/>
  <LinksUpToDate>false</LinksUpToDate>
  <CharactersWithSpaces>6628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cp:revision>
  <dcterms:created xsi:type="dcterms:W3CDTF">2026-01-15T03:26:00Z</dcterms:created>
  <dcterms:modified xsi:type="dcterms:W3CDTF">2026-08-13T01:18:00Z</dcterms:modified>
</cp:coreProperties>
</file>