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4777D">
      <w:pPr>
        <w:pStyle w:val="62"/>
        <w:spacing w:line="360" w:lineRule="auto"/>
        <w:ind w:firstLine="1117" w:firstLineChars="298"/>
        <w:rPr>
          <w:rFonts w:hint="eastAsia" w:ascii="华文中宋" w:hAnsi="华文中宋" w:eastAsia="华文中宋" w:cs="华文中宋"/>
          <w:bCs w:val="0"/>
          <w:w w:val="52"/>
          <w:kern w:val="0"/>
          <w:sz w:val="72"/>
          <w:szCs w:val="72"/>
          <w:highlight w:val="none"/>
        </w:rPr>
      </w:pPr>
    </w:p>
    <w:p w14:paraId="74412D47">
      <w:pPr>
        <w:pStyle w:val="62"/>
        <w:spacing w:line="360" w:lineRule="auto"/>
        <w:ind w:firstLine="1117" w:firstLineChars="298"/>
        <w:rPr>
          <w:rFonts w:hint="eastAsia" w:ascii="华文中宋" w:hAnsi="华文中宋" w:eastAsia="华文中宋" w:cs="华文中宋"/>
          <w:bCs w:val="0"/>
          <w:w w:val="52"/>
          <w:kern w:val="0"/>
          <w:sz w:val="72"/>
          <w:szCs w:val="72"/>
          <w:highlight w:val="none"/>
        </w:rPr>
      </w:pPr>
    </w:p>
    <w:p w14:paraId="7CFC1DC2">
      <w:pPr>
        <w:pStyle w:val="62"/>
        <w:spacing w:line="360" w:lineRule="auto"/>
        <w:ind w:firstLine="1117" w:firstLineChars="298"/>
        <w:rPr>
          <w:rStyle w:val="61"/>
          <w:rFonts w:ascii="宋体" w:hAnsi="宋体" w:cs="宋体"/>
          <w:kern w:val="44"/>
          <w:sz w:val="100"/>
          <w:szCs w:val="100"/>
          <w:highlight w:val="none"/>
        </w:rPr>
      </w:pPr>
      <w:r>
        <w:rPr>
          <w:rFonts w:hint="eastAsia" w:ascii="华文中宋" w:hAnsi="华文中宋" w:eastAsia="华文中宋" w:cs="华文中宋"/>
          <w:bCs w:val="0"/>
          <w:w w:val="52"/>
          <w:kern w:val="0"/>
          <w:sz w:val="72"/>
          <w:szCs w:val="72"/>
          <w:highlight w:val="none"/>
        </w:rPr>
        <w:t>寿县人民医院定制式义齿外加工服务采购项目</w:t>
      </w:r>
    </w:p>
    <w:p w14:paraId="2B30178B">
      <w:pPr>
        <w:pStyle w:val="62"/>
        <w:spacing w:line="360" w:lineRule="auto"/>
        <w:ind w:firstLine="1506" w:firstLineChars="150"/>
        <w:jc w:val="both"/>
        <w:rPr>
          <w:rStyle w:val="61"/>
          <w:rFonts w:ascii="宋体" w:hAnsi="宋体" w:cs="宋体"/>
          <w:kern w:val="44"/>
          <w:sz w:val="100"/>
          <w:szCs w:val="100"/>
          <w:highlight w:val="none"/>
        </w:rPr>
      </w:pPr>
    </w:p>
    <w:p w14:paraId="40109385">
      <w:pPr>
        <w:pStyle w:val="62"/>
        <w:spacing w:line="360" w:lineRule="auto"/>
        <w:ind w:firstLine="1506" w:firstLineChars="150"/>
        <w:jc w:val="both"/>
        <w:rPr>
          <w:rStyle w:val="61"/>
          <w:rFonts w:ascii="宋体" w:hAnsi="宋体" w:cs="宋体"/>
          <w:kern w:val="44"/>
          <w:sz w:val="24"/>
          <w:szCs w:val="24"/>
          <w:highlight w:val="none"/>
        </w:rPr>
      </w:pPr>
      <w:r>
        <w:rPr>
          <w:rStyle w:val="61"/>
          <w:rFonts w:hint="eastAsia" w:ascii="宋体" w:hAnsi="宋体" w:cs="宋体"/>
          <w:kern w:val="44"/>
          <w:sz w:val="100"/>
          <w:szCs w:val="100"/>
          <w:highlight w:val="none"/>
        </w:rPr>
        <w:t>竞争性谈判</w:t>
      </w:r>
      <w:r>
        <w:rPr>
          <w:rStyle w:val="61"/>
          <w:rFonts w:ascii="宋体" w:hAnsi="宋体" w:cs="宋体"/>
          <w:kern w:val="44"/>
          <w:sz w:val="100"/>
          <w:szCs w:val="100"/>
          <w:highlight w:val="none"/>
        </w:rPr>
        <w:t>文件</w:t>
      </w:r>
    </w:p>
    <w:p w14:paraId="47B19418">
      <w:pPr>
        <w:jc w:val="center"/>
        <w:rPr>
          <w:rStyle w:val="61"/>
          <w:rFonts w:ascii="方正小标宋简体" w:hAnsi="宋体" w:eastAsia="方正小标宋简体" w:cs="宋体"/>
          <w:bCs/>
          <w:kern w:val="44"/>
          <w:sz w:val="48"/>
          <w:szCs w:val="48"/>
          <w:highlight w:val="none"/>
        </w:rPr>
      </w:pPr>
    </w:p>
    <w:p w14:paraId="2CC4DA50">
      <w:pPr>
        <w:pStyle w:val="9"/>
        <w:rPr>
          <w:highlight w:val="none"/>
        </w:rPr>
      </w:pPr>
    </w:p>
    <w:p w14:paraId="1C2E2A9D">
      <w:pPr>
        <w:pStyle w:val="55"/>
        <w:ind w:left="420" w:firstLine="1540" w:firstLineChars="700"/>
        <w:jc w:val="both"/>
        <w:rPr>
          <w:rStyle w:val="61"/>
          <w:rFonts w:ascii="宋体" w:hAnsi="宋体"/>
          <w:kern w:val="0"/>
          <w:sz w:val="22"/>
          <w:szCs w:val="22"/>
          <w:highlight w:val="none"/>
        </w:rPr>
      </w:pPr>
    </w:p>
    <w:p w14:paraId="33FF63B1">
      <w:pPr>
        <w:pStyle w:val="23"/>
        <w:rPr>
          <w:rStyle w:val="61"/>
          <w:rFonts w:ascii="宋体" w:hAnsi="宋体"/>
          <w:kern w:val="0"/>
          <w:sz w:val="22"/>
          <w:szCs w:val="22"/>
          <w:highlight w:val="none"/>
        </w:rPr>
      </w:pPr>
    </w:p>
    <w:p w14:paraId="6DCE3033">
      <w:pPr>
        <w:rPr>
          <w:rStyle w:val="61"/>
          <w:rFonts w:ascii="宋体" w:hAnsi="宋体"/>
          <w:kern w:val="0"/>
          <w:sz w:val="22"/>
          <w:szCs w:val="22"/>
          <w:highlight w:val="none"/>
        </w:rPr>
      </w:pPr>
    </w:p>
    <w:p w14:paraId="0024DF8B">
      <w:pPr>
        <w:pStyle w:val="2"/>
        <w:rPr>
          <w:rStyle w:val="61"/>
          <w:rFonts w:ascii="宋体" w:hAnsi="宋体"/>
          <w:kern w:val="0"/>
          <w:sz w:val="22"/>
          <w:szCs w:val="22"/>
          <w:highlight w:val="none"/>
        </w:rPr>
      </w:pPr>
    </w:p>
    <w:p w14:paraId="744BFBCD">
      <w:pPr>
        <w:spacing w:line="690" w:lineRule="atLeast"/>
        <w:ind w:firstLine="1304" w:firstLineChars="593"/>
        <w:rPr>
          <w:rStyle w:val="61"/>
          <w:rFonts w:ascii="宋体" w:hAnsi="宋体"/>
          <w:kern w:val="0"/>
          <w:sz w:val="22"/>
          <w:szCs w:val="22"/>
          <w:highlight w:val="none"/>
        </w:rPr>
      </w:pPr>
    </w:p>
    <w:p w14:paraId="4E1A8420">
      <w:pPr>
        <w:spacing w:line="690" w:lineRule="atLeast"/>
        <w:ind w:firstLine="1905" w:firstLineChars="593"/>
        <w:rPr>
          <w:rFonts w:ascii="宋体" w:hAnsi="宋体" w:cs="宋体"/>
          <w:b/>
          <w:bCs/>
          <w:kern w:val="0"/>
          <w:sz w:val="32"/>
          <w:szCs w:val="32"/>
          <w:highlight w:val="none"/>
          <w:u w:val="single"/>
        </w:rPr>
      </w:pPr>
      <w:r>
        <w:rPr>
          <w:rFonts w:hint="eastAsia" w:ascii="宋体" w:hAnsi="宋体"/>
          <w:b/>
          <w:bCs/>
          <w:sz w:val="32"/>
          <w:szCs w:val="32"/>
          <w:highlight w:val="none"/>
        </w:rPr>
        <w:t>采 购 人：</w:t>
      </w:r>
      <w:r>
        <w:rPr>
          <w:rFonts w:hint="eastAsia" w:ascii="宋体" w:hAnsi="宋体"/>
          <w:b/>
          <w:bCs/>
          <w:sz w:val="32"/>
          <w:szCs w:val="32"/>
          <w:highlight w:val="none"/>
          <w:u w:val="single"/>
        </w:rPr>
        <w:t>寿县人民医院</w:t>
      </w:r>
    </w:p>
    <w:p w14:paraId="368DD815">
      <w:pPr>
        <w:spacing w:line="690" w:lineRule="atLeast"/>
        <w:ind w:firstLine="1905" w:firstLineChars="593"/>
        <w:rPr>
          <w:rFonts w:ascii="宋体" w:hAnsi="宋体"/>
          <w:b/>
          <w:bCs/>
          <w:sz w:val="32"/>
          <w:szCs w:val="32"/>
          <w:highlight w:val="none"/>
          <w:u w:val="single"/>
        </w:rPr>
      </w:pPr>
      <w:r>
        <w:rPr>
          <w:rFonts w:hint="eastAsia" w:ascii="宋体" w:hAnsi="宋体"/>
          <w:b/>
          <w:bCs/>
          <w:sz w:val="32"/>
          <w:szCs w:val="32"/>
          <w:highlight w:val="none"/>
        </w:rPr>
        <w:t>采购代理：</w:t>
      </w:r>
      <w:r>
        <w:rPr>
          <w:rFonts w:hint="eastAsia" w:ascii="宋体" w:hAnsi="宋体"/>
          <w:b/>
          <w:bCs/>
          <w:sz w:val="32"/>
          <w:szCs w:val="32"/>
          <w:highlight w:val="none"/>
          <w:u w:val="single"/>
        </w:rPr>
        <w:t>寿县寿州公共资源交易有限公司</w:t>
      </w:r>
    </w:p>
    <w:p w14:paraId="714EA2AF">
      <w:pPr>
        <w:spacing w:line="690" w:lineRule="atLeast"/>
        <w:ind w:firstLine="1905" w:firstLineChars="593"/>
        <w:rPr>
          <w:rFonts w:ascii="宋体" w:hAnsi="宋体"/>
          <w:b/>
          <w:bCs/>
          <w:sz w:val="32"/>
          <w:szCs w:val="32"/>
          <w:highlight w:val="none"/>
          <w:u w:val="single"/>
        </w:rPr>
        <w:sectPr>
          <w:footerReference r:id="rId3" w:type="default"/>
          <w:pgSz w:w="11906" w:h="16838"/>
          <w:pgMar w:top="820" w:right="746" w:bottom="1440" w:left="880" w:header="851" w:footer="992" w:gutter="0"/>
          <w:pgNumType w:fmt="numberInDash"/>
          <w:cols w:space="425" w:num="1"/>
          <w:docGrid w:type="lines" w:linePitch="312" w:charSpace="0"/>
        </w:sectPr>
      </w:pPr>
      <w:r>
        <w:rPr>
          <w:rFonts w:hint="eastAsia" w:ascii="宋体" w:hAnsi="宋体"/>
          <w:b/>
          <w:bCs/>
          <w:sz w:val="32"/>
          <w:szCs w:val="32"/>
          <w:highlight w:val="none"/>
        </w:rPr>
        <w:t xml:space="preserve">日    期： </w:t>
      </w:r>
      <w:r>
        <w:rPr>
          <w:rFonts w:hint="eastAsia" w:ascii="宋体" w:hAnsi="宋体"/>
          <w:b/>
          <w:bCs/>
          <w:sz w:val="32"/>
          <w:szCs w:val="32"/>
          <w:highlight w:val="none"/>
          <w:u w:val="single"/>
        </w:rPr>
        <w:t>2026年8月</w:t>
      </w:r>
      <w:r>
        <w:rPr>
          <w:rFonts w:hint="eastAsia" w:ascii="宋体" w:hAnsi="宋体"/>
          <w:b/>
          <w:bCs/>
          <w:sz w:val="32"/>
          <w:szCs w:val="32"/>
          <w:highlight w:val="none"/>
          <w:u w:val="single"/>
          <w:lang w:val="en-US" w:eastAsia="zh-CN"/>
        </w:rPr>
        <w:t>4</w:t>
      </w:r>
      <w:bookmarkStart w:id="101" w:name="_GoBack"/>
      <w:bookmarkEnd w:id="101"/>
      <w:r>
        <w:rPr>
          <w:rFonts w:hint="eastAsia" w:ascii="宋体" w:hAnsi="宋体"/>
          <w:b/>
          <w:bCs/>
          <w:sz w:val="32"/>
          <w:szCs w:val="32"/>
          <w:highlight w:val="none"/>
          <w:u w:val="single"/>
        </w:rPr>
        <w:t>日</w:t>
      </w:r>
    </w:p>
    <w:p w14:paraId="0D3E9B04">
      <w:pPr>
        <w:kinsoku w:val="0"/>
        <w:overflowPunct w:val="0"/>
        <w:autoSpaceDN w:val="0"/>
        <w:adjustRightInd w:val="0"/>
        <w:snapToGrid w:val="0"/>
        <w:spacing w:beforeLines="50" w:afterLines="50"/>
        <w:jc w:val="center"/>
        <w:rPr>
          <w:rFonts w:ascii="黑体" w:hAnsi="黑体" w:eastAsia="黑体"/>
          <w:sz w:val="36"/>
          <w:szCs w:val="36"/>
          <w:highlight w:val="none"/>
        </w:rPr>
      </w:pPr>
      <w:bookmarkStart w:id="0" w:name="OLE_LINK3"/>
      <w:bookmarkStart w:id="1" w:name="OLE_LINK1"/>
      <w:bookmarkStart w:id="2" w:name="OLE_LINK4"/>
      <w:bookmarkStart w:id="3" w:name="_Toc27521"/>
      <w:r>
        <w:rPr>
          <w:rFonts w:hint="eastAsia" w:ascii="黑体" w:hAnsi="黑体" w:eastAsia="黑体"/>
          <w:sz w:val="36"/>
          <w:szCs w:val="36"/>
          <w:highlight w:val="none"/>
        </w:rPr>
        <w:t>第一章</w:t>
      </w:r>
      <w:bookmarkStart w:id="4" w:name="OLE_LINK34"/>
      <w:bookmarkStart w:id="5" w:name="OLE_LINK14"/>
    </w:p>
    <w:p w14:paraId="0B0C982D">
      <w:pPr>
        <w:kinsoku w:val="0"/>
        <w:overflowPunct w:val="0"/>
        <w:autoSpaceDN w:val="0"/>
        <w:adjustRightInd w:val="0"/>
        <w:snapToGrid w:val="0"/>
        <w:spacing w:beforeLines="50" w:afterLines="50"/>
        <w:jc w:val="center"/>
        <w:rPr>
          <w:rFonts w:hint="eastAsia" w:ascii="华文中宋" w:hAnsi="华文中宋" w:eastAsia="华文中宋"/>
          <w:b/>
          <w:color w:val="000000" w:themeColor="text1"/>
          <w:sz w:val="44"/>
          <w:szCs w:val="44"/>
          <w:highlight w:val="none"/>
        </w:rPr>
      </w:pPr>
      <w:r>
        <w:rPr>
          <w:rFonts w:hint="eastAsia" w:ascii="华文中宋" w:hAnsi="华文中宋" w:eastAsia="华文中宋"/>
          <w:b/>
          <w:color w:val="000000" w:themeColor="text1"/>
          <w:sz w:val="44"/>
          <w:szCs w:val="44"/>
          <w:highlight w:val="none"/>
        </w:rPr>
        <w:t>寿县人民医院定制式义齿外加工服务采购项目</w:t>
      </w:r>
    </w:p>
    <w:p w14:paraId="5115B266">
      <w:pPr>
        <w:kinsoku w:val="0"/>
        <w:overflowPunct w:val="0"/>
        <w:autoSpaceDN w:val="0"/>
        <w:adjustRightInd w:val="0"/>
        <w:snapToGrid w:val="0"/>
        <w:spacing w:beforeLines="50" w:afterLines="50"/>
        <w:jc w:val="center"/>
        <w:rPr>
          <w:rFonts w:ascii="华文中宋" w:hAnsi="华文中宋" w:eastAsia="华文中宋"/>
          <w:b/>
          <w:color w:val="000000" w:themeColor="text1"/>
          <w:sz w:val="44"/>
          <w:szCs w:val="44"/>
          <w:highlight w:val="none"/>
        </w:rPr>
      </w:pPr>
      <w:r>
        <w:rPr>
          <w:rFonts w:hint="eastAsia" w:ascii="华文中宋" w:hAnsi="华文中宋" w:eastAsia="华文中宋"/>
          <w:b/>
          <w:color w:val="000000" w:themeColor="text1"/>
          <w:sz w:val="44"/>
          <w:szCs w:val="44"/>
          <w:highlight w:val="none"/>
        </w:rPr>
        <w:t>采购公告</w:t>
      </w:r>
      <w:bookmarkEnd w:id="4"/>
      <w:bookmarkEnd w:id="5"/>
    </w:p>
    <w:p w14:paraId="6C9D6A14">
      <w:pPr>
        <w:pStyle w:val="27"/>
        <w:shd w:val="clear" w:color="auto" w:fill="FFFFFF"/>
        <w:spacing w:line="560" w:lineRule="exact"/>
        <w:jc w:val="both"/>
        <w:rPr>
          <w:rFonts w:ascii="宋体" w:hAnsi="宋体" w:cs="宋体"/>
          <w:b/>
          <w:bCs/>
          <w:color w:val="000000"/>
          <w:sz w:val="32"/>
          <w:szCs w:val="32"/>
          <w:highlight w:val="none"/>
          <w:shd w:val="clear" w:color="auto" w:fill="FFFFFF"/>
        </w:rPr>
      </w:pPr>
      <w:bookmarkStart w:id="6" w:name="OLE_LINK7"/>
      <w:bookmarkStart w:id="7" w:name="OLE_LINK2"/>
      <w:r>
        <w:rPr>
          <w:rFonts w:hint="eastAsia" w:ascii="宋体" w:hAnsi="宋体" w:cs="宋体"/>
          <w:b/>
          <w:bCs/>
          <w:color w:val="000000"/>
          <w:sz w:val="32"/>
          <w:szCs w:val="32"/>
          <w:highlight w:val="none"/>
          <w:shd w:val="clear" w:color="auto" w:fill="FFFFFF"/>
        </w:rPr>
        <w:t>1. 采购条件</w:t>
      </w:r>
    </w:p>
    <w:p w14:paraId="5E22D8E9">
      <w:pPr>
        <w:pStyle w:val="27"/>
        <w:shd w:val="clear" w:color="auto" w:fill="FFFFFF"/>
        <w:spacing w:line="560" w:lineRule="exact"/>
        <w:ind w:firstLine="420"/>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1.1 项目名称：寿县人民医院定制式义齿外加工服务采购项目</w:t>
      </w:r>
    </w:p>
    <w:p w14:paraId="79888CBD">
      <w:pPr>
        <w:pStyle w:val="27"/>
        <w:shd w:val="clear" w:color="auto" w:fill="FFFFFF"/>
        <w:spacing w:line="560" w:lineRule="exact"/>
        <w:ind w:firstLine="420"/>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1.2 项目审批、核准或备案机关名称：无</w:t>
      </w:r>
    </w:p>
    <w:p w14:paraId="4689EFF6">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1.3 采购依据（批文名称/编号/相关纪要）：会议纪要</w:t>
      </w:r>
    </w:p>
    <w:p w14:paraId="2C1DE643">
      <w:pPr>
        <w:pStyle w:val="27"/>
        <w:shd w:val="clear" w:color="auto" w:fill="FFFFFF"/>
        <w:spacing w:line="560" w:lineRule="exact"/>
        <w:ind w:firstLine="420"/>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1.4 项目代码：</w:t>
      </w:r>
    </w:p>
    <w:p w14:paraId="3FA2547D">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1.5 采购人：寿县人民医院</w:t>
      </w:r>
    </w:p>
    <w:p w14:paraId="68B34F3C">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1.6采购方式：竞争性谈判</w:t>
      </w:r>
    </w:p>
    <w:p w14:paraId="211A09AD">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1.7 资金来源：财政资金</w:t>
      </w:r>
    </w:p>
    <w:p w14:paraId="67F56121">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1.8 项目金额：155366.00元/年</w:t>
      </w:r>
    </w:p>
    <w:p w14:paraId="2E2C2DE9">
      <w:pPr>
        <w:kinsoku w:val="0"/>
        <w:overflowPunct w:val="0"/>
        <w:adjustRightInd w:val="0"/>
        <w:snapToGrid w:val="0"/>
        <w:spacing w:line="360" w:lineRule="auto"/>
        <w:ind w:right="580"/>
        <w:jc w:val="left"/>
        <w:rPr>
          <w:rFonts w:ascii="宋体" w:hAnsi="宋体" w:cs="宋体"/>
          <w:b/>
          <w:bCs/>
          <w:color w:val="000000"/>
          <w:kern w:val="0"/>
          <w:sz w:val="32"/>
          <w:szCs w:val="32"/>
          <w:highlight w:val="none"/>
          <w:shd w:val="clear" w:color="auto" w:fill="FFFFFF"/>
        </w:rPr>
      </w:pPr>
      <w:r>
        <w:rPr>
          <w:rFonts w:hint="eastAsia" w:ascii="宋体" w:hAnsi="宋体" w:cs="宋体"/>
          <w:b/>
          <w:bCs/>
          <w:color w:val="000000"/>
          <w:kern w:val="0"/>
          <w:sz w:val="32"/>
          <w:szCs w:val="32"/>
          <w:highlight w:val="none"/>
          <w:shd w:val="clear" w:color="auto" w:fill="FFFFFF"/>
        </w:rPr>
        <w:t>2. 项目概况与采购范围</w:t>
      </w:r>
    </w:p>
    <w:p w14:paraId="77CFA96D">
      <w:pPr>
        <w:pStyle w:val="27"/>
        <w:shd w:val="clear" w:color="auto" w:fill="FFFFFF"/>
        <w:spacing w:beforeAutospacing="0" w:afterAutospacing="0" w:line="360" w:lineRule="auto"/>
        <w:ind w:firstLine="420"/>
        <w:jc w:val="both"/>
        <w:rPr>
          <w:rFonts w:hint="eastAsia"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2.1 采购范围：本项目为寿县人民医院口腔科定制式义齿加工配送服务采购，在服务期内按采购人需求分批提供定制式义齿加工、配送及相关配套服务。涵盖全口可摘义齿、局部可摘义齿、固定修复义齿（全冠、贴面、嵌体）、种植支持式义齿等，具体详见服务需求。</w:t>
      </w:r>
    </w:p>
    <w:p w14:paraId="63478DB5">
      <w:pPr>
        <w:pStyle w:val="27"/>
        <w:shd w:val="clear" w:color="auto" w:fill="FFFFFF"/>
        <w:spacing w:beforeAutospacing="0" w:afterAutospacing="0" w:line="360" w:lineRule="auto"/>
        <w:ind w:firstLine="420"/>
        <w:jc w:val="both"/>
        <w:rPr>
          <w:rFonts w:hint="eastAsia" w:ascii="宋体" w:hAnsi="宋体" w:cs="宋体"/>
          <w:color w:val="000000"/>
          <w:sz w:val="32"/>
          <w:szCs w:val="32"/>
          <w:highlight w:val="none"/>
          <w:shd w:val="clear" w:color="auto" w:fill="FFFFFF"/>
        </w:rPr>
      </w:pPr>
    </w:p>
    <w:p w14:paraId="312D9A65">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2.2 采购需求：寿县人民医院定制式义齿外加工服务采购</w:t>
      </w:r>
    </w:p>
    <w:p w14:paraId="404121A2">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2.3 项目类别：服务类</w:t>
      </w:r>
    </w:p>
    <w:p w14:paraId="0B40DB19">
      <w:pPr>
        <w:pStyle w:val="27"/>
        <w:shd w:val="clear" w:color="auto" w:fill="FFFFFF"/>
        <w:spacing w:line="560" w:lineRule="exact"/>
        <w:ind w:firstLine="420"/>
        <w:jc w:val="both"/>
        <w:rPr>
          <w:rFonts w:ascii="宋体" w:hAnsi="宋体" w:cs="宋体"/>
          <w:sz w:val="32"/>
          <w:szCs w:val="32"/>
          <w:highlight w:val="none"/>
          <w:shd w:val="clear" w:color="auto" w:fill="FFFFFF"/>
        </w:rPr>
      </w:pPr>
      <w:r>
        <w:rPr>
          <w:rFonts w:hint="eastAsia" w:ascii="宋体" w:hAnsi="宋体" w:cs="宋体"/>
          <w:sz w:val="32"/>
          <w:szCs w:val="32"/>
          <w:highlight w:val="none"/>
          <w:shd w:val="clear" w:color="auto" w:fill="FFFFFF"/>
        </w:rPr>
        <w:t>2.4 合同履行期限：365日（执行1+1+1模式）</w:t>
      </w:r>
    </w:p>
    <w:p w14:paraId="4C75FF2A">
      <w:pPr>
        <w:kinsoku w:val="0"/>
        <w:overflowPunct w:val="0"/>
        <w:adjustRightInd w:val="0"/>
        <w:snapToGrid w:val="0"/>
        <w:spacing w:line="360" w:lineRule="auto"/>
        <w:ind w:right="580"/>
        <w:jc w:val="left"/>
        <w:rPr>
          <w:rFonts w:ascii="宋体" w:hAnsi="宋体" w:cs="宋体"/>
          <w:b/>
          <w:bCs/>
          <w:color w:val="000000"/>
          <w:kern w:val="0"/>
          <w:sz w:val="32"/>
          <w:szCs w:val="32"/>
          <w:highlight w:val="none"/>
          <w:shd w:val="clear" w:color="auto" w:fill="FFFFFF"/>
        </w:rPr>
      </w:pPr>
      <w:r>
        <w:rPr>
          <w:rFonts w:hint="eastAsia" w:ascii="宋体" w:hAnsi="宋体" w:cs="宋体"/>
          <w:b/>
          <w:bCs/>
          <w:color w:val="000000"/>
          <w:kern w:val="0"/>
          <w:sz w:val="32"/>
          <w:szCs w:val="32"/>
          <w:highlight w:val="none"/>
          <w:shd w:val="clear" w:color="auto" w:fill="FFFFFF"/>
        </w:rPr>
        <w:t>3. 供应商资格要求</w:t>
      </w:r>
    </w:p>
    <w:p w14:paraId="44E7AD13">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3.1 供应商资格要求：</w:t>
      </w:r>
    </w:p>
    <w:p w14:paraId="0DA3C0A0">
      <w:pPr>
        <w:pStyle w:val="27"/>
        <w:shd w:val="clear" w:color="auto" w:fill="FFFFFF"/>
        <w:spacing w:line="560" w:lineRule="exact"/>
        <w:ind w:firstLine="480" w:firstLineChars="15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（1）满足《中华人民共和国政府采购法》第二十二条规定。</w:t>
      </w:r>
    </w:p>
    <w:p w14:paraId="54F85E8D">
      <w:pPr>
        <w:shd w:val="clear" w:color="auto" w:fill="FFFFFF"/>
        <w:spacing w:before="156" w:after="156"/>
        <w:ind w:firstLine="480" w:firstLineChars="150"/>
        <w:textAlignment w:val="auto"/>
        <w:rPr>
          <w:rFonts w:ascii="宋体" w:hAnsi="宋体" w:cs="宋体"/>
          <w:color w:val="000000"/>
          <w:kern w:val="0"/>
          <w:sz w:val="32"/>
          <w:szCs w:val="32"/>
          <w:highlight w:val="none"/>
          <w:shd w:val="clear" w:color="auto" w:fill="FFFFFF"/>
        </w:rPr>
      </w:pPr>
      <w:r>
        <w:rPr>
          <w:rFonts w:hint="eastAsia" w:ascii="宋体" w:hAnsi="宋体" w:cs="宋体"/>
          <w:color w:val="000000"/>
          <w:kern w:val="0"/>
          <w:sz w:val="32"/>
          <w:szCs w:val="32"/>
          <w:highlight w:val="none"/>
          <w:shd w:val="clear" w:color="auto" w:fill="FFFFFF"/>
        </w:rPr>
        <w:t>（2）供应商为产品制造商的，应具有医疗器械生产许可证（进口产品除外）。</w:t>
      </w:r>
    </w:p>
    <w:p w14:paraId="4520C69D">
      <w:pPr>
        <w:shd w:val="clear" w:color="auto" w:fill="FFFFFF"/>
        <w:spacing w:before="156" w:after="156"/>
        <w:ind w:firstLine="480" w:firstLineChars="150"/>
        <w:textAlignment w:val="auto"/>
        <w:rPr>
          <w:rFonts w:ascii="宋体" w:hAnsi="宋体" w:cs="宋体"/>
          <w:color w:val="000000"/>
          <w:kern w:val="0"/>
          <w:sz w:val="32"/>
          <w:szCs w:val="32"/>
          <w:highlight w:val="none"/>
          <w:shd w:val="clear" w:color="auto" w:fill="FFFFFF"/>
        </w:rPr>
      </w:pPr>
      <w:r>
        <w:rPr>
          <w:rFonts w:hint="eastAsia" w:ascii="宋体" w:hAnsi="宋体" w:cs="宋体"/>
          <w:color w:val="000000"/>
          <w:kern w:val="0"/>
          <w:sz w:val="32"/>
          <w:szCs w:val="32"/>
          <w:highlight w:val="none"/>
          <w:shd w:val="clear" w:color="auto" w:fill="FFFFFF"/>
        </w:rPr>
        <w:t>（3）供应商为经销（代理）商的，应具有医疗器械经营许可证或经营备案凭证。</w:t>
      </w:r>
    </w:p>
    <w:p w14:paraId="72AAC744">
      <w:pPr>
        <w:pStyle w:val="2"/>
        <w:ind w:firstLine="416" w:firstLineChars="130"/>
        <w:rPr>
          <w:rFonts w:ascii="宋体" w:hAnsi="宋体" w:eastAsia="宋体" w:cs="宋体"/>
          <w:color w:val="000000"/>
          <w:sz w:val="32"/>
          <w:szCs w:val="32"/>
          <w:highlight w:val="none"/>
          <w:shd w:val="clear" w:color="auto" w:fill="FFFFFF"/>
        </w:rPr>
      </w:pPr>
      <w:r>
        <w:rPr>
          <w:rFonts w:hint="eastAsia" w:ascii="宋体" w:hAnsi="宋体" w:eastAsia="宋体" w:cs="宋体"/>
          <w:color w:val="000000"/>
          <w:sz w:val="32"/>
          <w:szCs w:val="32"/>
          <w:highlight w:val="none"/>
          <w:shd w:val="clear" w:color="auto" w:fill="FFFFFF"/>
        </w:rPr>
        <w:t>（4）本项目不接受联合体投标，不允许分包、转包。</w:t>
      </w:r>
    </w:p>
    <w:p w14:paraId="5F1017AA">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 xml:space="preserve">3.2 项目负责人资格要求：无 </w:t>
      </w:r>
    </w:p>
    <w:p w14:paraId="5EC16920">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3.3 其他要求：无</w:t>
      </w:r>
    </w:p>
    <w:p w14:paraId="178CF6F7">
      <w:pPr>
        <w:kinsoku w:val="0"/>
        <w:overflowPunct w:val="0"/>
        <w:adjustRightInd w:val="0"/>
        <w:snapToGrid w:val="0"/>
        <w:spacing w:line="360" w:lineRule="auto"/>
        <w:ind w:right="580"/>
        <w:jc w:val="left"/>
        <w:rPr>
          <w:rFonts w:ascii="宋体" w:hAnsi="宋体" w:cs="宋体"/>
          <w:b/>
          <w:bCs/>
          <w:color w:val="000000"/>
          <w:kern w:val="0"/>
          <w:sz w:val="32"/>
          <w:szCs w:val="32"/>
          <w:highlight w:val="none"/>
          <w:shd w:val="clear" w:color="auto" w:fill="FFFFFF"/>
        </w:rPr>
      </w:pPr>
      <w:r>
        <w:rPr>
          <w:rFonts w:hint="eastAsia" w:ascii="宋体" w:hAnsi="宋体" w:cs="宋体"/>
          <w:b/>
          <w:bCs/>
          <w:color w:val="000000"/>
          <w:kern w:val="0"/>
          <w:sz w:val="32"/>
          <w:szCs w:val="32"/>
          <w:highlight w:val="none"/>
          <w:shd w:val="clear" w:color="auto" w:fill="FFFFFF"/>
        </w:rPr>
        <w:t>4. 采购文件的获取</w:t>
      </w:r>
    </w:p>
    <w:p w14:paraId="5E05A53A">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见附件（非直接发包项目）</w:t>
      </w:r>
    </w:p>
    <w:p w14:paraId="251E3457">
      <w:pPr>
        <w:kinsoku w:val="0"/>
        <w:overflowPunct w:val="0"/>
        <w:adjustRightInd w:val="0"/>
        <w:snapToGrid w:val="0"/>
        <w:spacing w:line="360" w:lineRule="auto"/>
        <w:ind w:right="580"/>
        <w:jc w:val="left"/>
        <w:rPr>
          <w:rFonts w:ascii="宋体" w:hAnsi="宋体" w:cs="宋体"/>
          <w:b/>
          <w:bCs/>
          <w:color w:val="000000"/>
          <w:kern w:val="0"/>
          <w:sz w:val="32"/>
          <w:szCs w:val="32"/>
          <w:highlight w:val="none"/>
          <w:shd w:val="clear" w:color="auto" w:fill="FFFFFF"/>
        </w:rPr>
      </w:pPr>
      <w:r>
        <w:rPr>
          <w:rFonts w:hint="eastAsia" w:ascii="宋体" w:hAnsi="宋体" w:cs="宋体"/>
          <w:b/>
          <w:bCs/>
          <w:color w:val="000000"/>
          <w:kern w:val="0"/>
          <w:sz w:val="32"/>
          <w:szCs w:val="32"/>
          <w:highlight w:val="none"/>
          <w:shd w:val="clear" w:color="auto" w:fill="FFFFFF"/>
        </w:rPr>
        <w:t>5. 交易时间及地点和投标文件递交</w:t>
      </w:r>
    </w:p>
    <w:p w14:paraId="0BC23779">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5.1 交易时间：2026年</w:t>
      </w:r>
      <w:r>
        <w:rPr>
          <w:rFonts w:hint="eastAsia" w:ascii="宋体" w:hAnsi="宋体" w:cs="宋体"/>
          <w:color w:val="000000"/>
          <w:sz w:val="32"/>
          <w:szCs w:val="32"/>
          <w:highlight w:val="none"/>
          <w:shd w:val="clear" w:color="auto" w:fill="FFFFFF"/>
          <w:lang w:val="en-US" w:eastAsia="zh-CN"/>
        </w:rPr>
        <w:t>8</w:t>
      </w:r>
      <w:r>
        <w:rPr>
          <w:rFonts w:hint="eastAsia" w:ascii="宋体" w:hAnsi="宋体" w:cs="宋体"/>
          <w:color w:val="000000"/>
          <w:sz w:val="32"/>
          <w:szCs w:val="32"/>
          <w:highlight w:val="none"/>
          <w:shd w:val="clear" w:color="auto" w:fill="FFFFFF"/>
        </w:rPr>
        <w:t>月</w:t>
      </w:r>
      <w:r>
        <w:rPr>
          <w:rFonts w:hint="eastAsia" w:ascii="宋体" w:hAnsi="宋体" w:cs="宋体"/>
          <w:color w:val="000000"/>
          <w:sz w:val="32"/>
          <w:szCs w:val="32"/>
          <w:highlight w:val="none"/>
          <w:shd w:val="clear" w:color="auto" w:fill="FFFFFF"/>
          <w:lang w:val="en-US" w:eastAsia="zh-CN"/>
        </w:rPr>
        <w:t>11</w:t>
      </w:r>
      <w:r>
        <w:rPr>
          <w:rFonts w:hint="eastAsia" w:ascii="宋体" w:hAnsi="宋体" w:cs="宋体"/>
          <w:color w:val="000000"/>
          <w:sz w:val="32"/>
          <w:szCs w:val="32"/>
          <w:highlight w:val="none"/>
          <w:shd w:val="clear" w:color="auto" w:fill="FFFFFF"/>
        </w:rPr>
        <w:t>日10点00分</w:t>
      </w:r>
    </w:p>
    <w:p w14:paraId="094C399B">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5.2 交易地点：寿县人民医院</w:t>
      </w:r>
    </w:p>
    <w:p w14:paraId="761FB05D">
      <w:pPr>
        <w:kinsoku w:val="0"/>
        <w:overflowPunct w:val="0"/>
        <w:adjustRightInd w:val="0"/>
        <w:snapToGrid w:val="0"/>
        <w:spacing w:line="360" w:lineRule="auto"/>
        <w:ind w:right="580"/>
        <w:jc w:val="left"/>
        <w:rPr>
          <w:rFonts w:ascii="宋体" w:hAnsi="宋体" w:cs="宋体"/>
          <w:b/>
          <w:bCs/>
          <w:color w:val="000000"/>
          <w:kern w:val="0"/>
          <w:sz w:val="32"/>
          <w:szCs w:val="32"/>
          <w:highlight w:val="none"/>
          <w:shd w:val="clear" w:color="auto" w:fill="FFFFFF"/>
        </w:rPr>
      </w:pPr>
      <w:r>
        <w:rPr>
          <w:rFonts w:hint="eastAsia" w:ascii="宋体" w:hAnsi="宋体" w:cs="宋体"/>
          <w:b/>
          <w:bCs/>
          <w:color w:val="000000"/>
          <w:kern w:val="0"/>
          <w:sz w:val="32"/>
          <w:szCs w:val="32"/>
          <w:highlight w:val="none"/>
          <w:shd w:val="clear" w:color="auto" w:fill="FFFFFF"/>
        </w:rPr>
        <w:t>6. 联系方式</w:t>
      </w:r>
    </w:p>
    <w:p w14:paraId="3D17D4B4">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6.1 采购人信息</w:t>
      </w:r>
    </w:p>
    <w:p w14:paraId="23287D24">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采购人名称：寿县人民医院</w:t>
      </w:r>
    </w:p>
    <w:p w14:paraId="23BEC922">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联系人：李文虎</w:t>
      </w:r>
    </w:p>
    <w:p w14:paraId="77EDF120">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电话：</w:t>
      </w:r>
      <w:r>
        <w:rPr>
          <w:rFonts w:ascii="宋体" w:hAnsi="宋体" w:cs="宋体"/>
          <w:color w:val="000000"/>
          <w:sz w:val="32"/>
          <w:szCs w:val="32"/>
          <w:highlight w:val="none"/>
          <w:shd w:val="clear" w:color="auto" w:fill="FFFFFF"/>
        </w:rPr>
        <w:t>05542766109</w:t>
      </w:r>
    </w:p>
    <w:p w14:paraId="755A6E05">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6.2 代理机构信息</w:t>
      </w:r>
    </w:p>
    <w:p w14:paraId="07C17268">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代理机构名称：寿县寿州公共资源交易有限公司</w:t>
      </w:r>
    </w:p>
    <w:p w14:paraId="0A7B4704">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联 系 人：张强</w:t>
      </w:r>
    </w:p>
    <w:p w14:paraId="3BFBE53C">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电话：05542751990</w:t>
      </w:r>
    </w:p>
    <w:p w14:paraId="21124FE3">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6.3 质疑</w:t>
      </w:r>
    </w:p>
    <w:p w14:paraId="71AE46EF">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质疑联系人：李文虎（采购人代表）、张强</w:t>
      </w:r>
      <w:r>
        <w:rPr>
          <w:rFonts w:hint="eastAsia" w:ascii="宋体" w:hAnsi="宋体" w:cs="宋体"/>
          <w:b/>
          <w:color w:val="000000"/>
          <w:sz w:val="32"/>
          <w:szCs w:val="32"/>
          <w:highlight w:val="none"/>
          <w:shd w:val="clear" w:color="auto" w:fill="FFFFFF"/>
        </w:rPr>
        <w:t>（</w:t>
      </w:r>
      <w:r>
        <w:rPr>
          <w:rFonts w:hint="eastAsia" w:ascii="宋体" w:hAnsi="宋体" w:cs="宋体"/>
          <w:color w:val="000000"/>
          <w:sz w:val="32"/>
          <w:szCs w:val="32"/>
          <w:highlight w:val="none"/>
          <w:shd w:val="clear" w:color="auto" w:fill="FFFFFF"/>
        </w:rPr>
        <w:t>代理机构）</w:t>
      </w:r>
    </w:p>
    <w:p w14:paraId="30DBB438">
      <w:pPr>
        <w:pStyle w:val="27"/>
        <w:shd w:val="clear" w:color="auto" w:fill="FFFFFF"/>
        <w:spacing w:line="560" w:lineRule="exact"/>
        <w:ind w:firstLine="420"/>
        <w:jc w:val="both"/>
        <w:rPr>
          <w:rFonts w:ascii="宋体" w:hAnsi="宋体" w:cs="宋体"/>
          <w:color w:val="000000"/>
          <w:sz w:val="32"/>
          <w:szCs w:val="32"/>
          <w:highlight w:val="none"/>
          <w:shd w:val="clear" w:color="auto" w:fill="FFFFFF"/>
        </w:rPr>
      </w:pPr>
      <w:r>
        <w:rPr>
          <w:rFonts w:hint="eastAsia" w:ascii="宋体" w:hAnsi="宋体" w:cs="宋体"/>
          <w:color w:val="000000"/>
          <w:sz w:val="32"/>
          <w:szCs w:val="32"/>
          <w:highlight w:val="none"/>
          <w:shd w:val="clear" w:color="auto" w:fill="FFFFFF"/>
        </w:rPr>
        <w:t>质疑联系方式：</w:t>
      </w:r>
      <w:r>
        <w:rPr>
          <w:rFonts w:ascii="宋体" w:hAnsi="宋体" w:cs="宋体"/>
          <w:color w:val="000000"/>
          <w:sz w:val="32"/>
          <w:szCs w:val="32"/>
          <w:highlight w:val="none"/>
          <w:shd w:val="clear" w:color="auto" w:fill="FFFFFF"/>
        </w:rPr>
        <w:t>05542766109</w:t>
      </w:r>
      <w:r>
        <w:rPr>
          <w:rFonts w:hint="eastAsia" w:ascii="宋体" w:hAnsi="宋体" w:cs="宋体"/>
          <w:color w:val="000000"/>
          <w:sz w:val="32"/>
          <w:szCs w:val="32"/>
          <w:highlight w:val="none"/>
          <w:shd w:val="clear" w:color="auto" w:fill="FFFFFF"/>
        </w:rPr>
        <w:t>、05542751990</w:t>
      </w:r>
    </w:p>
    <w:bookmarkEnd w:id="0"/>
    <w:bookmarkEnd w:id="1"/>
    <w:bookmarkEnd w:id="2"/>
    <w:bookmarkEnd w:id="6"/>
    <w:bookmarkEnd w:id="7"/>
    <w:p w14:paraId="0FBC6865">
      <w:pPr>
        <w:kinsoku w:val="0"/>
        <w:overflowPunct w:val="0"/>
        <w:autoSpaceDN w:val="0"/>
        <w:spacing w:beforeLines="50" w:afterLines="50"/>
        <w:jc w:val="center"/>
        <w:rPr>
          <w:rStyle w:val="61"/>
          <w:rFonts w:ascii="黑体" w:hAnsi="黑体" w:eastAsia="黑体" w:cs="黑体"/>
          <w:b/>
          <w:bCs/>
          <w:kern w:val="44"/>
          <w:sz w:val="28"/>
          <w:szCs w:val="28"/>
          <w:highlight w:val="none"/>
        </w:rPr>
      </w:pPr>
    </w:p>
    <w:p w14:paraId="02305D79">
      <w:pPr>
        <w:pStyle w:val="62"/>
        <w:jc w:val="center"/>
        <w:rPr>
          <w:rStyle w:val="46"/>
          <w:rFonts w:ascii="方正小标宋简体" w:eastAsia="方正小标宋简体"/>
          <w:b w:val="0"/>
          <w:bCs w:val="0"/>
          <w:highlight w:val="none"/>
        </w:rPr>
      </w:pPr>
      <w:bookmarkStart w:id="8" w:name="_Toc144892384"/>
    </w:p>
    <w:p w14:paraId="480E4C34">
      <w:pPr>
        <w:pStyle w:val="62"/>
        <w:jc w:val="center"/>
        <w:rPr>
          <w:rStyle w:val="46"/>
          <w:rFonts w:ascii="方正小标宋简体" w:eastAsia="方正小标宋简体"/>
          <w:b w:val="0"/>
          <w:bCs w:val="0"/>
          <w:highlight w:val="none"/>
        </w:rPr>
      </w:pPr>
    </w:p>
    <w:p w14:paraId="61B25A7C">
      <w:pPr>
        <w:pStyle w:val="62"/>
        <w:jc w:val="center"/>
        <w:rPr>
          <w:rStyle w:val="46"/>
          <w:rFonts w:ascii="方正小标宋简体" w:eastAsia="方正小标宋简体"/>
          <w:b w:val="0"/>
          <w:bCs w:val="0"/>
          <w:highlight w:val="none"/>
        </w:rPr>
      </w:pPr>
    </w:p>
    <w:p w14:paraId="781A6E8F">
      <w:pPr>
        <w:pStyle w:val="62"/>
        <w:jc w:val="center"/>
        <w:rPr>
          <w:rStyle w:val="46"/>
          <w:rFonts w:ascii="方正小标宋简体" w:eastAsia="方正小标宋简体"/>
          <w:b w:val="0"/>
          <w:bCs w:val="0"/>
          <w:highlight w:val="none"/>
        </w:rPr>
      </w:pPr>
      <w:r>
        <w:rPr>
          <w:rStyle w:val="46"/>
          <w:rFonts w:hint="eastAsia" w:ascii="方正小标宋简体" w:eastAsia="方正小标宋简体"/>
          <w:b w:val="0"/>
          <w:bCs w:val="0"/>
          <w:highlight w:val="none"/>
        </w:rPr>
        <w:t>第二章 供应商须知前附表</w:t>
      </w:r>
      <w:bookmarkEnd w:id="8"/>
    </w:p>
    <w:bookmarkEnd w:id="3"/>
    <w:tbl>
      <w:tblPr>
        <w:tblStyle w:val="30"/>
        <w:tblW w:w="9767" w:type="dxa"/>
        <w:jc w:val="center"/>
        <w:tblLayout w:type="fixed"/>
        <w:tblCellMar>
          <w:top w:w="0" w:type="dxa"/>
          <w:left w:w="0" w:type="dxa"/>
          <w:bottom w:w="0" w:type="dxa"/>
          <w:right w:w="0" w:type="dxa"/>
        </w:tblCellMar>
      </w:tblPr>
      <w:tblGrid>
        <w:gridCol w:w="653"/>
        <w:gridCol w:w="1885"/>
        <w:gridCol w:w="7229"/>
      </w:tblGrid>
      <w:tr w14:paraId="5C92D0A2">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9376">
            <w:pPr>
              <w:widowControl w:val="0"/>
              <w:spacing w:line="380" w:lineRule="exact"/>
              <w:jc w:val="center"/>
              <w:textAlignment w:val="auto"/>
              <w:outlineLvl w:val="0"/>
              <w:rPr>
                <w:rFonts w:ascii="仿宋" w:hAnsi="仿宋" w:eastAsia="仿宋" w:cs="仿宋"/>
                <w:b/>
                <w:kern w:val="0"/>
                <w:sz w:val="28"/>
                <w:szCs w:val="28"/>
                <w:highlight w:val="none"/>
              </w:rPr>
            </w:pPr>
            <w:bookmarkStart w:id="9" w:name="_Toc2958"/>
            <w:bookmarkEnd w:id="9"/>
            <w:bookmarkStart w:id="10" w:name="_Toc8278"/>
            <w:bookmarkEnd w:id="10"/>
            <w:bookmarkStart w:id="11" w:name="_Toc9482"/>
            <w:bookmarkEnd w:id="11"/>
            <w:bookmarkStart w:id="12" w:name="_Toc6139"/>
            <w:bookmarkEnd w:id="12"/>
            <w:bookmarkStart w:id="13" w:name="_Toc28104"/>
            <w:bookmarkStart w:id="14" w:name="_Toc144892385"/>
            <w:bookmarkStart w:id="15" w:name="_Toc19431"/>
            <w:r>
              <w:rPr>
                <w:rFonts w:ascii="仿宋" w:hAnsi="仿宋" w:eastAsia="仿宋" w:cs="仿宋"/>
                <w:b/>
                <w:kern w:val="0"/>
                <w:sz w:val="28"/>
                <w:szCs w:val="28"/>
                <w:highlight w:val="none"/>
              </w:rPr>
              <w:t>序号</w:t>
            </w:r>
            <w:bookmarkEnd w:id="13"/>
            <w:bookmarkEnd w:id="14"/>
            <w:bookmarkEnd w:id="15"/>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4A0F">
            <w:pPr>
              <w:widowControl w:val="0"/>
              <w:spacing w:line="380" w:lineRule="exact"/>
              <w:jc w:val="center"/>
              <w:textAlignment w:val="auto"/>
              <w:outlineLvl w:val="0"/>
              <w:rPr>
                <w:rFonts w:ascii="仿宋" w:hAnsi="仿宋" w:eastAsia="仿宋" w:cs="仿宋"/>
                <w:b/>
                <w:kern w:val="0"/>
                <w:sz w:val="28"/>
                <w:szCs w:val="28"/>
                <w:highlight w:val="none"/>
              </w:rPr>
            </w:pPr>
            <w:bookmarkStart w:id="16" w:name="_Toc19712"/>
            <w:bookmarkEnd w:id="16"/>
            <w:bookmarkStart w:id="17" w:name="_Toc16337"/>
            <w:bookmarkEnd w:id="17"/>
            <w:bookmarkStart w:id="18" w:name="_Toc28298"/>
            <w:bookmarkEnd w:id="18"/>
            <w:bookmarkStart w:id="19" w:name="_Toc22828"/>
            <w:bookmarkEnd w:id="19"/>
            <w:bookmarkStart w:id="20" w:name="_Toc3426"/>
            <w:bookmarkStart w:id="21" w:name="_Toc13627"/>
            <w:bookmarkStart w:id="22" w:name="_Toc144892386"/>
            <w:r>
              <w:rPr>
                <w:rFonts w:ascii="仿宋" w:hAnsi="仿宋" w:eastAsia="仿宋" w:cs="仿宋"/>
                <w:b/>
                <w:kern w:val="0"/>
                <w:sz w:val="28"/>
                <w:szCs w:val="28"/>
                <w:highlight w:val="none"/>
              </w:rPr>
              <w:t>条款名称</w:t>
            </w:r>
            <w:bookmarkEnd w:id="20"/>
            <w:bookmarkEnd w:id="21"/>
            <w:bookmarkEnd w:id="22"/>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4468">
            <w:pPr>
              <w:widowControl w:val="0"/>
              <w:spacing w:line="380" w:lineRule="exact"/>
              <w:jc w:val="center"/>
              <w:textAlignment w:val="auto"/>
              <w:outlineLvl w:val="0"/>
              <w:rPr>
                <w:rFonts w:ascii="仿宋" w:hAnsi="仿宋" w:eastAsia="仿宋" w:cs="仿宋"/>
                <w:b/>
                <w:kern w:val="0"/>
                <w:sz w:val="28"/>
                <w:szCs w:val="28"/>
                <w:highlight w:val="none"/>
              </w:rPr>
            </w:pPr>
            <w:bookmarkStart w:id="23" w:name="_Toc2438"/>
            <w:bookmarkEnd w:id="23"/>
            <w:bookmarkStart w:id="24" w:name="_Toc16212"/>
            <w:bookmarkEnd w:id="24"/>
            <w:bookmarkStart w:id="25" w:name="_Toc20910"/>
            <w:bookmarkEnd w:id="25"/>
            <w:bookmarkStart w:id="26" w:name="_Toc16822"/>
            <w:bookmarkEnd w:id="26"/>
            <w:bookmarkStart w:id="27" w:name="_Toc11919"/>
            <w:bookmarkStart w:id="28" w:name="_Toc13517"/>
            <w:bookmarkStart w:id="29" w:name="_Toc144892387"/>
            <w:r>
              <w:rPr>
                <w:rFonts w:ascii="仿宋" w:hAnsi="仿宋" w:eastAsia="仿宋" w:cs="仿宋"/>
                <w:b/>
                <w:kern w:val="0"/>
                <w:sz w:val="28"/>
                <w:szCs w:val="28"/>
                <w:highlight w:val="none"/>
              </w:rPr>
              <w:t>编列内容</w:t>
            </w:r>
            <w:bookmarkEnd w:id="27"/>
            <w:bookmarkEnd w:id="28"/>
            <w:bookmarkEnd w:id="29"/>
          </w:p>
        </w:tc>
      </w:tr>
      <w:tr w14:paraId="3D38FF06">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C33A">
            <w:pPr>
              <w:widowControl w:val="0"/>
              <w:spacing w:line="380" w:lineRule="exact"/>
              <w:jc w:val="center"/>
              <w:textAlignment w:val="auto"/>
              <w:outlineLvl w:val="0"/>
              <w:rPr>
                <w:rFonts w:ascii="仿宋" w:hAnsi="仿宋" w:eastAsia="仿宋" w:cs="仿宋"/>
                <w:kern w:val="0"/>
                <w:sz w:val="28"/>
                <w:szCs w:val="28"/>
                <w:highlight w:val="none"/>
              </w:rPr>
            </w:pPr>
            <w:bookmarkStart w:id="30" w:name="_Toc8868"/>
            <w:bookmarkEnd w:id="30"/>
            <w:bookmarkStart w:id="31" w:name="_Toc31619"/>
            <w:bookmarkEnd w:id="31"/>
            <w:bookmarkStart w:id="32" w:name="_Toc15349"/>
            <w:bookmarkEnd w:id="32"/>
            <w:bookmarkStart w:id="33" w:name="_Toc20041"/>
            <w:bookmarkEnd w:id="33"/>
            <w:bookmarkStart w:id="34" w:name="_Toc144892388"/>
            <w:bookmarkStart w:id="35" w:name="_Toc24684"/>
            <w:bookmarkStart w:id="36" w:name="_Toc20988"/>
            <w:r>
              <w:rPr>
                <w:rFonts w:ascii="仿宋" w:hAnsi="仿宋" w:eastAsia="仿宋" w:cs="仿宋"/>
                <w:kern w:val="0"/>
                <w:sz w:val="28"/>
                <w:szCs w:val="28"/>
                <w:highlight w:val="none"/>
              </w:rPr>
              <w:t>1</w:t>
            </w:r>
            <w:bookmarkEnd w:id="34"/>
            <w:bookmarkEnd w:id="35"/>
            <w:bookmarkEnd w:id="36"/>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D78C">
            <w:pPr>
              <w:widowControl w:val="0"/>
              <w:spacing w:line="380" w:lineRule="exact"/>
              <w:jc w:val="center"/>
              <w:textAlignment w:val="auto"/>
              <w:outlineLvl w:val="0"/>
              <w:rPr>
                <w:rFonts w:ascii="仿宋" w:hAnsi="仿宋" w:eastAsia="仿宋" w:cs="仿宋"/>
                <w:kern w:val="0"/>
                <w:sz w:val="28"/>
                <w:szCs w:val="28"/>
                <w:highlight w:val="none"/>
              </w:rPr>
            </w:pPr>
            <w:bookmarkStart w:id="37" w:name="_Toc144892389"/>
            <w:bookmarkStart w:id="38" w:name="_Toc32296"/>
            <w:bookmarkStart w:id="39" w:name="_Toc9422"/>
            <w:r>
              <w:rPr>
                <w:rFonts w:ascii="仿宋" w:hAnsi="仿宋" w:eastAsia="仿宋" w:cs="仿宋"/>
                <w:kern w:val="0"/>
                <w:sz w:val="28"/>
                <w:szCs w:val="28"/>
                <w:highlight w:val="none"/>
              </w:rPr>
              <w:t>采购人</w:t>
            </w:r>
            <w:bookmarkEnd w:id="37"/>
            <w:bookmarkEnd w:id="38"/>
            <w:bookmarkEnd w:id="39"/>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4340">
            <w:pPr>
              <w:widowControl w:val="0"/>
              <w:spacing w:line="380" w:lineRule="exact"/>
              <w:ind w:left="1400" w:hanging="1400" w:hangingChars="500"/>
              <w:jc w:val="left"/>
              <w:textAlignment w:val="auto"/>
              <w:rPr>
                <w:rFonts w:ascii="仿宋" w:hAnsi="仿宋" w:eastAsia="仿宋" w:cs="宋体"/>
                <w:sz w:val="28"/>
                <w:szCs w:val="28"/>
                <w:highlight w:val="none"/>
              </w:rPr>
            </w:pPr>
            <w:r>
              <w:rPr>
                <w:rFonts w:hint="eastAsia" w:ascii="仿宋" w:hAnsi="仿宋" w:eastAsia="仿宋" w:cs="仿宋"/>
                <w:kern w:val="0"/>
                <w:sz w:val="28"/>
                <w:szCs w:val="28"/>
                <w:highlight w:val="none"/>
              </w:rPr>
              <w:t>名</w:t>
            </w:r>
            <w:r>
              <w:rPr>
                <w:rFonts w:hint="eastAsia" w:ascii="仿宋" w:hAnsi="仿宋" w:eastAsia="仿宋" w:cs="宋体"/>
                <w:sz w:val="28"/>
                <w:szCs w:val="28"/>
                <w:highlight w:val="none"/>
              </w:rPr>
              <w:t xml:space="preserve">  称：寿县人民医院</w:t>
            </w:r>
          </w:p>
          <w:p w14:paraId="56EBFE50">
            <w:pPr>
              <w:spacing w:line="380" w:lineRule="exact"/>
              <w:jc w:val="left"/>
              <w:textAlignment w:val="auto"/>
              <w:outlineLvl w:val="0"/>
              <w:rPr>
                <w:rFonts w:ascii="仿宋" w:hAnsi="仿宋" w:eastAsia="仿宋" w:cs="宋体"/>
                <w:sz w:val="28"/>
                <w:szCs w:val="28"/>
                <w:highlight w:val="none"/>
              </w:rPr>
            </w:pPr>
            <w:bookmarkStart w:id="40" w:name="_Toc144892391"/>
            <w:r>
              <w:rPr>
                <w:rFonts w:ascii="仿宋" w:hAnsi="仿宋" w:eastAsia="仿宋" w:cs="宋体"/>
                <w:sz w:val="28"/>
                <w:szCs w:val="28"/>
                <w:highlight w:val="none"/>
              </w:rPr>
              <w:t>联系人：</w:t>
            </w:r>
            <w:bookmarkEnd w:id="40"/>
            <w:r>
              <w:rPr>
                <w:rFonts w:hint="eastAsia" w:ascii="仿宋" w:hAnsi="仿宋" w:eastAsia="仿宋" w:cs="仿宋"/>
                <w:kern w:val="0"/>
                <w:sz w:val="28"/>
                <w:szCs w:val="28"/>
                <w:highlight w:val="none"/>
                <w:shd w:val="clear" w:color="auto" w:fill="FFFFFF"/>
              </w:rPr>
              <w:t>李文虎</w:t>
            </w:r>
          </w:p>
          <w:p w14:paraId="3A61E589">
            <w:pPr>
              <w:widowControl w:val="0"/>
              <w:spacing w:line="380" w:lineRule="exact"/>
              <w:jc w:val="left"/>
              <w:textAlignment w:val="auto"/>
              <w:rPr>
                <w:rFonts w:ascii="仿宋" w:hAnsi="仿宋" w:eastAsia="仿宋" w:cs="仿宋"/>
                <w:sz w:val="28"/>
                <w:szCs w:val="28"/>
                <w:highlight w:val="none"/>
              </w:rPr>
            </w:pPr>
            <w:r>
              <w:rPr>
                <w:rFonts w:hint="eastAsia" w:ascii="仿宋" w:hAnsi="仿宋" w:eastAsia="仿宋" w:cs="宋体"/>
                <w:sz w:val="28"/>
                <w:szCs w:val="28"/>
                <w:highlight w:val="none"/>
              </w:rPr>
              <w:t>电  话：</w:t>
            </w:r>
            <w:r>
              <w:rPr>
                <w:rFonts w:ascii="仿宋" w:hAnsi="仿宋" w:eastAsia="仿宋" w:cs="宋体"/>
                <w:sz w:val="28"/>
                <w:szCs w:val="28"/>
                <w:highlight w:val="none"/>
              </w:rPr>
              <w:t>05542766109</w:t>
            </w:r>
          </w:p>
        </w:tc>
      </w:tr>
      <w:tr w14:paraId="65159BAC">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A8C0">
            <w:pPr>
              <w:widowControl w:val="0"/>
              <w:spacing w:line="380" w:lineRule="exact"/>
              <w:jc w:val="center"/>
              <w:textAlignment w:val="auto"/>
              <w:outlineLvl w:val="0"/>
              <w:rPr>
                <w:rFonts w:ascii="仿宋" w:hAnsi="仿宋" w:eastAsia="仿宋" w:cs="仿宋"/>
                <w:kern w:val="0"/>
                <w:sz w:val="28"/>
                <w:szCs w:val="28"/>
                <w:highlight w:val="none"/>
              </w:rPr>
            </w:pPr>
            <w:bookmarkStart w:id="41" w:name="_Toc10962"/>
            <w:bookmarkEnd w:id="41"/>
            <w:bookmarkStart w:id="42" w:name="_Toc27053"/>
            <w:bookmarkEnd w:id="42"/>
            <w:bookmarkStart w:id="43" w:name="_Toc12200"/>
            <w:bookmarkEnd w:id="43"/>
            <w:bookmarkStart w:id="44" w:name="_Toc30148"/>
            <w:bookmarkEnd w:id="44"/>
            <w:bookmarkStart w:id="45" w:name="_Toc144892392"/>
            <w:bookmarkStart w:id="46" w:name="_Toc8739"/>
            <w:bookmarkStart w:id="47" w:name="_Toc10297"/>
            <w:r>
              <w:rPr>
                <w:rFonts w:ascii="仿宋" w:hAnsi="仿宋" w:eastAsia="仿宋" w:cs="仿宋"/>
                <w:kern w:val="0"/>
                <w:sz w:val="28"/>
                <w:szCs w:val="28"/>
                <w:highlight w:val="none"/>
              </w:rPr>
              <w:t>2</w:t>
            </w:r>
            <w:bookmarkEnd w:id="45"/>
            <w:bookmarkEnd w:id="46"/>
            <w:bookmarkEnd w:id="47"/>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1156">
            <w:pPr>
              <w:widowControl w:val="0"/>
              <w:spacing w:line="380" w:lineRule="exact"/>
              <w:jc w:val="center"/>
              <w:textAlignment w:val="auto"/>
              <w:outlineLvl w:val="0"/>
              <w:rPr>
                <w:rFonts w:ascii="仿宋" w:hAnsi="仿宋" w:eastAsia="仿宋" w:cs="仿宋"/>
                <w:kern w:val="0"/>
                <w:sz w:val="28"/>
                <w:szCs w:val="28"/>
                <w:highlight w:val="none"/>
              </w:rPr>
            </w:pPr>
            <w:bookmarkStart w:id="48" w:name="_Toc17363"/>
            <w:bookmarkStart w:id="49" w:name="_Toc2169"/>
            <w:bookmarkStart w:id="50" w:name="_Toc144892393"/>
            <w:r>
              <w:rPr>
                <w:rFonts w:ascii="仿宋" w:hAnsi="仿宋" w:eastAsia="仿宋" w:cs="仿宋"/>
                <w:kern w:val="0"/>
                <w:sz w:val="28"/>
                <w:szCs w:val="28"/>
                <w:highlight w:val="none"/>
              </w:rPr>
              <w:t>采购代理机构</w:t>
            </w:r>
            <w:bookmarkEnd w:id="48"/>
            <w:bookmarkEnd w:id="49"/>
            <w:bookmarkEnd w:id="50"/>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6A14">
            <w:pPr>
              <w:widowControl w:val="0"/>
              <w:spacing w:line="380" w:lineRule="exact"/>
              <w:jc w:val="left"/>
              <w:textAlignment w:val="auto"/>
              <w:rPr>
                <w:rFonts w:ascii="仿宋" w:hAnsi="仿宋" w:eastAsia="仿宋" w:cs="仿宋"/>
                <w:kern w:val="0"/>
                <w:sz w:val="28"/>
                <w:szCs w:val="28"/>
                <w:highlight w:val="none"/>
              </w:rPr>
            </w:pPr>
            <w:r>
              <w:rPr>
                <w:rFonts w:hint="eastAsia" w:ascii="仿宋" w:hAnsi="仿宋" w:eastAsia="仿宋" w:cs="仿宋"/>
                <w:kern w:val="0"/>
                <w:sz w:val="28"/>
                <w:szCs w:val="28"/>
                <w:highlight w:val="none"/>
              </w:rPr>
              <w:t>名  称：</w:t>
            </w:r>
            <w:r>
              <w:rPr>
                <w:rFonts w:hint="eastAsia" w:ascii="仿宋" w:hAnsi="仿宋" w:eastAsia="仿宋" w:cs="仿宋"/>
                <w:bCs/>
                <w:sz w:val="28"/>
                <w:szCs w:val="28"/>
                <w:highlight w:val="none"/>
              </w:rPr>
              <w:t>寿县寿州公共资源交易有限公司</w:t>
            </w:r>
          </w:p>
          <w:p w14:paraId="222F32EC">
            <w:pPr>
              <w:widowControl w:val="0"/>
              <w:spacing w:line="380" w:lineRule="exact"/>
              <w:jc w:val="left"/>
              <w:textAlignment w:val="auto"/>
              <w:rPr>
                <w:rFonts w:ascii="仿宋" w:hAnsi="仿宋" w:eastAsia="仿宋" w:cs="仿宋"/>
                <w:kern w:val="0"/>
                <w:sz w:val="28"/>
                <w:szCs w:val="28"/>
                <w:highlight w:val="none"/>
              </w:rPr>
            </w:pPr>
            <w:r>
              <w:rPr>
                <w:rFonts w:hint="eastAsia" w:ascii="仿宋" w:hAnsi="仿宋" w:eastAsia="仿宋" w:cs="仿宋"/>
                <w:kern w:val="0"/>
                <w:sz w:val="28"/>
                <w:szCs w:val="28"/>
                <w:highlight w:val="none"/>
              </w:rPr>
              <w:t>地  址：</w:t>
            </w:r>
            <w:r>
              <w:rPr>
                <w:rFonts w:hint="eastAsia" w:ascii="仿宋" w:hAnsi="仿宋" w:eastAsia="仿宋" w:cs="宋体"/>
                <w:sz w:val="28"/>
                <w:szCs w:val="28"/>
                <w:highlight w:val="none"/>
              </w:rPr>
              <w:t>安徽省淮南市寿县寿春镇宾阳大道城投大厦5楼</w:t>
            </w:r>
          </w:p>
          <w:p w14:paraId="25413C94">
            <w:pPr>
              <w:widowControl w:val="0"/>
              <w:spacing w:line="380" w:lineRule="exact"/>
              <w:jc w:val="left"/>
              <w:textAlignment w:val="auto"/>
              <w:rPr>
                <w:rFonts w:ascii="仿宋" w:hAnsi="仿宋" w:eastAsia="仿宋" w:cs="仿宋"/>
                <w:kern w:val="0"/>
                <w:sz w:val="28"/>
                <w:szCs w:val="28"/>
                <w:highlight w:val="none"/>
              </w:rPr>
            </w:pPr>
            <w:r>
              <w:rPr>
                <w:rFonts w:hint="eastAsia" w:ascii="仿宋" w:hAnsi="仿宋" w:eastAsia="仿宋" w:cs="仿宋"/>
                <w:kern w:val="0"/>
                <w:sz w:val="28"/>
                <w:szCs w:val="28"/>
                <w:highlight w:val="none"/>
              </w:rPr>
              <w:t>联系人：</w:t>
            </w:r>
            <w:r>
              <w:rPr>
                <w:rFonts w:hint="eastAsia" w:ascii="仿宋" w:hAnsi="仿宋" w:eastAsia="仿宋"/>
                <w:sz w:val="28"/>
                <w:szCs w:val="28"/>
                <w:highlight w:val="none"/>
              </w:rPr>
              <w:t>张强</w:t>
            </w:r>
          </w:p>
          <w:p w14:paraId="1D311C0B">
            <w:pPr>
              <w:widowControl w:val="0"/>
              <w:spacing w:line="380" w:lineRule="exact"/>
              <w:jc w:val="left"/>
              <w:textAlignment w:val="auto"/>
              <w:rPr>
                <w:rFonts w:ascii="仿宋" w:hAnsi="仿宋" w:eastAsia="仿宋" w:cs="仿宋"/>
                <w:sz w:val="28"/>
                <w:szCs w:val="28"/>
                <w:highlight w:val="none"/>
              </w:rPr>
            </w:pPr>
            <w:r>
              <w:rPr>
                <w:rFonts w:hint="eastAsia" w:ascii="仿宋" w:hAnsi="仿宋" w:eastAsia="仿宋" w:cs="仿宋"/>
                <w:kern w:val="0"/>
                <w:sz w:val="28"/>
                <w:szCs w:val="28"/>
                <w:highlight w:val="none"/>
              </w:rPr>
              <w:t>电  话：</w:t>
            </w:r>
            <w:r>
              <w:rPr>
                <w:rFonts w:hint="eastAsia" w:ascii="仿宋" w:hAnsi="仿宋" w:eastAsia="仿宋" w:cs="宋体"/>
                <w:sz w:val="28"/>
                <w:szCs w:val="28"/>
                <w:highlight w:val="none"/>
              </w:rPr>
              <w:t>13956107177</w:t>
            </w:r>
          </w:p>
        </w:tc>
      </w:tr>
      <w:tr w14:paraId="1DEA1E15">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CBA6">
            <w:pPr>
              <w:widowControl w:val="0"/>
              <w:spacing w:line="380" w:lineRule="exact"/>
              <w:jc w:val="center"/>
              <w:textAlignment w:val="auto"/>
              <w:outlineLvl w:val="0"/>
              <w:rPr>
                <w:rFonts w:ascii="仿宋" w:hAnsi="仿宋" w:eastAsia="仿宋" w:cs="仿宋"/>
                <w:kern w:val="0"/>
                <w:sz w:val="28"/>
                <w:szCs w:val="28"/>
                <w:highlight w:val="none"/>
              </w:rPr>
            </w:pPr>
            <w:bookmarkStart w:id="51" w:name="_Toc11115"/>
            <w:bookmarkEnd w:id="51"/>
            <w:bookmarkStart w:id="52" w:name="_Toc21366"/>
            <w:bookmarkEnd w:id="52"/>
            <w:bookmarkStart w:id="53" w:name="_Toc31403"/>
            <w:bookmarkEnd w:id="53"/>
            <w:bookmarkStart w:id="54" w:name="_Toc19303"/>
            <w:bookmarkEnd w:id="54"/>
            <w:bookmarkStart w:id="55" w:name="_Toc144892394"/>
            <w:bookmarkStart w:id="56" w:name="_Toc19923"/>
            <w:bookmarkStart w:id="57" w:name="_Toc2155"/>
            <w:r>
              <w:rPr>
                <w:rFonts w:ascii="仿宋" w:hAnsi="仿宋" w:eastAsia="仿宋" w:cs="仿宋"/>
                <w:kern w:val="0"/>
                <w:sz w:val="28"/>
                <w:szCs w:val="28"/>
                <w:highlight w:val="none"/>
              </w:rPr>
              <w:t>3</w:t>
            </w:r>
            <w:bookmarkEnd w:id="55"/>
            <w:bookmarkEnd w:id="56"/>
            <w:bookmarkEnd w:id="57"/>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11BC">
            <w:pPr>
              <w:widowControl w:val="0"/>
              <w:spacing w:line="380" w:lineRule="exact"/>
              <w:jc w:val="center"/>
              <w:textAlignment w:val="auto"/>
              <w:outlineLvl w:val="0"/>
              <w:rPr>
                <w:rFonts w:ascii="仿宋" w:hAnsi="仿宋" w:eastAsia="仿宋" w:cs="仿宋"/>
                <w:kern w:val="0"/>
                <w:sz w:val="28"/>
                <w:szCs w:val="28"/>
                <w:highlight w:val="none"/>
              </w:rPr>
            </w:pPr>
            <w:bookmarkStart w:id="58" w:name="_Toc26365"/>
            <w:bookmarkEnd w:id="58"/>
            <w:bookmarkStart w:id="59" w:name="_Toc20465"/>
            <w:bookmarkEnd w:id="59"/>
            <w:bookmarkStart w:id="60" w:name="_Toc9742"/>
            <w:bookmarkEnd w:id="60"/>
            <w:bookmarkStart w:id="61" w:name="_Toc26767"/>
            <w:bookmarkEnd w:id="61"/>
            <w:bookmarkStart w:id="62" w:name="_Toc144892395"/>
            <w:bookmarkStart w:id="63" w:name="_Toc6560"/>
            <w:bookmarkStart w:id="64" w:name="_Toc1829"/>
            <w:r>
              <w:rPr>
                <w:rFonts w:ascii="仿宋" w:hAnsi="仿宋" w:eastAsia="仿宋" w:cs="仿宋"/>
                <w:kern w:val="0"/>
                <w:sz w:val="28"/>
                <w:szCs w:val="28"/>
                <w:highlight w:val="none"/>
              </w:rPr>
              <w:t>项目名称</w:t>
            </w:r>
            <w:bookmarkEnd w:id="62"/>
            <w:bookmarkEnd w:id="63"/>
            <w:bookmarkEnd w:id="64"/>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7FD6">
            <w:pPr>
              <w:widowControl w:val="0"/>
              <w:spacing w:beforeLines="50" w:afterLines="50" w:line="380" w:lineRule="exact"/>
              <w:ind w:right="105" w:rightChars="50"/>
              <w:textAlignment w:val="auto"/>
              <w:rPr>
                <w:rFonts w:ascii="仿宋" w:hAnsi="仿宋" w:eastAsia="仿宋" w:cs="仿宋"/>
                <w:sz w:val="28"/>
                <w:szCs w:val="28"/>
                <w:highlight w:val="none"/>
              </w:rPr>
            </w:pPr>
            <w:r>
              <w:rPr>
                <w:rFonts w:hint="eastAsia" w:ascii="仿宋" w:hAnsi="仿宋" w:eastAsia="仿宋"/>
                <w:sz w:val="28"/>
                <w:szCs w:val="28"/>
                <w:highlight w:val="none"/>
              </w:rPr>
              <w:t>寿县人民医院定制式义齿外加工服务采购项目</w:t>
            </w:r>
          </w:p>
        </w:tc>
      </w:tr>
      <w:tr w14:paraId="7B433EA9">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33AD">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4</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DFEA">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预算</w:t>
            </w:r>
            <w:r>
              <w:rPr>
                <w:rFonts w:ascii="仿宋" w:hAnsi="仿宋" w:eastAsia="仿宋" w:cs="仿宋"/>
                <w:kern w:val="0"/>
                <w:sz w:val="28"/>
                <w:szCs w:val="28"/>
                <w:highlight w:val="none"/>
              </w:rPr>
              <w:t>金额</w:t>
            </w:r>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4B5B">
            <w:pPr>
              <w:widowControl w:val="0"/>
              <w:spacing w:beforeLines="50" w:afterLines="50" w:line="380" w:lineRule="exact"/>
              <w:ind w:right="105" w:rightChars="50"/>
              <w:textAlignment w:val="auto"/>
              <w:rPr>
                <w:rFonts w:ascii="仿宋" w:hAnsi="仿宋" w:eastAsia="仿宋"/>
                <w:sz w:val="28"/>
                <w:szCs w:val="28"/>
                <w:highlight w:val="none"/>
              </w:rPr>
            </w:pPr>
            <w:r>
              <w:rPr>
                <w:rFonts w:hint="eastAsia" w:ascii="仿宋" w:hAnsi="仿宋" w:eastAsia="仿宋"/>
                <w:sz w:val="28"/>
                <w:szCs w:val="28"/>
                <w:highlight w:val="none"/>
              </w:rPr>
              <w:t>155366.00元/年</w:t>
            </w:r>
          </w:p>
        </w:tc>
      </w:tr>
      <w:tr w14:paraId="08014CDA">
        <w:tblPrEx>
          <w:tblCellMar>
            <w:top w:w="0" w:type="dxa"/>
            <w:left w:w="0" w:type="dxa"/>
            <w:bottom w:w="0" w:type="dxa"/>
            <w:right w:w="0" w:type="dxa"/>
          </w:tblCellMar>
        </w:tblPrEx>
        <w:trPr>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90C6">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5</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18A5">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最高限价</w:t>
            </w:r>
          </w:p>
          <w:p w14:paraId="41EB151E">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（费率）</w:t>
            </w:r>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049E">
            <w:pPr>
              <w:widowControl w:val="0"/>
              <w:spacing w:beforeLines="50" w:afterLines="50" w:line="380" w:lineRule="exact"/>
              <w:ind w:right="105" w:rightChars="50"/>
              <w:textAlignment w:val="auto"/>
              <w:rPr>
                <w:rFonts w:ascii="仿宋" w:hAnsi="仿宋" w:eastAsia="仿宋"/>
                <w:sz w:val="28"/>
                <w:szCs w:val="28"/>
                <w:highlight w:val="none"/>
              </w:rPr>
            </w:pPr>
            <w:r>
              <w:rPr>
                <w:rFonts w:hint="eastAsia" w:ascii="仿宋" w:hAnsi="仿宋" w:eastAsia="仿宋"/>
                <w:sz w:val="28"/>
                <w:szCs w:val="28"/>
                <w:highlight w:val="none"/>
              </w:rPr>
              <w:t>综合费率100%</w:t>
            </w:r>
          </w:p>
        </w:tc>
      </w:tr>
      <w:tr w14:paraId="436F1C85">
        <w:tblPrEx>
          <w:tblCellMar>
            <w:top w:w="0" w:type="dxa"/>
            <w:left w:w="0" w:type="dxa"/>
            <w:bottom w:w="0" w:type="dxa"/>
            <w:right w:w="0" w:type="dxa"/>
          </w:tblCellMar>
        </w:tblPrEx>
        <w:trPr>
          <w:trHeight w:val="678" w:hRule="atLeast"/>
          <w:jc w:val="center"/>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C31F">
            <w:pPr>
              <w:widowControl w:val="0"/>
              <w:spacing w:line="380" w:lineRule="exact"/>
              <w:ind w:firstLine="280" w:firstLineChars="100"/>
              <w:textAlignment w:val="auto"/>
              <w:outlineLvl w:val="0"/>
              <w:rPr>
                <w:rFonts w:ascii="仿宋" w:hAnsi="仿宋" w:eastAsia="仿宋" w:cs="仿宋"/>
                <w:kern w:val="0"/>
                <w:sz w:val="28"/>
                <w:szCs w:val="28"/>
                <w:highlight w:val="none"/>
              </w:rPr>
            </w:pPr>
            <w:bookmarkStart w:id="65" w:name="_Toc27986"/>
            <w:bookmarkEnd w:id="65"/>
            <w:bookmarkStart w:id="66" w:name="_Toc7418"/>
            <w:bookmarkEnd w:id="66"/>
            <w:bookmarkStart w:id="67" w:name="_Toc13522"/>
            <w:bookmarkEnd w:id="67"/>
            <w:bookmarkStart w:id="68" w:name="_Toc7315"/>
            <w:bookmarkEnd w:id="68"/>
            <w:bookmarkStart w:id="69" w:name="_Toc2984"/>
            <w:bookmarkEnd w:id="69"/>
            <w:bookmarkStart w:id="70" w:name="_Toc3798"/>
            <w:bookmarkEnd w:id="70"/>
            <w:bookmarkStart w:id="71" w:name="_Toc447"/>
            <w:bookmarkEnd w:id="71"/>
            <w:bookmarkStart w:id="72" w:name="_Toc10556"/>
            <w:bookmarkEnd w:id="72"/>
            <w:bookmarkStart w:id="73" w:name="_Toc15433"/>
            <w:bookmarkEnd w:id="73"/>
            <w:bookmarkStart w:id="74" w:name="_Toc3121"/>
            <w:bookmarkEnd w:id="74"/>
            <w:bookmarkStart w:id="75" w:name="_Toc12389"/>
            <w:bookmarkEnd w:id="75"/>
            <w:bookmarkStart w:id="76" w:name="_Toc13829"/>
            <w:bookmarkEnd w:id="76"/>
            <w:bookmarkStart w:id="77" w:name="_Toc18320"/>
            <w:bookmarkEnd w:id="77"/>
            <w:bookmarkStart w:id="78" w:name="_Toc28478"/>
            <w:bookmarkEnd w:id="78"/>
            <w:r>
              <w:rPr>
                <w:rFonts w:hint="eastAsia" w:ascii="仿宋" w:hAnsi="仿宋" w:eastAsia="仿宋" w:cs="仿宋"/>
                <w:kern w:val="0"/>
                <w:sz w:val="28"/>
                <w:szCs w:val="28"/>
                <w:highlight w:val="none"/>
              </w:rPr>
              <w:t>6</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603B">
            <w:pPr>
              <w:widowControl w:val="0"/>
              <w:spacing w:line="380" w:lineRule="exact"/>
              <w:textAlignment w:val="auto"/>
              <w:outlineLvl w:val="0"/>
              <w:rPr>
                <w:rFonts w:ascii="仿宋" w:hAnsi="仿宋" w:eastAsia="仿宋" w:cs="仿宋"/>
                <w:kern w:val="0"/>
                <w:sz w:val="28"/>
                <w:szCs w:val="28"/>
                <w:highlight w:val="none"/>
              </w:rPr>
            </w:pPr>
            <w:bookmarkStart w:id="79" w:name="_Toc19443"/>
            <w:bookmarkStart w:id="80" w:name="_Toc27335"/>
            <w:bookmarkStart w:id="81" w:name="_Toc144892408"/>
            <w:r>
              <w:rPr>
                <w:rFonts w:ascii="仿宋" w:hAnsi="仿宋" w:eastAsia="仿宋" w:cs="仿宋"/>
                <w:kern w:val="0"/>
                <w:sz w:val="28"/>
                <w:szCs w:val="28"/>
                <w:highlight w:val="none"/>
              </w:rPr>
              <w:t>合同履行期限</w:t>
            </w:r>
            <w:bookmarkEnd w:id="79"/>
            <w:bookmarkEnd w:id="80"/>
            <w:bookmarkEnd w:id="81"/>
          </w:p>
        </w:tc>
        <w:tc>
          <w:tcPr>
            <w:tcW w:w="7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44C0">
            <w:pPr>
              <w:widowControl w:val="0"/>
              <w:spacing w:line="380" w:lineRule="exact"/>
              <w:textAlignment w:val="auto"/>
              <w:rPr>
                <w:rFonts w:ascii="仿宋" w:hAnsi="仿宋" w:eastAsia="仿宋" w:cs="仿宋"/>
                <w:sz w:val="28"/>
                <w:szCs w:val="28"/>
                <w:highlight w:val="none"/>
              </w:rPr>
            </w:pPr>
            <w:r>
              <w:rPr>
                <w:rFonts w:hint="eastAsia" w:ascii="仿宋" w:hAnsi="仿宋" w:eastAsia="仿宋"/>
                <w:sz w:val="28"/>
                <w:szCs w:val="28"/>
                <w:highlight w:val="none"/>
              </w:rPr>
              <w:t>365日（执行1+1+1模式）</w:t>
            </w:r>
          </w:p>
        </w:tc>
      </w:tr>
      <w:tr w14:paraId="4B4354AC">
        <w:tblPrEx>
          <w:tblCellMar>
            <w:top w:w="0" w:type="dxa"/>
            <w:left w:w="0" w:type="dxa"/>
            <w:bottom w:w="0" w:type="dxa"/>
            <w:right w:w="0" w:type="dxa"/>
          </w:tblCellMar>
        </w:tblPrEx>
        <w:trPr>
          <w:jc w:val="center"/>
        </w:trPr>
        <w:tc>
          <w:tcPr>
            <w:tcW w:w="653" w:type="dxa"/>
            <w:tcBorders>
              <w:top w:val="single" w:color="auto" w:sz="4" w:space="0"/>
              <w:left w:val="single" w:color="000000" w:sz="4" w:space="0"/>
              <w:bottom w:val="single" w:color="auto" w:sz="4" w:space="0"/>
              <w:right w:val="single" w:color="000000" w:sz="4" w:space="0"/>
            </w:tcBorders>
            <w:shd w:val="clear" w:color="auto" w:fill="auto"/>
            <w:vAlign w:val="center"/>
          </w:tcPr>
          <w:p w14:paraId="22F6D54E">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7</w:t>
            </w:r>
          </w:p>
        </w:tc>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2821C9D6">
            <w:pPr>
              <w:widowControl w:val="0"/>
              <w:spacing w:line="380" w:lineRule="exact"/>
              <w:jc w:val="center"/>
              <w:textAlignment w:val="auto"/>
              <w:outlineLvl w:val="0"/>
              <w:rPr>
                <w:rFonts w:ascii="仿宋" w:hAnsi="仿宋" w:eastAsia="仿宋" w:cs="仿宋"/>
                <w:bCs/>
                <w:kern w:val="0"/>
                <w:sz w:val="28"/>
                <w:szCs w:val="28"/>
                <w:highlight w:val="none"/>
              </w:rPr>
            </w:pPr>
            <w:bookmarkStart w:id="82" w:name="_Toc144892487"/>
            <w:r>
              <w:rPr>
                <w:rFonts w:ascii="仿宋" w:hAnsi="仿宋" w:eastAsia="仿宋" w:cs="仿宋"/>
                <w:kern w:val="0"/>
                <w:sz w:val="28"/>
                <w:szCs w:val="28"/>
                <w:highlight w:val="none"/>
              </w:rPr>
              <w:t>代理服务费</w:t>
            </w:r>
            <w:bookmarkEnd w:id="82"/>
          </w:p>
        </w:tc>
        <w:tc>
          <w:tcPr>
            <w:tcW w:w="7229" w:type="dxa"/>
            <w:tcBorders>
              <w:top w:val="single" w:color="auto" w:sz="4" w:space="0"/>
              <w:left w:val="single" w:color="000000" w:sz="4" w:space="0"/>
              <w:bottom w:val="single" w:color="auto" w:sz="4" w:space="0"/>
              <w:right w:val="single" w:color="000000" w:sz="4" w:space="0"/>
            </w:tcBorders>
            <w:shd w:val="clear" w:color="auto" w:fill="auto"/>
            <w:vAlign w:val="center"/>
          </w:tcPr>
          <w:p w14:paraId="4CB6EBF8">
            <w:pPr>
              <w:adjustRightInd w:val="0"/>
              <w:snapToGrid w:val="0"/>
              <w:spacing w:line="360" w:lineRule="auto"/>
              <w:rPr>
                <w:rFonts w:ascii="仿宋" w:hAnsi="仿宋" w:eastAsia="仿宋" w:cs="仿宋"/>
                <w:snapToGrid w:val="0"/>
                <w:sz w:val="28"/>
                <w:szCs w:val="28"/>
                <w:highlight w:val="none"/>
              </w:rPr>
            </w:pPr>
            <w:r>
              <w:rPr>
                <w:rFonts w:hint="eastAsia" w:ascii="仿宋" w:hAnsi="仿宋" w:eastAsia="仿宋" w:cs="仿宋"/>
                <w:snapToGrid w:val="0"/>
                <w:sz w:val="28"/>
                <w:szCs w:val="28"/>
                <w:highlight w:val="none"/>
              </w:rPr>
              <w:t>金额：2000.00元。</w:t>
            </w:r>
          </w:p>
          <w:p w14:paraId="2F6F537A">
            <w:pPr>
              <w:adjustRightInd w:val="0"/>
              <w:snapToGrid w:val="0"/>
              <w:spacing w:line="360" w:lineRule="auto"/>
              <w:rPr>
                <w:rFonts w:ascii="仿宋" w:hAnsi="仿宋" w:eastAsia="仿宋" w:cs="仿宋"/>
                <w:sz w:val="28"/>
                <w:szCs w:val="28"/>
                <w:highlight w:val="none"/>
              </w:rPr>
            </w:pPr>
            <w:r>
              <w:rPr>
                <w:rFonts w:hint="eastAsia" w:ascii="仿宋" w:hAnsi="仿宋" w:eastAsia="仿宋" w:cs="仿宋"/>
                <w:sz w:val="28"/>
                <w:szCs w:val="28"/>
                <w:highlight w:val="none"/>
                <w:shd w:val="clear" w:color="auto" w:fill="FFFFFF"/>
              </w:rPr>
              <w:t>中标通知书发出前，代理服务费</w:t>
            </w:r>
            <w:r>
              <w:rPr>
                <w:rFonts w:hint="eastAsia" w:ascii="仿宋" w:hAnsi="仿宋" w:eastAsia="仿宋" w:cs="仿宋"/>
                <w:sz w:val="28"/>
                <w:szCs w:val="28"/>
                <w:highlight w:val="none"/>
              </w:rPr>
              <w:t>由成交供应商一次性支付给代理机构。</w:t>
            </w:r>
          </w:p>
          <w:p w14:paraId="74CF8412">
            <w:pPr>
              <w:adjustRightInd w:val="0"/>
              <w:snapToGrid w:val="0"/>
              <w:spacing w:line="360" w:lineRule="auto"/>
              <w:rPr>
                <w:rFonts w:ascii="仿宋" w:hAnsi="仿宋" w:eastAsia="仿宋" w:cs="仿宋"/>
                <w:bCs/>
                <w:snapToGrid w:val="0"/>
                <w:sz w:val="28"/>
                <w:szCs w:val="28"/>
                <w:highlight w:val="none"/>
              </w:rPr>
            </w:pPr>
            <w:r>
              <w:rPr>
                <w:rFonts w:hint="eastAsia" w:ascii="仿宋" w:hAnsi="仿宋" w:eastAsia="仿宋" w:cs="仿宋"/>
                <w:bCs/>
                <w:snapToGrid w:val="0"/>
                <w:sz w:val="28"/>
                <w:szCs w:val="28"/>
                <w:highlight w:val="none"/>
              </w:rPr>
              <w:t>2、支付方式：</w:t>
            </w:r>
            <w:r>
              <w:rPr>
                <w:rFonts w:hint="eastAsia" w:ascii="仿宋" w:hAnsi="仿宋" w:eastAsia="仿宋" w:cs="仿宋"/>
                <w:bCs/>
                <w:snapToGrid w:val="0"/>
                <w:sz w:val="28"/>
                <w:szCs w:val="28"/>
                <w:highlight w:val="none"/>
                <w:u w:val="single"/>
              </w:rPr>
              <w:t xml:space="preserve">        转账             </w:t>
            </w:r>
          </w:p>
          <w:p w14:paraId="62FABB60">
            <w:pPr>
              <w:adjustRightInd w:val="0"/>
              <w:snapToGrid w:val="0"/>
              <w:spacing w:line="360" w:lineRule="auto"/>
              <w:rPr>
                <w:rFonts w:ascii="仿宋" w:hAnsi="仿宋" w:eastAsia="仿宋" w:cs="仿宋"/>
                <w:bCs/>
                <w:snapToGrid w:val="0"/>
                <w:sz w:val="28"/>
                <w:szCs w:val="28"/>
                <w:highlight w:val="none"/>
              </w:rPr>
            </w:pPr>
            <w:r>
              <w:rPr>
                <w:rFonts w:hint="eastAsia" w:ascii="仿宋" w:hAnsi="仿宋" w:eastAsia="仿宋" w:cs="仿宋"/>
                <w:bCs/>
                <w:snapToGrid w:val="0"/>
                <w:sz w:val="28"/>
                <w:szCs w:val="28"/>
                <w:highlight w:val="none"/>
              </w:rPr>
              <w:t>3、</w:t>
            </w:r>
            <w:r>
              <w:rPr>
                <w:rFonts w:ascii="仿宋" w:hAnsi="仿宋" w:eastAsia="仿宋" w:cs="仿宋"/>
                <w:bCs/>
                <w:snapToGrid w:val="0"/>
                <w:sz w:val="28"/>
                <w:szCs w:val="28"/>
                <w:highlight w:val="none"/>
              </w:rPr>
              <w:t>户名称：</w:t>
            </w:r>
            <w:r>
              <w:rPr>
                <w:rFonts w:ascii="仿宋" w:hAnsi="仿宋" w:eastAsia="仿宋" w:cs="仿宋"/>
                <w:bCs/>
                <w:snapToGrid w:val="0"/>
                <w:sz w:val="28"/>
                <w:szCs w:val="28"/>
                <w:highlight w:val="none"/>
                <w:u w:val="single"/>
              </w:rPr>
              <w:t>寿县寿州公共资源交易有限公司</w:t>
            </w:r>
          </w:p>
          <w:p w14:paraId="34055E73">
            <w:pPr>
              <w:adjustRightInd w:val="0"/>
              <w:snapToGrid w:val="0"/>
              <w:spacing w:line="360" w:lineRule="auto"/>
              <w:rPr>
                <w:rFonts w:ascii="仿宋" w:hAnsi="仿宋" w:eastAsia="仿宋" w:cs="仿宋"/>
                <w:bCs/>
                <w:snapToGrid w:val="0"/>
                <w:sz w:val="28"/>
                <w:szCs w:val="28"/>
                <w:highlight w:val="none"/>
                <w:u w:val="single"/>
              </w:rPr>
            </w:pPr>
            <w:r>
              <w:rPr>
                <w:rFonts w:hint="eastAsia" w:ascii="仿宋" w:hAnsi="仿宋" w:eastAsia="仿宋" w:cs="仿宋"/>
                <w:bCs/>
                <w:snapToGrid w:val="0"/>
                <w:sz w:val="28"/>
                <w:szCs w:val="28"/>
                <w:highlight w:val="none"/>
              </w:rPr>
              <w:t>4、</w:t>
            </w:r>
            <w:r>
              <w:rPr>
                <w:rFonts w:ascii="仿宋" w:hAnsi="仿宋" w:eastAsia="仿宋" w:cs="仿宋"/>
                <w:bCs/>
                <w:snapToGrid w:val="0"/>
                <w:sz w:val="28"/>
                <w:szCs w:val="28"/>
                <w:highlight w:val="none"/>
              </w:rPr>
              <w:t>开户银行：</w:t>
            </w:r>
            <w:r>
              <w:rPr>
                <w:rFonts w:ascii="仿宋" w:hAnsi="仿宋" w:eastAsia="仿宋" w:cs="仿宋"/>
                <w:bCs/>
                <w:snapToGrid w:val="0"/>
                <w:sz w:val="28"/>
                <w:szCs w:val="28"/>
                <w:highlight w:val="none"/>
                <w:u w:val="single"/>
              </w:rPr>
              <w:t>徽商银行股份有限公司寿县支行</w:t>
            </w:r>
          </w:p>
          <w:p w14:paraId="5CC6F1CD">
            <w:pPr>
              <w:adjustRightInd w:val="0"/>
              <w:snapToGrid w:val="0"/>
              <w:spacing w:line="360" w:lineRule="auto"/>
              <w:rPr>
                <w:rFonts w:ascii="仿宋" w:hAnsi="仿宋" w:eastAsia="仿宋" w:cs="仿宋"/>
                <w:bCs/>
                <w:snapToGrid w:val="0"/>
                <w:sz w:val="28"/>
                <w:szCs w:val="28"/>
                <w:highlight w:val="none"/>
                <w:u w:val="single"/>
              </w:rPr>
            </w:pPr>
            <w:r>
              <w:rPr>
                <w:rFonts w:hint="eastAsia" w:ascii="仿宋" w:hAnsi="仿宋" w:eastAsia="仿宋" w:cs="仿宋"/>
                <w:bCs/>
                <w:snapToGrid w:val="0"/>
                <w:sz w:val="28"/>
                <w:szCs w:val="28"/>
                <w:highlight w:val="none"/>
              </w:rPr>
              <w:t>5、银行帐号：</w:t>
            </w:r>
            <w:r>
              <w:rPr>
                <w:rFonts w:ascii="仿宋" w:hAnsi="仿宋" w:eastAsia="仿宋" w:cs="仿宋"/>
                <w:bCs/>
                <w:snapToGrid w:val="0"/>
                <w:sz w:val="28"/>
                <w:szCs w:val="28"/>
                <w:highlight w:val="none"/>
                <w:u w:val="single"/>
              </w:rPr>
              <w:t>225016969101000002</w:t>
            </w:r>
          </w:p>
          <w:p w14:paraId="78C41A3C">
            <w:pPr>
              <w:wordWrap w:val="0"/>
              <w:rPr>
                <w:rFonts w:ascii="楷体" w:hAnsi="楷体" w:eastAsia="楷体"/>
                <w:highlight w:val="none"/>
              </w:rPr>
            </w:pPr>
            <w:r>
              <w:rPr>
                <w:rFonts w:hint="eastAsia" w:ascii="楷体" w:hAnsi="楷体" w:eastAsia="楷体"/>
                <w:highlight w:val="none"/>
              </w:rPr>
              <w:t>注：</w:t>
            </w:r>
            <w:r>
              <w:rPr>
                <w:highlight w:val="none"/>
              </w:rPr>
              <w:fldChar w:fldCharType="begin"/>
            </w:r>
            <w:r>
              <w:rPr>
                <w:highlight w:val="none"/>
              </w:rPr>
              <w:instrText xml:space="preserve"> HYPERLINK "mailto:需要开具增值税专用发票的务必于2017年4月18日17:00前向1226973487@qq.com邮箱" </w:instrText>
            </w:r>
            <w:r>
              <w:rPr>
                <w:highlight w:val="none"/>
              </w:rPr>
              <w:fldChar w:fldCharType="separate"/>
            </w:r>
            <w:r>
              <w:rPr>
                <w:rFonts w:hint="eastAsia" w:ascii="楷体" w:hAnsi="楷体" w:eastAsia="楷体"/>
                <w:highlight w:val="none"/>
              </w:rPr>
              <w:t>需要开具增值税专用发票的务必于领取中标通知书前向</w:t>
            </w:r>
            <w:r>
              <w:rPr>
                <w:rFonts w:ascii="楷体" w:hAnsi="楷体" w:eastAsia="楷体"/>
                <w:highlight w:val="none"/>
              </w:rPr>
              <w:t>1139367270@qq.com</w:t>
            </w:r>
            <w:r>
              <w:rPr>
                <w:rFonts w:hint="eastAsia" w:ascii="楷体" w:hAnsi="楷体" w:eastAsia="楷体"/>
                <w:highlight w:val="none"/>
              </w:rPr>
              <w:t>邮箱</w:t>
            </w:r>
            <w:r>
              <w:rPr>
                <w:rFonts w:hint="eastAsia" w:ascii="楷体" w:hAnsi="楷体" w:eastAsia="楷体"/>
                <w:highlight w:val="none"/>
              </w:rPr>
              <w:fldChar w:fldCharType="end"/>
            </w:r>
            <w:r>
              <w:rPr>
                <w:rFonts w:hint="eastAsia" w:ascii="楷体" w:hAnsi="楷体" w:eastAsia="楷体"/>
                <w:highlight w:val="none"/>
              </w:rPr>
              <w:t>提供增值税专用发票开票基本信息：公司全称、纳税人识别号、地址、电话、开户行及账号。未能提供增值税专用发票开票基本信息的，一律开具增值税普通发票。中标人开票信息发送至上述邮箱后30日内应自行前往寿县寿州公共资源交易有限公司财务部索取发票原件，预期视为放弃发票索取权，寿县寿州公共资源交易有限公司财务部不再保管已开具的发票，逾期发票遗失责任由中标人自负。</w:t>
            </w:r>
          </w:p>
          <w:p w14:paraId="15D944EC">
            <w:pPr>
              <w:pStyle w:val="2"/>
              <w:ind w:firstLine="0"/>
              <w:rPr>
                <w:rFonts w:eastAsiaTheme="minorEastAsia"/>
                <w:highlight w:val="none"/>
              </w:rPr>
            </w:pPr>
            <w:r>
              <w:rPr>
                <w:rFonts w:hint="eastAsia" w:ascii="楷体" w:hAnsi="楷体" w:eastAsia="楷体"/>
                <w:szCs w:val="21"/>
                <w:highlight w:val="none"/>
              </w:rPr>
              <w:t>联系人：孙会计，联系电话：0554-2751994。</w:t>
            </w:r>
          </w:p>
        </w:tc>
      </w:tr>
      <w:tr w14:paraId="7D46694C">
        <w:tblPrEx>
          <w:tblCellMar>
            <w:top w:w="0" w:type="dxa"/>
            <w:left w:w="0" w:type="dxa"/>
            <w:bottom w:w="0" w:type="dxa"/>
            <w:right w:w="0" w:type="dxa"/>
          </w:tblCellMar>
        </w:tblPrEx>
        <w:trPr>
          <w:trHeight w:val="891" w:hRule="atLeast"/>
          <w:jc w:val="center"/>
        </w:trPr>
        <w:tc>
          <w:tcPr>
            <w:tcW w:w="653" w:type="dxa"/>
            <w:tcBorders>
              <w:top w:val="single" w:color="auto" w:sz="4" w:space="0"/>
              <w:left w:val="single" w:color="000000" w:sz="4" w:space="0"/>
              <w:bottom w:val="single" w:color="auto" w:sz="4" w:space="0"/>
              <w:right w:val="single" w:color="000000" w:sz="4" w:space="0"/>
            </w:tcBorders>
            <w:shd w:val="clear" w:color="auto" w:fill="auto"/>
            <w:vAlign w:val="center"/>
          </w:tcPr>
          <w:p w14:paraId="52D79AE7">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8</w:t>
            </w:r>
          </w:p>
        </w:tc>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7AE8A4B1">
            <w:pPr>
              <w:widowControl w:val="0"/>
              <w:spacing w:line="380" w:lineRule="exact"/>
              <w:jc w:val="center"/>
              <w:textAlignment w:val="auto"/>
              <w:outlineLvl w:val="0"/>
              <w:rPr>
                <w:rFonts w:ascii="仿宋" w:hAnsi="仿宋" w:eastAsia="仿宋" w:cs="仿宋"/>
                <w:kern w:val="0"/>
                <w:sz w:val="28"/>
                <w:szCs w:val="28"/>
                <w:highlight w:val="none"/>
              </w:rPr>
            </w:pPr>
            <w:r>
              <w:rPr>
                <w:rFonts w:hint="eastAsia" w:ascii="仿宋" w:hAnsi="仿宋" w:eastAsia="仿宋" w:cs="仿宋"/>
                <w:kern w:val="0"/>
                <w:sz w:val="28"/>
                <w:szCs w:val="28"/>
                <w:highlight w:val="none"/>
              </w:rPr>
              <w:t>平台使用维护费</w:t>
            </w:r>
          </w:p>
        </w:tc>
        <w:tc>
          <w:tcPr>
            <w:tcW w:w="7229" w:type="dxa"/>
            <w:tcBorders>
              <w:top w:val="single" w:color="auto" w:sz="4" w:space="0"/>
              <w:left w:val="single" w:color="000000" w:sz="4" w:space="0"/>
              <w:bottom w:val="single" w:color="auto" w:sz="4" w:space="0"/>
              <w:right w:val="single" w:color="000000" w:sz="4" w:space="0"/>
            </w:tcBorders>
            <w:shd w:val="clear" w:color="auto" w:fill="auto"/>
            <w:vAlign w:val="center"/>
          </w:tcPr>
          <w:p w14:paraId="6CB0E835">
            <w:pPr>
              <w:adjustRightInd w:val="0"/>
              <w:snapToGrid w:val="0"/>
              <w:spacing w:line="360" w:lineRule="exact"/>
              <w:rPr>
                <w:rFonts w:ascii="仿宋" w:hAnsi="仿宋" w:eastAsia="仿宋" w:cs="仿宋"/>
                <w:snapToGrid w:val="0"/>
                <w:sz w:val="28"/>
                <w:szCs w:val="28"/>
                <w:highlight w:val="none"/>
              </w:rPr>
            </w:pPr>
            <w:r>
              <w:rPr>
                <w:rFonts w:hint="eastAsia" w:ascii="仿宋" w:hAnsi="仿宋" w:eastAsia="仿宋" w:cs="仿宋"/>
                <w:snapToGrid w:val="0"/>
                <w:sz w:val="28"/>
                <w:szCs w:val="28"/>
                <w:highlight w:val="none"/>
              </w:rPr>
              <w:t>300元，中标通知书发出前，成交供应商在平台缴纳费用。</w:t>
            </w:r>
          </w:p>
          <w:p w14:paraId="25763239">
            <w:pPr>
              <w:pStyle w:val="2"/>
              <w:spacing w:line="360" w:lineRule="exact"/>
              <w:ind w:firstLine="0"/>
              <w:rPr>
                <w:rFonts w:eastAsiaTheme="minorEastAsia"/>
                <w:highlight w:val="none"/>
              </w:rPr>
            </w:pPr>
            <w:r>
              <w:rPr>
                <w:rFonts w:hint="eastAsia" w:ascii="仿宋" w:hAnsi="仿宋" w:eastAsia="仿宋" w:cs="仿宋"/>
                <w:snapToGrid w:val="0"/>
                <w:kern w:val="2"/>
                <w:sz w:val="28"/>
                <w:szCs w:val="28"/>
                <w:highlight w:val="none"/>
              </w:rPr>
              <w:t>技术问题咨询电话：</w:t>
            </w:r>
            <w:r>
              <w:rPr>
                <w:rFonts w:ascii="仿宋" w:hAnsi="仿宋" w:eastAsia="仿宋" w:cs="仿宋"/>
                <w:snapToGrid w:val="0"/>
                <w:kern w:val="2"/>
                <w:sz w:val="28"/>
                <w:szCs w:val="28"/>
                <w:highlight w:val="none"/>
              </w:rPr>
              <w:t>4009280095</w:t>
            </w:r>
            <w:r>
              <w:rPr>
                <w:rFonts w:hint="eastAsia" w:ascii="仿宋" w:hAnsi="仿宋" w:eastAsia="仿宋" w:cs="仿宋"/>
                <w:snapToGrid w:val="0"/>
                <w:kern w:val="2"/>
                <w:sz w:val="28"/>
                <w:szCs w:val="28"/>
                <w:highlight w:val="none"/>
              </w:rPr>
              <w:t>-5。</w:t>
            </w:r>
          </w:p>
        </w:tc>
      </w:tr>
      <w:tr w14:paraId="49208F62">
        <w:tblPrEx>
          <w:tblCellMar>
            <w:top w:w="0" w:type="dxa"/>
            <w:left w:w="0" w:type="dxa"/>
            <w:bottom w:w="0" w:type="dxa"/>
            <w:right w:w="0" w:type="dxa"/>
          </w:tblCellMar>
        </w:tblPrEx>
        <w:trPr>
          <w:jc w:val="center"/>
        </w:trPr>
        <w:tc>
          <w:tcPr>
            <w:tcW w:w="653" w:type="dxa"/>
            <w:tcBorders>
              <w:top w:val="single" w:color="auto" w:sz="4" w:space="0"/>
              <w:left w:val="single" w:color="000000" w:sz="4" w:space="0"/>
              <w:bottom w:val="single" w:color="auto" w:sz="4" w:space="0"/>
              <w:right w:val="single" w:color="000000" w:sz="4" w:space="0"/>
            </w:tcBorders>
            <w:shd w:val="clear" w:color="auto" w:fill="auto"/>
            <w:vAlign w:val="center"/>
          </w:tcPr>
          <w:p w14:paraId="3FAF54FD">
            <w:pPr>
              <w:widowControl w:val="0"/>
              <w:spacing w:line="380" w:lineRule="exact"/>
              <w:jc w:val="center"/>
              <w:textAlignment w:val="auto"/>
              <w:outlineLvl w:val="0"/>
              <w:rPr>
                <w:rFonts w:ascii="仿宋" w:hAnsi="仿宋" w:eastAsia="仿宋" w:cs="仿宋"/>
                <w:bCs/>
                <w:sz w:val="28"/>
                <w:szCs w:val="28"/>
                <w:highlight w:val="none"/>
              </w:rPr>
            </w:pPr>
            <w:r>
              <w:rPr>
                <w:rFonts w:hint="eastAsia" w:ascii="仿宋" w:hAnsi="仿宋" w:eastAsia="仿宋" w:cs="仿宋"/>
                <w:bCs/>
                <w:sz w:val="28"/>
                <w:szCs w:val="28"/>
                <w:highlight w:val="none"/>
              </w:rPr>
              <w:t>9</w:t>
            </w:r>
          </w:p>
        </w:tc>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215A0163">
            <w:pPr>
              <w:widowControl w:val="0"/>
              <w:spacing w:line="380" w:lineRule="exact"/>
              <w:ind w:firstLine="280" w:firstLineChars="100"/>
              <w:textAlignment w:val="auto"/>
              <w:outlineLvl w:val="0"/>
              <w:rPr>
                <w:rFonts w:ascii="仿宋" w:hAnsi="仿宋" w:eastAsia="仿宋" w:cs="仿宋"/>
                <w:bCs/>
                <w:sz w:val="28"/>
                <w:szCs w:val="28"/>
                <w:highlight w:val="none"/>
              </w:rPr>
            </w:pPr>
            <w:bookmarkStart w:id="83" w:name="_Toc2629"/>
            <w:bookmarkStart w:id="84" w:name="_Toc144892489"/>
            <w:bookmarkStart w:id="85" w:name="_Toc23002"/>
            <w:r>
              <w:rPr>
                <w:rFonts w:ascii="仿宋" w:hAnsi="仿宋" w:eastAsia="仿宋" w:cs="仿宋"/>
                <w:bCs/>
                <w:sz w:val="28"/>
                <w:szCs w:val="28"/>
                <w:highlight w:val="none"/>
              </w:rPr>
              <w:t>付款方式</w:t>
            </w:r>
            <w:bookmarkEnd w:id="83"/>
            <w:bookmarkEnd w:id="84"/>
            <w:bookmarkEnd w:id="85"/>
          </w:p>
        </w:tc>
        <w:tc>
          <w:tcPr>
            <w:tcW w:w="7229" w:type="dxa"/>
            <w:tcBorders>
              <w:top w:val="single" w:color="auto" w:sz="4" w:space="0"/>
              <w:left w:val="single" w:color="000000" w:sz="4" w:space="0"/>
              <w:bottom w:val="single" w:color="auto" w:sz="4" w:space="0"/>
              <w:right w:val="single" w:color="000000" w:sz="4" w:space="0"/>
            </w:tcBorders>
            <w:shd w:val="clear" w:color="auto" w:fill="auto"/>
          </w:tcPr>
          <w:p w14:paraId="315F43D2">
            <w:pPr>
              <w:widowControl w:val="0"/>
              <w:spacing w:line="380" w:lineRule="exact"/>
              <w:textAlignment w:val="auto"/>
              <w:rPr>
                <w:rFonts w:ascii="仿宋" w:hAnsi="仿宋" w:eastAsia="仿宋" w:cs="仿宋"/>
                <w:bCs/>
                <w:sz w:val="28"/>
                <w:szCs w:val="28"/>
                <w:highlight w:val="none"/>
              </w:rPr>
            </w:pPr>
            <w:r>
              <w:rPr>
                <w:rFonts w:hint="eastAsia" w:ascii="仿宋" w:hAnsi="仿宋" w:eastAsia="仿宋" w:cs="仿宋"/>
                <w:bCs/>
                <w:sz w:val="28"/>
                <w:szCs w:val="28"/>
                <w:highlight w:val="none"/>
              </w:rPr>
              <w:t>本项目为固定单价合同，以成交单价和实际供货数量据实结算。合同签订后按采购人需求供货，6个月后每月对验收合格耗材的实际入库量支付入库耗材货款的 100%。即第6个月支付第1月货款，第7个月支付第2个月货款，依次类推。服务期内续签合同参照执行（各阶段均不计息）。</w:t>
            </w:r>
          </w:p>
        </w:tc>
      </w:tr>
      <w:tr w14:paraId="365C737E">
        <w:tblPrEx>
          <w:tblCellMar>
            <w:top w:w="0" w:type="dxa"/>
            <w:left w:w="0" w:type="dxa"/>
            <w:bottom w:w="0" w:type="dxa"/>
            <w:right w:w="0" w:type="dxa"/>
          </w:tblCellMar>
        </w:tblPrEx>
        <w:trPr>
          <w:jc w:val="center"/>
        </w:trPr>
        <w:tc>
          <w:tcPr>
            <w:tcW w:w="653" w:type="dxa"/>
            <w:tcBorders>
              <w:top w:val="single" w:color="auto" w:sz="4" w:space="0"/>
              <w:left w:val="single" w:color="000000" w:sz="4" w:space="0"/>
              <w:bottom w:val="single" w:color="auto" w:sz="4" w:space="0"/>
              <w:right w:val="single" w:color="000000" w:sz="4" w:space="0"/>
            </w:tcBorders>
            <w:shd w:val="clear" w:color="auto" w:fill="auto"/>
            <w:vAlign w:val="center"/>
          </w:tcPr>
          <w:p w14:paraId="292DF3FA">
            <w:pPr>
              <w:widowControl w:val="0"/>
              <w:spacing w:line="380" w:lineRule="exact"/>
              <w:jc w:val="center"/>
              <w:textAlignment w:val="auto"/>
              <w:outlineLvl w:val="0"/>
              <w:rPr>
                <w:rFonts w:ascii="仿宋" w:hAnsi="仿宋" w:eastAsia="仿宋" w:cs="仿宋"/>
                <w:bCs/>
                <w:sz w:val="28"/>
                <w:szCs w:val="28"/>
                <w:highlight w:val="none"/>
              </w:rPr>
            </w:pPr>
            <w:bookmarkStart w:id="86" w:name="_Toc144881036"/>
            <w:bookmarkStart w:id="87" w:name="_Toc144892493"/>
            <w:r>
              <w:rPr>
                <w:rFonts w:hint="eastAsia" w:ascii="仿宋" w:hAnsi="仿宋" w:eastAsia="仿宋" w:cs="仿宋"/>
                <w:bCs/>
                <w:sz w:val="28"/>
                <w:szCs w:val="28"/>
                <w:highlight w:val="none"/>
              </w:rPr>
              <w:t>10</w:t>
            </w:r>
          </w:p>
        </w:tc>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2A968F53">
            <w:pPr>
              <w:spacing w:line="380" w:lineRule="exact"/>
              <w:jc w:val="center"/>
              <w:outlineLvl w:val="0"/>
              <w:rPr>
                <w:rFonts w:ascii="仿宋" w:hAnsi="仿宋" w:eastAsia="仿宋" w:cs="仿宋"/>
                <w:b/>
                <w:bCs/>
                <w:snapToGrid w:val="0"/>
                <w:sz w:val="28"/>
                <w:szCs w:val="28"/>
                <w:highlight w:val="none"/>
              </w:rPr>
            </w:pPr>
            <w:r>
              <w:rPr>
                <w:rFonts w:hint="eastAsia" w:ascii="仿宋" w:hAnsi="仿宋" w:eastAsia="仿宋" w:cs="仿宋"/>
                <w:b/>
                <w:bCs/>
                <w:snapToGrid w:val="0"/>
                <w:sz w:val="28"/>
                <w:szCs w:val="28"/>
                <w:highlight w:val="none"/>
              </w:rPr>
              <w:t>谈判</w:t>
            </w:r>
            <w:r>
              <w:rPr>
                <w:rFonts w:ascii="仿宋" w:hAnsi="仿宋" w:eastAsia="仿宋" w:cs="仿宋"/>
                <w:b/>
                <w:bCs/>
                <w:snapToGrid w:val="0"/>
                <w:sz w:val="28"/>
                <w:szCs w:val="28"/>
                <w:highlight w:val="none"/>
              </w:rPr>
              <w:t>轮次</w:t>
            </w:r>
          </w:p>
        </w:tc>
        <w:tc>
          <w:tcPr>
            <w:tcW w:w="7229" w:type="dxa"/>
            <w:tcBorders>
              <w:top w:val="single" w:color="auto" w:sz="4" w:space="0"/>
              <w:left w:val="single" w:color="000000" w:sz="4" w:space="0"/>
              <w:bottom w:val="single" w:color="auto" w:sz="4" w:space="0"/>
              <w:right w:val="single" w:color="000000" w:sz="4" w:space="0"/>
            </w:tcBorders>
            <w:shd w:val="clear" w:color="auto" w:fill="auto"/>
            <w:vAlign w:val="center"/>
          </w:tcPr>
          <w:p w14:paraId="08923547">
            <w:pPr>
              <w:topLinePunct/>
              <w:adjustRightInd w:val="0"/>
              <w:snapToGrid w:val="0"/>
              <w:spacing w:line="288" w:lineRule="auto"/>
              <w:rPr>
                <w:rFonts w:ascii="仿宋" w:hAnsi="仿宋" w:eastAsia="仿宋" w:cs="仿宋"/>
                <w:b/>
                <w:bCs/>
                <w:snapToGrid w:val="0"/>
                <w:sz w:val="28"/>
                <w:szCs w:val="28"/>
                <w:highlight w:val="none"/>
              </w:rPr>
            </w:pPr>
            <w:r>
              <w:rPr>
                <w:rFonts w:hint="eastAsia" w:ascii="仿宋" w:hAnsi="仿宋" w:eastAsia="仿宋" w:cs="仿宋"/>
                <w:b/>
                <w:bCs/>
                <w:snapToGrid w:val="0"/>
                <w:sz w:val="28"/>
                <w:szCs w:val="28"/>
                <w:highlight w:val="none"/>
              </w:rPr>
              <w:t>谈判</w:t>
            </w:r>
            <w:r>
              <w:rPr>
                <w:rFonts w:ascii="仿宋" w:hAnsi="仿宋" w:eastAsia="仿宋" w:cs="仿宋"/>
                <w:b/>
                <w:bCs/>
                <w:snapToGrid w:val="0"/>
                <w:sz w:val="28"/>
                <w:szCs w:val="28"/>
                <w:highlight w:val="none"/>
              </w:rPr>
              <w:t>轮次：</w:t>
            </w:r>
          </w:p>
          <w:p w14:paraId="6F486849">
            <w:pPr>
              <w:topLinePunct/>
              <w:adjustRightInd w:val="0"/>
              <w:snapToGrid w:val="0"/>
              <w:spacing w:line="288" w:lineRule="auto"/>
              <w:rPr>
                <w:rFonts w:ascii="仿宋" w:hAnsi="仿宋" w:eastAsia="仿宋" w:cs="仿宋"/>
                <w:b/>
                <w:bCs/>
                <w:snapToGrid w:val="0"/>
                <w:sz w:val="28"/>
                <w:szCs w:val="28"/>
                <w:highlight w:val="none"/>
              </w:rPr>
            </w:pPr>
            <w:r>
              <w:rPr>
                <w:rFonts w:hint="eastAsia" w:ascii="仿宋" w:hAnsi="仿宋" w:eastAsia="仿宋" w:cs="仿宋"/>
                <w:b/>
                <w:bCs/>
                <w:snapToGrid w:val="0"/>
                <w:sz w:val="28"/>
                <w:szCs w:val="28"/>
                <w:highlight w:val="none"/>
              </w:rPr>
              <w:t>本项目共进行 1 轮谈判（谈判响应文件中报价即为第一轮报价，也为最后一轮报价）</w:t>
            </w:r>
          </w:p>
        </w:tc>
      </w:tr>
    </w:tbl>
    <w:p w14:paraId="7C0EAB1E">
      <w:pPr>
        <w:pStyle w:val="62"/>
        <w:jc w:val="center"/>
        <w:rPr>
          <w:rStyle w:val="46"/>
          <w:rFonts w:ascii="方正小标宋简体" w:eastAsia="方正小标宋简体"/>
          <w:b/>
          <w:bCs/>
          <w:highlight w:val="none"/>
        </w:rPr>
        <w:sectPr>
          <w:footerReference r:id="rId4" w:type="default"/>
          <w:pgSz w:w="11906" w:h="16838"/>
          <w:pgMar w:top="1247" w:right="1134" w:bottom="1134" w:left="1134" w:header="851" w:footer="567" w:gutter="0"/>
          <w:pgNumType w:fmt="numberInDash" w:start="1"/>
          <w:cols w:space="425" w:num="1"/>
          <w:docGrid w:type="lines" w:linePitch="312" w:charSpace="0"/>
        </w:sectPr>
      </w:pPr>
    </w:p>
    <w:p w14:paraId="05255286">
      <w:pPr>
        <w:pStyle w:val="62"/>
        <w:jc w:val="center"/>
        <w:rPr>
          <w:rStyle w:val="46"/>
          <w:rFonts w:ascii="方正小标宋简体" w:eastAsia="方正小标宋简体"/>
          <w:b w:val="0"/>
          <w:bCs w:val="0"/>
          <w:highlight w:val="none"/>
        </w:rPr>
      </w:pPr>
      <w:r>
        <w:rPr>
          <w:rStyle w:val="46"/>
          <w:rFonts w:hint="eastAsia" w:ascii="方正小标宋简体" w:eastAsia="方正小标宋简体"/>
          <w:b w:val="0"/>
          <w:bCs w:val="0"/>
          <w:highlight w:val="none"/>
        </w:rPr>
        <w:t>第三章 服务需求</w:t>
      </w:r>
      <w:bookmarkEnd w:id="86"/>
      <w:bookmarkEnd w:id="87"/>
      <w:bookmarkStart w:id="88" w:name="_Toc24710"/>
      <w:bookmarkEnd w:id="88"/>
      <w:bookmarkStart w:id="89" w:name="_Toc6810"/>
      <w:bookmarkStart w:id="90" w:name="_Toc144892501"/>
    </w:p>
    <w:p w14:paraId="0875A11B">
      <w:pPr>
        <w:rPr>
          <w:rFonts w:ascii="宋体" w:hAnsi="宋体" w:cs="宋体"/>
          <w:b/>
          <w:kern w:val="0"/>
          <w:sz w:val="28"/>
          <w:szCs w:val="28"/>
          <w:highlight w:val="none"/>
        </w:rPr>
      </w:pPr>
      <w:r>
        <w:rPr>
          <w:rFonts w:hint="eastAsia" w:ascii="宋体" w:hAnsi="宋体" w:cs="宋体"/>
          <w:b/>
          <w:kern w:val="0"/>
          <w:sz w:val="28"/>
          <w:szCs w:val="28"/>
          <w:highlight w:val="none"/>
        </w:rPr>
        <w:t>（一）总体服务要求</w:t>
      </w:r>
    </w:p>
    <w:p w14:paraId="49260E21">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1.本项目所配送耗材（见附件1）具体单次数量以每次订单为准，供应商应严格按照订单量送货。</w:t>
      </w:r>
    </w:p>
    <w:p w14:paraId="01E34685">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2.合同签订后，按照采购人需求分批次供货，每批次耗材7个工作日内交付至采购人指定地点并通过验收。特殊加急件按采购人要求及时配送到位，节假日照常配送。</w:t>
      </w:r>
    </w:p>
    <w:p w14:paraId="3FB1603E">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（1）采购人向供应商提供石膏模型或硅胶印模，由供应商指定的快递公司负责运至送达供应商公司。</w:t>
      </w:r>
    </w:p>
    <w:p w14:paraId="18A05F22">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（2）加工后的成品由供应商指定的快递公司负责运至送达采购人口腔科。</w:t>
      </w:r>
    </w:p>
    <w:p w14:paraId="65C0242D">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（3）模型及回件运输所产生的一切费用均由供应商承担。</w:t>
      </w:r>
    </w:p>
    <w:p w14:paraId="47CF9502">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（4）采购人与供应商双方须同时做好运至送达的登记和签收工作。</w:t>
      </w:r>
    </w:p>
    <w:p w14:paraId="7F38BFB2">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（5）若模型存在问题，需在12小时内联系口腔科协调解决。</w:t>
      </w:r>
    </w:p>
    <w:p w14:paraId="72A9C116">
      <w:pPr>
        <w:widowControl w:val="0"/>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3.供应商配送时需提供详细的送货清单，清单内容应与采购订单、耗材包装信息一致，包括耗材名称、规格型号、生产批号、有效期、数量、单价、总价等。送货人员需遵守采购人院内管理规定，配合采购人进行耗材验收。</w:t>
      </w:r>
    </w:p>
    <w:p w14:paraId="0C333017">
      <w:pPr>
        <w:rPr>
          <w:rFonts w:ascii="宋体" w:hAnsi="宋体" w:cs="宋体"/>
          <w:bCs/>
          <w:kern w:val="0"/>
          <w:sz w:val="28"/>
          <w:szCs w:val="28"/>
          <w:highlight w:val="none"/>
        </w:rPr>
      </w:pPr>
      <w:r>
        <w:rPr>
          <w:rFonts w:hint="eastAsia" w:ascii="宋体" w:hAnsi="宋体" w:cs="宋体"/>
          <w:b/>
          <w:kern w:val="0"/>
          <w:sz w:val="28"/>
          <w:szCs w:val="28"/>
          <w:highlight w:val="none"/>
        </w:rPr>
        <w:t xml:space="preserve">（二）耗材基本要求    </w:t>
      </w:r>
    </w:p>
    <w:p w14:paraId="03635612">
      <w:pPr>
        <w:ind w:firstLine="560" w:firstLineChars="200"/>
        <w:rPr>
          <w:rFonts w:hint="eastAsia" w:ascii="宋体" w:hAnsi="宋体" w:cs="宋体"/>
          <w:bCs/>
          <w:strike/>
          <w:kern w:val="0"/>
          <w:sz w:val="28"/>
          <w:szCs w:val="28"/>
          <w:highlight w:val="none"/>
        </w:rPr>
      </w:pPr>
      <w:r>
        <w:rPr>
          <w:rFonts w:hint="eastAsia" w:ascii="宋体" w:hAnsi="宋体" w:cs="宋体"/>
          <w:bCs/>
          <w:color w:val="auto"/>
          <w:kern w:val="0"/>
          <w:sz w:val="28"/>
          <w:szCs w:val="28"/>
          <w:highlight w:val="none"/>
        </w:rPr>
        <w:t>1.为保证配送耗材的可追溯性，本项目优先选择安徽省医药集中采购平台（下称省集采平台）挂网耗材。</w:t>
      </w:r>
      <w:r>
        <w:rPr>
          <w:rFonts w:hint="eastAsia" w:ascii="宋体" w:hAnsi="宋体" w:cs="宋体"/>
          <w:bCs/>
          <w:kern w:val="0"/>
          <w:sz w:val="28"/>
          <w:szCs w:val="28"/>
          <w:highlight w:val="none"/>
        </w:rPr>
        <w:t>投标耗材若属省集采平台挂网耗材，供应商须执行《安徽省公立医疗机构医用耗材采购推行“两票制”实施意见（试行）》的相关规定及当地相关政策。同类耗材原则上选择集中交易目录耗材，同类无替代的可选择备案交易目录耗材。</w:t>
      </w:r>
    </w:p>
    <w:p w14:paraId="279310EC">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2.供应商须在合同签订后15日内完成省集采平台的网采配送关系确认，保证采购人能够通过省集采平台下单采购。签订合同时，供应商须提交有效的省集采平台挂网截图、配送关系证明等相关资料。若供应商不能取得生产企业网采平台授权，无法执行网上采购，采购人有权取消其成交资格，重新组织采购。本项目备案交易目录选用的耗材不得超过合同价的10%。</w:t>
      </w:r>
    </w:p>
    <w:p w14:paraId="73F2E844">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3.投标人所投耗材若为安徽省医保可单独收费耗材，响应文件中提供真实有效的27位医保耗材编码（如处于待审核状态提供维护界面截图）。</w:t>
      </w:r>
    </w:p>
    <w:p w14:paraId="59858326">
      <w:pPr>
        <w:rPr>
          <w:rFonts w:ascii="宋体" w:hAnsi="宋体" w:cs="宋体"/>
          <w:bCs/>
          <w:kern w:val="0"/>
          <w:sz w:val="28"/>
          <w:szCs w:val="28"/>
          <w:highlight w:val="none"/>
        </w:rPr>
      </w:pPr>
      <w:r>
        <w:rPr>
          <w:rFonts w:hint="eastAsia" w:ascii="宋体" w:hAnsi="宋体" w:cs="宋体"/>
          <w:b/>
          <w:kern w:val="0"/>
          <w:sz w:val="28"/>
          <w:szCs w:val="28"/>
          <w:highlight w:val="none"/>
        </w:rPr>
        <w:t>（三）耗材质量与工艺要求</w:t>
      </w:r>
    </w:p>
    <w:p w14:paraId="4D89745A">
      <w:pPr>
        <w:rPr>
          <w:rFonts w:ascii="宋体" w:hAnsi="宋体" w:cs="宋体"/>
          <w:b/>
          <w:kern w:val="0"/>
          <w:sz w:val="28"/>
          <w:szCs w:val="28"/>
          <w:highlight w:val="none"/>
        </w:rPr>
      </w:pPr>
      <w:r>
        <w:rPr>
          <w:rFonts w:hint="eastAsia" w:ascii="宋体" w:hAnsi="宋体" w:cs="宋体"/>
          <w:b/>
          <w:kern w:val="0"/>
          <w:sz w:val="28"/>
          <w:szCs w:val="28"/>
          <w:highlight w:val="none"/>
        </w:rPr>
        <w:t>1.耗材质量要求</w:t>
      </w:r>
    </w:p>
    <w:p w14:paraId="1C8C9871">
      <w:pPr>
        <w:ind w:firstLine="560" w:firstLineChars="200"/>
        <w:rPr>
          <w:rFonts w:ascii="宋体" w:hAnsi="宋体" w:cs="宋体"/>
          <w:bCs/>
          <w:color w:val="0000FF"/>
          <w:kern w:val="0"/>
          <w:sz w:val="28"/>
          <w:szCs w:val="28"/>
          <w:highlight w:val="none"/>
        </w:rPr>
      </w:pPr>
      <w:r>
        <w:rPr>
          <w:rFonts w:hint="eastAsia" w:ascii="宋体" w:hAnsi="宋体" w:cs="宋体"/>
          <w:bCs/>
          <w:kern w:val="0"/>
          <w:sz w:val="28"/>
          <w:szCs w:val="28"/>
          <w:highlight w:val="none"/>
        </w:rPr>
        <w:t>（1）供应商配送耗材应为全新、未使用过的，性能稳定、可靠的原装正品, 确保临床使用安全有效。每件耗材必须配质保卡1张。有效期不得少于整个耗材效期的 2/3，效期低于1/3接近失效的耗材，供应商应满足采购人要求更换耗材。</w:t>
      </w:r>
    </w:p>
    <w:p w14:paraId="40137230">
      <w:pPr>
        <w:ind w:firstLine="560" w:firstLineChars="200"/>
        <w:jc w:val="left"/>
        <w:rPr>
          <w:rFonts w:ascii="宋体" w:hAnsi="宋体" w:cs="宋体"/>
          <w:bCs/>
          <w:kern w:val="0"/>
          <w:sz w:val="28"/>
          <w:szCs w:val="28"/>
          <w:highlight w:val="none"/>
        </w:rPr>
      </w:pPr>
      <w:r>
        <w:rPr>
          <w:rFonts w:hint="eastAsia" w:ascii="宋体" w:hAnsi="宋体" w:cs="宋体"/>
          <w:bCs/>
          <w:kern w:val="0"/>
          <w:sz w:val="28"/>
          <w:szCs w:val="28"/>
          <w:highlight w:val="none"/>
        </w:rPr>
        <w:t>（2）在耗材使用过程中，如出现耗材质量原因（包括但不限于耗材性能不达标、包装破损导致无法使用等），供应商应及时邀请厂家技术人员解决问题，费用由供应商负责。因耗材质量问题引起的医疗事故、医疗纠纷等一切后果，将由供应商承担所有的责任及相关费用。不良事件达到三次及以上的（以科室上报不良事件为准），采购人有权取消本项目配送资格，终止本项目合同。同时，供应商应建立质量追溯体系，配合采购人及相关监管部门的质量调查，同时承担市场监督管理局等上级部门耗材抽检的成本及可能发生的一切费用。</w:t>
      </w:r>
    </w:p>
    <w:p w14:paraId="42AC7D37">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3）供应商提供和交付的耗材应符合中华人民共和国国家安全质量标准、环保标准、行业标准及医疗器械注册（备案）要求。所有耗材及服务不得侵犯第三方专利、商标或版权等。如果第三方提出侵权指控，由供应商承担所有相关责任的同时不得耽误本项目供货。</w:t>
      </w:r>
    </w:p>
    <w:p w14:paraId="1392BDF3">
      <w:pPr>
        <w:rPr>
          <w:rFonts w:ascii="宋体" w:hAnsi="宋体" w:cs="宋体"/>
          <w:b/>
          <w:kern w:val="0"/>
          <w:sz w:val="28"/>
          <w:szCs w:val="28"/>
          <w:highlight w:val="none"/>
        </w:rPr>
      </w:pPr>
      <w:r>
        <w:rPr>
          <w:rFonts w:hint="eastAsia" w:ascii="宋体" w:hAnsi="宋体" w:cs="宋体"/>
          <w:b/>
          <w:kern w:val="0"/>
          <w:sz w:val="28"/>
          <w:szCs w:val="28"/>
          <w:highlight w:val="none"/>
        </w:rPr>
        <w:t>2.耗材工艺要求</w:t>
      </w:r>
    </w:p>
    <w:p w14:paraId="2CA31119">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（1）义齿制作应按采购人提供的工作模型及设计文件制造。耗材符合采购人医生设计要求，与模型吻合。</w:t>
      </w:r>
    </w:p>
    <w:p w14:paraId="2ADB3CAC">
      <w:pPr>
        <w:widowControl w:val="0"/>
        <w:ind w:firstLine="560" w:firstLineChars="200"/>
        <w:textAlignment w:val="auto"/>
        <w:rPr>
          <w:rFonts w:ascii="宋体" w:hAnsi="宋体" w:cs="宋体"/>
          <w:b w:val="0"/>
          <w:bCs/>
          <w:color w:val="auto"/>
          <w:kern w:val="0"/>
          <w:sz w:val="28"/>
          <w:szCs w:val="28"/>
          <w:highlight w:val="none"/>
        </w:rPr>
      </w:pPr>
      <w:r>
        <w:rPr>
          <w:rFonts w:hint="eastAsia" w:ascii="宋体" w:hAnsi="宋体" w:cs="宋体"/>
          <w:bCs/>
          <w:kern w:val="0"/>
          <w:sz w:val="28"/>
          <w:szCs w:val="28"/>
          <w:highlight w:val="none"/>
        </w:rPr>
        <w:t>（2）原材料符合国家要求</w:t>
      </w:r>
      <w:r>
        <w:rPr>
          <w:rFonts w:hint="eastAsia" w:ascii="宋体" w:hAnsi="宋体" w:cs="宋体"/>
          <w:b w:val="0"/>
          <w:bCs/>
          <w:color w:val="auto"/>
          <w:kern w:val="0"/>
          <w:sz w:val="28"/>
          <w:szCs w:val="28"/>
          <w:highlight w:val="none"/>
        </w:rPr>
        <w:t>（响应文件中提供主体材料一览表和注册证</w:t>
      </w:r>
      <w:r>
        <w:rPr>
          <w:rFonts w:hint="eastAsia" w:ascii="宋体" w:hAnsi="宋体" w:cs="宋体"/>
          <w:b w:val="0"/>
          <w:bCs/>
          <w:color w:val="auto"/>
          <w:kern w:val="0"/>
          <w:sz w:val="28"/>
          <w:szCs w:val="28"/>
          <w:highlight w:val="none"/>
          <w:lang w:eastAsia="zh-CN"/>
        </w:rPr>
        <w:t>原件扫描件</w:t>
      </w:r>
      <w:r>
        <w:rPr>
          <w:rFonts w:hint="eastAsia" w:ascii="宋体" w:hAnsi="宋体" w:cs="宋体"/>
          <w:b w:val="0"/>
          <w:bCs/>
          <w:color w:val="auto"/>
          <w:kern w:val="0"/>
          <w:sz w:val="28"/>
          <w:szCs w:val="28"/>
          <w:highlight w:val="none"/>
        </w:rPr>
        <w:t>）。</w:t>
      </w:r>
    </w:p>
    <w:p w14:paraId="50BD1668">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（3）义齿与相邻牙有接触，且接触部位与同名天然牙接触部位相同。</w:t>
      </w:r>
    </w:p>
    <w:p w14:paraId="42F29E48">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（4）义齿形态仿生，大小应与同名牙相匹配且符合牙齿的正常解剖形态。</w:t>
      </w:r>
    </w:p>
    <w:p w14:paraId="40FF31AD">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（5）义齿中牙冠的颜色和比色板颜色或比色照片相符，色泽自然、光洁度良好。</w:t>
      </w:r>
    </w:p>
    <w:p w14:paraId="7C2F6727">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（6）义齿的咬合面解剖形态与对颌牙相适应，牙尖交错合时上下颌牙之间咬合接触点均匀分布，且有13μm的间隙，前伸或侧向无早接触点，覆合覆盖关系良好。</w:t>
      </w:r>
    </w:p>
    <w:p w14:paraId="165B8068">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（7）义齿暴露于口腔的金属部分应高度抛光，其表面粗糙度应达到Ra≤0.025μm；固位体、连接体的表面应光滑、有光泽、无裂纹、无孔隙。</w:t>
      </w:r>
    </w:p>
    <w:p w14:paraId="2561CDA6">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（8）瓷体部分应无裂纹、无气泡、无夹杂。</w:t>
      </w:r>
    </w:p>
    <w:p w14:paraId="42C729F9">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（9）义齿就位顺利，边缘与工作模型（基台）之间密合，肉眼观察应无明显的缝隙，且用牙科探针划过时，应无障碍感。</w:t>
      </w:r>
    </w:p>
    <w:p w14:paraId="7D1253A7">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（10）基台高度应≥4mm。</w:t>
      </w:r>
    </w:p>
    <w:p w14:paraId="67BE6D83">
      <w:pPr>
        <w:rPr>
          <w:rFonts w:ascii="宋体" w:hAnsi="宋体" w:cs="宋体"/>
          <w:b/>
          <w:kern w:val="0"/>
          <w:sz w:val="28"/>
          <w:szCs w:val="28"/>
          <w:highlight w:val="none"/>
        </w:rPr>
      </w:pPr>
      <w:r>
        <w:rPr>
          <w:rFonts w:hint="eastAsia" w:ascii="宋体" w:hAnsi="宋体" w:cs="宋体"/>
          <w:b/>
          <w:kern w:val="0"/>
          <w:sz w:val="28"/>
          <w:szCs w:val="28"/>
          <w:highlight w:val="none"/>
        </w:rPr>
        <w:t>3.耗材包装与追溯要求</w:t>
      </w:r>
    </w:p>
    <w:p w14:paraId="562FF6E8">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每件义齿独立包装，外标签需包含但不限于医院名称、患者姓名、生产企业名称、义齿耗材名称、型号规格（与医疗器械注册证匹配）、生产日期及消毒标签。随附质保卡。</w:t>
      </w:r>
    </w:p>
    <w:p w14:paraId="3348DD64">
      <w:pPr>
        <w:rPr>
          <w:rFonts w:ascii="宋体" w:hAnsi="宋体" w:cs="宋体"/>
          <w:b/>
          <w:kern w:val="0"/>
          <w:sz w:val="28"/>
          <w:szCs w:val="28"/>
          <w:highlight w:val="none"/>
        </w:rPr>
      </w:pPr>
      <w:r>
        <w:rPr>
          <w:rFonts w:hint="eastAsia" w:ascii="宋体" w:hAnsi="宋体" w:cs="宋体"/>
          <w:b/>
          <w:kern w:val="0"/>
          <w:sz w:val="28"/>
          <w:szCs w:val="28"/>
          <w:highlight w:val="none"/>
        </w:rPr>
        <w:t>2.4耗材质保及售后要求</w:t>
      </w:r>
    </w:p>
    <w:p w14:paraId="2A437B0A">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1）供应商对提供的耗材，质保期内，除人为因素损坏外，全部免费制作。在规定的质保期（有效期）内须对所有提供耗材质量负责。若出现耗材质量问题及时予以退、换处理。配送耗材应附有详细的耗材安全使用说明书、质保卡等材料，供应商能够组织对使用人员进行耗材安全使用指导培训。</w:t>
      </w:r>
    </w:p>
    <w:p w14:paraId="3BA0B09F">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（2）如采购人发现耗材损坏、因质量问题不能正常使用，供应商应提供免费退换服务，在耗材包装完好、未拆封、不影响二次销售且在有效期内的前提下，供应商应提供自送货之日起 30 天内的退换货服务，费用包含在报价中。</w:t>
      </w:r>
    </w:p>
    <w:p w14:paraId="58EB006F">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（3）供应商应设立专门的售后服务团队，建立 365 天（含节假日）无间断的服务响应机制，设置专线联系方式并安排值班人员提供 7</w:t>
      </w:r>
      <w:r>
        <w:rPr>
          <w:rFonts w:ascii="Arial" w:hAnsi="Arial" w:cs="Arial"/>
          <w:bCs/>
          <w:kern w:val="0"/>
          <w:sz w:val="28"/>
          <w:szCs w:val="28"/>
          <w:highlight w:val="none"/>
        </w:rPr>
        <w:t>×</w:t>
      </w:r>
      <w:r>
        <w:rPr>
          <w:rFonts w:hint="eastAsia" w:ascii="宋体" w:hAnsi="宋体" w:cs="宋体"/>
          <w:bCs/>
          <w:kern w:val="0"/>
          <w:sz w:val="28"/>
          <w:szCs w:val="28"/>
          <w:highlight w:val="none"/>
        </w:rPr>
        <w:t>24 小时的技术支持和咨询服务，对采购人在耗材使用过程中遇到的问题（如操作疑问、耗材性能异常等），须在 2小时响应，12小时内给予初步答复，如需现场处理，应在 24 小时内安排专业技术人员到达现场。</w:t>
      </w:r>
    </w:p>
    <w:p w14:paraId="1EF7C636">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4）质保期：固定义齿≥3年（包括各类金属冠桥、金属烤瓷冠桥、全瓷冠桥、金沉积冠、瓷贴面、各种金属材质桩核等），活动义齿≥2年（包括胶托及人工牙部分、各种金属材质支架及人工牙部分、全口义齿等），种植义齿≥3年，正畸类≥1年。</w:t>
      </w:r>
    </w:p>
    <w:p w14:paraId="11A7ABDF">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（5）返工与赔偿：返工率≤4.5%，义齿现场戴牙返修率应≤5%。质保期内无论人为或非人为因素，供应商需免费返修且加急处理（医生设计方案变更除外）。</w:t>
      </w:r>
    </w:p>
    <w:p w14:paraId="41EAAC67">
      <w:pPr>
        <w:rPr>
          <w:rFonts w:ascii="宋体" w:hAnsi="宋体" w:cs="宋体"/>
          <w:b/>
          <w:kern w:val="0"/>
          <w:sz w:val="28"/>
          <w:szCs w:val="28"/>
          <w:highlight w:val="none"/>
        </w:rPr>
      </w:pPr>
      <w:r>
        <w:rPr>
          <w:rFonts w:hint="eastAsia" w:ascii="宋体" w:hAnsi="宋体" w:cs="宋体"/>
          <w:b/>
          <w:kern w:val="0"/>
          <w:sz w:val="28"/>
          <w:szCs w:val="28"/>
          <w:highlight w:val="none"/>
        </w:rPr>
        <w:t>2.5服务团队要求</w:t>
      </w:r>
    </w:p>
    <w:p w14:paraId="67FD4C78">
      <w:pPr>
        <w:ind w:firstLine="560" w:firstLineChars="200"/>
        <w:rPr>
          <w:rFonts w:ascii="宋体" w:hAnsi="宋体" w:cs="宋体"/>
          <w:bCs/>
          <w:color w:val="auto"/>
          <w:kern w:val="0"/>
          <w:sz w:val="28"/>
          <w:szCs w:val="28"/>
          <w:highlight w:val="none"/>
        </w:rPr>
      </w:pPr>
      <w:r>
        <w:rPr>
          <w:rFonts w:hint="eastAsia" w:ascii="宋体" w:hAnsi="宋体" w:cs="宋体"/>
          <w:bCs/>
          <w:kern w:val="0"/>
          <w:sz w:val="28"/>
          <w:szCs w:val="28"/>
          <w:highlight w:val="none"/>
        </w:rPr>
        <w:t>投标人拟投入本项目人员（包括专业售后服务团队和项目实施团队）不低于6人，具有口腔修复工初级及以上职业技能等级证书，且中高级职业技能等级证书人员应不低于3人。</w:t>
      </w:r>
      <w:r>
        <w:rPr>
          <w:rFonts w:hint="eastAsia" w:ascii="宋体" w:hAnsi="宋体" w:cs="宋体"/>
          <w:b/>
          <w:bCs/>
          <w:color w:val="auto"/>
          <w:kern w:val="0"/>
          <w:sz w:val="28"/>
          <w:szCs w:val="28"/>
          <w:highlight w:val="none"/>
        </w:rPr>
        <w:t>（响应文件中须提供相关人员证书原件扫描件或官方查询核验材料等其它证明文件。）</w:t>
      </w:r>
    </w:p>
    <w:p w14:paraId="62FC5813">
      <w:pPr>
        <w:rPr>
          <w:rFonts w:ascii="宋体" w:hAnsi="宋体" w:cs="宋体"/>
          <w:b/>
          <w:kern w:val="0"/>
          <w:sz w:val="28"/>
          <w:szCs w:val="28"/>
          <w:highlight w:val="none"/>
        </w:rPr>
      </w:pPr>
      <w:r>
        <w:rPr>
          <w:rFonts w:hint="eastAsia" w:ascii="宋体" w:hAnsi="宋体" w:cs="宋体"/>
          <w:b/>
          <w:kern w:val="0"/>
          <w:sz w:val="28"/>
          <w:szCs w:val="28"/>
          <w:highlight w:val="none"/>
        </w:rPr>
        <w:t>2.6服务质量考核细则</w:t>
      </w:r>
    </w:p>
    <w:p w14:paraId="6A8689BC">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合同期内，因供应商制作原因导致的返工率不得超过4.5%（计算公式：返工件数/总交付件数）。该指标将作为履约考核的重要依据。对于特殊复杂病例，预计试戴周期较长时，供应商须提前书面告知采购人，双方协商确定合理的处理周期。</w:t>
      </w:r>
    </w:p>
    <w:p w14:paraId="5970A152">
      <w:pPr>
        <w:rPr>
          <w:rFonts w:ascii="宋体" w:hAnsi="宋体" w:cs="宋体"/>
          <w:b/>
          <w:kern w:val="0"/>
          <w:sz w:val="28"/>
          <w:szCs w:val="28"/>
          <w:highlight w:val="none"/>
        </w:rPr>
      </w:pPr>
      <w:r>
        <w:rPr>
          <w:rFonts w:hint="eastAsia" w:ascii="宋体" w:hAnsi="宋体" w:cs="宋体"/>
          <w:b/>
          <w:kern w:val="0"/>
          <w:sz w:val="28"/>
          <w:szCs w:val="28"/>
          <w:highlight w:val="none"/>
        </w:rPr>
        <w:t>2.7技术要求</w:t>
      </w:r>
    </w:p>
    <w:p w14:paraId="42A09A86">
      <w:pPr>
        <w:rPr>
          <w:rFonts w:ascii="宋体" w:hAnsi="宋体" w:cs="宋体"/>
          <w:b/>
          <w:kern w:val="0"/>
          <w:sz w:val="28"/>
          <w:szCs w:val="28"/>
          <w:highlight w:val="none"/>
        </w:rPr>
      </w:pPr>
      <w:r>
        <w:rPr>
          <w:rFonts w:hint="eastAsia" w:ascii="宋体" w:hAnsi="宋体" w:cs="宋体"/>
          <w:b/>
          <w:kern w:val="0"/>
          <w:sz w:val="28"/>
          <w:szCs w:val="28"/>
          <w:highlight w:val="none"/>
        </w:rPr>
        <w:t>1.总体技术要求</w:t>
      </w:r>
    </w:p>
    <w:p w14:paraId="0901E5FA">
      <w:pPr>
        <w:ind w:firstLine="560" w:firstLineChars="200"/>
        <w:rPr>
          <w:rFonts w:ascii="宋体" w:hAnsi="宋体" w:cs="宋体"/>
          <w:b w:val="0"/>
          <w:bCs/>
          <w:color w:val="auto"/>
          <w:kern w:val="0"/>
          <w:sz w:val="28"/>
          <w:szCs w:val="28"/>
          <w:highlight w:val="none"/>
        </w:rPr>
      </w:pPr>
      <w:r>
        <w:rPr>
          <w:rFonts w:hint="eastAsia" w:ascii="宋体" w:hAnsi="宋体" w:cs="宋体"/>
          <w:bCs/>
          <w:kern w:val="0"/>
          <w:sz w:val="28"/>
          <w:szCs w:val="28"/>
          <w:highlight w:val="none"/>
        </w:rPr>
        <w:t>耗材性能指标符合国家相关法规质量要求。所有加工完毕的义齿，具有专业质量的检验报告。加工完毕的耗材须由临床医生验收，并经患者装戴后确认</w:t>
      </w:r>
      <w:r>
        <w:rPr>
          <w:rFonts w:hint="eastAsia" w:ascii="宋体" w:hAnsi="宋体" w:cs="宋体"/>
          <w:b w:val="0"/>
          <w:bCs/>
          <w:color w:val="auto"/>
          <w:kern w:val="0"/>
          <w:sz w:val="28"/>
          <w:szCs w:val="28"/>
          <w:highlight w:val="none"/>
        </w:rPr>
        <w:t>耗材功能，装戴不符合要求的应予无条件返工或重新制作。</w:t>
      </w:r>
    </w:p>
    <w:p w14:paraId="6EDB11D7">
      <w:pPr>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2.生产设备能力</w:t>
      </w:r>
    </w:p>
    <w:p w14:paraId="46EFE72B">
      <w:pPr>
        <w:ind w:firstLine="560" w:firstLineChars="200"/>
        <w:rPr>
          <w:rFonts w:ascii="宋体" w:hAnsi="宋体" w:cs="宋体"/>
          <w:b w:val="0"/>
          <w:bCs/>
          <w:strike/>
          <w:color w:val="auto"/>
          <w:kern w:val="0"/>
          <w:sz w:val="28"/>
          <w:szCs w:val="28"/>
          <w:highlight w:val="none"/>
        </w:rPr>
      </w:pPr>
      <w:r>
        <w:rPr>
          <w:rFonts w:hint="eastAsia" w:ascii="宋体" w:hAnsi="宋体" w:cs="宋体"/>
          <w:b w:val="0"/>
          <w:bCs/>
          <w:color w:val="auto"/>
          <w:kern w:val="0"/>
          <w:sz w:val="28"/>
          <w:szCs w:val="28"/>
          <w:highlight w:val="none"/>
        </w:rPr>
        <w:t>供应商应配备以下专业口腔义齿加工设备。</w:t>
      </w:r>
    </w:p>
    <w:p w14:paraId="75F179C5">
      <w:pPr>
        <w:ind w:firstLine="560" w:firstLineChars="200"/>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基础加工设备：（1）自动车床、3D打印机（树脂/金属），扫描精度≥±0.03mm）、全瓷切削机、金属切削机，满足义齿基础加工精度要求；</w:t>
      </w:r>
    </w:p>
    <w:p w14:paraId="30CF7AD2">
      <w:pPr>
        <w:ind w:firstLine="560" w:firstLineChars="200"/>
        <w:rPr>
          <w:rFonts w:ascii="宋体" w:hAnsi="宋体" w:cs="宋体"/>
          <w:b w:val="0"/>
          <w:bCs/>
          <w:strike/>
          <w:color w:val="auto"/>
          <w:kern w:val="0"/>
          <w:sz w:val="28"/>
          <w:szCs w:val="28"/>
          <w:highlight w:val="none"/>
        </w:rPr>
      </w:pPr>
      <w:r>
        <w:rPr>
          <w:rFonts w:hint="eastAsia" w:ascii="宋体" w:hAnsi="宋体" w:cs="宋体"/>
          <w:b w:val="0"/>
          <w:bCs/>
          <w:color w:val="auto"/>
          <w:kern w:val="0"/>
          <w:sz w:val="28"/>
          <w:szCs w:val="28"/>
          <w:highlight w:val="none"/>
        </w:rPr>
        <w:t>高端加工设备：五轴联动切削机，支持复杂种植义齿、全瓷冠的精密加工，加工精度≥±0.01mm。</w:t>
      </w:r>
    </w:p>
    <w:p w14:paraId="52D03562">
      <w:pPr>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 xml:space="preserve">3.信息化与数字化能力   </w:t>
      </w:r>
    </w:p>
    <w:p w14:paraId="0FAC8E56">
      <w:pPr>
        <w:widowControl w:val="0"/>
        <w:ind w:firstLine="560" w:firstLineChars="200"/>
        <w:textAlignment w:val="auto"/>
        <w:rPr>
          <w:b w:val="0"/>
          <w:bCs/>
          <w:strike/>
          <w:color w:val="auto"/>
          <w:sz w:val="28"/>
          <w:szCs w:val="28"/>
          <w:highlight w:val="none"/>
        </w:rPr>
      </w:pPr>
      <w:r>
        <w:rPr>
          <w:rFonts w:hint="eastAsia" w:ascii="宋体" w:hAnsi="宋体" w:cs="宋体"/>
          <w:b w:val="0"/>
          <w:bCs/>
          <w:color w:val="auto"/>
          <w:kern w:val="0"/>
          <w:sz w:val="28"/>
          <w:szCs w:val="28"/>
          <w:highlight w:val="none"/>
        </w:rPr>
        <w:t>数字化设备：（1）口外扫描设备，支持半口/全口无牙颌患者数字化取模，扫描精度≥±0.02mm，扫描范围覆盖全口颌骨及软组织。（2）数字化面弓系统，支持口外记录颌位关系，兼容口内扫描设备，。（3）义齿三维扫描仪，通过数字化口内扫描，实现高精度（精度可达±0.01mm-±0.02mm）、无创、即时传输数据的数字化取模。</w:t>
      </w:r>
    </w:p>
    <w:p w14:paraId="7751487D">
      <w:pPr>
        <w:widowControl w:val="0"/>
        <w:ind w:firstLine="560" w:firstLineChars="200"/>
        <w:textAlignment w:val="auto"/>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义齿加工订单管理系统：具备与加工有关的查询统计能力，使用信息化系统管理加工过程，实现加工信息实时查询与追溯管理。</w:t>
      </w:r>
    </w:p>
    <w:p w14:paraId="74EC663C">
      <w:pPr>
        <w:widowControl w:val="0"/>
        <w:ind w:firstLine="560" w:firstLineChars="200"/>
        <w:textAlignment w:val="auto"/>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注：响应文件中应提供：</w:t>
      </w:r>
    </w:p>
    <w:p w14:paraId="618A34E2">
      <w:pPr>
        <w:widowControl w:val="0"/>
        <w:numPr>
          <w:ilvl w:val="0"/>
          <w:numId w:val="1"/>
        </w:numPr>
        <w:ind w:firstLine="560" w:firstLineChars="200"/>
        <w:textAlignment w:val="auto"/>
        <w:rPr>
          <w:rFonts w:ascii="宋体" w:hAnsi="宋体" w:cs="宋体"/>
          <w:b w:val="0"/>
          <w:bCs/>
          <w:color w:val="auto"/>
          <w:kern w:val="0"/>
          <w:sz w:val="28"/>
          <w:szCs w:val="28"/>
          <w:highlight w:val="none"/>
        </w:rPr>
      </w:pPr>
      <w:r>
        <w:rPr>
          <w:rFonts w:hint="eastAsia" w:ascii="宋体" w:hAnsi="宋体" w:cs="宋体"/>
          <w:b w:val="0"/>
          <w:bCs/>
          <w:color w:val="auto"/>
          <w:kern w:val="0"/>
          <w:sz w:val="28"/>
          <w:szCs w:val="28"/>
          <w:highlight w:val="none"/>
        </w:rPr>
        <w:t>设备清单（格式自拟）；如为自有设备提供设备的购置合同或购置发票扫描件，并提供现场实物照片；如为租赁设备，提供设备的租赁合同、设备出租方的购置发票（或出租方购置合同扫描件）。</w:t>
      </w:r>
    </w:p>
    <w:p w14:paraId="473E91DE">
      <w:pPr>
        <w:widowControl w:val="0"/>
        <w:ind w:firstLine="560" w:firstLineChars="200"/>
        <w:textAlignment w:val="auto"/>
        <w:rPr>
          <w:rFonts w:ascii="宋体" w:hAnsi="宋体" w:cs="宋体"/>
          <w:b w:val="0"/>
          <w:bCs/>
          <w:strike/>
          <w:color w:val="auto"/>
          <w:kern w:val="0"/>
          <w:sz w:val="28"/>
          <w:szCs w:val="28"/>
          <w:highlight w:val="none"/>
        </w:rPr>
      </w:pPr>
      <w:r>
        <w:rPr>
          <w:rFonts w:hint="eastAsia" w:ascii="宋体" w:hAnsi="宋体" w:cs="宋体"/>
          <w:b w:val="0"/>
          <w:bCs/>
          <w:color w:val="auto"/>
          <w:kern w:val="0"/>
          <w:sz w:val="28"/>
          <w:szCs w:val="28"/>
          <w:highlight w:val="none"/>
        </w:rPr>
        <w:t>（2）如设备/系统名称与上文不同，但具备同等功能或更好性能的，响应文件中附上述设备产品说明书或技术参数证明等相关材料，并在响应文件中明确对应的设备类别。</w:t>
      </w:r>
    </w:p>
    <w:p w14:paraId="1FE98D40">
      <w:pPr>
        <w:widowControl w:val="0"/>
        <w:textAlignment w:val="auto"/>
        <w:rPr>
          <w:rFonts w:ascii="宋体" w:hAnsi="宋体" w:cs="宋体"/>
          <w:b/>
          <w:kern w:val="0"/>
          <w:sz w:val="28"/>
          <w:szCs w:val="28"/>
          <w:highlight w:val="none"/>
        </w:rPr>
      </w:pPr>
      <w:r>
        <w:rPr>
          <w:rFonts w:hint="eastAsia" w:ascii="宋体" w:hAnsi="宋体" w:cs="宋体"/>
          <w:b/>
          <w:kern w:val="0"/>
          <w:sz w:val="28"/>
          <w:szCs w:val="28"/>
          <w:highlight w:val="none"/>
        </w:rPr>
        <w:t>4.数据安全</w:t>
      </w:r>
    </w:p>
    <w:p w14:paraId="0AF17CCC">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对患者口扫数据、模型信息严格保密，不得泄露给第三方。</w:t>
      </w:r>
    </w:p>
    <w:p w14:paraId="1DE0520E">
      <w:pPr>
        <w:widowControl w:val="0"/>
        <w:textAlignment w:val="auto"/>
        <w:rPr>
          <w:rFonts w:ascii="宋体" w:hAnsi="宋体" w:cs="宋体"/>
          <w:b/>
          <w:kern w:val="0"/>
          <w:sz w:val="28"/>
          <w:szCs w:val="28"/>
          <w:highlight w:val="none"/>
        </w:rPr>
      </w:pPr>
      <w:r>
        <w:rPr>
          <w:rFonts w:hint="eastAsia" w:ascii="宋体" w:hAnsi="宋体" w:cs="宋体"/>
          <w:b/>
          <w:kern w:val="0"/>
          <w:sz w:val="28"/>
          <w:szCs w:val="28"/>
          <w:highlight w:val="none"/>
        </w:rPr>
        <w:t>六、质量控制与退出机制</w:t>
      </w:r>
    </w:p>
    <w:p w14:paraId="0DC6D5AC">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1.质量控制</w:t>
      </w:r>
    </w:p>
    <w:p w14:paraId="52F7C47C">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（1）供应商需制定满足采购人加工、质量、服务要求的整体服务方案，明确运输、交接、验收相关措施。</w:t>
      </w:r>
    </w:p>
    <w:p w14:paraId="3408B9DC">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（2）保证每月模型差错率≤1.5‰。</w:t>
      </w:r>
    </w:p>
    <w:p w14:paraId="27B080A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（3）临床模型制备问题造成义齿制作困难，须在收到模型后1日内联系口腔科协调解决。</w:t>
      </w:r>
    </w:p>
    <w:p w14:paraId="7AF9DF8E">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（4）义齿制作过程中出现问题须立即联系口腔科协调解决。</w:t>
      </w:r>
    </w:p>
    <w:p w14:paraId="7CD3414B">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2.退出机制</w:t>
      </w:r>
    </w:p>
    <w:p w14:paraId="56186899">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如供应商出现以下情况，采购人有权解除合同：</w:t>
      </w:r>
    </w:p>
    <w:p w14:paraId="1B606F9E">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（1）年度内连续叁次未能按时交货且未提前通知；</w:t>
      </w:r>
    </w:p>
    <w:p w14:paraId="0EBFFEC7">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（2）返工率超过约定标准；</w:t>
      </w:r>
    </w:p>
    <w:p w14:paraId="20F6E017">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（3）出现重大质量事故；</w:t>
      </w:r>
    </w:p>
    <w:p w14:paraId="75BD45E6">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（4）未在规定时间内完成医保编码贯标注册；</w:t>
      </w:r>
    </w:p>
    <w:p w14:paraId="478E91A1">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 xml:space="preserve">（5）失去经销授权或丧失合法的供应商资格。 </w:t>
      </w:r>
    </w:p>
    <w:p w14:paraId="6384DEA3">
      <w:pPr>
        <w:widowControl w:val="0"/>
        <w:textAlignment w:val="auto"/>
        <w:rPr>
          <w:rFonts w:ascii="宋体" w:hAnsi="宋体" w:cs="宋体"/>
          <w:b/>
          <w:kern w:val="0"/>
          <w:sz w:val="28"/>
          <w:szCs w:val="28"/>
          <w:highlight w:val="none"/>
        </w:rPr>
      </w:pPr>
      <w:r>
        <w:rPr>
          <w:rFonts w:hint="eastAsia" w:ascii="宋体" w:hAnsi="宋体" w:cs="宋体"/>
          <w:b/>
          <w:kern w:val="0"/>
          <w:sz w:val="28"/>
          <w:szCs w:val="28"/>
          <w:highlight w:val="none"/>
        </w:rPr>
        <w:t>七、其他要求</w:t>
      </w:r>
    </w:p>
    <w:p w14:paraId="5C678723">
      <w:pPr>
        <w:widowControl w:val="0"/>
        <w:ind w:firstLine="560" w:firstLineChars="200"/>
        <w:textAlignment w:val="auto"/>
        <w:rPr>
          <w:rFonts w:ascii="宋体" w:hAnsi="宋体" w:cs="宋体"/>
          <w:bCs/>
          <w:kern w:val="0"/>
          <w:sz w:val="28"/>
          <w:szCs w:val="28"/>
          <w:highlight w:val="none"/>
        </w:rPr>
      </w:pPr>
      <w:r>
        <w:rPr>
          <w:rFonts w:hint="eastAsia" w:ascii="宋体" w:hAnsi="宋体" w:cs="宋体"/>
          <w:b w:val="0"/>
          <w:bCs/>
          <w:color w:val="auto"/>
          <w:kern w:val="0"/>
          <w:sz w:val="28"/>
          <w:szCs w:val="28"/>
          <w:highlight w:val="none"/>
        </w:rPr>
        <w:t>1.响应文件中须提供配送服务方案：</w:t>
      </w:r>
      <w:r>
        <w:rPr>
          <w:rFonts w:hint="eastAsia" w:ascii="宋体" w:hAnsi="宋体" w:cs="宋体"/>
          <w:bCs/>
          <w:kern w:val="0"/>
          <w:sz w:val="28"/>
          <w:szCs w:val="28"/>
          <w:highlight w:val="none"/>
        </w:rPr>
        <w:t>包括但不限于技术保障方案、人员配置方案、售后服务方案、质量控制方案、应急处理方案等。</w:t>
      </w:r>
    </w:p>
    <w:p w14:paraId="6C8FD94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2.本项目供货按照采购人要求按需分批次供货，单次采购数量不定，时间不定，供应商应充分考虑在报价中，一旦成交不得以采购数量少、供货次数过于分散，价格低等理由拒绝供货。</w:t>
      </w:r>
    </w:p>
    <w:p w14:paraId="67947770">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3.投标人须理解采购人因季节性疾病波动、疫情管控、临床路径变更等原因造成的实际配送量低于预估量，或部分产品因临床原因停用。若对填报方式不理解，请致电0554-2751990。投标人对报价函填报方式不了解且未电话咨询的，由此造成的填报错误，由投标人自行承担后果。</w:t>
      </w:r>
    </w:p>
    <w:p w14:paraId="5583241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4.服务期间，若遇政策调整出现与本标的相冲突的情况，以政策调整为准，本标的即行终止。</w:t>
      </w:r>
    </w:p>
    <w:p w14:paraId="0ABB8F5C">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5.投标人须于成交结果公示结束后10日内向采购人提供所投耗材对应的完整医疗器械注册证或备案凭证（进口耗材提供进字号）或不属于医疗器械的情况说明（格式自拟）；提供所投耗材全部规格型号的配送清单、耗材彩页或使用说明书，确保信息真实、完整且与投标响应内容一致；提供所投可收费耗材真实、有效的 27 位国家医保医用耗材编码（如处于待审核状态，须提供维护界面截图，并承诺在审核通过后及时补交正式编码信息。）</w:t>
      </w:r>
    </w:p>
    <w:p w14:paraId="2AFE638D">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6.供应商须在合同签订时提供纸质版响应文件2本，须与电子版响应文件一致，正反面打印，每页加盖公章，正本送采购人招采办用以项目存档，副本送归口管理部门进行合同签订。</w:t>
      </w:r>
    </w:p>
    <w:p w14:paraId="058F817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7.合同签订后，供应商不能按照投标响应及合同约定的时间供货，或者不能按照所投品牌、规格型号进行供货的，采购人有权取消其中标资格并追究相关责任（顺延或重新采购）。</w:t>
      </w:r>
    </w:p>
    <w:p w14:paraId="7110A65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8.合同到期后如遇采购人新一轮采购未完成时，供应商仍需按合同价格供货，直至新一轮采购结束。</w:t>
      </w:r>
    </w:p>
    <w:p w14:paraId="23F51813">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9.采购人不组织统一的现场踏勘活动。各潜在投标人如需了解现场情况，可与采购人联系且自行承担现场踏勘的安全及相关费用。联系人：解主任，联系电话：0554-2766030（正常工作时间）。</w:t>
      </w:r>
    </w:p>
    <w:p w14:paraId="1577F92F">
      <w:pPr>
        <w:widowControl w:val="0"/>
        <w:ind w:firstLine="560" w:firstLineChars="200"/>
        <w:textAlignment w:val="auto"/>
        <w:rPr>
          <w:rFonts w:ascii="宋体" w:hAnsi="宋体" w:cs="宋体"/>
          <w:bCs/>
          <w:kern w:val="0"/>
          <w:sz w:val="28"/>
          <w:szCs w:val="28"/>
          <w:highlight w:val="none"/>
        </w:rPr>
      </w:pPr>
      <w:r>
        <w:rPr>
          <w:rFonts w:hint="eastAsia" w:ascii="宋体" w:hAnsi="宋体" w:cs="宋体"/>
          <w:bCs/>
          <w:kern w:val="0"/>
          <w:sz w:val="28"/>
          <w:szCs w:val="28"/>
          <w:highlight w:val="none"/>
        </w:rPr>
        <w:t>10.其他未尽事宜以合同约定为准。</w:t>
      </w:r>
    </w:p>
    <w:p w14:paraId="44440026">
      <w:pPr>
        <w:rPr>
          <w:rFonts w:ascii="宋体" w:hAnsi="宋体" w:cs="宋体"/>
          <w:bCs/>
          <w:kern w:val="0"/>
          <w:sz w:val="28"/>
          <w:szCs w:val="28"/>
          <w:highlight w:val="none"/>
        </w:rPr>
      </w:pPr>
      <w:r>
        <w:rPr>
          <w:rFonts w:hint="eastAsia" w:ascii="宋体" w:hAnsi="宋体" w:cs="宋体"/>
          <w:bCs/>
          <w:kern w:val="0"/>
          <w:sz w:val="28"/>
          <w:szCs w:val="28"/>
          <w:highlight w:val="none"/>
        </w:rPr>
        <w:t>注：1.以上所有项目要求必须满足，投标人不得缩减，不允许偏离，否则视为无效投标。</w:t>
      </w:r>
    </w:p>
    <w:p w14:paraId="7E0ABC2A">
      <w:pPr>
        <w:ind w:firstLine="560" w:firstLineChars="200"/>
        <w:rPr>
          <w:rFonts w:ascii="宋体" w:hAnsi="宋体" w:cs="宋体"/>
          <w:bCs/>
          <w:kern w:val="0"/>
          <w:sz w:val="28"/>
          <w:szCs w:val="28"/>
          <w:highlight w:val="none"/>
        </w:rPr>
      </w:pPr>
      <w:r>
        <w:rPr>
          <w:rFonts w:hint="eastAsia" w:ascii="宋体" w:hAnsi="宋体" w:cs="宋体"/>
          <w:bCs/>
          <w:kern w:val="0"/>
          <w:sz w:val="28"/>
          <w:szCs w:val="28"/>
          <w:highlight w:val="none"/>
        </w:rPr>
        <w:t>2.以上内容投标人应仔细阅读并在响应文件中承诺满足或优于以上需求并作为合同内容的组成部分与合同享有同等法律效应。</w:t>
      </w:r>
    </w:p>
    <w:p w14:paraId="4A039C39">
      <w:pPr>
        <w:pStyle w:val="2"/>
        <w:ind w:firstLine="0"/>
        <w:jc w:val="both"/>
        <w:rPr>
          <w:rFonts w:hint="eastAsia" w:eastAsiaTheme="minorEastAsia"/>
          <w:b/>
          <w:sz w:val="28"/>
          <w:szCs w:val="28"/>
          <w:highlight w:val="none"/>
        </w:rPr>
      </w:pPr>
    </w:p>
    <w:p w14:paraId="586BBFB8">
      <w:pPr>
        <w:pStyle w:val="2"/>
        <w:ind w:firstLine="0"/>
        <w:jc w:val="both"/>
        <w:rPr>
          <w:rFonts w:hint="eastAsia" w:eastAsiaTheme="minorEastAsia"/>
          <w:b/>
          <w:sz w:val="28"/>
          <w:szCs w:val="28"/>
          <w:highlight w:val="none"/>
        </w:rPr>
      </w:pPr>
    </w:p>
    <w:p w14:paraId="6DE67FF7">
      <w:pPr>
        <w:pStyle w:val="2"/>
        <w:ind w:firstLine="0"/>
        <w:jc w:val="both"/>
        <w:rPr>
          <w:rFonts w:hint="eastAsia" w:eastAsiaTheme="minorEastAsia"/>
          <w:b/>
          <w:sz w:val="28"/>
          <w:szCs w:val="28"/>
          <w:highlight w:val="none"/>
        </w:rPr>
      </w:pPr>
    </w:p>
    <w:p w14:paraId="2A98A5B7">
      <w:pPr>
        <w:pStyle w:val="2"/>
        <w:ind w:firstLine="0"/>
        <w:jc w:val="both"/>
        <w:rPr>
          <w:rFonts w:hint="eastAsia" w:eastAsiaTheme="minorEastAsia"/>
          <w:b/>
          <w:sz w:val="28"/>
          <w:szCs w:val="28"/>
          <w:highlight w:val="none"/>
        </w:rPr>
      </w:pPr>
    </w:p>
    <w:p w14:paraId="3DAA0FC7">
      <w:pPr>
        <w:pStyle w:val="2"/>
        <w:ind w:firstLine="0"/>
        <w:jc w:val="both"/>
        <w:rPr>
          <w:rFonts w:hint="eastAsia" w:eastAsiaTheme="minorEastAsia"/>
          <w:b/>
          <w:sz w:val="28"/>
          <w:szCs w:val="28"/>
          <w:highlight w:val="none"/>
        </w:rPr>
      </w:pPr>
    </w:p>
    <w:p w14:paraId="5AF7DD45">
      <w:pPr>
        <w:pStyle w:val="3"/>
        <w:keepNext w:val="0"/>
        <w:keepLines w:val="0"/>
        <w:spacing w:before="0" w:after="0" w:line="240" w:lineRule="auto"/>
        <w:jc w:val="center"/>
        <w:rPr>
          <w:rFonts w:ascii="方正小标宋简体" w:hAnsi="黑体" w:eastAsia="方正小标宋简体" w:cs="Times New Roman"/>
          <w:b w:val="0"/>
          <w:bCs w:val="0"/>
          <w:kern w:val="0"/>
          <w:highlight w:val="none"/>
        </w:rPr>
      </w:pPr>
      <w:r>
        <w:rPr>
          <w:rStyle w:val="46"/>
          <w:rFonts w:hint="eastAsia" w:ascii="方正小标宋简体" w:eastAsia="方正小标宋简体"/>
          <w:b w:val="0"/>
          <w:bCs w:val="0"/>
          <w:highlight w:val="none"/>
        </w:rPr>
        <w:t>第五章</w:t>
      </w:r>
      <w:r>
        <w:rPr>
          <w:rFonts w:hint="eastAsia" w:ascii="方正小标宋简体" w:hAnsi="黑体" w:eastAsia="方正小标宋简体" w:cs="Times New Roman"/>
          <w:b w:val="0"/>
          <w:bCs w:val="0"/>
          <w:kern w:val="0"/>
          <w:highlight w:val="none"/>
        </w:rPr>
        <w:t>评审标准</w:t>
      </w:r>
    </w:p>
    <w:p w14:paraId="359FCF89">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 xml:space="preserve">一、总则 </w:t>
      </w:r>
    </w:p>
    <w:p w14:paraId="02BEB088">
      <w:pPr>
        <w:snapToGrid w:val="0"/>
        <w:spacing w:line="440" w:lineRule="exact"/>
        <w:ind w:firstLine="560" w:firstLineChars="200"/>
        <w:contextualSpacing/>
        <w:rPr>
          <w:rFonts w:ascii="仿宋" w:hAnsi="仿宋" w:eastAsia="仿宋" w:cs="仿宋"/>
          <w:sz w:val="28"/>
          <w:szCs w:val="28"/>
          <w:highlight w:val="none"/>
        </w:rPr>
      </w:pPr>
      <w:r>
        <w:rPr>
          <w:rFonts w:hint="eastAsia" w:ascii="仿宋" w:hAnsi="仿宋" w:eastAsia="仿宋" w:cs="仿宋"/>
          <w:sz w:val="28"/>
          <w:szCs w:val="28"/>
          <w:highlight w:val="none"/>
        </w:rPr>
        <w:t xml:space="preserve">本项目将按照谈判文件第二章供应商须知的相关要求及本章的规定评审。 </w:t>
      </w:r>
    </w:p>
    <w:p w14:paraId="5E0826DD">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 xml:space="preserve">二、资格符合性评审 </w:t>
      </w:r>
    </w:p>
    <w:p w14:paraId="2D1F8933">
      <w:pPr>
        <w:snapToGrid w:val="0"/>
        <w:spacing w:line="440" w:lineRule="exact"/>
        <w:ind w:firstLine="560" w:firstLineChars="200"/>
        <w:contextualSpacing/>
        <w:rPr>
          <w:rFonts w:ascii="仿宋" w:hAnsi="仿宋" w:eastAsia="仿宋" w:cs="仿宋"/>
          <w:sz w:val="28"/>
          <w:szCs w:val="28"/>
          <w:highlight w:val="none"/>
        </w:rPr>
      </w:pPr>
      <w:r>
        <w:rPr>
          <w:rFonts w:hint="eastAsia" w:ascii="仿宋" w:hAnsi="仿宋" w:eastAsia="仿宋" w:cs="仿宋"/>
          <w:sz w:val="28"/>
          <w:szCs w:val="28"/>
          <w:highlight w:val="none"/>
        </w:rPr>
        <w:t>评审小组对通过供应商的响应文件进行评审，以确定其是否满足谈判文件的实质性要求。评审表如下：</w:t>
      </w:r>
    </w:p>
    <w:bookmarkEnd w:id="89"/>
    <w:bookmarkEnd w:id="90"/>
    <w:p w14:paraId="494AB22D">
      <w:pPr>
        <w:pStyle w:val="62"/>
        <w:jc w:val="center"/>
        <w:rPr>
          <w:rStyle w:val="61"/>
          <w:rFonts w:ascii="仿宋" w:hAnsi="仿宋" w:eastAsia="仿宋" w:cs="仿宋"/>
          <w:b w:val="0"/>
          <w:bCs w:val="0"/>
          <w:sz w:val="28"/>
          <w:szCs w:val="28"/>
          <w:highlight w:val="none"/>
        </w:rPr>
      </w:pPr>
      <w:r>
        <w:rPr>
          <w:rStyle w:val="61"/>
          <w:rFonts w:hint="eastAsia" w:ascii="仿宋" w:hAnsi="仿宋" w:eastAsia="仿宋" w:cs="仿宋"/>
          <w:sz w:val="28"/>
          <w:szCs w:val="28"/>
          <w:highlight w:val="none"/>
        </w:rPr>
        <w:t>初步评审（资格、符合性评审）</w:t>
      </w:r>
    </w:p>
    <w:tbl>
      <w:tblPr>
        <w:tblStyle w:val="30"/>
        <w:tblW w:w="9655" w:type="dxa"/>
        <w:tblInd w:w="-11" w:type="dxa"/>
        <w:tblLayout w:type="fixed"/>
        <w:tblCellMar>
          <w:top w:w="0" w:type="dxa"/>
          <w:left w:w="0" w:type="dxa"/>
          <w:bottom w:w="0" w:type="dxa"/>
          <w:right w:w="0" w:type="dxa"/>
        </w:tblCellMar>
      </w:tblPr>
      <w:tblGrid>
        <w:gridCol w:w="594"/>
        <w:gridCol w:w="2998"/>
        <w:gridCol w:w="5213"/>
        <w:gridCol w:w="850"/>
      </w:tblGrid>
      <w:tr w14:paraId="620B4440">
        <w:tblPrEx>
          <w:tblCellMar>
            <w:top w:w="0" w:type="dxa"/>
            <w:left w:w="0" w:type="dxa"/>
            <w:bottom w:w="0" w:type="dxa"/>
            <w:right w:w="0" w:type="dxa"/>
          </w:tblCellMar>
        </w:tblPrEx>
        <w:trPr>
          <w:trHeight w:val="570"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6A46D457">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序号</w:t>
            </w:r>
          </w:p>
        </w:tc>
        <w:tc>
          <w:tcPr>
            <w:tcW w:w="2998" w:type="dxa"/>
            <w:tcBorders>
              <w:top w:val="single" w:color="000000" w:sz="4" w:space="0"/>
              <w:left w:val="nil"/>
              <w:bottom w:val="single" w:color="000000" w:sz="4" w:space="0"/>
              <w:right w:val="single" w:color="000000" w:sz="4" w:space="0"/>
            </w:tcBorders>
            <w:vAlign w:val="center"/>
          </w:tcPr>
          <w:p w14:paraId="0E6BF5EF">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指标名称</w:t>
            </w:r>
          </w:p>
        </w:tc>
        <w:tc>
          <w:tcPr>
            <w:tcW w:w="5213" w:type="dxa"/>
            <w:tcBorders>
              <w:top w:val="single" w:color="000000" w:sz="4" w:space="0"/>
              <w:left w:val="nil"/>
              <w:bottom w:val="single" w:color="000000" w:sz="4" w:space="0"/>
              <w:right w:val="single" w:color="000000" w:sz="4" w:space="0"/>
            </w:tcBorders>
            <w:vAlign w:val="center"/>
          </w:tcPr>
          <w:p w14:paraId="5EE190B1">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指标要求</w:t>
            </w:r>
          </w:p>
        </w:tc>
        <w:tc>
          <w:tcPr>
            <w:tcW w:w="850" w:type="dxa"/>
            <w:tcBorders>
              <w:top w:val="single" w:color="000000" w:sz="4" w:space="0"/>
              <w:left w:val="nil"/>
              <w:bottom w:val="single" w:color="000000" w:sz="4" w:space="0"/>
              <w:right w:val="single" w:color="000000" w:sz="4" w:space="0"/>
            </w:tcBorders>
            <w:vAlign w:val="center"/>
          </w:tcPr>
          <w:p w14:paraId="05DED40C">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是否</w:t>
            </w:r>
          </w:p>
          <w:p w14:paraId="77F32B39">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通过</w:t>
            </w:r>
          </w:p>
        </w:tc>
      </w:tr>
      <w:tr w14:paraId="47A7874C">
        <w:tblPrEx>
          <w:tblCellMar>
            <w:top w:w="0" w:type="dxa"/>
            <w:left w:w="0" w:type="dxa"/>
            <w:bottom w:w="0" w:type="dxa"/>
            <w:right w:w="0" w:type="dxa"/>
          </w:tblCellMar>
        </w:tblPrEx>
        <w:trPr>
          <w:trHeight w:val="595"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692F3F0F">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1</w:t>
            </w:r>
          </w:p>
        </w:tc>
        <w:tc>
          <w:tcPr>
            <w:tcW w:w="2998" w:type="dxa"/>
            <w:tcBorders>
              <w:top w:val="single" w:color="000000" w:sz="4" w:space="0"/>
              <w:left w:val="nil"/>
              <w:bottom w:val="single" w:color="000000" w:sz="4" w:space="0"/>
              <w:right w:val="single" w:color="000000" w:sz="4" w:space="0"/>
            </w:tcBorders>
            <w:vAlign w:val="center"/>
          </w:tcPr>
          <w:p w14:paraId="0DB082D9">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响应文件签字盖章</w:t>
            </w:r>
          </w:p>
        </w:tc>
        <w:tc>
          <w:tcPr>
            <w:tcW w:w="5213" w:type="dxa"/>
            <w:tcBorders>
              <w:top w:val="single" w:color="000000" w:sz="4" w:space="0"/>
              <w:left w:val="nil"/>
              <w:bottom w:val="single" w:color="000000" w:sz="4" w:space="0"/>
              <w:right w:val="single" w:color="000000" w:sz="4" w:space="0"/>
            </w:tcBorders>
            <w:vAlign w:val="center"/>
          </w:tcPr>
          <w:p w14:paraId="168F41C5">
            <w:pPr>
              <w:pStyle w:val="66"/>
              <w:spacing w:before="0" w:beforeAutospacing="0" w:afterAutospacing="0" w:line="340" w:lineRule="exact"/>
              <w:rPr>
                <w:rStyle w:val="61"/>
                <w:rFonts w:ascii="仿宋" w:hAnsi="仿宋" w:eastAsia="仿宋" w:cs="仿宋"/>
                <w:kern w:val="0"/>
                <w:sz w:val="28"/>
                <w:szCs w:val="28"/>
                <w:highlight w:val="none"/>
              </w:rPr>
            </w:pPr>
            <w:r>
              <w:rPr>
                <w:rFonts w:hint="eastAsia" w:ascii="仿宋" w:hAnsi="仿宋" w:eastAsia="仿宋" w:cs="仿宋"/>
                <w:sz w:val="28"/>
                <w:szCs w:val="28"/>
                <w:highlight w:val="none"/>
              </w:rPr>
              <w:t>法定代表人（单位负责人）签字或盖章并加盖投标单位公章</w:t>
            </w:r>
          </w:p>
        </w:tc>
        <w:tc>
          <w:tcPr>
            <w:tcW w:w="850" w:type="dxa"/>
            <w:tcBorders>
              <w:top w:val="single" w:color="000000" w:sz="4" w:space="0"/>
              <w:left w:val="nil"/>
              <w:bottom w:val="single" w:color="000000" w:sz="4" w:space="0"/>
              <w:right w:val="single" w:color="000000" w:sz="4" w:space="0"/>
            </w:tcBorders>
            <w:vAlign w:val="center"/>
          </w:tcPr>
          <w:p w14:paraId="25E25524">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w:t>
            </w:r>
          </w:p>
        </w:tc>
      </w:tr>
      <w:tr w14:paraId="7BD88515">
        <w:tblPrEx>
          <w:tblCellMar>
            <w:top w:w="0" w:type="dxa"/>
            <w:left w:w="0" w:type="dxa"/>
            <w:bottom w:w="0" w:type="dxa"/>
            <w:right w:w="0" w:type="dxa"/>
          </w:tblCellMar>
        </w:tblPrEx>
        <w:trPr>
          <w:trHeight w:val="510"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7EBB41B9">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2</w:t>
            </w:r>
          </w:p>
        </w:tc>
        <w:tc>
          <w:tcPr>
            <w:tcW w:w="2998" w:type="dxa"/>
            <w:tcBorders>
              <w:top w:val="single" w:color="000000" w:sz="4" w:space="0"/>
              <w:left w:val="nil"/>
              <w:bottom w:val="single" w:color="000000" w:sz="4" w:space="0"/>
              <w:right w:val="single" w:color="000000" w:sz="4" w:space="0"/>
            </w:tcBorders>
            <w:vAlign w:val="center"/>
          </w:tcPr>
          <w:p w14:paraId="28A80C29">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响应文件内容</w:t>
            </w:r>
          </w:p>
        </w:tc>
        <w:tc>
          <w:tcPr>
            <w:tcW w:w="5213" w:type="dxa"/>
            <w:tcBorders>
              <w:top w:val="single" w:color="000000" w:sz="4" w:space="0"/>
              <w:left w:val="nil"/>
              <w:bottom w:val="single" w:color="000000" w:sz="4" w:space="0"/>
              <w:right w:val="single" w:color="000000" w:sz="4" w:space="0"/>
            </w:tcBorders>
            <w:vAlign w:val="center"/>
          </w:tcPr>
          <w:p w14:paraId="25886E6E">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符合谈判文件要求</w:t>
            </w:r>
          </w:p>
        </w:tc>
        <w:tc>
          <w:tcPr>
            <w:tcW w:w="850" w:type="dxa"/>
            <w:tcBorders>
              <w:top w:val="single" w:color="000000" w:sz="4" w:space="0"/>
              <w:left w:val="nil"/>
              <w:bottom w:val="single" w:color="000000" w:sz="4" w:space="0"/>
              <w:right w:val="single" w:color="000000" w:sz="4" w:space="0"/>
            </w:tcBorders>
            <w:vAlign w:val="center"/>
          </w:tcPr>
          <w:p w14:paraId="779EE718">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w:t>
            </w:r>
          </w:p>
        </w:tc>
      </w:tr>
      <w:tr w14:paraId="5B094170">
        <w:tblPrEx>
          <w:tblCellMar>
            <w:top w:w="0" w:type="dxa"/>
            <w:left w:w="0" w:type="dxa"/>
            <w:bottom w:w="0" w:type="dxa"/>
            <w:right w:w="0" w:type="dxa"/>
          </w:tblCellMar>
        </w:tblPrEx>
        <w:trPr>
          <w:trHeight w:val="507"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5A0174CB">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3</w:t>
            </w:r>
          </w:p>
        </w:tc>
        <w:tc>
          <w:tcPr>
            <w:tcW w:w="2998" w:type="dxa"/>
            <w:tcBorders>
              <w:top w:val="single" w:color="000000" w:sz="4" w:space="0"/>
              <w:left w:val="nil"/>
              <w:bottom w:val="single" w:color="000000" w:sz="4" w:space="0"/>
              <w:right w:val="single" w:color="000000" w:sz="4" w:space="0"/>
            </w:tcBorders>
            <w:vAlign w:val="center"/>
          </w:tcPr>
          <w:p w14:paraId="0046BA86">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投标报价</w:t>
            </w:r>
          </w:p>
        </w:tc>
        <w:tc>
          <w:tcPr>
            <w:tcW w:w="5213" w:type="dxa"/>
            <w:tcBorders>
              <w:top w:val="single" w:color="000000" w:sz="4" w:space="0"/>
              <w:left w:val="nil"/>
              <w:bottom w:val="single" w:color="000000" w:sz="4" w:space="0"/>
              <w:right w:val="single" w:color="000000" w:sz="4" w:space="0"/>
            </w:tcBorders>
            <w:vAlign w:val="center"/>
          </w:tcPr>
          <w:p w14:paraId="0E6C37EB">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不得超出预算价</w:t>
            </w:r>
          </w:p>
        </w:tc>
        <w:tc>
          <w:tcPr>
            <w:tcW w:w="850" w:type="dxa"/>
            <w:tcBorders>
              <w:top w:val="single" w:color="000000" w:sz="4" w:space="0"/>
              <w:left w:val="nil"/>
              <w:bottom w:val="single" w:color="000000" w:sz="4" w:space="0"/>
              <w:right w:val="single" w:color="000000" w:sz="4" w:space="0"/>
            </w:tcBorders>
            <w:vAlign w:val="center"/>
          </w:tcPr>
          <w:p w14:paraId="5BDD3068">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w:t>
            </w:r>
          </w:p>
        </w:tc>
      </w:tr>
      <w:tr w14:paraId="3C2B7DE2">
        <w:tblPrEx>
          <w:tblCellMar>
            <w:top w:w="0" w:type="dxa"/>
            <w:left w:w="0" w:type="dxa"/>
            <w:bottom w:w="0" w:type="dxa"/>
            <w:right w:w="0" w:type="dxa"/>
          </w:tblCellMar>
        </w:tblPrEx>
        <w:trPr>
          <w:trHeight w:val="465"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0EBF566E">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4</w:t>
            </w:r>
          </w:p>
        </w:tc>
        <w:tc>
          <w:tcPr>
            <w:tcW w:w="2998" w:type="dxa"/>
            <w:tcBorders>
              <w:top w:val="single" w:color="000000" w:sz="4" w:space="0"/>
              <w:left w:val="nil"/>
              <w:bottom w:val="single" w:color="000000" w:sz="4" w:space="0"/>
              <w:right w:val="single" w:color="000000" w:sz="4" w:space="0"/>
            </w:tcBorders>
            <w:vAlign w:val="center"/>
          </w:tcPr>
          <w:p w14:paraId="257A79F3">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供应商资格</w:t>
            </w:r>
          </w:p>
        </w:tc>
        <w:tc>
          <w:tcPr>
            <w:tcW w:w="5213" w:type="dxa"/>
            <w:tcBorders>
              <w:top w:val="single" w:color="000000" w:sz="4" w:space="0"/>
              <w:left w:val="nil"/>
              <w:bottom w:val="single" w:color="000000" w:sz="4" w:space="0"/>
              <w:right w:val="single" w:color="000000" w:sz="4" w:space="0"/>
            </w:tcBorders>
            <w:vAlign w:val="center"/>
          </w:tcPr>
          <w:p w14:paraId="2C95E417">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符合谈判公告要求</w:t>
            </w:r>
          </w:p>
        </w:tc>
        <w:tc>
          <w:tcPr>
            <w:tcW w:w="850" w:type="dxa"/>
            <w:tcBorders>
              <w:top w:val="single" w:color="000000" w:sz="4" w:space="0"/>
              <w:left w:val="nil"/>
              <w:bottom w:val="single" w:color="000000" w:sz="4" w:space="0"/>
              <w:right w:val="single" w:color="000000" w:sz="4" w:space="0"/>
            </w:tcBorders>
            <w:vAlign w:val="center"/>
          </w:tcPr>
          <w:p w14:paraId="0C499F55">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w:t>
            </w:r>
          </w:p>
        </w:tc>
      </w:tr>
      <w:tr w14:paraId="150E57C7">
        <w:tblPrEx>
          <w:tblCellMar>
            <w:top w:w="0" w:type="dxa"/>
            <w:left w:w="0" w:type="dxa"/>
            <w:bottom w:w="0" w:type="dxa"/>
            <w:right w:w="0" w:type="dxa"/>
          </w:tblCellMar>
        </w:tblPrEx>
        <w:trPr>
          <w:trHeight w:val="477" w:hRule="atLeast"/>
        </w:trPr>
        <w:tc>
          <w:tcPr>
            <w:tcW w:w="594" w:type="dxa"/>
            <w:tcBorders>
              <w:top w:val="single" w:color="000000" w:sz="4" w:space="0"/>
              <w:left w:val="single" w:color="000000" w:sz="4" w:space="0"/>
              <w:bottom w:val="single" w:color="000000" w:sz="4" w:space="0"/>
              <w:right w:val="single" w:color="000000" w:sz="4" w:space="0"/>
            </w:tcBorders>
            <w:vAlign w:val="center"/>
          </w:tcPr>
          <w:p w14:paraId="68F17A6A">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5</w:t>
            </w:r>
          </w:p>
        </w:tc>
        <w:tc>
          <w:tcPr>
            <w:tcW w:w="2998" w:type="dxa"/>
            <w:tcBorders>
              <w:top w:val="single" w:color="000000" w:sz="4" w:space="0"/>
              <w:left w:val="nil"/>
              <w:bottom w:val="single" w:color="000000" w:sz="4" w:space="0"/>
              <w:right w:val="single" w:color="000000" w:sz="4" w:space="0"/>
            </w:tcBorders>
            <w:vAlign w:val="center"/>
          </w:tcPr>
          <w:p w14:paraId="505E8913">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合同履行期限</w:t>
            </w:r>
          </w:p>
        </w:tc>
        <w:tc>
          <w:tcPr>
            <w:tcW w:w="5213" w:type="dxa"/>
            <w:tcBorders>
              <w:top w:val="single" w:color="000000" w:sz="4" w:space="0"/>
              <w:left w:val="nil"/>
              <w:bottom w:val="single" w:color="000000" w:sz="4" w:space="0"/>
              <w:right w:val="single" w:color="000000" w:sz="4" w:space="0"/>
            </w:tcBorders>
            <w:vAlign w:val="center"/>
          </w:tcPr>
          <w:p w14:paraId="795C364D">
            <w:pPr>
              <w:pStyle w:val="66"/>
              <w:spacing w:before="0" w:beforeAutospacing="0" w:after="0" w:afterAutospacing="0" w:line="340" w:lineRule="exact"/>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365日（执行1+1+1模式）</w:t>
            </w:r>
          </w:p>
        </w:tc>
        <w:tc>
          <w:tcPr>
            <w:tcW w:w="850" w:type="dxa"/>
            <w:tcBorders>
              <w:top w:val="single" w:color="000000" w:sz="4" w:space="0"/>
              <w:left w:val="nil"/>
              <w:bottom w:val="single" w:color="000000" w:sz="4" w:space="0"/>
              <w:right w:val="single" w:color="000000" w:sz="4" w:space="0"/>
            </w:tcBorders>
            <w:vAlign w:val="center"/>
          </w:tcPr>
          <w:p w14:paraId="30A269B0">
            <w:pPr>
              <w:pStyle w:val="66"/>
              <w:spacing w:before="0" w:beforeAutospacing="0" w:after="0" w:afterAutospacing="0" w:line="340" w:lineRule="exact"/>
              <w:jc w:val="center"/>
              <w:rPr>
                <w:rStyle w:val="61"/>
                <w:rFonts w:ascii="仿宋" w:hAnsi="仿宋" w:eastAsia="仿宋" w:cs="仿宋"/>
                <w:kern w:val="0"/>
                <w:sz w:val="28"/>
                <w:szCs w:val="28"/>
                <w:highlight w:val="none"/>
              </w:rPr>
            </w:pPr>
            <w:r>
              <w:rPr>
                <w:rStyle w:val="61"/>
                <w:rFonts w:hint="eastAsia" w:ascii="仿宋" w:hAnsi="仿宋" w:eastAsia="仿宋" w:cs="仿宋"/>
                <w:kern w:val="0"/>
                <w:sz w:val="28"/>
                <w:szCs w:val="28"/>
                <w:highlight w:val="none"/>
              </w:rPr>
              <w:t>是</w:t>
            </w:r>
          </w:p>
        </w:tc>
      </w:tr>
    </w:tbl>
    <w:p w14:paraId="498ABB35">
      <w:pPr>
        <w:snapToGrid w:val="0"/>
        <w:spacing w:line="440" w:lineRule="exact"/>
        <w:ind w:firstLine="562" w:firstLineChars="200"/>
        <w:contextualSpacing/>
        <w:rPr>
          <w:rFonts w:ascii="仿宋" w:hAnsi="仿宋" w:eastAsia="仿宋" w:cs="仿宋"/>
          <w:b/>
          <w:bCs/>
          <w:sz w:val="28"/>
          <w:szCs w:val="28"/>
          <w:highlight w:val="none"/>
        </w:rPr>
      </w:pPr>
    </w:p>
    <w:p w14:paraId="1A8F46FB">
      <w:pPr>
        <w:pStyle w:val="2"/>
        <w:rPr>
          <w:rFonts w:ascii="仿宋" w:hAnsi="仿宋" w:eastAsia="仿宋"/>
          <w:sz w:val="28"/>
          <w:szCs w:val="28"/>
          <w:highlight w:val="none"/>
        </w:rPr>
      </w:pPr>
      <w:bookmarkStart w:id="91" w:name="_Toc144892503"/>
      <w:bookmarkStart w:id="92" w:name="_Toc17677"/>
      <w:r>
        <w:rPr>
          <w:rFonts w:hint="eastAsia" w:ascii="仿宋" w:hAnsi="仿宋" w:eastAsia="仿宋"/>
          <w:sz w:val="28"/>
          <w:szCs w:val="28"/>
          <w:highlight w:val="none"/>
        </w:rPr>
        <w:t>本项目报价，包括完成项目所有一切费用，履约期内采购人不再另付其他费用，供应商自行考虑投标风险。</w:t>
      </w:r>
    </w:p>
    <w:p w14:paraId="02FB678C">
      <w:pPr>
        <w:pStyle w:val="2"/>
        <w:rPr>
          <w:rFonts w:ascii="仿宋" w:hAnsi="仿宋" w:eastAsia="仿宋"/>
          <w:sz w:val="28"/>
          <w:szCs w:val="28"/>
          <w:highlight w:val="none"/>
        </w:rPr>
      </w:pPr>
      <w:bookmarkStart w:id="93" w:name="_Toc144887450"/>
      <w:bookmarkStart w:id="94" w:name="_Toc144880775"/>
      <w:bookmarkStart w:id="95" w:name="_Toc144880391"/>
      <w:r>
        <w:rPr>
          <w:rFonts w:hint="eastAsia" w:ascii="仿宋" w:hAnsi="仿宋" w:eastAsia="仿宋"/>
          <w:sz w:val="28"/>
          <w:szCs w:val="28"/>
          <w:highlight w:val="none"/>
        </w:rPr>
        <w:t>采购需求不得负偏离。</w:t>
      </w:r>
      <w:r>
        <w:rPr>
          <w:rFonts w:ascii="仿宋" w:hAnsi="仿宋" w:eastAsia="仿宋"/>
          <w:sz w:val="28"/>
          <w:szCs w:val="28"/>
          <w:highlight w:val="none"/>
        </w:rPr>
        <w:t>评审小组应当从质量和服务均能满足</w:t>
      </w:r>
      <w:r>
        <w:rPr>
          <w:rFonts w:hint="eastAsia" w:ascii="仿宋" w:hAnsi="仿宋" w:eastAsia="仿宋"/>
          <w:sz w:val="28"/>
          <w:szCs w:val="28"/>
          <w:highlight w:val="none"/>
        </w:rPr>
        <w:t>谈判</w:t>
      </w:r>
      <w:r>
        <w:rPr>
          <w:rFonts w:ascii="仿宋" w:hAnsi="仿宋" w:eastAsia="仿宋"/>
          <w:sz w:val="28"/>
          <w:szCs w:val="28"/>
          <w:highlight w:val="none"/>
        </w:rPr>
        <w:t>文件实质性响应要求的供应商中，按照最后报价</w:t>
      </w:r>
      <w:r>
        <w:rPr>
          <w:rFonts w:hint="eastAsia" w:ascii="仿宋" w:hAnsi="仿宋" w:eastAsia="仿宋"/>
          <w:b/>
          <w:sz w:val="28"/>
          <w:szCs w:val="28"/>
          <w:highlight w:val="none"/>
        </w:rPr>
        <w:t>（综合费率）</w:t>
      </w:r>
      <w:r>
        <w:rPr>
          <w:rFonts w:ascii="仿宋" w:hAnsi="仿宋" w:eastAsia="仿宋"/>
          <w:sz w:val="28"/>
          <w:szCs w:val="28"/>
          <w:highlight w:val="none"/>
        </w:rPr>
        <w:t>由低到高的顺序提出3名以上成交候选人。</w:t>
      </w:r>
      <w:bookmarkEnd w:id="93"/>
      <w:bookmarkEnd w:id="94"/>
      <w:bookmarkEnd w:id="95"/>
      <w:r>
        <w:rPr>
          <w:rFonts w:ascii="仿宋" w:hAnsi="仿宋" w:eastAsia="仿宋"/>
          <w:sz w:val="28"/>
          <w:szCs w:val="28"/>
          <w:highlight w:val="none"/>
        </w:rPr>
        <w:t>最后报价</w:t>
      </w:r>
      <w:r>
        <w:rPr>
          <w:rFonts w:hint="eastAsia" w:ascii="仿宋" w:hAnsi="仿宋" w:eastAsia="仿宋"/>
          <w:b/>
          <w:sz w:val="28"/>
          <w:szCs w:val="28"/>
          <w:highlight w:val="none"/>
        </w:rPr>
        <w:t>（综合费率）</w:t>
      </w:r>
      <w:r>
        <w:rPr>
          <w:rFonts w:ascii="仿宋" w:hAnsi="仿宋" w:eastAsia="仿宋"/>
          <w:sz w:val="28"/>
          <w:szCs w:val="28"/>
          <w:highlight w:val="none"/>
        </w:rPr>
        <w:t>相同的，则由</w:t>
      </w:r>
      <w:r>
        <w:rPr>
          <w:rFonts w:hint="eastAsia" w:ascii="仿宋" w:hAnsi="仿宋" w:eastAsia="仿宋"/>
          <w:sz w:val="28"/>
          <w:szCs w:val="28"/>
          <w:highlight w:val="none"/>
        </w:rPr>
        <w:t>评审</w:t>
      </w:r>
      <w:r>
        <w:rPr>
          <w:rFonts w:ascii="仿宋" w:hAnsi="仿宋" w:eastAsia="仿宋"/>
          <w:sz w:val="28"/>
          <w:szCs w:val="28"/>
          <w:highlight w:val="none"/>
        </w:rPr>
        <w:t>小组采取随机抽取方式确定成交候选顺序。</w:t>
      </w:r>
    </w:p>
    <w:p w14:paraId="6B408B0A">
      <w:pPr>
        <w:pStyle w:val="2"/>
        <w:rPr>
          <w:rFonts w:ascii="仿宋" w:hAnsi="仿宋" w:eastAsia="仿宋"/>
          <w:sz w:val="28"/>
          <w:szCs w:val="28"/>
          <w:highlight w:val="none"/>
        </w:rPr>
      </w:pPr>
      <w:r>
        <w:rPr>
          <w:rFonts w:hint="eastAsia" w:ascii="仿宋" w:hAnsi="仿宋" w:eastAsia="仿宋"/>
          <w:sz w:val="28"/>
          <w:szCs w:val="28"/>
          <w:highlight w:val="none"/>
        </w:rPr>
        <w:t>评审小组应从提出的成交候选人中，根据质量和服务均能满足谈判文件实质性响应要求且最后报价</w:t>
      </w:r>
      <w:r>
        <w:rPr>
          <w:rFonts w:hint="eastAsia" w:ascii="仿宋" w:hAnsi="仿宋" w:eastAsia="仿宋"/>
          <w:b/>
          <w:sz w:val="28"/>
          <w:szCs w:val="28"/>
          <w:highlight w:val="none"/>
        </w:rPr>
        <w:t>（综合费率）</w:t>
      </w:r>
      <w:r>
        <w:rPr>
          <w:rFonts w:hint="eastAsia" w:ascii="仿宋" w:hAnsi="仿宋" w:eastAsia="仿宋"/>
          <w:sz w:val="28"/>
          <w:szCs w:val="28"/>
          <w:highlight w:val="none"/>
        </w:rPr>
        <w:t>最低的原则确定成交供应商。</w:t>
      </w:r>
    </w:p>
    <w:bookmarkEnd w:id="91"/>
    <w:bookmarkEnd w:id="92"/>
    <w:p w14:paraId="143223E6">
      <w:pPr>
        <w:pStyle w:val="62"/>
        <w:rPr>
          <w:rStyle w:val="46"/>
          <w:rFonts w:ascii="方正小标宋简体" w:eastAsia="方正小标宋简体"/>
          <w:b w:val="0"/>
          <w:bCs w:val="0"/>
          <w:highlight w:val="none"/>
        </w:rPr>
      </w:pPr>
      <w:bookmarkStart w:id="96" w:name="_Toc144892504"/>
      <w:bookmarkStart w:id="97" w:name="_Toc19206"/>
    </w:p>
    <w:p w14:paraId="2904B12B">
      <w:pPr>
        <w:pStyle w:val="62"/>
        <w:jc w:val="center"/>
        <w:rPr>
          <w:rStyle w:val="46"/>
          <w:rFonts w:hint="eastAsia" w:ascii="方正小标宋简体" w:eastAsia="方正小标宋简体"/>
          <w:b w:val="0"/>
          <w:bCs w:val="0"/>
          <w:highlight w:val="none"/>
        </w:rPr>
      </w:pPr>
    </w:p>
    <w:p w14:paraId="0B6C7827">
      <w:pPr>
        <w:pStyle w:val="62"/>
        <w:jc w:val="center"/>
        <w:rPr>
          <w:rStyle w:val="46"/>
          <w:rFonts w:hint="eastAsia" w:ascii="方正小标宋简体" w:eastAsia="方正小标宋简体"/>
          <w:b w:val="0"/>
          <w:bCs w:val="0"/>
          <w:highlight w:val="none"/>
        </w:rPr>
      </w:pPr>
    </w:p>
    <w:p w14:paraId="00424654">
      <w:pPr>
        <w:pStyle w:val="62"/>
        <w:jc w:val="center"/>
        <w:rPr>
          <w:rStyle w:val="46"/>
          <w:rFonts w:ascii="方正小标宋简体" w:eastAsia="方正小标宋简体"/>
          <w:b w:val="0"/>
          <w:bCs w:val="0"/>
          <w:highlight w:val="none"/>
        </w:rPr>
      </w:pPr>
      <w:r>
        <w:rPr>
          <w:rStyle w:val="46"/>
          <w:rFonts w:hint="eastAsia" w:ascii="方正小标宋简体" w:eastAsia="方正小标宋简体"/>
          <w:b w:val="0"/>
          <w:bCs w:val="0"/>
          <w:highlight w:val="none"/>
        </w:rPr>
        <w:t>投标文件格式</w:t>
      </w:r>
      <w:bookmarkEnd w:id="96"/>
      <w:bookmarkEnd w:id="97"/>
    </w:p>
    <w:p w14:paraId="1710AF82">
      <w:pPr>
        <w:rPr>
          <w:highlight w:val="none"/>
        </w:rPr>
      </w:pPr>
    </w:p>
    <w:p w14:paraId="1D070FBD">
      <w:pPr>
        <w:pStyle w:val="7"/>
        <w:adjustRightInd w:val="0"/>
        <w:snapToGrid w:val="0"/>
        <w:spacing w:beforeLines="20" w:afterLines="20" w:line="360" w:lineRule="auto"/>
        <w:ind w:right="-4" w:rightChars="-2"/>
        <w:jc w:val="center"/>
        <w:rPr>
          <w:rFonts w:asciiTheme="minorEastAsia" w:hAnsiTheme="minorEastAsia" w:eastAsiaTheme="minorEastAsia"/>
          <w:sz w:val="84"/>
          <w:szCs w:val="84"/>
          <w:highlight w:val="none"/>
        </w:rPr>
      </w:pPr>
      <w:r>
        <w:rPr>
          <w:rStyle w:val="61"/>
          <w:rFonts w:hint="eastAsia" w:asciiTheme="minorEastAsia" w:hAnsiTheme="minorEastAsia" w:eastAsiaTheme="minorEastAsia" w:cstheme="minorEastAsia"/>
          <w:b/>
          <w:bCs/>
          <w:sz w:val="48"/>
          <w:szCs w:val="48"/>
          <w:highlight w:val="none"/>
        </w:rPr>
        <w:t>寿县人民医院定制式义齿外加工服务采购项目</w:t>
      </w:r>
    </w:p>
    <w:p w14:paraId="5BD3F0F8">
      <w:pPr>
        <w:pStyle w:val="7"/>
        <w:adjustRightInd w:val="0"/>
        <w:snapToGrid w:val="0"/>
        <w:spacing w:beforeLines="20" w:afterLines="20" w:line="360" w:lineRule="auto"/>
        <w:ind w:right="-4" w:rightChars="-2"/>
        <w:jc w:val="center"/>
        <w:rPr>
          <w:rFonts w:asciiTheme="minorEastAsia" w:hAnsiTheme="minorEastAsia" w:eastAsiaTheme="minorEastAsia"/>
          <w:sz w:val="84"/>
          <w:szCs w:val="84"/>
          <w:highlight w:val="none"/>
        </w:rPr>
      </w:pPr>
    </w:p>
    <w:p w14:paraId="4030B94D">
      <w:pPr>
        <w:pStyle w:val="7"/>
        <w:adjustRightInd w:val="0"/>
        <w:snapToGrid w:val="0"/>
        <w:spacing w:beforeLines="20" w:afterLines="20" w:line="360" w:lineRule="auto"/>
        <w:ind w:right="-4" w:rightChars="-2"/>
        <w:jc w:val="center"/>
        <w:rPr>
          <w:rFonts w:ascii="仿宋" w:hAnsi="仿宋" w:eastAsia="仿宋" w:cs="仿宋"/>
          <w:b/>
          <w:sz w:val="52"/>
          <w:szCs w:val="52"/>
          <w:highlight w:val="none"/>
        </w:rPr>
      </w:pPr>
      <w:r>
        <w:rPr>
          <w:rFonts w:hint="eastAsia" w:asciiTheme="minorEastAsia" w:hAnsiTheme="minorEastAsia" w:eastAsiaTheme="minorEastAsia"/>
          <w:sz w:val="84"/>
          <w:szCs w:val="84"/>
          <w:highlight w:val="none"/>
        </w:rPr>
        <w:t>响  应</w:t>
      </w:r>
      <w:r>
        <w:rPr>
          <w:sz w:val="84"/>
          <w:szCs w:val="84"/>
          <w:highlight w:val="none"/>
        </w:rPr>
        <w:t xml:space="preserve">  文  件</w:t>
      </w:r>
    </w:p>
    <w:p w14:paraId="219CF07E">
      <w:pPr>
        <w:pStyle w:val="7"/>
        <w:adjustRightInd w:val="0"/>
        <w:snapToGrid w:val="0"/>
        <w:spacing w:beforeLines="20" w:afterLines="20" w:line="360" w:lineRule="auto"/>
        <w:ind w:right="-4" w:rightChars="-2" w:firstLine="3300" w:firstLineChars="1500"/>
        <w:rPr>
          <w:szCs w:val="28"/>
          <w:highlight w:val="none"/>
        </w:rPr>
      </w:pPr>
    </w:p>
    <w:p w14:paraId="0D07AAA3">
      <w:pPr>
        <w:pStyle w:val="7"/>
        <w:adjustRightInd w:val="0"/>
        <w:snapToGrid w:val="0"/>
        <w:spacing w:beforeLines="20" w:afterLines="20" w:line="360" w:lineRule="auto"/>
        <w:ind w:right="-4" w:rightChars="-2"/>
        <w:jc w:val="center"/>
        <w:rPr>
          <w:rFonts w:ascii="仿宋" w:hAnsi="仿宋" w:eastAsia="仿宋"/>
          <w:sz w:val="32"/>
          <w:szCs w:val="32"/>
          <w:highlight w:val="none"/>
        </w:rPr>
      </w:pPr>
      <w:r>
        <w:rPr>
          <w:rFonts w:ascii="仿宋" w:hAnsi="仿宋" w:eastAsia="仿宋"/>
          <w:sz w:val="32"/>
          <w:szCs w:val="32"/>
          <w:highlight w:val="none"/>
        </w:rPr>
        <w:t>项目编号：</w:t>
      </w:r>
    </w:p>
    <w:p w14:paraId="5517340F">
      <w:pPr>
        <w:pStyle w:val="7"/>
        <w:adjustRightInd w:val="0"/>
        <w:snapToGrid w:val="0"/>
        <w:spacing w:beforeLines="20" w:afterLines="20" w:line="360" w:lineRule="auto"/>
        <w:ind w:right="-4" w:rightChars="-2"/>
        <w:rPr>
          <w:highlight w:val="none"/>
        </w:rPr>
      </w:pPr>
    </w:p>
    <w:p w14:paraId="75D219FB">
      <w:pPr>
        <w:pStyle w:val="7"/>
        <w:adjustRightInd w:val="0"/>
        <w:snapToGrid w:val="0"/>
        <w:spacing w:beforeLines="20" w:afterLines="20" w:line="360" w:lineRule="auto"/>
        <w:ind w:right="-4" w:rightChars="-2"/>
        <w:rPr>
          <w:highlight w:val="none"/>
        </w:rPr>
      </w:pPr>
    </w:p>
    <w:p w14:paraId="082258F0">
      <w:pPr>
        <w:pStyle w:val="7"/>
        <w:adjustRightInd w:val="0"/>
        <w:snapToGrid w:val="0"/>
        <w:spacing w:beforeLines="20" w:afterLines="20" w:line="360" w:lineRule="auto"/>
        <w:ind w:right="-4" w:rightChars="-2"/>
        <w:rPr>
          <w:highlight w:val="none"/>
        </w:rPr>
      </w:pPr>
    </w:p>
    <w:p w14:paraId="647EB620">
      <w:pPr>
        <w:rPr>
          <w:rFonts w:eastAsiaTheme="minorEastAsia"/>
          <w:highlight w:val="none"/>
        </w:rPr>
      </w:pPr>
    </w:p>
    <w:p w14:paraId="0A7FDB06">
      <w:pPr>
        <w:pStyle w:val="7"/>
        <w:adjustRightInd w:val="0"/>
        <w:snapToGrid w:val="0"/>
        <w:spacing w:beforeLines="20" w:afterLines="20" w:line="360" w:lineRule="auto"/>
        <w:ind w:right="-4" w:rightChars="-2"/>
        <w:rPr>
          <w:highlight w:val="none"/>
        </w:rPr>
      </w:pPr>
    </w:p>
    <w:p w14:paraId="34901CD3">
      <w:pPr>
        <w:pStyle w:val="11"/>
        <w:adjustRightInd w:val="0"/>
        <w:snapToGrid w:val="0"/>
        <w:spacing w:beforeLines="20" w:afterLines="20" w:line="360" w:lineRule="auto"/>
        <w:ind w:left="1239" w:leftChars="590" w:right="-4" w:rightChars="-2" w:firstLine="17" w:firstLineChars="6"/>
        <w:rPr>
          <w:rFonts w:ascii="仿宋" w:hAnsi="仿宋" w:eastAsia="仿宋"/>
          <w:b/>
          <w:bCs/>
          <w:sz w:val="28"/>
          <w:szCs w:val="28"/>
          <w:highlight w:val="none"/>
        </w:rPr>
      </w:pPr>
    </w:p>
    <w:p w14:paraId="0DA4BF5E">
      <w:pPr>
        <w:pStyle w:val="11"/>
        <w:adjustRightInd w:val="0"/>
        <w:snapToGrid w:val="0"/>
        <w:spacing w:beforeLines="20" w:afterLines="20" w:line="360" w:lineRule="auto"/>
        <w:ind w:left="1239" w:leftChars="590" w:right="-4" w:rightChars="-2" w:firstLine="17" w:firstLineChars="6"/>
        <w:rPr>
          <w:rFonts w:ascii="仿宋" w:hAnsi="仿宋" w:eastAsia="仿宋"/>
          <w:b/>
          <w:bCs/>
          <w:sz w:val="28"/>
          <w:szCs w:val="28"/>
          <w:highlight w:val="none"/>
        </w:rPr>
      </w:pPr>
      <w:r>
        <w:rPr>
          <w:rFonts w:hint="eastAsia" w:ascii="仿宋" w:hAnsi="仿宋" w:eastAsia="仿宋"/>
          <w:b/>
          <w:bCs/>
          <w:sz w:val="28"/>
          <w:szCs w:val="28"/>
          <w:highlight w:val="none"/>
        </w:rPr>
        <w:t>投标供应商：</w:t>
      </w:r>
      <w:r>
        <w:rPr>
          <w:rFonts w:hint="eastAsia" w:ascii="仿宋" w:hAnsi="仿宋" w:eastAsia="仿宋"/>
          <w:b/>
          <w:bCs/>
          <w:sz w:val="28"/>
          <w:szCs w:val="28"/>
          <w:highlight w:val="none"/>
          <w:u w:val="single"/>
        </w:rPr>
        <w:t xml:space="preserve">       （盖章）</w:t>
      </w:r>
    </w:p>
    <w:p w14:paraId="1332CCA5">
      <w:pPr>
        <w:pStyle w:val="11"/>
        <w:adjustRightInd w:val="0"/>
        <w:snapToGrid w:val="0"/>
        <w:spacing w:beforeLines="20" w:afterLines="20" w:line="360" w:lineRule="auto"/>
        <w:ind w:left="1239" w:leftChars="590" w:right="-4" w:rightChars="-2" w:firstLine="17" w:firstLineChars="6"/>
        <w:rPr>
          <w:rFonts w:ascii="仿宋" w:hAnsi="仿宋" w:eastAsia="仿宋"/>
          <w:b/>
          <w:bCs/>
          <w:sz w:val="28"/>
          <w:szCs w:val="28"/>
          <w:highlight w:val="none"/>
          <w:u w:val="single"/>
        </w:rPr>
      </w:pPr>
      <w:r>
        <w:rPr>
          <w:rFonts w:hint="eastAsia" w:ascii="仿宋" w:hAnsi="仿宋" w:eastAsia="仿宋"/>
          <w:b/>
          <w:bCs/>
          <w:sz w:val="28"/>
          <w:szCs w:val="28"/>
          <w:highlight w:val="none"/>
        </w:rPr>
        <w:t>投标供应商地址：</w:t>
      </w:r>
    </w:p>
    <w:p w14:paraId="765AD542">
      <w:pPr>
        <w:pStyle w:val="11"/>
        <w:adjustRightInd w:val="0"/>
        <w:snapToGrid w:val="0"/>
        <w:spacing w:beforeLines="20" w:afterLines="20" w:line="360" w:lineRule="auto"/>
        <w:ind w:left="1239" w:leftChars="590" w:right="-4" w:rightChars="-2" w:firstLine="17" w:firstLineChars="6"/>
        <w:rPr>
          <w:rFonts w:ascii="仿宋" w:hAnsi="仿宋" w:eastAsia="仿宋"/>
          <w:b/>
          <w:bCs/>
          <w:sz w:val="28"/>
          <w:szCs w:val="28"/>
          <w:highlight w:val="none"/>
          <w:u w:val="single"/>
        </w:rPr>
      </w:pPr>
      <w:r>
        <w:rPr>
          <w:rFonts w:hint="eastAsia" w:ascii="仿宋" w:hAnsi="仿宋" w:eastAsia="仿宋"/>
          <w:b/>
          <w:bCs/>
          <w:sz w:val="28"/>
          <w:szCs w:val="28"/>
          <w:highlight w:val="none"/>
        </w:rPr>
        <w:t>日  期：</w:t>
      </w:r>
    </w:p>
    <w:p w14:paraId="411BA84B">
      <w:pPr>
        <w:spacing w:line="440" w:lineRule="exact"/>
        <w:jc w:val="center"/>
        <w:rPr>
          <w:rStyle w:val="61"/>
          <w:rFonts w:hint="eastAsia" w:ascii="仿宋" w:hAnsi="仿宋" w:eastAsia="仿宋" w:cstheme="minorEastAsia"/>
          <w:b/>
          <w:kern w:val="0"/>
          <w:sz w:val="28"/>
          <w:szCs w:val="28"/>
          <w:highlight w:val="none"/>
        </w:rPr>
      </w:pPr>
    </w:p>
    <w:p w14:paraId="3B1DD120">
      <w:pPr>
        <w:spacing w:line="440" w:lineRule="exact"/>
        <w:jc w:val="center"/>
        <w:rPr>
          <w:rStyle w:val="61"/>
          <w:rFonts w:hint="eastAsia" w:ascii="仿宋" w:hAnsi="仿宋" w:eastAsia="仿宋" w:cstheme="minorEastAsia"/>
          <w:b/>
          <w:kern w:val="0"/>
          <w:sz w:val="28"/>
          <w:szCs w:val="28"/>
          <w:highlight w:val="none"/>
        </w:rPr>
      </w:pPr>
    </w:p>
    <w:p w14:paraId="448AA279">
      <w:pPr>
        <w:spacing w:line="440" w:lineRule="exact"/>
        <w:jc w:val="center"/>
        <w:rPr>
          <w:rStyle w:val="61"/>
          <w:rFonts w:ascii="仿宋" w:hAnsi="仿宋" w:eastAsia="仿宋" w:cstheme="minorEastAsia"/>
          <w:b/>
          <w:kern w:val="0"/>
          <w:sz w:val="28"/>
          <w:szCs w:val="28"/>
          <w:highlight w:val="none"/>
        </w:rPr>
      </w:pPr>
      <w:r>
        <w:rPr>
          <w:rStyle w:val="61"/>
          <w:rFonts w:hint="eastAsia" w:ascii="仿宋" w:hAnsi="仿宋" w:eastAsia="仿宋" w:cstheme="minorEastAsia"/>
          <w:b/>
          <w:kern w:val="0"/>
          <w:sz w:val="28"/>
          <w:szCs w:val="28"/>
          <w:highlight w:val="none"/>
        </w:rPr>
        <w:t>法定代表人（单位负责人）授权委托书</w:t>
      </w:r>
    </w:p>
    <w:p w14:paraId="0D7F141B">
      <w:pPr>
        <w:pStyle w:val="2"/>
        <w:rPr>
          <w:highlight w:val="none"/>
        </w:rPr>
      </w:pPr>
    </w:p>
    <w:p w14:paraId="401343B5">
      <w:pPr>
        <w:spacing w:line="440" w:lineRule="exact"/>
        <w:ind w:firstLine="645"/>
        <w:rPr>
          <w:rFonts w:ascii="仿宋" w:hAnsi="仿宋" w:eastAsia="仿宋"/>
          <w:b/>
          <w:sz w:val="24"/>
          <w:szCs w:val="24"/>
          <w:highlight w:val="none"/>
        </w:rPr>
      </w:pPr>
      <w:r>
        <w:rPr>
          <w:rFonts w:hint="eastAsia" w:ascii="仿宋" w:hAnsi="仿宋" w:eastAsia="仿宋"/>
          <w:b/>
          <w:sz w:val="24"/>
          <w:szCs w:val="24"/>
          <w:highlight w:val="none"/>
        </w:rPr>
        <w:t>致：寿县人民医院</w:t>
      </w:r>
    </w:p>
    <w:p w14:paraId="5BDB1FA9">
      <w:pPr>
        <w:spacing w:line="440" w:lineRule="exact"/>
        <w:ind w:firstLine="645"/>
        <w:rPr>
          <w:rFonts w:ascii="仿宋" w:hAnsi="仿宋" w:eastAsia="仿宋"/>
          <w:sz w:val="24"/>
          <w:szCs w:val="24"/>
          <w:highlight w:val="none"/>
        </w:rPr>
      </w:pPr>
      <w:r>
        <w:rPr>
          <w:rFonts w:hint="eastAsia" w:ascii="仿宋" w:hAnsi="仿宋" w:eastAsia="仿宋"/>
          <w:sz w:val="24"/>
          <w:szCs w:val="24"/>
          <w:highlight w:val="none"/>
        </w:rPr>
        <w:t>本授权书声明：公司（工厂）的（法人代表姓名、职务）代表本公司（工厂）授权（被授权人的姓名、职务）为本公司（工厂）的合法代理人，参加采购项目的采购、合同签订，以及合同执行等活动，其可以本公司名义处理一切与之有关的事务。</w:t>
      </w:r>
    </w:p>
    <w:p w14:paraId="201822BA">
      <w:pPr>
        <w:spacing w:line="440" w:lineRule="exact"/>
        <w:ind w:firstLine="645"/>
        <w:rPr>
          <w:rFonts w:ascii="仿宋" w:hAnsi="仿宋" w:eastAsia="仿宋"/>
          <w:sz w:val="24"/>
          <w:szCs w:val="24"/>
          <w:highlight w:val="none"/>
        </w:rPr>
      </w:pPr>
      <w:r>
        <w:rPr>
          <w:rFonts w:hint="eastAsia" w:ascii="仿宋" w:hAnsi="仿宋" w:eastAsia="仿宋"/>
          <w:sz w:val="24"/>
          <w:szCs w:val="24"/>
          <w:highlight w:val="none"/>
        </w:rPr>
        <w:t>特此声明。</w:t>
      </w:r>
    </w:p>
    <w:p w14:paraId="54DFBC9F">
      <w:pPr>
        <w:spacing w:line="440" w:lineRule="exact"/>
        <w:ind w:firstLine="645"/>
        <w:rPr>
          <w:rFonts w:ascii="仿宋" w:hAnsi="仿宋" w:eastAsia="仿宋"/>
          <w:sz w:val="24"/>
          <w:szCs w:val="24"/>
          <w:highlight w:val="none"/>
        </w:rPr>
      </w:pPr>
    </w:p>
    <w:p w14:paraId="6B918E91">
      <w:pPr>
        <w:spacing w:line="440" w:lineRule="exact"/>
        <w:ind w:firstLine="645"/>
        <w:rPr>
          <w:rFonts w:ascii="仿宋" w:hAnsi="仿宋" w:eastAsia="仿宋"/>
          <w:sz w:val="24"/>
          <w:szCs w:val="24"/>
          <w:highlight w:val="none"/>
          <w:u w:val="single"/>
        </w:rPr>
      </w:pPr>
      <w:r>
        <w:rPr>
          <w:rFonts w:hint="eastAsia" w:ascii="仿宋" w:hAnsi="仿宋" w:eastAsia="仿宋"/>
          <w:sz w:val="24"/>
          <w:szCs w:val="24"/>
          <w:highlight w:val="none"/>
        </w:rPr>
        <w:t>法人代表（投标单位负责人）（签字或盖章）：</w:t>
      </w:r>
    </w:p>
    <w:p w14:paraId="44C6A975">
      <w:pPr>
        <w:spacing w:line="440" w:lineRule="exact"/>
        <w:ind w:firstLine="645"/>
        <w:rPr>
          <w:rFonts w:ascii="仿宋" w:hAnsi="仿宋" w:eastAsia="仿宋"/>
          <w:sz w:val="24"/>
          <w:szCs w:val="24"/>
          <w:highlight w:val="none"/>
        </w:rPr>
      </w:pPr>
      <w:r>
        <w:rPr>
          <w:rFonts w:hint="eastAsia" w:ascii="仿宋" w:hAnsi="仿宋" w:eastAsia="仿宋"/>
          <w:sz w:val="24"/>
          <w:szCs w:val="24"/>
          <w:highlight w:val="none"/>
        </w:rPr>
        <w:t>职    务：</w:t>
      </w:r>
    </w:p>
    <w:p w14:paraId="747789E3">
      <w:pPr>
        <w:spacing w:line="440" w:lineRule="exact"/>
        <w:ind w:firstLine="645"/>
        <w:rPr>
          <w:rFonts w:ascii="仿宋" w:hAnsi="仿宋" w:eastAsia="仿宋"/>
          <w:sz w:val="24"/>
          <w:szCs w:val="24"/>
          <w:highlight w:val="none"/>
          <w:u w:val="single"/>
        </w:rPr>
      </w:pPr>
      <w:r>
        <w:rPr>
          <w:rFonts w:hint="eastAsia" w:ascii="仿宋" w:hAnsi="仿宋" w:eastAsia="仿宋"/>
          <w:sz w:val="24"/>
          <w:szCs w:val="24"/>
          <w:highlight w:val="none"/>
        </w:rPr>
        <w:t>供应商名称（盖章）：</w:t>
      </w:r>
    </w:p>
    <w:p w14:paraId="40068B71">
      <w:pPr>
        <w:spacing w:line="440" w:lineRule="exact"/>
        <w:ind w:firstLine="645"/>
        <w:rPr>
          <w:rFonts w:ascii="仿宋" w:hAnsi="仿宋" w:eastAsia="仿宋"/>
          <w:sz w:val="24"/>
          <w:szCs w:val="24"/>
          <w:highlight w:val="none"/>
          <w:u w:val="single"/>
        </w:rPr>
      </w:pPr>
      <w:r>
        <w:rPr>
          <w:rFonts w:hint="eastAsia" w:ascii="仿宋" w:hAnsi="仿宋" w:eastAsia="仿宋"/>
          <w:sz w:val="24"/>
          <w:szCs w:val="24"/>
          <w:highlight w:val="none"/>
        </w:rPr>
        <w:t>地    址：</w:t>
      </w:r>
    </w:p>
    <w:p w14:paraId="154407AC">
      <w:pPr>
        <w:spacing w:line="440" w:lineRule="exact"/>
        <w:ind w:firstLine="645"/>
        <w:rPr>
          <w:rFonts w:ascii="仿宋" w:hAnsi="仿宋" w:eastAsia="仿宋"/>
          <w:sz w:val="24"/>
          <w:szCs w:val="24"/>
          <w:highlight w:val="none"/>
          <w:u w:val="single"/>
        </w:rPr>
      </w:pPr>
      <w:r>
        <w:rPr>
          <w:rFonts w:hint="eastAsia" w:ascii="仿宋" w:hAnsi="仿宋" w:eastAsia="仿宋"/>
          <w:sz w:val="24"/>
          <w:szCs w:val="24"/>
          <w:highlight w:val="none"/>
        </w:rPr>
        <w:t>日    期：</w:t>
      </w:r>
    </w:p>
    <w:p w14:paraId="46755012">
      <w:pPr>
        <w:spacing w:line="500" w:lineRule="exact"/>
        <w:ind w:firstLine="600" w:firstLineChars="250"/>
        <w:rPr>
          <w:rFonts w:ascii="仿宋" w:hAnsi="仿宋" w:eastAsia="仿宋"/>
          <w:sz w:val="24"/>
          <w:szCs w:val="24"/>
          <w:highlight w:val="none"/>
          <w:u w:val="single"/>
        </w:rPr>
      </w:pPr>
      <w:r>
        <w:rPr>
          <w:rFonts w:hint="eastAsia" w:ascii="仿宋" w:hAnsi="仿宋" w:eastAsia="仿宋"/>
          <w:sz w:val="24"/>
          <w:szCs w:val="24"/>
          <w:highlight w:val="none"/>
        </w:rPr>
        <w:t>代理人（被授权人）手机号码：</w:t>
      </w:r>
    </w:p>
    <w:p w14:paraId="4D12D438">
      <w:pPr>
        <w:spacing w:line="500" w:lineRule="exact"/>
        <w:ind w:firstLine="600" w:firstLineChars="250"/>
        <w:rPr>
          <w:rFonts w:ascii="仿宋" w:hAnsi="仿宋" w:eastAsia="仿宋"/>
          <w:sz w:val="24"/>
          <w:szCs w:val="24"/>
          <w:highlight w:val="none"/>
          <w:u w:val="single"/>
        </w:rPr>
      </w:pPr>
      <w:r>
        <w:rPr>
          <w:rFonts w:hint="eastAsia" w:ascii="仿宋" w:hAnsi="仿宋" w:eastAsia="仿宋"/>
          <w:sz w:val="24"/>
          <w:szCs w:val="24"/>
          <w:highlight w:val="none"/>
        </w:rPr>
        <w:t>电子邮箱：</w:t>
      </w:r>
    </w:p>
    <w:p w14:paraId="7F56E07E">
      <w:pPr>
        <w:spacing w:line="440" w:lineRule="exact"/>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附：委托代理人身份证正反面复印件或扫描件</w:t>
      </w:r>
    </w:p>
    <w:p w14:paraId="39781E91">
      <w:pPr>
        <w:spacing w:line="460" w:lineRule="exact"/>
        <w:ind w:firstLine="2409" w:firstLineChars="1000"/>
        <w:rPr>
          <w:rStyle w:val="61"/>
          <w:rFonts w:ascii="仿宋" w:hAnsi="仿宋" w:eastAsia="仿宋" w:cstheme="minorEastAsia"/>
          <w:b/>
          <w:kern w:val="0"/>
          <w:sz w:val="24"/>
          <w:szCs w:val="24"/>
          <w:highlight w:val="none"/>
        </w:rPr>
      </w:pPr>
    </w:p>
    <w:p w14:paraId="7206EC8D">
      <w:pPr>
        <w:spacing w:line="460" w:lineRule="exact"/>
        <w:ind w:firstLine="2409" w:firstLineChars="1000"/>
        <w:rPr>
          <w:rStyle w:val="61"/>
          <w:rFonts w:ascii="仿宋" w:hAnsi="仿宋" w:eastAsia="仿宋" w:cstheme="minorEastAsia"/>
          <w:b/>
          <w:sz w:val="24"/>
          <w:szCs w:val="24"/>
          <w:highlight w:val="none"/>
        </w:rPr>
      </w:pPr>
      <w:r>
        <w:rPr>
          <w:rStyle w:val="61"/>
          <w:rFonts w:hint="eastAsia" w:ascii="仿宋" w:hAnsi="仿宋" w:eastAsia="仿宋" w:cstheme="minorEastAsia"/>
          <w:b/>
          <w:kern w:val="0"/>
          <w:sz w:val="24"/>
          <w:szCs w:val="24"/>
          <w:highlight w:val="none"/>
        </w:rPr>
        <w:t>法定代表人（单位负责人）身份证明</w:t>
      </w:r>
    </w:p>
    <w:p w14:paraId="04176CF7">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单位名称：</w:t>
      </w:r>
    </w:p>
    <w:p w14:paraId="63765644">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单位性质：</w:t>
      </w:r>
    </w:p>
    <w:p w14:paraId="7962FC17">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地    址：</w:t>
      </w:r>
    </w:p>
    <w:p w14:paraId="339ED9A6">
      <w:pPr>
        <w:spacing w:line="460" w:lineRule="exact"/>
        <w:ind w:firstLine="480" w:firstLineChars="200"/>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成立时间：年月日</w:t>
      </w:r>
    </w:p>
    <w:p w14:paraId="0F9AD908">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经营期限：</w:t>
      </w:r>
    </w:p>
    <w:p w14:paraId="4D1281C4">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姓    名： 性别：</w:t>
      </w:r>
    </w:p>
    <w:p w14:paraId="3B1C1B75">
      <w:pPr>
        <w:spacing w:line="460" w:lineRule="exact"/>
        <w:ind w:firstLine="480" w:firstLineChars="200"/>
        <w:rPr>
          <w:rStyle w:val="61"/>
          <w:rFonts w:ascii="仿宋" w:hAnsi="仿宋" w:eastAsia="仿宋" w:cstheme="minorEastAsia"/>
          <w:sz w:val="24"/>
          <w:szCs w:val="24"/>
          <w:highlight w:val="none"/>
          <w:u w:val="single"/>
        </w:rPr>
      </w:pPr>
      <w:r>
        <w:rPr>
          <w:rStyle w:val="61"/>
          <w:rFonts w:hint="eastAsia" w:ascii="仿宋" w:hAnsi="仿宋" w:eastAsia="仿宋" w:cstheme="minorEastAsia"/>
          <w:sz w:val="24"/>
          <w:szCs w:val="24"/>
          <w:highlight w:val="none"/>
        </w:rPr>
        <w:t>年    龄： 职务：</w:t>
      </w:r>
    </w:p>
    <w:p w14:paraId="71DCB0C1">
      <w:pPr>
        <w:spacing w:line="460" w:lineRule="exact"/>
        <w:ind w:firstLine="480" w:firstLineChars="200"/>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系</w:t>
      </w:r>
      <w:r>
        <w:rPr>
          <w:rStyle w:val="61"/>
          <w:rFonts w:hint="eastAsia" w:ascii="仿宋" w:hAnsi="仿宋" w:eastAsia="仿宋" w:cstheme="minorEastAsia"/>
          <w:sz w:val="24"/>
          <w:szCs w:val="24"/>
          <w:highlight w:val="none"/>
          <w:u w:val="single" w:color="000000"/>
        </w:rPr>
        <w:t xml:space="preserve">          （供应商单位名称）     </w:t>
      </w:r>
      <w:r>
        <w:rPr>
          <w:rStyle w:val="61"/>
          <w:rFonts w:hint="eastAsia" w:ascii="仿宋" w:hAnsi="仿宋" w:eastAsia="仿宋" w:cstheme="minorEastAsia"/>
          <w:sz w:val="24"/>
          <w:szCs w:val="24"/>
          <w:highlight w:val="none"/>
        </w:rPr>
        <w:t>的法定代表人（单位负责人）</w:t>
      </w:r>
    </w:p>
    <w:p w14:paraId="72FDE40F">
      <w:pPr>
        <w:spacing w:line="460" w:lineRule="exact"/>
        <w:ind w:firstLine="480" w:firstLineChars="200"/>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特此证明。</w:t>
      </w:r>
    </w:p>
    <w:p w14:paraId="2A8D5974">
      <w:pPr>
        <w:spacing w:line="460" w:lineRule="exact"/>
        <w:ind w:right="480"/>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 xml:space="preserve">    供应商：</w:t>
      </w:r>
      <w:r>
        <w:rPr>
          <w:rStyle w:val="61"/>
          <w:rFonts w:hint="eastAsia" w:ascii="仿宋" w:hAnsi="仿宋" w:eastAsia="仿宋" w:cstheme="minorEastAsia"/>
          <w:sz w:val="24"/>
          <w:szCs w:val="24"/>
          <w:highlight w:val="none"/>
          <w:u w:val="single" w:color="000000"/>
        </w:rPr>
        <w:t xml:space="preserve">             （盖公章）</w:t>
      </w:r>
    </w:p>
    <w:p w14:paraId="00BA491C">
      <w:pPr>
        <w:spacing w:line="460" w:lineRule="exact"/>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 xml:space="preserve">    日  期：年月日</w:t>
      </w:r>
    </w:p>
    <w:p w14:paraId="738ACB0D">
      <w:pPr>
        <w:spacing w:line="460" w:lineRule="exact"/>
        <w:ind w:firstLine="480" w:firstLineChars="200"/>
        <w:rPr>
          <w:rStyle w:val="61"/>
          <w:rFonts w:ascii="仿宋" w:hAnsi="仿宋" w:eastAsia="仿宋" w:cstheme="minorEastAsia"/>
          <w:sz w:val="24"/>
          <w:szCs w:val="24"/>
          <w:highlight w:val="none"/>
        </w:rPr>
      </w:pPr>
      <w:r>
        <w:rPr>
          <w:rStyle w:val="61"/>
          <w:rFonts w:hint="eastAsia" w:ascii="仿宋" w:hAnsi="仿宋" w:eastAsia="仿宋" w:cstheme="minorEastAsia"/>
          <w:sz w:val="24"/>
          <w:szCs w:val="24"/>
          <w:highlight w:val="none"/>
        </w:rPr>
        <w:t>附：法定代表人（单位负责人）身份证正反面复印件或扫描件</w:t>
      </w:r>
    </w:p>
    <w:p w14:paraId="2928B979">
      <w:pPr>
        <w:spacing w:line="360" w:lineRule="auto"/>
        <w:rPr>
          <w:rFonts w:ascii="宋体" w:hAnsiTheme="majorHAnsi" w:cstheme="majorBidi"/>
          <w:b/>
          <w:bCs/>
          <w:sz w:val="24"/>
          <w:szCs w:val="32"/>
          <w:highlight w:val="none"/>
        </w:rPr>
      </w:pPr>
    </w:p>
    <w:p w14:paraId="71860784">
      <w:pPr>
        <w:spacing w:line="360" w:lineRule="auto"/>
        <w:ind w:firstLine="482" w:firstLineChars="200"/>
        <w:jc w:val="center"/>
        <w:rPr>
          <w:rFonts w:ascii="宋体" w:hAnsiTheme="majorHAnsi" w:cstheme="majorBidi"/>
          <w:b/>
          <w:bCs/>
          <w:sz w:val="24"/>
          <w:szCs w:val="32"/>
          <w:highlight w:val="none"/>
        </w:rPr>
      </w:pPr>
    </w:p>
    <w:p w14:paraId="4959FDB2">
      <w:pPr>
        <w:pStyle w:val="2"/>
        <w:snapToGrid w:val="0"/>
        <w:spacing w:line="420" w:lineRule="atLeast"/>
        <w:ind w:firstLine="0"/>
        <w:jc w:val="center"/>
        <w:rPr>
          <w:rFonts w:ascii="仿宋" w:hAnsi="仿宋" w:eastAsia="仿宋" w:cs="仿宋"/>
          <w:b/>
          <w:bCs/>
          <w:color w:val="000000" w:themeColor="text1"/>
          <w:sz w:val="28"/>
          <w:szCs w:val="28"/>
          <w:highlight w:val="none"/>
          <w:lang w:val="zh-CN"/>
        </w:rPr>
      </w:pPr>
      <w:r>
        <w:rPr>
          <w:rFonts w:hint="eastAsia" w:ascii="仿宋" w:hAnsi="仿宋" w:eastAsia="仿宋" w:cs="仿宋"/>
          <w:b/>
          <w:bCs/>
          <w:color w:val="000000" w:themeColor="text1"/>
          <w:sz w:val="32"/>
          <w:szCs w:val="32"/>
          <w:highlight w:val="none"/>
          <w:lang w:val="zh-CN"/>
        </w:rPr>
        <w:t>投标报价表</w:t>
      </w:r>
    </w:p>
    <w:p w14:paraId="3166B7F6">
      <w:pPr>
        <w:spacing w:line="360" w:lineRule="auto"/>
        <w:rPr>
          <w:rFonts w:ascii="仿宋" w:hAnsi="仿宋" w:eastAsia="仿宋" w:cs="仿宋"/>
          <w:b/>
          <w:color w:val="000000" w:themeColor="text1"/>
          <w:sz w:val="28"/>
          <w:szCs w:val="28"/>
          <w:highlight w:val="none"/>
        </w:rPr>
      </w:pPr>
      <w:r>
        <w:rPr>
          <w:rFonts w:hint="eastAsia" w:ascii="仿宋" w:hAnsi="仿宋" w:eastAsia="仿宋" w:cs="仿宋"/>
          <w:b/>
          <w:color w:val="000000" w:themeColor="text1"/>
          <w:sz w:val="28"/>
          <w:szCs w:val="28"/>
          <w:highlight w:val="none"/>
        </w:rPr>
        <w:t xml:space="preserve">                                                  单位：%</w:t>
      </w:r>
    </w:p>
    <w:tbl>
      <w:tblPr>
        <w:tblStyle w:val="30"/>
        <w:tblW w:w="10275"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631"/>
        <w:gridCol w:w="2551"/>
        <w:gridCol w:w="2410"/>
        <w:gridCol w:w="1843"/>
      </w:tblGrid>
      <w:tr w14:paraId="3D04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0" w:type="dxa"/>
            <w:tcBorders>
              <w:top w:val="single" w:color="auto" w:sz="4" w:space="0"/>
              <w:left w:val="single" w:color="auto" w:sz="4" w:space="0"/>
              <w:bottom w:val="single" w:color="auto" w:sz="4" w:space="0"/>
              <w:right w:val="single" w:color="auto" w:sz="4" w:space="0"/>
            </w:tcBorders>
            <w:vAlign w:val="center"/>
          </w:tcPr>
          <w:p w14:paraId="380CCF82">
            <w:pPr>
              <w:spacing w:line="360" w:lineRule="auto"/>
              <w:rPr>
                <w:rFonts w:ascii="仿宋" w:hAnsi="仿宋" w:eastAsia="仿宋" w:cs="仿宋"/>
                <w:b/>
                <w:color w:val="000000" w:themeColor="text1"/>
                <w:sz w:val="28"/>
                <w:szCs w:val="28"/>
                <w:highlight w:val="none"/>
              </w:rPr>
            </w:pPr>
            <w:r>
              <w:rPr>
                <w:rFonts w:hint="eastAsia" w:ascii="仿宋" w:hAnsi="仿宋" w:eastAsia="仿宋" w:cs="仿宋"/>
                <w:b/>
                <w:color w:val="000000" w:themeColor="text1"/>
                <w:sz w:val="28"/>
                <w:szCs w:val="28"/>
                <w:highlight w:val="none"/>
              </w:rPr>
              <w:t>序号</w:t>
            </w:r>
          </w:p>
        </w:tc>
        <w:tc>
          <w:tcPr>
            <w:tcW w:w="2631" w:type="dxa"/>
            <w:tcBorders>
              <w:top w:val="single" w:color="auto" w:sz="4" w:space="0"/>
              <w:left w:val="single" w:color="auto" w:sz="4" w:space="0"/>
              <w:bottom w:val="single" w:color="auto" w:sz="4" w:space="0"/>
              <w:right w:val="single" w:color="auto" w:sz="4" w:space="0"/>
            </w:tcBorders>
            <w:vAlign w:val="center"/>
          </w:tcPr>
          <w:p w14:paraId="4002B2B0">
            <w:pPr>
              <w:spacing w:line="360" w:lineRule="auto"/>
              <w:jc w:val="center"/>
              <w:rPr>
                <w:rFonts w:ascii="仿宋" w:hAnsi="仿宋" w:eastAsia="仿宋" w:cs="仿宋"/>
                <w:b/>
                <w:color w:val="000000" w:themeColor="text1"/>
                <w:sz w:val="28"/>
                <w:szCs w:val="28"/>
                <w:highlight w:val="none"/>
              </w:rPr>
            </w:pPr>
            <w:r>
              <w:rPr>
                <w:rFonts w:hint="eastAsia" w:ascii="仿宋" w:hAnsi="仿宋" w:eastAsia="仿宋" w:cs="仿宋"/>
                <w:b/>
                <w:color w:val="000000" w:themeColor="text1"/>
                <w:sz w:val="28"/>
                <w:szCs w:val="28"/>
                <w:highlight w:val="none"/>
              </w:rPr>
              <w:t>项目名称</w:t>
            </w:r>
          </w:p>
        </w:tc>
        <w:tc>
          <w:tcPr>
            <w:tcW w:w="2551" w:type="dxa"/>
            <w:tcBorders>
              <w:top w:val="single" w:color="auto" w:sz="4" w:space="0"/>
              <w:left w:val="single" w:color="auto" w:sz="4" w:space="0"/>
              <w:bottom w:val="single" w:color="auto" w:sz="4" w:space="0"/>
              <w:right w:val="single" w:color="auto" w:sz="4" w:space="0"/>
            </w:tcBorders>
            <w:vAlign w:val="center"/>
          </w:tcPr>
          <w:p w14:paraId="0B315B4C">
            <w:pPr>
              <w:spacing w:line="360" w:lineRule="auto"/>
              <w:jc w:val="center"/>
              <w:rPr>
                <w:rFonts w:ascii="仿宋" w:hAnsi="仿宋" w:eastAsia="仿宋" w:cs="仿宋"/>
                <w:b/>
                <w:color w:val="000000" w:themeColor="text1"/>
                <w:sz w:val="28"/>
                <w:szCs w:val="28"/>
                <w:highlight w:val="none"/>
              </w:rPr>
            </w:pPr>
            <w:r>
              <w:rPr>
                <w:rFonts w:ascii="仿宋" w:hAnsi="仿宋" w:eastAsia="仿宋" w:cs="仿宋"/>
                <w:b/>
                <w:color w:val="000000" w:themeColor="text1"/>
                <w:sz w:val="28"/>
                <w:szCs w:val="28"/>
                <w:highlight w:val="none"/>
              </w:rPr>
              <w:t>服务需求</w:t>
            </w:r>
          </w:p>
        </w:tc>
        <w:tc>
          <w:tcPr>
            <w:tcW w:w="2410" w:type="dxa"/>
            <w:tcBorders>
              <w:top w:val="single" w:color="auto" w:sz="4" w:space="0"/>
              <w:left w:val="single" w:color="auto" w:sz="4" w:space="0"/>
              <w:right w:val="single" w:color="auto" w:sz="4" w:space="0"/>
            </w:tcBorders>
            <w:vAlign w:val="center"/>
          </w:tcPr>
          <w:p w14:paraId="6C2EB1EE">
            <w:pPr>
              <w:spacing w:line="360" w:lineRule="auto"/>
              <w:jc w:val="center"/>
              <w:rPr>
                <w:rFonts w:ascii="仿宋" w:hAnsi="仿宋" w:eastAsia="仿宋" w:cs="仿宋"/>
                <w:b/>
                <w:color w:val="000000" w:themeColor="text1"/>
                <w:sz w:val="28"/>
                <w:szCs w:val="28"/>
                <w:highlight w:val="none"/>
              </w:rPr>
            </w:pPr>
            <w:r>
              <w:rPr>
                <w:rFonts w:ascii="仿宋" w:hAnsi="仿宋" w:eastAsia="仿宋" w:cs="仿宋"/>
                <w:b/>
                <w:color w:val="000000" w:themeColor="text1"/>
                <w:sz w:val="28"/>
                <w:szCs w:val="28"/>
                <w:highlight w:val="none"/>
              </w:rPr>
              <w:t>费率</w:t>
            </w:r>
          </w:p>
        </w:tc>
        <w:tc>
          <w:tcPr>
            <w:tcW w:w="1843" w:type="dxa"/>
            <w:tcBorders>
              <w:top w:val="single" w:color="auto" w:sz="4" w:space="0"/>
              <w:left w:val="single" w:color="auto" w:sz="4" w:space="0"/>
              <w:bottom w:val="single" w:color="auto" w:sz="4" w:space="0"/>
              <w:right w:val="single" w:color="auto" w:sz="4" w:space="0"/>
            </w:tcBorders>
            <w:vAlign w:val="center"/>
          </w:tcPr>
          <w:p w14:paraId="1059F456">
            <w:pPr>
              <w:spacing w:line="360" w:lineRule="auto"/>
              <w:rPr>
                <w:rFonts w:ascii="仿宋" w:hAnsi="仿宋" w:eastAsia="仿宋" w:cs="仿宋"/>
                <w:b/>
                <w:color w:val="000000" w:themeColor="text1"/>
                <w:sz w:val="28"/>
                <w:szCs w:val="28"/>
                <w:highlight w:val="none"/>
              </w:rPr>
            </w:pPr>
            <w:r>
              <w:rPr>
                <w:rFonts w:hint="eastAsia" w:ascii="仿宋" w:hAnsi="仿宋" w:eastAsia="仿宋" w:cs="仿宋"/>
                <w:b/>
                <w:color w:val="000000" w:themeColor="text1"/>
                <w:sz w:val="28"/>
                <w:szCs w:val="28"/>
                <w:highlight w:val="none"/>
              </w:rPr>
              <w:t>备 注</w:t>
            </w:r>
          </w:p>
        </w:tc>
      </w:tr>
      <w:tr w14:paraId="515B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5" w:hRule="atLeast"/>
        </w:trPr>
        <w:tc>
          <w:tcPr>
            <w:tcW w:w="840" w:type="dxa"/>
            <w:tcBorders>
              <w:top w:val="single" w:color="auto" w:sz="4" w:space="0"/>
              <w:left w:val="single" w:color="auto" w:sz="4" w:space="0"/>
              <w:right w:val="single" w:color="auto" w:sz="4" w:space="0"/>
            </w:tcBorders>
            <w:vAlign w:val="center"/>
          </w:tcPr>
          <w:p w14:paraId="3FFBB478">
            <w:pPr>
              <w:spacing w:line="360" w:lineRule="auto"/>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1</w:t>
            </w:r>
          </w:p>
        </w:tc>
        <w:tc>
          <w:tcPr>
            <w:tcW w:w="2631" w:type="dxa"/>
            <w:tcBorders>
              <w:top w:val="single" w:color="auto" w:sz="4" w:space="0"/>
              <w:left w:val="single" w:color="auto" w:sz="4" w:space="0"/>
              <w:right w:val="single" w:color="auto" w:sz="4" w:space="0"/>
            </w:tcBorders>
            <w:vAlign w:val="center"/>
          </w:tcPr>
          <w:p w14:paraId="5F2750C4">
            <w:pPr>
              <w:spacing w:line="360" w:lineRule="auto"/>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寿县人民医院定制式义齿外加工服务采购项目</w:t>
            </w:r>
          </w:p>
        </w:tc>
        <w:tc>
          <w:tcPr>
            <w:tcW w:w="2551" w:type="dxa"/>
            <w:tcBorders>
              <w:top w:val="single" w:color="auto" w:sz="4" w:space="0"/>
              <w:left w:val="single" w:color="auto" w:sz="4" w:space="0"/>
              <w:right w:val="single" w:color="auto" w:sz="4" w:space="0"/>
            </w:tcBorders>
            <w:vAlign w:val="center"/>
          </w:tcPr>
          <w:p w14:paraId="13520E40">
            <w:pPr>
              <w:spacing w:line="360" w:lineRule="auto"/>
              <w:rPr>
                <w:rFonts w:ascii="仿宋" w:hAnsi="仿宋" w:eastAsia="仿宋" w:cs="仿宋"/>
                <w:color w:val="000000" w:themeColor="text1"/>
                <w:sz w:val="28"/>
                <w:szCs w:val="28"/>
                <w:highlight w:val="none"/>
              </w:rPr>
            </w:pPr>
            <w:r>
              <w:rPr>
                <w:rFonts w:ascii="仿宋" w:hAnsi="仿宋" w:eastAsia="仿宋" w:cs="仿宋"/>
                <w:color w:val="000000" w:themeColor="text1"/>
                <w:sz w:val="28"/>
                <w:szCs w:val="28"/>
                <w:highlight w:val="none"/>
              </w:rPr>
              <w:t>完全响应服务需求中所有要求</w:t>
            </w:r>
          </w:p>
        </w:tc>
        <w:tc>
          <w:tcPr>
            <w:tcW w:w="2410" w:type="dxa"/>
            <w:tcBorders>
              <w:left w:val="single" w:color="auto" w:sz="4" w:space="0"/>
              <w:right w:val="single" w:color="auto" w:sz="4" w:space="0"/>
            </w:tcBorders>
            <w:vAlign w:val="center"/>
          </w:tcPr>
          <w:p w14:paraId="7ECD2AC1">
            <w:pPr>
              <w:spacing w:line="360" w:lineRule="auto"/>
              <w:rPr>
                <w:rFonts w:ascii="仿宋" w:hAnsi="仿宋" w:eastAsia="仿宋" w:cs="仿宋"/>
                <w:color w:val="000000" w:themeColor="text1"/>
                <w:sz w:val="28"/>
                <w:szCs w:val="28"/>
                <w:highlight w:val="none"/>
              </w:rPr>
            </w:pPr>
            <w:r>
              <w:rPr>
                <w:rFonts w:hint="eastAsia" w:ascii="仿宋" w:hAnsi="仿宋" w:eastAsia="仿宋" w:cs="仿宋"/>
                <w:b/>
                <w:color w:val="000000" w:themeColor="text1"/>
                <w:sz w:val="28"/>
                <w:szCs w:val="28"/>
                <w:highlight w:val="none"/>
              </w:rPr>
              <w:t>综合</w:t>
            </w:r>
            <w:r>
              <w:rPr>
                <w:rFonts w:ascii="仿宋" w:hAnsi="仿宋" w:eastAsia="仿宋" w:cs="仿宋"/>
                <w:b/>
                <w:color w:val="000000" w:themeColor="text1"/>
                <w:sz w:val="28"/>
                <w:szCs w:val="28"/>
                <w:highlight w:val="none"/>
              </w:rPr>
              <w:t>费率</w:t>
            </w:r>
            <w:r>
              <w:rPr>
                <w:rFonts w:hint="eastAsia" w:ascii="仿宋" w:hAnsi="仿宋" w:eastAsia="仿宋" w:cs="仿宋"/>
                <w:b/>
                <w:color w:val="000000" w:themeColor="text1"/>
                <w:sz w:val="28"/>
                <w:szCs w:val="28"/>
                <w:highlight w:val="none"/>
                <w:u w:val="single"/>
              </w:rPr>
              <w:t xml:space="preserve">      %</w:t>
            </w:r>
          </w:p>
        </w:tc>
        <w:tc>
          <w:tcPr>
            <w:tcW w:w="1843" w:type="dxa"/>
            <w:tcBorders>
              <w:top w:val="single" w:color="auto" w:sz="4" w:space="0"/>
              <w:left w:val="single" w:color="auto" w:sz="4" w:space="0"/>
            </w:tcBorders>
            <w:vAlign w:val="center"/>
          </w:tcPr>
          <w:p w14:paraId="25BC1B43">
            <w:pPr>
              <w:spacing w:line="360" w:lineRule="auto"/>
              <w:rPr>
                <w:rFonts w:ascii="仿宋" w:hAnsi="仿宋" w:eastAsia="仿宋" w:cs="仿宋"/>
                <w:color w:val="000000" w:themeColor="text1"/>
                <w:sz w:val="28"/>
                <w:szCs w:val="28"/>
                <w:highlight w:val="none"/>
              </w:rPr>
            </w:pPr>
          </w:p>
        </w:tc>
      </w:tr>
    </w:tbl>
    <w:p w14:paraId="479978DA">
      <w:pPr>
        <w:spacing w:line="360" w:lineRule="auto"/>
        <w:rPr>
          <w:rFonts w:ascii="仿宋" w:hAnsi="仿宋" w:eastAsia="仿宋" w:cs="仿宋"/>
          <w:color w:val="000000" w:themeColor="text1"/>
          <w:sz w:val="28"/>
          <w:szCs w:val="28"/>
          <w:highlight w:val="none"/>
          <w:u w:val="single"/>
        </w:rPr>
      </w:pPr>
      <w:r>
        <w:rPr>
          <w:rFonts w:hint="eastAsia" w:ascii="仿宋" w:hAnsi="仿宋" w:eastAsia="仿宋" w:cs="仿宋"/>
          <w:color w:val="000000" w:themeColor="text1"/>
          <w:sz w:val="28"/>
          <w:szCs w:val="28"/>
          <w:highlight w:val="none"/>
        </w:rPr>
        <w:t>投标供应商：</w:t>
      </w:r>
      <w:r>
        <w:rPr>
          <w:rFonts w:hint="eastAsia" w:ascii="仿宋" w:hAnsi="仿宋" w:eastAsia="仿宋" w:cs="仿宋"/>
          <w:color w:val="000000" w:themeColor="text1"/>
          <w:sz w:val="28"/>
          <w:szCs w:val="28"/>
          <w:highlight w:val="none"/>
          <w:u w:val="single"/>
        </w:rPr>
        <w:t xml:space="preserve">（签章）  </w:t>
      </w:r>
      <w:r>
        <w:rPr>
          <w:rFonts w:hint="eastAsia" w:ascii="仿宋" w:hAnsi="仿宋" w:eastAsia="仿宋" w:cs="仿宋"/>
          <w:color w:val="000000" w:themeColor="text1"/>
          <w:sz w:val="28"/>
          <w:szCs w:val="28"/>
          <w:highlight w:val="none"/>
        </w:rPr>
        <w:t xml:space="preserve">      法定代表人或其委托代理人：</w:t>
      </w:r>
      <w:r>
        <w:rPr>
          <w:rFonts w:hint="eastAsia" w:ascii="仿宋" w:hAnsi="仿宋" w:eastAsia="仿宋" w:cs="仿宋"/>
          <w:color w:val="000000" w:themeColor="text1"/>
          <w:sz w:val="28"/>
          <w:szCs w:val="28"/>
          <w:highlight w:val="none"/>
          <w:u w:val="single"/>
        </w:rPr>
        <w:t>（签章）</w:t>
      </w:r>
    </w:p>
    <w:p w14:paraId="39051DC4">
      <w:pPr>
        <w:spacing w:line="360" w:lineRule="auto"/>
        <w:rPr>
          <w:rFonts w:ascii="仿宋" w:hAnsi="仿宋" w:eastAsia="仿宋" w:cs="仿宋"/>
          <w:b/>
          <w:color w:val="000000" w:themeColor="text1"/>
          <w:sz w:val="28"/>
          <w:szCs w:val="28"/>
          <w:highlight w:val="none"/>
        </w:rPr>
      </w:pPr>
      <w:r>
        <w:rPr>
          <w:rFonts w:hint="eastAsia" w:ascii="仿宋" w:hAnsi="仿宋" w:eastAsia="仿宋" w:cs="仿宋"/>
          <w:color w:val="000000" w:themeColor="text1"/>
          <w:sz w:val="28"/>
          <w:szCs w:val="28"/>
          <w:highlight w:val="none"/>
        </w:rPr>
        <w:t>分项报价表（见附件2）</w:t>
      </w:r>
    </w:p>
    <w:p w14:paraId="2A464939">
      <w:pPr>
        <w:spacing w:line="360" w:lineRule="auto"/>
        <w:rPr>
          <w:rFonts w:ascii="仿宋" w:hAnsi="仿宋" w:eastAsia="仿宋" w:cs="仿宋"/>
          <w:b/>
          <w:color w:val="000000" w:themeColor="text1"/>
          <w:sz w:val="28"/>
          <w:szCs w:val="28"/>
          <w:highlight w:val="none"/>
        </w:rPr>
      </w:pPr>
      <w:r>
        <w:rPr>
          <w:rFonts w:hint="eastAsia" w:ascii="仿宋" w:hAnsi="仿宋" w:eastAsia="仿宋" w:cs="仿宋"/>
          <w:b/>
          <w:color w:val="000000" w:themeColor="text1"/>
          <w:sz w:val="28"/>
          <w:szCs w:val="28"/>
          <w:highlight w:val="none"/>
        </w:rPr>
        <w:t>注：</w:t>
      </w:r>
    </w:p>
    <w:p w14:paraId="78914123">
      <w:pPr>
        <w:spacing w:line="360" w:lineRule="auto"/>
        <w:ind w:firstLine="560" w:firstLineChars="200"/>
        <w:rPr>
          <w:rFonts w:ascii="宋体" w:hAnsi="宋体" w:cs="宋体"/>
          <w:color w:val="000000"/>
          <w:sz w:val="28"/>
          <w:szCs w:val="28"/>
          <w:highlight w:val="none"/>
        </w:rPr>
      </w:pPr>
      <w:r>
        <w:rPr>
          <w:rFonts w:hint="eastAsia" w:ascii="仿宋" w:hAnsi="仿宋" w:eastAsia="仿宋" w:cs="仿宋"/>
          <w:color w:val="000000" w:themeColor="text1"/>
          <w:sz w:val="28"/>
          <w:szCs w:val="28"/>
          <w:highlight w:val="none"/>
        </w:rPr>
        <w:t>1.</w:t>
      </w:r>
      <w:r>
        <w:rPr>
          <w:rFonts w:hint="eastAsia" w:ascii="宋体" w:hAnsi="宋体" w:cs="宋体"/>
          <w:color w:val="000000"/>
          <w:sz w:val="28"/>
          <w:szCs w:val="28"/>
          <w:highlight w:val="none"/>
        </w:rPr>
        <w:t>本项目采用耗材全费用综合费率（以下简称综合费率）报价模式，最高限价：</w:t>
      </w:r>
      <w:r>
        <w:rPr>
          <w:rFonts w:hint="eastAsia" w:ascii="宋体" w:hAnsi="宋体" w:cs="宋体"/>
          <w:b/>
          <w:color w:val="000000" w:themeColor="text1"/>
          <w:sz w:val="28"/>
          <w:szCs w:val="28"/>
          <w:highlight w:val="none"/>
        </w:rPr>
        <w:t>综合费率</w:t>
      </w:r>
      <w:r>
        <w:rPr>
          <w:rFonts w:hint="eastAsia" w:ascii="宋体" w:hAnsi="宋体" w:cs="宋体"/>
          <w:color w:val="000000"/>
          <w:sz w:val="28"/>
          <w:szCs w:val="28"/>
          <w:highlight w:val="none"/>
        </w:rPr>
        <w:t>100%。综合费率是指以“单价最高限价”为基数，投标人对采购包内的全部耗材填报整体综合费率。上表中耗材综合费率为所有配送产品的统一费率，不允许不平衡报价或差异化报价，采购包内不得出现不同耗材对应不同费率的情况，所有耗材费率必须完全一致。综合费率报价精确到小数点后两位，第三位四舍五入。</w:t>
      </w:r>
    </w:p>
    <w:p w14:paraId="491F7BCA">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2.投标人一次性报出耗材分项单价。单价系指完成某一品目耗材设计费、采购费、制造费、工艺费、包装费、运输保险费、运输费费(多次分批量供货，含装卸费）、风险（不可预见费）、其他技术服务及质保期服务费等所需一切费用。服务期内，采购人根据医院临床使用情况，向供应商发出供货需求，具体结算以实际发生为准。结算公式：实际结算单价依据成交综合费率%确定，计算公式如下：实际结算单价=单价最高限价</w:t>
      </w:r>
      <w:r>
        <w:rPr>
          <w:rFonts w:ascii="Arial" w:hAnsi="Arial" w:cs="Arial"/>
          <w:color w:val="000000"/>
          <w:sz w:val="28"/>
          <w:szCs w:val="28"/>
          <w:highlight w:val="none"/>
        </w:rPr>
        <w:t>×</w:t>
      </w:r>
      <w:r>
        <w:rPr>
          <w:rFonts w:hint="eastAsia" w:ascii="宋体" w:hAnsi="宋体" w:cs="宋体"/>
          <w:color w:val="000000"/>
          <w:sz w:val="28"/>
          <w:szCs w:val="28"/>
          <w:highlight w:val="none"/>
        </w:rPr>
        <w:t>成交综合费率。示例：若某单价最高限价为100元，投标人填报的综合费率为92.00%，则该耗材的实际结算单价为100</w:t>
      </w:r>
      <w:r>
        <w:rPr>
          <w:rFonts w:ascii="Arial" w:hAnsi="Arial" w:cs="Arial"/>
          <w:color w:val="000000"/>
          <w:sz w:val="28"/>
          <w:szCs w:val="28"/>
          <w:highlight w:val="none"/>
        </w:rPr>
        <w:t>×</w:t>
      </w:r>
      <w:r>
        <w:rPr>
          <w:rFonts w:hint="eastAsia" w:ascii="宋体" w:hAnsi="宋体" w:cs="宋体"/>
          <w:color w:val="000000"/>
          <w:sz w:val="28"/>
          <w:szCs w:val="28"/>
          <w:highlight w:val="none"/>
        </w:rPr>
        <w:t>0.92=92.00元。</w:t>
      </w:r>
    </w:p>
    <w:p w14:paraId="57B26735">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（1）单品实际供货单价=单价最高限价</w:t>
      </w:r>
      <w:r>
        <w:rPr>
          <w:rFonts w:ascii="Arial" w:hAnsi="Arial" w:cs="Arial"/>
          <w:color w:val="000000"/>
          <w:sz w:val="28"/>
          <w:szCs w:val="28"/>
          <w:highlight w:val="none"/>
        </w:rPr>
        <w:t>×</w:t>
      </w:r>
      <w:r>
        <w:rPr>
          <w:rFonts w:hint="eastAsia" w:ascii="宋体" w:hAnsi="宋体" w:cs="宋体"/>
          <w:color w:val="000000"/>
          <w:sz w:val="28"/>
          <w:szCs w:val="28"/>
          <w:highlight w:val="none"/>
        </w:rPr>
        <w:t>综合费率%；</w:t>
      </w:r>
    </w:p>
    <w:p w14:paraId="342A7C80">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（2）单品结算价=供货单价</w:t>
      </w:r>
      <w:r>
        <w:rPr>
          <w:rFonts w:ascii="Arial" w:hAnsi="Arial" w:cs="Arial"/>
          <w:color w:val="000000"/>
          <w:sz w:val="28"/>
          <w:szCs w:val="28"/>
          <w:highlight w:val="none"/>
        </w:rPr>
        <w:t>×</w:t>
      </w:r>
      <w:r>
        <w:rPr>
          <w:rFonts w:hint="eastAsia" w:ascii="宋体" w:hAnsi="宋体" w:cs="宋体"/>
          <w:color w:val="000000"/>
          <w:sz w:val="28"/>
          <w:szCs w:val="28"/>
          <w:highlight w:val="none"/>
        </w:rPr>
        <w:t>实际配送量。</w:t>
      </w:r>
    </w:p>
    <w:p w14:paraId="4DCE8ABB">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3.因采购内容为变量，采购包内单品数量暂定为“1”，配送数量及结算金额以实际发生量为准。合同签订后，供应商按采购人实际需求，分批次供货，据实结算，但年结算金额不得超过合同金额（预算金额）。投标人须综合考虑成交后可能出现的实际配送量与谈判文件预估量之间的差距。采购人后期仅根据谈判文件列明的方式据实结算，不再追加除此之外的其他费用。</w:t>
      </w:r>
    </w:p>
    <w:p w14:paraId="54675202">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4.合同期内，如省集采平台采购限价动态调整或备案交易目录产品纳入集中交易目录管理，供应商在供货单价与省集采平台单品限价中以“就低”的原则继续配送（平台限价</w:t>
      </w:r>
      <w:r>
        <w:rPr>
          <w:rFonts w:ascii="Arial" w:hAnsi="Arial" w:cs="Arial"/>
          <w:color w:val="000000"/>
          <w:sz w:val="28"/>
          <w:szCs w:val="28"/>
          <w:highlight w:val="none"/>
        </w:rPr>
        <w:t>×</w:t>
      </w:r>
      <w:r>
        <w:rPr>
          <w:rFonts w:hint="eastAsia" w:ascii="宋体" w:hAnsi="宋体" w:cs="宋体"/>
          <w:color w:val="000000"/>
          <w:sz w:val="28"/>
          <w:szCs w:val="28"/>
          <w:highlight w:val="none"/>
        </w:rPr>
        <w:t xml:space="preserve">综合费率%）。新挂网产品或者原挂网的产品价格下调时，供应商必须第一时间反馈给采购人，以平台变更时间点为依据，配送时即刻执行平台低价。若未及时反馈信息，造成采购人成本增加的部分由供应商承担。如进入集中带量采购目录则执行带量采购价格。 </w:t>
      </w:r>
    </w:p>
    <w:p w14:paraId="089C48DD">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 xml:space="preserve">5.合同期内，若遇国家及上级政策要求需重新招标的，合同自动终止，采购人不赔偿供应商任何损失。 </w:t>
      </w:r>
    </w:p>
    <w:p w14:paraId="152CE75E">
      <w:pPr>
        <w:spacing w:line="360" w:lineRule="auto"/>
        <w:ind w:firstLine="560" w:firstLineChars="200"/>
        <w:rPr>
          <w:rFonts w:ascii="宋体" w:hAnsi="宋体" w:cs="宋体"/>
          <w:color w:val="000000"/>
          <w:sz w:val="28"/>
          <w:szCs w:val="28"/>
          <w:highlight w:val="none"/>
        </w:rPr>
      </w:pPr>
      <w:r>
        <w:rPr>
          <w:rFonts w:hint="eastAsia" w:ascii="宋体" w:hAnsi="宋体" w:cs="宋体"/>
          <w:color w:val="000000"/>
          <w:sz w:val="28"/>
          <w:szCs w:val="28"/>
          <w:highlight w:val="none"/>
        </w:rPr>
        <w:t>6.如医保收费标准降低，耗材单价按收费标准同比例下浮。</w:t>
      </w:r>
    </w:p>
    <w:p w14:paraId="38232326">
      <w:pPr>
        <w:spacing w:line="360" w:lineRule="auto"/>
        <w:rPr>
          <w:rFonts w:ascii="仿宋" w:hAnsi="仿宋" w:eastAsia="仿宋" w:cs="仿宋"/>
          <w:color w:val="000000" w:themeColor="text1"/>
          <w:sz w:val="28"/>
          <w:szCs w:val="28"/>
          <w:highlight w:val="none"/>
        </w:rPr>
      </w:pPr>
    </w:p>
    <w:p w14:paraId="31EFDFF3">
      <w:pPr>
        <w:spacing w:line="360" w:lineRule="auto"/>
        <w:rPr>
          <w:rFonts w:ascii="仿宋" w:hAnsi="仿宋" w:eastAsia="仿宋" w:cs="仿宋"/>
          <w:color w:val="000000" w:themeColor="text1"/>
          <w:sz w:val="28"/>
          <w:szCs w:val="28"/>
          <w:highlight w:val="none"/>
        </w:rPr>
      </w:pPr>
    </w:p>
    <w:p w14:paraId="597FC99F">
      <w:pPr>
        <w:spacing w:line="360" w:lineRule="auto"/>
        <w:jc w:val="left"/>
        <w:rPr>
          <w:rFonts w:ascii="仿宋" w:hAnsi="仿宋" w:eastAsia="仿宋" w:cs="仿宋"/>
          <w:color w:val="000000" w:themeColor="text1"/>
          <w:sz w:val="28"/>
          <w:szCs w:val="28"/>
          <w:highlight w:val="none"/>
          <w:u w:val="single"/>
        </w:rPr>
      </w:pPr>
      <w:r>
        <w:rPr>
          <w:rFonts w:hint="eastAsia" w:ascii="仿宋" w:hAnsi="仿宋" w:eastAsia="仿宋" w:cs="仿宋"/>
          <w:color w:val="000000" w:themeColor="text1"/>
          <w:sz w:val="28"/>
          <w:szCs w:val="28"/>
          <w:highlight w:val="none"/>
        </w:rPr>
        <w:t xml:space="preserve">  供应商名称：</w:t>
      </w:r>
      <w:r>
        <w:rPr>
          <w:rFonts w:hint="eastAsia" w:ascii="仿宋" w:hAnsi="仿宋" w:eastAsia="仿宋" w:cs="仿宋"/>
          <w:color w:val="000000" w:themeColor="text1"/>
          <w:sz w:val="28"/>
          <w:szCs w:val="28"/>
          <w:highlight w:val="none"/>
          <w:u w:val="single"/>
        </w:rPr>
        <w:t xml:space="preserve">   （加盖供应商公章）                      </w:t>
      </w:r>
    </w:p>
    <w:p w14:paraId="08ACAFE6">
      <w:pPr>
        <w:adjustRightInd w:val="0"/>
        <w:snapToGrid w:val="0"/>
        <w:spacing w:line="360" w:lineRule="auto"/>
        <w:ind w:firstLine="280" w:firstLineChars="100"/>
        <w:rPr>
          <w:rFonts w:ascii="仿宋" w:hAnsi="仿宋" w:eastAsia="仿宋" w:cs="仿宋"/>
          <w:color w:val="000000" w:themeColor="text1"/>
          <w:kern w:val="0"/>
          <w:sz w:val="28"/>
          <w:szCs w:val="28"/>
          <w:highlight w:val="none"/>
        </w:rPr>
      </w:pPr>
      <w:bookmarkStart w:id="98" w:name="_Toc382508396"/>
      <w:bookmarkEnd w:id="98"/>
      <w:bookmarkStart w:id="99" w:name="_Toc382508395"/>
      <w:bookmarkEnd w:id="99"/>
      <w:bookmarkStart w:id="100" w:name="_Toc382508399"/>
      <w:bookmarkEnd w:id="100"/>
      <w:r>
        <w:rPr>
          <w:rFonts w:hint="eastAsia" w:ascii="仿宋" w:hAnsi="仿宋" w:eastAsia="仿宋" w:cs="仿宋"/>
          <w:color w:val="000000" w:themeColor="text1"/>
          <w:sz w:val="28"/>
          <w:szCs w:val="28"/>
          <w:highlight w:val="none"/>
        </w:rPr>
        <w:t>法定代表人（单位负责人）或委托代理人（签字或盖章）：</w:t>
      </w:r>
    </w:p>
    <w:p w14:paraId="6739A319">
      <w:pPr>
        <w:spacing w:line="360" w:lineRule="auto"/>
        <w:ind w:firstLine="280" w:firstLineChars="100"/>
        <w:rPr>
          <w:rFonts w:ascii="仿宋" w:hAnsi="仿宋" w:eastAsia="仿宋" w:cs="仿宋"/>
          <w:snapToGrid w:val="0"/>
          <w:color w:val="000000" w:themeColor="text1"/>
          <w:sz w:val="28"/>
          <w:szCs w:val="28"/>
          <w:highlight w:val="none"/>
        </w:rPr>
      </w:pPr>
      <w:r>
        <w:rPr>
          <w:rFonts w:hint="eastAsia" w:ascii="仿宋" w:hAnsi="仿宋" w:eastAsia="仿宋" w:cs="仿宋"/>
          <w:snapToGrid w:val="0"/>
          <w:color w:val="000000" w:themeColor="text1"/>
          <w:sz w:val="28"/>
          <w:szCs w:val="28"/>
          <w:highlight w:val="none"/>
        </w:rPr>
        <w:t>日  期：</w:t>
      </w:r>
    </w:p>
    <w:p w14:paraId="2816CB93">
      <w:pPr>
        <w:jc w:val="center"/>
        <w:rPr>
          <w:rStyle w:val="61"/>
          <w:rFonts w:ascii="仿宋" w:hAnsi="仿宋" w:eastAsia="仿宋" w:cs="仿宋"/>
          <w:b/>
          <w:bCs/>
          <w:kern w:val="0"/>
          <w:sz w:val="28"/>
          <w:szCs w:val="28"/>
          <w:highlight w:val="none"/>
        </w:rPr>
      </w:pPr>
    </w:p>
    <w:p w14:paraId="7B224EEA">
      <w:pPr>
        <w:jc w:val="center"/>
        <w:rPr>
          <w:rStyle w:val="61"/>
          <w:rFonts w:ascii="仿宋" w:hAnsi="仿宋" w:eastAsia="仿宋" w:cs="仿宋"/>
          <w:b/>
          <w:bCs/>
          <w:kern w:val="0"/>
          <w:sz w:val="28"/>
          <w:szCs w:val="28"/>
          <w:highlight w:val="none"/>
        </w:rPr>
      </w:pPr>
    </w:p>
    <w:p w14:paraId="7481BC66">
      <w:pPr>
        <w:pStyle w:val="2"/>
        <w:ind w:firstLine="0"/>
        <w:jc w:val="both"/>
        <w:rPr>
          <w:rFonts w:hint="default" w:eastAsiaTheme="minorEastAsia"/>
          <w:b/>
          <w:sz w:val="28"/>
          <w:szCs w:val="28"/>
          <w:highlight w:val="none"/>
          <w:lang w:val="en-US" w:eastAsia="zh-CN"/>
        </w:rPr>
      </w:pPr>
      <w:r>
        <w:rPr>
          <w:rFonts w:hint="eastAsia" w:eastAsiaTheme="minorEastAsia"/>
          <w:b/>
          <w:sz w:val="28"/>
          <w:szCs w:val="28"/>
          <w:highlight w:val="none"/>
          <w:lang w:eastAsia="zh-CN"/>
        </w:rPr>
        <w:t>附件</w:t>
      </w:r>
      <w:r>
        <w:rPr>
          <w:rFonts w:hint="eastAsia" w:eastAsiaTheme="minorEastAsia"/>
          <w:b/>
          <w:sz w:val="28"/>
          <w:szCs w:val="28"/>
          <w:highlight w:val="none"/>
          <w:lang w:val="en-US" w:eastAsia="zh-CN"/>
        </w:rPr>
        <w:t>1</w:t>
      </w:r>
    </w:p>
    <w:tbl>
      <w:tblPr>
        <w:tblStyle w:val="30"/>
        <w:tblW w:w="9520" w:type="dxa"/>
        <w:tblInd w:w="93" w:type="dxa"/>
        <w:tblLayout w:type="autofit"/>
        <w:tblCellMar>
          <w:top w:w="0" w:type="dxa"/>
          <w:left w:w="108" w:type="dxa"/>
          <w:bottom w:w="0" w:type="dxa"/>
          <w:right w:w="108" w:type="dxa"/>
        </w:tblCellMar>
      </w:tblPr>
      <w:tblGrid>
        <w:gridCol w:w="703"/>
        <w:gridCol w:w="4468"/>
        <w:gridCol w:w="939"/>
        <w:gridCol w:w="704"/>
        <w:gridCol w:w="703"/>
        <w:gridCol w:w="2003"/>
      </w:tblGrid>
      <w:tr w14:paraId="7EA60BEB">
        <w:tblPrEx>
          <w:tblCellMar>
            <w:top w:w="0" w:type="dxa"/>
            <w:left w:w="108" w:type="dxa"/>
            <w:bottom w:w="0" w:type="dxa"/>
            <w:right w:w="108" w:type="dxa"/>
          </w:tblCellMar>
        </w:tblPrEx>
        <w:trPr>
          <w:trHeight w:val="900" w:hRule="atLeast"/>
        </w:trPr>
        <w:tc>
          <w:tcPr>
            <w:tcW w:w="9520" w:type="dxa"/>
            <w:gridSpan w:val="6"/>
            <w:tcBorders>
              <w:top w:val="nil"/>
              <w:left w:val="nil"/>
              <w:bottom w:val="nil"/>
              <w:right w:val="nil"/>
            </w:tcBorders>
            <w:shd w:val="clear" w:color="auto" w:fill="auto"/>
            <w:vAlign w:val="center"/>
          </w:tcPr>
          <w:p w14:paraId="381316F6">
            <w:pPr>
              <w:jc w:val="center"/>
              <w:textAlignment w:val="center"/>
              <w:rPr>
                <w:rFonts w:ascii="宋体" w:hAnsi="宋体" w:cs="宋体"/>
                <w:b/>
                <w:bCs/>
                <w:color w:val="000000"/>
                <w:sz w:val="40"/>
                <w:szCs w:val="40"/>
                <w:highlight w:val="none"/>
              </w:rPr>
            </w:pPr>
            <w:r>
              <w:rPr>
                <w:rFonts w:hint="eastAsia" w:ascii="宋体" w:hAnsi="宋体" w:cs="宋体"/>
                <w:b/>
                <w:bCs/>
                <w:color w:val="000000"/>
                <w:kern w:val="0"/>
                <w:sz w:val="40"/>
                <w:szCs w:val="40"/>
                <w:highlight w:val="none"/>
              </w:rPr>
              <w:t>义齿加工采购清单</w:t>
            </w:r>
          </w:p>
        </w:tc>
      </w:tr>
      <w:tr w14:paraId="735715CB">
        <w:tblPrEx>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05A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A39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1D8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8B4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AD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数量</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989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单价限价</w:t>
            </w:r>
            <w:r>
              <w:rPr>
                <w:rFonts w:hint="eastAsia" w:ascii="宋体" w:hAnsi="宋体" w:cs="宋体"/>
                <w:b/>
                <w:bCs/>
                <w:color w:val="000000"/>
                <w:kern w:val="0"/>
                <w:sz w:val="22"/>
                <w:szCs w:val="22"/>
                <w:highlight w:val="none"/>
              </w:rPr>
              <w:br w:type="textWrapping"/>
            </w:r>
            <w:r>
              <w:rPr>
                <w:rFonts w:hint="eastAsia" w:ascii="宋体" w:hAnsi="宋体" w:cs="宋体"/>
                <w:b/>
                <w:bCs/>
                <w:color w:val="000000"/>
                <w:kern w:val="0"/>
                <w:sz w:val="22"/>
                <w:szCs w:val="22"/>
                <w:highlight w:val="none"/>
              </w:rPr>
              <w:t>（元）</w:t>
            </w:r>
          </w:p>
        </w:tc>
      </w:tr>
      <w:tr w14:paraId="6B8686BF">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CD0E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1C23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二氧化锆全瓷冠</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EE9D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759F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2486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BA3D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460</w:t>
            </w:r>
          </w:p>
        </w:tc>
      </w:tr>
      <w:tr w14:paraId="266C88B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F578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0AA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二氧化锆全瓷(全锆)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BA8F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204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1752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005A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920</w:t>
            </w:r>
          </w:p>
        </w:tc>
      </w:tr>
      <w:tr w14:paraId="3D4E7FF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A41D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A345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二氧化锆全瓷(釉锆)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6B4F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1CFB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6BD6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4819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644</w:t>
            </w:r>
          </w:p>
        </w:tc>
      </w:tr>
      <w:tr w14:paraId="460D017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0709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630E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二氧化锆全瓷(弹性瓷)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DE07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8E46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74B2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AAC0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5DDD2BD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CD56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30DF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种植体上部镍铬合金聚合瓷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3F19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FAA3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E301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8FFC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598</w:t>
            </w:r>
          </w:p>
        </w:tc>
      </w:tr>
      <w:tr w14:paraId="46ED994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F8BC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1CCA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种植体上部钴铬合金聚合瓷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9BF0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58A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78E4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353B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644</w:t>
            </w:r>
          </w:p>
        </w:tc>
      </w:tr>
      <w:tr w14:paraId="04B1F63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429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3D19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种植体上部纯钛聚合瓷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EB71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23F8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2267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A930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690</w:t>
            </w:r>
          </w:p>
        </w:tc>
      </w:tr>
      <w:tr w14:paraId="2C55BD4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F1E9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B849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透明保持器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46C9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FD4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E4AE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ACC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w:t>
            </w:r>
          </w:p>
        </w:tc>
      </w:tr>
      <w:tr w14:paraId="2090E0B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BAD4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292D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活动矫正器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8748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C67D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830D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C248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064636A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77A4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71BA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胶托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3E35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6071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7B0A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C4A8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27</w:t>
            </w:r>
          </w:p>
        </w:tc>
      </w:tr>
      <w:tr w14:paraId="5230B34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D8DB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CB65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小支架（镍铬）</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957D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3D54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D6B7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C9A7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w:t>
            </w:r>
          </w:p>
        </w:tc>
      </w:tr>
      <w:tr w14:paraId="4FA315D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8039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E734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大支架（镍铬）</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CF59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9035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968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9982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128</w:t>
            </w:r>
          </w:p>
        </w:tc>
      </w:tr>
      <w:tr w14:paraId="3E4F846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3749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3834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银钯烤瓷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DA0B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0510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855C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1D83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3DA627D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0F93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31A5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冷弯保持器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D1B9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F649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0963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AEB1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156</w:t>
            </w:r>
          </w:p>
        </w:tc>
      </w:tr>
      <w:tr w14:paraId="7996FB9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4074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6AA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黄金烤瓷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25F2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FA7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6B8D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4C7D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1380</w:t>
            </w:r>
          </w:p>
        </w:tc>
      </w:tr>
      <w:tr w14:paraId="762E013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95E5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9FB7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金钯烤瓷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669E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2DA1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62CC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F975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24344B62">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23E9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8DD6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隐形义齿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11E5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9E0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DEB0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BB57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73</w:t>
            </w:r>
          </w:p>
        </w:tc>
      </w:tr>
      <w:tr w14:paraId="4205DDD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0F5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6ECB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精密附着装置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CBCE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91BD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9CD6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3C4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736</w:t>
            </w:r>
          </w:p>
        </w:tc>
      </w:tr>
      <w:tr w14:paraId="3BF9C20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D09C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A464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二氧化锆种植牙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45D7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AE49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A514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50B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6D15A88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9C7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4895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活动义齿（排牙）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19A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nil"/>
              <w:right w:val="single" w:color="000000" w:sz="4" w:space="0"/>
            </w:tcBorders>
            <w:shd w:val="clear" w:color="auto" w:fill="FFFFFF"/>
            <w:noWrap/>
            <w:vAlign w:val="center"/>
          </w:tcPr>
          <w:p w14:paraId="6C15357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3241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nil"/>
              <w:right w:val="single" w:color="000000" w:sz="4" w:space="0"/>
            </w:tcBorders>
            <w:shd w:val="clear" w:color="auto" w:fill="FFFFFF"/>
            <w:noWrap/>
            <w:vAlign w:val="center"/>
          </w:tcPr>
          <w:p w14:paraId="0432881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w:t>
            </w:r>
          </w:p>
        </w:tc>
      </w:tr>
      <w:tr w14:paraId="70E6A6D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362C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21</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B72A4D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铸瓷贴面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209D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3ACE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EEF3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E7E6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736</w:t>
            </w:r>
          </w:p>
        </w:tc>
      </w:tr>
      <w:tr w14:paraId="4315F89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CC77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22</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56BD87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铸瓷嵌体、桩核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7CD9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A90A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FACB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95E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598</w:t>
            </w:r>
          </w:p>
        </w:tc>
      </w:tr>
      <w:tr w14:paraId="44395FA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9129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23</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43B539D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铸瓷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84AA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F4D3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28CB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E159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644</w:t>
            </w:r>
          </w:p>
        </w:tc>
      </w:tr>
      <w:tr w14:paraId="6CA2CAD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E63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24</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2B0F7C2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种植体上部镍铬合金烤瓷牙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FB1D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86C2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B47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4635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174</w:t>
            </w:r>
          </w:p>
        </w:tc>
      </w:tr>
      <w:tr w14:paraId="1784EC5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562A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25</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45BA470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种植体上部钴铬合金烤瓷牙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DF0A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0A78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7899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1B46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294</w:t>
            </w:r>
          </w:p>
        </w:tc>
      </w:tr>
      <w:tr w14:paraId="68BB845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549F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26</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F14BC8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种植体上部纯钛烤瓷牙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73FF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146A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ACDF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AB04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7BE260C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F0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27</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235A08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牙龈瓷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9AE3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7D3D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7FE0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69E5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060DCB9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4FCF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28</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52BDFCC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软钢钢牙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C307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9DA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3418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9F2F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2FE96D2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D89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29</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6C02DFC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球基台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38A3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3577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6BF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5E3E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644</w:t>
            </w:r>
          </w:p>
        </w:tc>
      </w:tr>
      <w:tr w14:paraId="3E8C3FB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2504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30</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DB2E4F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临时基台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3058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FC4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ADA5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844C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414</w:t>
            </w:r>
          </w:p>
        </w:tc>
      </w:tr>
      <w:tr w14:paraId="1D0DACBF">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28FF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31</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E555B1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开窗式转移杆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82F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08D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7F8A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B351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441</w:t>
            </w:r>
          </w:p>
        </w:tc>
      </w:tr>
      <w:tr w14:paraId="6ABBC91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676E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07516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紧固螺丝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06CD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989B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8E81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FC74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565FD38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9460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33</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6DCCA4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角度基台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A21B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7C94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666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1308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782</w:t>
            </w:r>
          </w:p>
        </w:tc>
      </w:tr>
      <w:tr w14:paraId="570EFA3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9F62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34</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AC3421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肩台瓷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BE0E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ADAC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36C7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4A4C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2617030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AF8A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35</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5B9829A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钴铬合金桩钉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EECB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641B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A06E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4D44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w:t>
            </w:r>
          </w:p>
        </w:tc>
      </w:tr>
      <w:tr w14:paraId="78630A1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2CD0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36</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57137C0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杆卡基台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A7CA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C551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FAAC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903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920</w:t>
            </w:r>
          </w:p>
        </w:tc>
      </w:tr>
      <w:tr w14:paraId="7C9A554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CCC2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37</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EB6F40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盖用螺钉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7DB1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819B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6AFA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EDB8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1F7A7EF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FA27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38</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09D01D6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覆盖螺丝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ACA3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2F78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CBC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6761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40C69B4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722C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39</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6AD22B7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封闭螺丝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2110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2319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D895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0791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w:t>
            </w:r>
          </w:p>
        </w:tc>
      </w:tr>
      <w:tr w14:paraId="3F25302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A742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40</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2155618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分体铸桩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7383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7398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69A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AEB1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w:t>
            </w:r>
          </w:p>
        </w:tc>
      </w:tr>
      <w:tr w14:paraId="18A5B38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1EA6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41</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A2E5B4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代冲胶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AF32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A0CE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0E63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2B66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184</w:t>
            </w:r>
          </w:p>
        </w:tc>
      </w:tr>
      <w:tr w14:paraId="76542D1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26D0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42</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0C080DE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纯钛桩钉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2A6D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34EC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D989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BB1C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138</w:t>
            </w:r>
          </w:p>
        </w:tc>
      </w:tr>
      <w:tr w14:paraId="5602636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CEC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43</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20DDDEC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纯钛铸冠、嵌体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5F0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F11F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ADCA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411F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276</w:t>
            </w:r>
          </w:p>
        </w:tc>
      </w:tr>
      <w:tr w14:paraId="4FBF9BE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08A6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44</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24A47B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常规种植体替代体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D18B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D12D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FAF6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A21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36FB5EE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0EC9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45</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AF1F57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钴铬合金钢牙、嵌体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64DF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38A0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13D5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11AD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184</w:t>
            </w:r>
          </w:p>
        </w:tc>
      </w:tr>
      <w:tr w14:paraId="096FB11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83EA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46</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547E07B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镍铬烤瓷牙 （开窗）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7754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F5BC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9E45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EC0E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82</w:t>
            </w:r>
          </w:p>
        </w:tc>
      </w:tr>
      <w:tr w14:paraId="35E0339A">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7E40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47</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7642983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钴铬合金烤瓷牙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793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C30A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B9EE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6D0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202</w:t>
            </w:r>
          </w:p>
        </w:tc>
      </w:tr>
      <w:tr w14:paraId="21BD38C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C656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48</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690EC5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白胶牙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B6F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6B9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5FDC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03B1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w:t>
            </w:r>
          </w:p>
        </w:tc>
      </w:tr>
      <w:tr w14:paraId="49641E4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B209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49</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5363334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普通铸冠</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B020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77F5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9E83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E95B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537352D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7BE1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50</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BD3F78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钴铬钢牙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AC3B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F28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8FB3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A45F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138</w:t>
            </w:r>
          </w:p>
        </w:tc>
      </w:tr>
      <w:tr w14:paraId="7A28434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DBBF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51</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0270EBF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4C57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2632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5BD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54E9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220</w:t>
            </w:r>
          </w:p>
        </w:tc>
      </w:tr>
      <w:tr w14:paraId="00EC5BB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493F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52</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347A2F6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普通铸冠</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65C5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8D69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67AF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E0E8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36</w:t>
            </w:r>
          </w:p>
        </w:tc>
      </w:tr>
      <w:tr w14:paraId="082B3CA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144C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53</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F52640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无铍烤瓷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5410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B2C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BD5C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5B38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101</w:t>
            </w:r>
          </w:p>
        </w:tc>
      </w:tr>
      <w:tr w14:paraId="5FE0B23A">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6581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54</w:t>
            </w:r>
          </w:p>
        </w:tc>
        <w:tc>
          <w:tcPr>
            <w:tcW w:w="0" w:type="auto"/>
            <w:tcBorders>
              <w:top w:val="single" w:color="000000" w:sz="4" w:space="0"/>
              <w:left w:val="nil"/>
              <w:bottom w:val="single" w:color="000000" w:sz="4" w:space="0"/>
              <w:right w:val="single" w:color="000000" w:sz="4" w:space="0"/>
            </w:tcBorders>
            <w:shd w:val="clear" w:color="auto" w:fill="FFFFFF"/>
            <w:noWrap/>
            <w:vAlign w:val="center"/>
          </w:tcPr>
          <w:p w14:paraId="1D8530E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钴铬烤瓷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6ED5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086B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A255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C5EB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220</w:t>
            </w:r>
          </w:p>
        </w:tc>
      </w:tr>
      <w:tr w14:paraId="793D5BA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B369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8181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A959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F361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3C0B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13EE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1012</w:t>
            </w:r>
          </w:p>
        </w:tc>
      </w:tr>
      <w:tr w14:paraId="2F6293C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9066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EEFC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纯钛聚合瓷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4759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8368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2DF2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96D0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460</w:t>
            </w:r>
          </w:p>
        </w:tc>
      </w:tr>
      <w:tr w14:paraId="755E2CC2">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E23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0C9E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二氧化锆桩核</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67D8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DE3D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81B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C416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184</w:t>
            </w:r>
          </w:p>
        </w:tc>
      </w:tr>
      <w:tr w14:paraId="12DCF57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583D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0CDF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个性化基台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4878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B834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2398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7511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460</w:t>
            </w:r>
          </w:p>
        </w:tc>
      </w:tr>
      <w:tr w14:paraId="5630B1E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98DD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FDAA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个性化纯钛切削基台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18A5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16EC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CC0C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6099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782</w:t>
            </w:r>
          </w:p>
        </w:tc>
      </w:tr>
      <w:tr w14:paraId="38774186">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804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D2DD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种植二氧化锆（全锆）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2285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4B17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69A9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A37C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782</w:t>
            </w:r>
          </w:p>
        </w:tc>
      </w:tr>
      <w:tr w14:paraId="4F02D5B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CBA0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F65C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种植二氧化锆（全瓷）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98B5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78D3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AA5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4AEE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1104</w:t>
            </w:r>
          </w:p>
        </w:tc>
      </w:tr>
      <w:tr w14:paraId="6628EAFF">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931F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62</w:t>
            </w:r>
          </w:p>
        </w:tc>
        <w:tc>
          <w:tcPr>
            <w:tcW w:w="4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6674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 xml:space="preserve">中钢托（钴铬）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0935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2D85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DF66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1192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256</w:t>
            </w:r>
          </w:p>
        </w:tc>
      </w:tr>
      <w:tr w14:paraId="5115175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0AF1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5EEC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 xml:space="preserve">大钢托（钴铬）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E837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4526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336A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BDDB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404</w:t>
            </w:r>
          </w:p>
        </w:tc>
      </w:tr>
      <w:tr w14:paraId="38C15EB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A56D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9CD7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 xml:space="preserve">小钢托（钴铬）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1842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C5B5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FC60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52D0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123</w:t>
            </w:r>
          </w:p>
        </w:tc>
      </w:tr>
      <w:tr w14:paraId="26387A3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F5B1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A334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成品网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E703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9758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3DD1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D343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73</w:t>
            </w:r>
          </w:p>
        </w:tc>
      </w:tr>
      <w:tr w14:paraId="6F1AF2B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4AC0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BDE4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纯钛大钢托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C163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DE1C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8DD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17C8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690</w:t>
            </w:r>
          </w:p>
        </w:tc>
      </w:tr>
      <w:tr w14:paraId="0472CAD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C7DE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369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纯钛小钢托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8DF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B1E7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E9E5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02A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506</w:t>
            </w:r>
          </w:p>
        </w:tc>
      </w:tr>
      <w:tr w14:paraId="472220A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2BFA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E97F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软衬</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0C89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B3C8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DA00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9C2C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552</w:t>
            </w:r>
          </w:p>
        </w:tc>
      </w:tr>
      <w:tr w14:paraId="284F40A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0EB6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0F73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排塑钢牙（三色牙）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007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5404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6562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BB00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27</w:t>
            </w:r>
          </w:p>
        </w:tc>
      </w:tr>
      <w:tr w14:paraId="12FED64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C8E2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B6AE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排塑钢牙（四色牙）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9DD0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BCD8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CB37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DCE7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36</w:t>
            </w:r>
          </w:p>
        </w:tc>
      </w:tr>
      <w:tr w14:paraId="25FF90D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CF11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E68A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排塑钢牙（五色牙）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D4D1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F6D3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8E5B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1C03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41</w:t>
            </w:r>
          </w:p>
        </w:tc>
      </w:tr>
      <w:tr w14:paraId="6350530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8F86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3C0C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隐排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2E1C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7218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F8CE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1E6F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w:t>
            </w:r>
          </w:p>
        </w:tc>
      </w:tr>
      <w:tr w14:paraId="0117965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8626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61FD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夜磨牙垫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107F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17D4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9CCB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E401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w:t>
            </w:r>
          </w:p>
        </w:tc>
      </w:tr>
      <w:tr w14:paraId="3AEBBD72">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28CE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B8DA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平面导板（活动式）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CBCB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9FEA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3EA2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5F45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230</w:t>
            </w:r>
          </w:p>
        </w:tc>
      </w:tr>
      <w:tr w14:paraId="5FF0E78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567D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7880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前庭盾</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A398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8E7B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A784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E9A5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3F9E0B8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3977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A9E1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前庭盾（彩胶）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BEA9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24C2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58EB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3642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460</w:t>
            </w:r>
          </w:p>
        </w:tc>
      </w:tr>
      <w:tr w14:paraId="1D92467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5F51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55E4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通用型螺旋扩弓器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A8A3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19EB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8504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3109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368</w:t>
            </w:r>
          </w:p>
        </w:tc>
      </w:tr>
      <w:tr w14:paraId="63B4359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2A23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827A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充不碎胶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6966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55BE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半口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044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8147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230</w:t>
            </w:r>
          </w:p>
        </w:tc>
      </w:tr>
      <w:tr w14:paraId="4B71ACEF">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3031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E528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扩弓器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D0F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4E5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5F83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D9FF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138</w:t>
            </w:r>
          </w:p>
        </w:tc>
      </w:tr>
      <w:tr w14:paraId="471F3F0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EFEF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F8E6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颌垫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B8CD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EE03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9C22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FA1A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w:t>
            </w:r>
          </w:p>
        </w:tc>
      </w:tr>
      <w:tr w14:paraId="134D1F5A">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926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F23A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舌簧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1C04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2E4A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9A43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64F9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4D11D12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985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88D7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推簧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8A8C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7661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155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FD73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18</w:t>
            </w:r>
          </w:p>
        </w:tc>
      </w:tr>
      <w:tr w14:paraId="15D480C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8B1B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83</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D03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种植体二氧化锆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7D1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EB4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5E78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90C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350</w:t>
            </w:r>
          </w:p>
        </w:tc>
      </w:tr>
      <w:tr w14:paraId="64272C3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A538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84</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5BF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颌垫式功能矫正器彩胶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6C1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20C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1202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1DA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322</w:t>
            </w:r>
          </w:p>
        </w:tc>
      </w:tr>
      <w:tr w14:paraId="6A0BB01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6A3A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85</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AAF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成品基台研磨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4F4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A7A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8D8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DD7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150</w:t>
            </w:r>
          </w:p>
        </w:tc>
      </w:tr>
      <w:tr w14:paraId="3A00E2E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F385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86</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EBB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纯钛切削大钢托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EBE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A60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09A9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7E5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1100</w:t>
            </w:r>
          </w:p>
        </w:tc>
      </w:tr>
      <w:tr w14:paraId="3E2BD93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D2B7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87</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A0D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哈利斯保持器彩胶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A00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71D5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C504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534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156</w:t>
            </w:r>
          </w:p>
        </w:tc>
      </w:tr>
      <w:tr w14:paraId="42B98F1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C554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88</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D30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哈利斯平面导板彩胶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AC15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F91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D39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DBB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210</w:t>
            </w:r>
          </w:p>
        </w:tc>
      </w:tr>
      <w:tr w14:paraId="6063858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8D21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89</w:t>
            </w:r>
          </w:p>
        </w:tc>
        <w:tc>
          <w:tcPr>
            <w:tcW w:w="4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8C6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马里兰桥临时树脂冠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2B7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E5F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AD35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B1C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90</w:t>
            </w:r>
          </w:p>
        </w:tc>
      </w:tr>
      <w:tr w14:paraId="1B45A272">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67FE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2C6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三向扩弓器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31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78F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5B18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B8DC">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900</w:t>
            </w:r>
          </w:p>
        </w:tc>
      </w:tr>
      <w:tr w14:paraId="38884FF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74B1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B93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间隙保持器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6C6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54C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3B40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753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110</w:t>
            </w:r>
          </w:p>
        </w:tc>
      </w:tr>
      <w:tr w14:paraId="32FCCCC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E3FE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FBD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双颌垫矫正器彩胶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1D1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D07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6945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233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720</w:t>
            </w:r>
          </w:p>
        </w:tc>
      </w:tr>
      <w:tr w14:paraId="531AB4F8">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B28E4">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9F3B">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法兰克III功能矫正器(FRIII)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718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8268">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1073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D5B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1100</w:t>
            </w:r>
          </w:p>
        </w:tc>
      </w:tr>
      <w:tr w14:paraId="2D042ED1">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D6D7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64F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临时冠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49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固定式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6E7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4A73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706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45</w:t>
            </w:r>
          </w:p>
        </w:tc>
      </w:tr>
      <w:tr w14:paraId="28E81DF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0497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5713">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斜面配件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234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7E4E">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32A2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FC1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64</w:t>
            </w:r>
          </w:p>
        </w:tc>
      </w:tr>
      <w:tr w14:paraId="7ED5E5C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86A9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19EF">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囊肿塞子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F185">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9EE2">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38567">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B5FD">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150</w:t>
            </w:r>
          </w:p>
        </w:tc>
      </w:tr>
      <w:tr w14:paraId="7953E64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7BCA6">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350E9">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吸附性义齿（全口）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94A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活动式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592A">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全口</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16150">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4B71">
            <w:pPr>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rPr>
              <w:t>5000</w:t>
            </w:r>
          </w:p>
        </w:tc>
      </w:tr>
    </w:tbl>
    <w:p w14:paraId="795367BF">
      <w:pPr>
        <w:rPr>
          <w:rFonts w:hint="eastAsia" w:ascii="宋体" w:hAnsi="宋体" w:cs="Times New Roman"/>
          <w:b/>
          <w:bCs/>
          <w:spacing w:val="20"/>
          <w:sz w:val="28"/>
          <w:szCs w:val="28"/>
          <w:highlight w:val="none"/>
        </w:rPr>
      </w:pPr>
    </w:p>
    <w:p w14:paraId="459E9716">
      <w:pPr>
        <w:rPr>
          <w:rFonts w:hint="eastAsia" w:ascii="宋体" w:hAnsi="宋体" w:cs="Times New Roman"/>
          <w:b/>
          <w:bCs/>
          <w:spacing w:val="20"/>
          <w:sz w:val="28"/>
          <w:szCs w:val="28"/>
          <w:highlight w:val="none"/>
        </w:rPr>
      </w:pPr>
    </w:p>
    <w:p w14:paraId="4E5DD736">
      <w:pPr>
        <w:rPr>
          <w:rFonts w:hint="eastAsia" w:ascii="宋体" w:hAnsi="宋体" w:cs="Times New Roman"/>
          <w:b/>
          <w:bCs/>
          <w:spacing w:val="20"/>
          <w:sz w:val="28"/>
          <w:szCs w:val="28"/>
          <w:highlight w:val="none"/>
        </w:rPr>
      </w:pPr>
    </w:p>
    <w:p w14:paraId="00B20EC5">
      <w:pPr>
        <w:rPr>
          <w:rFonts w:ascii="宋体" w:hAnsi="宋体" w:cs="Times New Roman"/>
          <w:b/>
          <w:bCs/>
          <w:spacing w:val="20"/>
          <w:sz w:val="28"/>
          <w:szCs w:val="28"/>
          <w:highlight w:val="none"/>
        </w:rPr>
      </w:pPr>
      <w:r>
        <w:rPr>
          <w:rFonts w:hint="eastAsia" w:ascii="宋体" w:hAnsi="宋体" w:cs="Times New Roman"/>
          <w:b/>
          <w:bCs/>
          <w:spacing w:val="20"/>
          <w:sz w:val="28"/>
          <w:szCs w:val="28"/>
          <w:highlight w:val="none"/>
        </w:rPr>
        <w:t>附件2</w:t>
      </w:r>
    </w:p>
    <w:p w14:paraId="36A1DB1B">
      <w:pPr>
        <w:jc w:val="center"/>
        <w:rPr>
          <w:rFonts w:hint="eastAsia" w:ascii="宋体" w:hAnsi="宋体" w:cs="宋体"/>
          <w:bCs/>
          <w:color w:val="000000"/>
          <w:spacing w:val="20"/>
          <w:kern w:val="0"/>
          <w:sz w:val="44"/>
          <w:szCs w:val="44"/>
          <w:highlight w:val="none"/>
          <w:shd w:val="clear" w:color="auto" w:fill="FFFFFF"/>
        </w:rPr>
      </w:pPr>
      <w:r>
        <w:rPr>
          <w:rFonts w:hint="eastAsia" w:ascii="宋体" w:hAnsi="宋体" w:cs="Times New Roman"/>
          <w:spacing w:val="20"/>
          <w:sz w:val="44"/>
          <w:szCs w:val="44"/>
          <w:highlight w:val="none"/>
        </w:rPr>
        <w:t>分项报价</w:t>
      </w:r>
      <w:r>
        <w:rPr>
          <w:rFonts w:hint="eastAsia" w:ascii="宋体" w:hAnsi="宋体" w:cs="宋体"/>
          <w:bCs/>
          <w:color w:val="000000"/>
          <w:spacing w:val="20"/>
          <w:kern w:val="0"/>
          <w:sz w:val="44"/>
          <w:szCs w:val="44"/>
          <w:highlight w:val="none"/>
          <w:shd w:val="clear" w:color="auto" w:fill="FFFFFF"/>
        </w:rPr>
        <w:t>表</w:t>
      </w:r>
    </w:p>
    <w:p w14:paraId="099BD612">
      <w:pPr>
        <w:jc w:val="center"/>
        <w:rPr>
          <w:rFonts w:hint="eastAsia" w:ascii="宋体" w:hAnsi="宋体" w:cs="宋体"/>
          <w:bCs/>
          <w:color w:val="000000"/>
          <w:kern w:val="0"/>
          <w:sz w:val="24"/>
          <w:szCs w:val="24"/>
          <w:highlight w:val="none"/>
          <w:shd w:val="clear" w:color="auto" w:fill="FFFFFF"/>
        </w:rPr>
      </w:pPr>
      <w:r>
        <w:rPr>
          <w:rFonts w:hint="eastAsia" w:ascii="宋体" w:hAnsi="宋体" w:cs="宋体"/>
          <w:bCs/>
          <w:color w:val="000000"/>
          <w:kern w:val="0"/>
          <w:sz w:val="24"/>
          <w:szCs w:val="24"/>
          <w:highlight w:val="none"/>
          <w:shd w:val="clear" w:color="auto" w:fill="FFFFFF"/>
        </w:rPr>
        <w:t>（表中可根据项目实际需求做适当改动）</w:t>
      </w:r>
    </w:p>
    <w:tbl>
      <w:tblPr>
        <w:tblStyle w:val="30"/>
        <w:tblpPr w:leftFromText="180" w:rightFromText="180" w:vertAnchor="text" w:horzAnchor="page" w:tblpXSpec="center" w:tblpY="160"/>
        <w:tblOverlap w:val="never"/>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412"/>
        <w:gridCol w:w="585"/>
        <w:gridCol w:w="1283"/>
        <w:gridCol w:w="608"/>
        <w:gridCol w:w="649"/>
        <w:gridCol w:w="695"/>
        <w:gridCol w:w="301"/>
        <w:gridCol w:w="345"/>
        <w:gridCol w:w="579"/>
        <w:gridCol w:w="625"/>
        <w:gridCol w:w="466"/>
        <w:gridCol w:w="542"/>
        <w:gridCol w:w="1027"/>
        <w:gridCol w:w="1078"/>
      </w:tblGrid>
      <w:tr w14:paraId="1223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2922" w:hRule="atLeast"/>
          <w:jc w:val="center"/>
        </w:trPr>
        <w:tc>
          <w:tcPr>
            <w:tcW w:w="412" w:type="dxa"/>
            <w:vAlign w:val="center"/>
          </w:tcPr>
          <w:p w14:paraId="55F227A8">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序号</w:t>
            </w:r>
          </w:p>
        </w:tc>
        <w:tc>
          <w:tcPr>
            <w:tcW w:w="585" w:type="dxa"/>
            <w:vAlign w:val="center"/>
          </w:tcPr>
          <w:p w14:paraId="45E8352E">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流水号</w:t>
            </w:r>
          </w:p>
        </w:tc>
        <w:tc>
          <w:tcPr>
            <w:tcW w:w="1283" w:type="dxa"/>
            <w:vAlign w:val="center"/>
          </w:tcPr>
          <w:p w14:paraId="5B4B8BB7">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注册证名称</w:t>
            </w:r>
          </w:p>
        </w:tc>
        <w:tc>
          <w:tcPr>
            <w:tcW w:w="608" w:type="dxa"/>
            <w:vAlign w:val="center"/>
          </w:tcPr>
          <w:p w14:paraId="044FC72B">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品牌</w:t>
            </w:r>
          </w:p>
        </w:tc>
        <w:tc>
          <w:tcPr>
            <w:tcW w:w="649" w:type="dxa"/>
            <w:vAlign w:val="center"/>
          </w:tcPr>
          <w:p w14:paraId="1879488A">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规格</w:t>
            </w:r>
          </w:p>
        </w:tc>
        <w:tc>
          <w:tcPr>
            <w:tcW w:w="695" w:type="dxa"/>
            <w:vAlign w:val="center"/>
          </w:tcPr>
          <w:p w14:paraId="3BA45910">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生产</w:t>
            </w:r>
          </w:p>
          <w:p w14:paraId="3EF47BBE">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厂家</w:t>
            </w:r>
          </w:p>
          <w:p w14:paraId="475ACC8B">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（产地）</w:t>
            </w:r>
          </w:p>
        </w:tc>
        <w:tc>
          <w:tcPr>
            <w:tcW w:w="301" w:type="dxa"/>
            <w:vAlign w:val="center"/>
          </w:tcPr>
          <w:p w14:paraId="47341296">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单位</w:t>
            </w:r>
          </w:p>
        </w:tc>
        <w:tc>
          <w:tcPr>
            <w:tcW w:w="345" w:type="dxa"/>
            <w:vAlign w:val="center"/>
          </w:tcPr>
          <w:p w14:paraId="5E087D50">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数量</w:t>
            </w:r>
          </w:p>
        </w:tc>
        <w:tc>
          <w:tcPr>
            <w:tcW w:w="579" w:type="dxa"/>
            <w:vAlign w:val="center"/>
          </w:tcPr>
          <w:p w14:paraId="25059654">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平台</w:t>
            </w:r>
          </w:p>
          <w:p w14:paraId="7CDDC788">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限价</w:t>
            </w:r>
          </w:p>
          <w:p w14:paraId="35A70FED">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（元）</w:t>
            </w:r>
          </w:p>
        </w:tc>
        <w:tc>
          <w:tcPr>
            <w:tcW w:w="625" w:type="dxa"/>
            <w:vAlign w:val="center"/>
          </w:tcPr>
          <w:p w14:paraId="51D20919">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单价最高限价</w:t>
            </w:r>
          </w:p>
          <w:p w14:paraId="519BB562">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（元）</w:t>
            </w:r>
          </w:p>
        </w:tc>
        <w:tc>
          <w:tcPr>
            <w:tcW w:w="466" w:type="dxa"/>
            <w:vAlign w:val="center"/>
          </w:tcPr>
          <w:p w14:paraId="28822B9A">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综合</w:t>
            </w:r>
          </w:p>
          <w:p w14:paraId="62B92D5C">
            <w:pPr>
              <w:tabs>
                <w:tab w:val="left" w:pos="413"/>
              </w:tabs>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费率</w:t>
            </w:r>
          </w:p>
          <w:p w14:paraId="0465C6AA">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w:t>
            </w:r>
          </w:p>
        </w:tc>
        <w:tc>
          <w:tcPr>
            <w:tcW w:w="542" w:type="dxa"/>
            <w:vAlign w:val="center"/>
          </w:tcPr>
          <w:p w14:paraId="5A331F23">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投标</w:t>
            </w:r>
          </w:p>
          <w:p w14:paraId="0665306E">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单价</w:t>
            </w:r>
          </w:p>
          <w:p w14:paraId="6CAE93B1">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（元）</w:t>
            </w:r>
          </w:p>
        </w:tc>
        <w:tc>
          <w:tcPr>
            <w:tcW w:w="1027" w:type="dxa"/>
            <w:vAlign w:val="center"/>
          </w:tcPr>
          <w:p w14:paraId="471B91D7">
            <w:pPr>
              <w:spacing w:line="390" w:lineRule="atLeast"/>
              <w:jc w:val="center"/>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注册证号</w:t>
            </w:r>
          </w:p>
        </w:tc>
        <w:tc>
          <w:tcPr>
            <w:tcW w:w="1078" w:type="dxa"/>
            <w:vAlign w:val="center"/>
          </w:tcPr>
          <w:p w14:paraId="338ADDC0">
            <w:pPr>
              <w:spacing w:line="390" w:lineRule="atLeast"/>
              <w:jc w:val="center"/>
              <w:rPr>
                <w:rFonts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27位医保编码</w:t>
            </w:r>
          </w:p>
        </w:tc>
      </w:tr>
      <w:tr w14:paraId="1CF3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864" w:hRule="atLeast"/>
          <w:jc w:val="center"/>
        </w:trPr>
        <w:tc>
          <w:tcPr>
            <w:tcW w:w="412" w:type="dxa"/>
            <w:vAlign w:val="center"/>
          </w:tcPr>
          <w:p w14:paraId="080B19EA">
            <w:pPr>
              <w:spacing w:line="390" w:lineRule="atLeast"/>
              <w:jc w:val="center"/>
              <w:textAlignment w:val="auto"/>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1</w:t>
            </w:r>
          </w:p>
        </w:tc>
        <w:tc>
          <w:tcPr>
            <w:tcW w:w="585" w:type="dxa"/>
            <w:vAlign w:val="center"/>
          </w:tcPr>
          <w:p w14:paraId="08233E2F">
            <w:pPr>
              <w:spacing w:line="390" w:lineRule="atLeast"/>
              <w:jc w:val="center"/>
              <w:textAlignment w:val="auto"/>
              <w:rPr>
                <w:rFonts w:hint="eastAsia" w:ascii="宋体" w:hAnsi="宋体" w:cs="宋体"/>
                <w:color w:val="000000"/>
                <w:kern w:val="0"/>
                <w:highlight w:val="none"/>
                <w:shd w:val="clear" w:color="auto" w:fill="FFFFFF"/>
              </w:rPr>
            </w:pPr>
          </w:p>
        </w:tc>
        <w:tc>
          <w:tcPr>
            <w:tcW w:w="1283" w:type="dxa"/>
            <w:vAlign w:val="center"/>
          </w:tcPr>
          <w:p w14:paraId="4A2D3A14">
            <w:pPr>
              <w:spacing w:line="390" w:lineRule="atLeast"/>
              <w:jc w:val="center"/>
              <w:textAlignment w:val="auto"/>
              <w:rPr>
                <w:rFonts w:hint="eastAsia" w:ascii="宋体" w:hAnsi="宋体" w:cs="宋体"/>
                <w:color w:val="000000"/>
                <w:kern w:val="0"/>
                <w:highlight w:val="none"/>
                <w:shd w:val="clear" w:color="auto" w:fill="FFFFFF"/>
              </w:rPr>
            </w:pPr>
          </w:p>
        </w:tc>
        <w:tc>
          <w:tcPr>
            <w:tcW w:w="608" w:type="dxa"/>
            <w:vAlign w:val="center"/>
          </w:tcPr>
          <w:p w14:paraId="1DA4A283">
            <w:pPr>
              <w:spacing w:line="390" w:lineRule="atLeast"/>
              <w:jc w:val="center"/>
              <w:textAlignment w:val="auto"/>
              <w:rPr>
                <w:rFonts w:hint="eastAsia" w:ascii="宋体" w:hAnsi="宋体" w:cs="宋体"/>
                <w:color w:val="000000"/>
                <w:kern w:val="0"/>
                <w:highlight w:val="none"/>
                <w:shd w:val="clear" w:color="auto" w:fill="FFFFFF"/>
              </w:rPr>
            </w:pPr>
          </w:p>
        </w:tc>
        <w:tc>
          <w:tcPr>
            <w:tcW w:w="649" w:type="dxa"/>
            <w:vAlign w:val="center"/>
          </w:tcPr>
          <w:p w14:paraId="536B9B19">
            <w:pPr>
              <w:spacing w:line="390" w:lineRule="atLeast"/>
              <w:jc w:val="center"/>
              <w:textAlignment w:val="auto"/>
              <w:rPr>
                <w:rFonts w:hint="eastAsia" w:ascii="宋体" w:hAnsi="宋体" w:cs="宋体"/>
                <w:color w:val="000000"/>
                <w:kern w:val="0"/>
                <w:highlight w:val="none"/>
                <w:shd w:val="clear" w:color="auto" w:fill="FFFFFF"/>
              </w:rPr>
            </w:pPr>
          </w:p>
        </w:tc>
        <w:tc>
          <w:tcPr>
            <w:tcW w:w="695" w:type="dxa"/>
            <w:vAlign w:val="center"/>
          </w:tcPr>
          <w:p w14:paraId="27421D7E">
            <w:pPr>
              <w:spacing w:line="390" w:lineRule="atLeast"/>
              <w:jc w:val="center"/>
              <w:textAlignment w:val="auto"/>
              <w:rPr>
                <w:rFonts w:hint="eastAsia" w:ascii="宋体" w:hAnsi="宋体" w:cs="宋体"/>
                <w:color w:val="000000"/>
                <w:kern w:val="0"/>
                <w:highlight w:val="none"/>
                <w:shd w:val="clear" w:color="auto" w:fill="FFFFFF"/>
              </w:rPr>
            </w:pPr>
          </w:p>
        </w:tc>
        <w:tc>
          <w:tcPr>
            <w:tcW w:w="301" w:type="dxa"/>
            <w:vAlign w:val="center"/>
          </w:tcPr>
          <w:p w14:paraId="579FEBA6">
            <w:pPr>
              <w:spacing w:line="390" w:lineRule="atLeast"/>
              <w:jc w:val="center"/>
              <w:textAlignment w:val="auto"/>
              <w:rPr>
                <w:rFonts w:hint="eastAsia" w:ascii="宋体" w:hAnsi="宋体" w:cs="宋体"/>
                <w:color w:val="000000"/>
                <w:kern w:val="0"/>
                <w:highlight w:val="none"/>
                <w:shd w:val="clear" w:color="auto" w:fill="FFFFFF"/>
              </w:rPr>
            </w:pPr>
          </w:p>
        </w:tc>
        <w:tc>
          <w:tcPr>
            <w:tcW w:w="345" w:type="dxa"/>
            <w:vAlign w:val="center"/>
          </w:tcPr>
          <w:p w14:paraId="3B0A983C">
            <w:pPr>
              <w:spacing w:line="390" w:lineRule="atLeast"/>
              <w:jc w:val="center"/>
              <w:textAlignment w:val="auto"/>
              <w:rPr>
                <w:rFonts w:hint="eastAsia" w:ascii="宋体" w:hAnsi="宋体" w:cs="宋体"/>
                <w:color w:val="000000"/>
                <w:kern w:val="0"/>
                <w:highlight w:val="none"/>
                <w:shd w:val="clear" w:color="auto" w:fill="FFFFFF"/>
              </w:rPr>
            </w:pPr>
          </w:p>
        </w:tc>
        <w:tc>
          <w:tcPr>
            <w:tcW w:w="579" w:type="dxa"/>
            <w:vAlign w:val="center"/>
          </w:tcPr>
          <w:p w14:paraId="604AAF49">
            <w:pPr>
              <w:spacing w:line="390" w:lineRule="atLeast"/>
              <w:jc w:val="center"/>
              <w:textAlignment w:val="auto"/>
              <w:rPr>
                <w:rFonts w:hint="eastAsia" w:ascii="宋体" w:hAnsi="宋体" w:cs="宋体"/>
                <w:color w:val="000000"/>
                <w:kern w:val="0"/>
                <w:highlight w:val="none"/>
                <w:shd w:val="clear" w:color="auto" w:fill="FFFFFF"/>
              </w:rPr>
            </w:pPr>
          </w:p>
        </w:tc>
        <w:tc>
          <w:tcPr>
            <w:tcW w:w="625" w:type="dxa"/>
            <w:vAlign w:val="center"/>
          </w:tcPr>
          <w:p w14:paraId="4C043114">
            <w:pPr>
              <w:spacing w:line="390" w:lineRule="atLeast"/>
              <w:jc w:val="center"/>
              <w:textAlignment w:val="auto"/>
              <w:rPr>
                <w:rFonts w:hint="eastAsia" w:ascii="宋体" w:hAnsi="宋体" w:cs="宋体"/>
                <w:color w:val="000000"/>
                <w:kern w:val="0"/>
                <w:highlight w:val="none"/>
                <w:shd w:val="clear" w:color="auto" w:fill="FFFFFF"/>
              </w:rPr>
            </w:pPr>
          </w:p>
        </w:tc>
        <w:tc>
          <w:tcPr>
            <w:tcW w:w="466" w:type="dxa"/>
            <w:vMerge w:val="restart"/>
            <w:vAlign w:val="center"/>
          </w:tcPr>
          <w:p w14:paraId="0D897F16">
            <w:pPr>
              <w:spacing w:line="390" w:lineRule="atLeast"/>
              <w:jc w:val="center"/>
              <w:textAlignment w:val="auto"/>
              <w:rPr>
                <w:rFonts w:hint="eastAsia" w:ascii="宋体" w:hAnsi="宋体" w:cs="宋体"/>
                <w:color w:val="000000"/>
                <w:kern w:val="0"/>
                <w:highlight w:val="none"/>
                <w:shd w:val="clear" w:color="auto" w:fill="FFFFFF"/>
              </w:rPr>
            </w:pPr>
          </w:p>
        </w:tc>
        <w:tc>
          <w:tcPr>
            <w:tcW w:w="542" w:type="dxa"/>
            <w:vAlign w:val="center"/>
          </w:tcPr>
          <w:p w14:paraId="3F566626">
            <w:pPr>
              <w:spacing w:line="390" w:lineRule="atLeast"/>
              <w:jc w:val="center"/>
              <w:textAlignment w:val="auto"/>
              <w:rPr>
                <w:rFonts w:hint="eastAsia" w:ascii="宋体" w:hAnsi="宋体" w:cs="宋体"/>
                <w:color w:val="000000"/>
                <w:kern w:val="0"/>
                <w:highlight w:val="none"/>
                <w:shd w:val="clear" w:color="auto" w:fill="FFFFFF"/>
              </w:rPr>
            </w:pPr>
          </w:p>
        </w:tc>
        <w:tc>
          <w:tcPr>
            <w:tcW w:w="1027" w:type="dxa"/>
            <w:vAlign w:val="center"/>
          </w:tcPr>
          <w:p w14:paraId="7C6051D8">
            <w:pPr>
              <w:spacing w:line="390" w:lineRule="atLeast"/>
              <w:jc w:val="center"/>
              <w:textAlignment w:val="auto"/>
              <w:rPr>
                <w:rFonts w:hint="eastAsia" w:ascii="宋体" w:hAnsi="宋体" w:cs="宋体"/>
                <w:color w:val="000000"/>
                <w:kern w:val="0"/>
                <w:highlight w:val="none"/>
                <w:shd w:val="clear" w:color="auto" w:fill="FFFFFF"/>
              </w:rPr>
            </w:pPr>
          </w:p>
        </w:tc>
        <w:tc>
          <w:tcPr>
            <w:tcW w:w="1078" w:type="dxa"/>
            <w:vAlign w:val="center"/>
          </w:tcPr>
          <w:p w14:paraId="1A8DBC8F">
            <w:pPr>
              <w:spacing w:line="390" w:lineRule="atLeast"/>
              <w:jc w:val="center"/>
              <w:textAlignment w:val="auto"/>
              <w:rPr>
                <w:rFonts w:hint="eastAsia" w:ascii="宋体" w:hAnsi="宋体" w:cs="宋体"/>
                <w:color w:val="000000"/>
                <w:kern w:val="0"/>
                <w:highlight w:val="none"/>
                <w:shd w:val="clear" w:color="auto" w:fill="FFFFFF"/>
              </w:rPr>
            </w:pPr>
          </w:p>
        </w:tc>
      </w:tr>
      <w:tr w14:paraId="6625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864" w:hRule="atLeast"/>
          <w:jc w:val="center"/>
        </w:trPr>
        <w:tc>
          <w:tcPr>
            <w:tcW w:w="412" w:type="dxa"/>
            <w:vAlign w:val="center"/>
          </w:tcPr>
          <w:p w14:paraId="6AFA95C9">
            <w:pPr>
              <w:spacing w:line="390" w:lineRule="atLeast"/>
              <w:jc w:val="center"/>
              <w:textAlignment w:val="auto"/>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2</w:t>
            </w:r>
          </w:p>
        </w:tc>
        <w:tc>
          <w:tcPr>
            <w:tcW w:w="585" w:type="dxa"/>
            <w:vAlign w:val="center"/>
          </w:tcPr>
          <w:p w14:paraId="5DCD5647">
            <w:pPr>
              <w:spacing w:line="390" w:lineRule="atLeast"/>
              <w:jc w:val="center"/>
              <w:textAlignment w:val="auto"/>
              <w:rPr>
                <w:rFonts w:hint="eastAsia" w:ascii="宋体" w:hAnsi="宋体" w:cs="宋体"/>
                <w:color w:val="000000"/>
                <w:kern w:val="0"/>
                <w:highlight w:val="none"/>
                <w:shd w:val="clear" w:color="auto" w:fill="FFFFFF"/>
              </w:rPr>
            </w:pPr>
          </w:p>
        </w:tc>
        <w:tc>
          <w:tcPr>
            <w:tcW w:w="1283" w:type="dxa"/>
            <w:vAlign w:val="center"/>
          </w:tcPr>
          <w:p w14:paraId="0949A78E">
            <w:pPr>
              <w:spacing w:line="390" w:lineRule="atLeast"/>
              <w:jc w:val="center"/>
              <w:textAlignment w:val="auto"/>
              <w:rPr>
                <w:rFonts w:hint="eastAsia" w:ascii="宋体" w:hAnsi="宋体" w:cs="宋体"/>
                <w:color w:val="000000"/>
                <w:kern w:val="0"/>
                <w:highlight w:val="none"/>
                <w:shd w:val="clear" w:color="auto" w:fill="FFFFFF"/>
              </w:rPr>
            </w:pPr>
          </w:p>
        </w:tc>
        <w:tc>
          <w:tcPr>
            <w:tcW w:w="608" w:type="dxa"/>
            <w:vAlign w:val="center"/>
          </w:tcPr>
          <w:p w14:paraId="7DABC387">
            <w:pPr>
              <w:spacing w:line="390" w:lineRule="atLeast"/>
              <w:jc w:val="center"/>
              <w:textAlignment w:val="auto"/>
              <w:rPr>
                <w:rFonts w:hint="eastAsia" w:ascii="宋体" w:hAnsi="宋体" w:cs="宋体"/>
                <w:color w:val="000000"/>
                <w:kern w:val="0"/>
                <w:highlight w:val="none"/>
                <w:shd w:val="clear" w:color="auto" w:fill="FFFFFF"/>
              </w:rPr>
            </w:pPr>
          </w:p>
        </w:tc>
        <w:tc>
          <w:tcPr>
            <w:tcW w:w="649" w:type="dxa"/>
            <w:vAlign w:val="center"/>
          </w:tcPr>
          <w:p w14:paraId="49A8B6E0">
            <w:pPr>
              <w:spacing w:line="390" w:lineRule="atLeast"/>
              <w:jc w:val="center"/>
              <w:textAlignment w:val="auto"/>
              <w:rPr>
                <w:rFonts w:hint="eastAsia" w:ascii="宋体" w:hAnsi="宋体" w:cs="宋体"/>
                <w:color w:val="000000"/>
                <w:kern w:val="0"/>
                <w:highlight w:val="none"/>
                <w:shd w:val="clear" w:color="auto" w:fill="FFFFFF"/>
              </w:rPr>
            </w:pPr>
          </w:p>
        </w:tc>
        <w:tc>
          <w:tcPr>
            <w:tcW w:w="695" w:type="dxa"/>
            <w:vAlign w:val="center"/>
          </w:tcPr>
          <w:p w14:paraId="70FA003B">
            <w:pPr>
              <w:spacing w:line="390" w:lineRule="atLeast"/>
              <w:jc w:val="center"/>
              <w:textAlignment w:val="auto"/>
              <w:rPr>
                <w:rFonts w:hint="eastAsia" w:ascii="宋体" w:hAnsi="宋体" w:cs="宋体"/>
                <w:color w:val="000000"/>
                <w:kern w:val="0"/>
                <w:highlight w:val="none"/>
                <w:shd w:val="clear" w:color="auto" w:fill="FFFFFF"/>
              </w:rPr>
            </w:pPr>
          </w:p>
        </w:tc>
        <w:tc>
          <w:tcPr>
            <w:tcW w:w="301" w:type="dxa"/>
            <w:vAlign w:val="center"/>
          </w:tcPr>
          <w:p w14:paraId="382A9F45">
            <w:pPr>
              <w:spacing w:line="390" w:lineRule="atLeast"/>
              <w:jc w:val="center"/>
              <w:textAlignment w:val="auto"/>
              <w:rPr>
                <w:rFonts w:hint="eastAsia" w:ascii="宋体" w:hAnsi="宋体" w:cs="宋体"/>
                <w:color w:val="000000"/>
                <w:kern w:val="0"/>
                <w:highlight w:val="none"/>
                <w:shd w:val="clear" w:color="auto" w:fill="FFFFFF"/>
              </w:rPr>
            </w:pPr>
          </w:p>
        </w:tc>
        <w:tc>
          <w:tcPr>
            <w:tcW w:w="345" w:type="dxa"/>
            <w:vAlign w:val="center"/>
          </w:tcPr>
          <w:p w14:paraId="4081A680">
            <w:pPr>
              <w:spacing w:line="390" w:lineRule="atLeast"/>
              <w:jc w:val="center"/>
              <w:textAlignment w:val="auto"/>
              <w:rPr>
                <w:rFonts w:hint="eastAsia" w:ascii="宋体" w:hAnsi="宋体" w:cs="宋体"/>
                <w:color w:val="000000"/>
                <w:kern w:val="0"/>
                <w:highlight w:val="none"/>
                <w:shd w:val="clear" w:color="auto" w:fill="FFFFFF"/>
              </w:rPr>
            </w:pPr>
          </w:p>
        </w:tc>
        <w:tc>
          <w:tcPr>
            <w:tcW w:w="579" w:type="dxa"/>
            <w:vAlign w:val="center"/>
          </w:tcPr>
          <w:p w14:paraId="07F7948D">
            <w:pPr>
              <w:spacing w:line="390" w:lineRule="atLeast"/>
              <w:jc w:val="center"/>
              <w:textAlignment w:val="auto"/>
              <w:rPr>
                <w:rFonts w:hint="eastAsia" w:ascii="宋体" w:hAnsi="宋体" w:cs="宋体"/>
                <w:color w:val="000000"/>
                <w:kern w:val="0"/>
                <w:highlight w:val="none"/>
                <w:shd w:val="clear" w:color="auto" w:fill="FFFFFF"/>
              </w:rPr>
            </w:pPr>
          </w:p>
        </w:tc>
        <w:tc>
          <w:tcPr>
            <w:tcW w:w="625" w:type="dxa"/>
            <w:vAlign w:val="center"/>
          </w:tcPr>
          <w:p w14:paraId="2A757F7C">
            <w:pPr>
              <w:spacing w:line="390" w:lineRule="atLeast"/>
              <w:jc w:val="center"/>
              <w:textAlignment w:val="auto"/>
              <w:rPr>
                <w:rFonts w:hint="eastAsia" w:ascii="宋体" w:hAnsi="宋体" w:cs="宋体"/>
                <w:color w:val="000000"/>
                <w:kern w:val="0"/>
                <w:highlight w:val="none"/>
                <w:shd w:val="clear" w:color="auto" w:fill="FFFFFF"/>
              </w:rPr>
            </w:pPr>
          </w:p>
        </w:tc>
        <w:tc>
          <w:tcPr>
            <w:tcW w:w="466" w:type="dxa"/>
            <w:vMerge w:val="continue"/>
            <w:vAlign w:val="center"/>
          </w:tcPr>
          <w:p w14:paraId="440DC883">
            <w:pPr>
              <w:spacing w:line="390" w:lineRule="atLeast"/>
              <w:jc w:val="center"/>
              <w:textAlignment w:val="auto"/>
              <w:rPr>
                <w:rFonts w:hint="eastAsia" w:ascii="宋体" w:hAnsi="宋体" w:cs="宋体"/>
                <w:color w:val="000000"/>
                <w:kern w:val="0"/>
                <w:highlight w:val="none"/>
                <w:shd w:val="clear" w:color="auto" w:fill="FFFFFF"/>
              </w:rPr>
            </w:pPr>
          </w:p>
        </w:tc>
        <w:tc>
          <w:tcPr>
            <w:tcW w:w="542" w:type="dxa"/>
            <w:vAlign w:val="center"/>
          </w:tcPr>
          <w:p w14:paraId="12F59201">
            <w:pPr>
              <w:spacing w:line="390" w:lineRule="atLeast"/>
              <w:jc w:val="center"/>
              <w:textAlignment w:val="auto"/>
              <w:rPr>
                <w:rFonts w:hint="eastAsia" w:ascii="宋体" w:hAnsi="宋体" w:cs="宋体"/>
                <w:color w:val="000000"/>
                <w:kern w:val="0"/>
                <w:highlight w:val="none"/>
                <w:shd w:val="clear" w:color="auto" w:fill="FFFFFF"/>
              </w:rPr>
            </w:pPr>
          </w:p>
        </w:tc>
        <w:tc>
          <w:tcPr>
            <w:tcW w:w="1027" w:type="dxa"/>
            <w:vAlign w:val="center"/>
          </w:tcPr>
          <w:p w14:paraId="2A601EA2">
            <w:pPr>
              <w:spacing w:line="390" w:lineRule="atLeast"/>
              <w:jc w:val="center"/>
              <w:textAlignment w:val="auto"/>
              <w:rPr>
                <w:rFonts w:hint="eastAsia" w:ascii="宋体" w:hAnsi="宋体" w:cs="宋体"/>
                <w:color w:val="000000"/>
                <w:kern w:val="0"/>
                <w:highlight w:val="none"/>
                <w:shd w:val="clear" w:color="auto" w:fill="FFFFFF"/>
              </w:rPr>
            </w:pPr>
          </w:p>
        </w:tc>
        <w:tc>
          <w:tcPr>
            <w:tcW w:w="1078" w:type="dxa"/>
            <w:vAlign w:val="center"/>
          </w:tcPr>
          <w:p w14:paraId="199A301F">
            <w:pPr>
              <w:spacing w:line="390" w:lineRule="atLeast"/>
              <w:jc w:val="center"/>
              <w:textAlignment w:val="auto"/>
              <w:rPr>
                <w:rFonts w:hint="eastAsia" w:ascii="宋体" w:hAnsi="宋体" w:cs="宋体"/>
                <w:color w:val="000000"/>
                <w:kern w:val="0"/>
                <w:highlight w:val="none"/>
                <w:shd w:val="clear" w:color="auto" w:fill="FFFFFF"/>
              </w:rPr>
            </w:pPr>
          </w:p>
        </w:tc>
      </w:tr>
      <w:tr w14:paraId="50F0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864" w:hRule="atLeast"/>
          <w:jc w:val="center"/>
        </w:trPr>
        <w:tc>
          <w:tcPr>
            <w:tcW w:w="412" w:type="dxa"/>
            <w:vAlign w:val="center"/>
          </w:tcPr>
          <w:p w14:paraId="0645CC83">
            <w:pPr>
              <w:spacing w:line="390" w:lineRule="atLeast"/>
              <w:jc w:val="center"/>
              <w:textAlignment w:val="auto"/>
              <w:rPr>
                <w:rFonts w:hint="eastAsia"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3</w:t>
            </w:r>
          </w:p>
        </w:tc>
        <w:tc>
          <w:tcPr>
            <w:tcW w:w="585" w:type="dxa"/>
            <w:vAlign w:val="center"/>
          </w:tcPr>
          <w:p w14:paraId="451A0D1E">
            <w:pPr>
              <w:spacing w:line="390" w:lineRule="atLeast"/>
              <w:jc w:val="center"/>
              <w:textAlignment w:val="auto"/>
              <w:rPr>
                <w:rFonts w:hint="eastAsia" w:ascii="宋体" w:hAnsi="宋体" w:cs="宋体"/>
                <w:color w:val="000000"/>
                <w:kern w:val="0"/>
                <w:highlight w:val="none"/>
                <w:shd w:val="clear" w:color="auto" w:fill="FFFFFF"/>
              </w:rPr>
            </w:pPr>
          </w:p>
        </w:tc>
        <w:tc>
          <w:tcPr>
            <w:tcW w:w="1283" w:type="dxa"/>
            <w:vAlign w:val="center"/>
          </w:tcPr>
          <w:p w14:paraId="76AE90D5">
            <w:pPr>
              <w:spacing w:line="390" w:lineRule="atLeast"/>
              <w:jc w:val="center"/>
              <w:textAlignment w:val="auto"/>
              <w:rPr>
                <w:rFonts w:hint="eastAsia" w:ascii="宋体" w:hAnsi="宋体" w:cs="宋体"/>
                <w:color w:val="000000"/>
                <w:kern w:val="0"/>
                <w:highlight w:val="none"/>
                <w:shd w:val="clear" w:color="auto" w:fill="FFFFFF"/>
              </w:rPr>
            </w:pPr>
          </w:p>
        </w:tc>
        <w:tc>
          <w:tcPr>
            <w:tcW w:w="608" w:type="dxa"/>
            <w:vAlign w:val="center"/>
          </w:tcPr>
          <w:p w14:paraId="765181AA">
            <w:pPr>
              <w:spacing w:line="390" w:lineRule="atLeast"/>
              <w:jc w:val="center"/>
              <w:textAlignment w:val="auto"/>
              <w:rPr>
                <w:rFonts w:hint="eastAsia" w:ascii="宋体" w:hAnsi="宋体" w:cs="宋体"/>
                <w:color w:val="000000"/>
                <w:kern w:val="0"/>
                <w:highlight w:val="none"/>
                <w:shd w:val="clear" w:color="auto" w:fill="FFFFFF"/>
              </w:rPr>
            </w:pPr>
          </w:p>
        </w:tc>
        <w:tc>
          <w:tcPr>
            <w:tcW w:w="649" w:type="dxa"/>
            <w:vAlign w:val="center"/>
          </w:tcPr>
          <w:p w14:paraId="3810A225">
            <w:pPr>
              <w:spacing w:line="390" w:lineRule="atLeast"/>
              <w:jc w:val="center"/>
              <w:textAlignment w:val="auto"/>
              <w:rPr>
                <w:rFonts w:hint="eastAsia" w:ascii="宋体" w:hAnsi="宋体" w:cs="宋体"/>
                <w:color w:val="000000"/>
                <w:kern w:val="0"/>
                <w:highlight w:val="none"/>
                <w:shd w:val="clear" w:color="auto" w:fill="FFFFFF"/>
              </w:rPr>
            </w:pPr>
          </w:p>
        </w:tc>
        <w:tc>
          <w:tcPr>
            <w:tcW w:w="695" w:type="dxa"/>
            <w:vAlign w:val="center"/>
          </w:tcPr>
          <w:p w14:paraId="6F699C49">
            <w:pPr>
              <w:spacing w:line="390" w:lineRule="atLeast"/>
              <w:jc w:val="center"/>
              <w:textAlignment w:val="auto"/>
              <w:rPr>
                <w:rFonts w:hint="eastAsia" w:ascii="宋体" w:hAnsi="宋体" w:cs="宋体"/>
                <w:color w:val="000000"/>
                <w:kern w:val="0"/>
                <w:highlight w:val="none"/>
                <w:shd w:val="clear" w:color="auto" w:fill="FFFFFF"/>
              </w:rPr>
            </w:pPr>
          </w:p>
        </w:tc>
        <w:tc>
          <w:tcPr>
            <w:tcW w:w="301" w:type="dxa"/>
            <w:vAlign w:val="center"/>
          </w:tcPr>
          <w:p w14:paraId="441E8B1D">
            <w:pPr>
              <w:spacing w:line="390" w:lineRule="atLeast"/>
              <w:jc w:val="center"/>
              <w:textAlignment w:val="auto"/>
              <w:rPr>
                <w:rFonts w:hint="eastAsia" w:ascii="宋体" w:hAnsi="宋体" w:cs="宋体"/>
                <w:color w:val="000000"/>
                <w:kern w:val="0"/>
                <w:highlight w:val="none"/>
                <w:shd w:val="clear" w:color="auto" w:fill="FFFFFF"/>
              </w:rPr>
            </w:pPr>
          </w:p>
        </w:tc>
        <w:tc>
          <w:tcPr>
            <w:tcW w:w="345" w:type="dxa"/>
            <w:vAlign w:val="center"/>
          </w:tcPr>
          <w:p w14:paraId="5EC12C8F">
            <w:pPr>
              <w:spacing w:line="390" w:lineRule="atLeast"/>
              <w:jc w:val="center"/>
              <w:textAlignment w:val="auto"/>
              <w:rPr>
                <w:rFonts w:hint="eastAsia" w:ascii="宋体" w:hAnsi="宋体" w:cs="宋体"/>
                <w:color w:val="000000"/>
                <w:kern w:val="0"/>
                <w:highlight w:val="none"/>
                <w:shd w:val="clear" w:color="auto" w:fill="FFFFFF"/>
              </w:rPr>
            </w:pPr>
          </w:p>
        </w:tc>
        <w:tc>
          <w:tcPr>
            <w:tcW w:w="579" w:type="dxa"/>
            <w:vAlign w:val="center"/>
          </w:tcPr>
          <w:p w14:paraId="207F5C77">
            <w:pPr>
              <w:spacing w:line="390" w:lineRule="atLeast"/>
              <w:jc w:val="center"/>
              <w:textAlignment w:val="auto"/>
              <w:rPr>
                <w:rFonts w:hint="eastAsia" w:ascii="宋体" w:hAnsi="宋体" w:cs="宋体"/>
                <w:color w:val="000000"/>
                <w:kern w:val="0"/>
                <w:highlight w:val="none"/>
                <w:shd w:val="clear" w:color="auto" w:fill="FFFFFF"/>
              </w:rPr>
            </w:pPr>
          </w:p>
        </w:tc>
        <w:tc>
          <w:tcPr>
            <w:tcW w:w="625" w:type="dxa"/>
            <w:vAlign w:val="center"/>
          </w:tcPr>
          <w:p w14:paraId="3102B327">
            <w:pPr>
              <w:spacing w:line="390" w:lineRule="atLeast"/>
              <w:jc w:val="center"/>
              <w:textAlignment w:val="auto"/>
              <w:rPr>
                <w:rFonts w:hint="eastAsia" w:ascii="宋体" w:hAnsi="宋体" w:cs="宋体"/>
                <w:color w:val="000000"/>
                <w:kern w:val="0"/>
                <w:highlight w:val="none"/>
                <w:shd w:val="clear" w:color="auto" w:fill="FFFFFF"/>
              </w:rPr>
            </w:pPr>
          </w:p>
        </w:tc>
        <w:tc>
          <w:tcPr>
            <w:tcW w:w="466" w:type="dxa"/>
            <w:vMerge w:val="continue"/>
            <w:vAlign w:val="center"/>
          </w:tcPr>
          <w:p w14:paraId="3D7C98AD">
            <w:pPr>
              <w:spacing w:line="390" w:lineRule="atLeast"/>
              <w:jc w:val="center"/>
              <w:textAlignment w:val="auto"/>
              <w:rPr>
                <w:rFonts w:hint="eastAsia" w:ascii="宋体" w:hAnsi="宋体" w:cs="宋体"/>
                <w:color w:val="000000"/>
                <w:kern w:val="0"/>
                <w:highlight w:val="none"/>
                <w:shd w:val="clear" w:color="auto" w:fill="FFFFFF"/>
              </w:rPr>
            </w:pPr>
          </w:p>
        </w:tc>
        <w:tc>
          <w:tcPr>
            <w:tcW w:w="542" w:type="dxa"/>
            <w:vAlign w:val="center"/>
          </w:tcPr>
          <w:p w14:paraId="5D9D608A">
            <w:pPr>
              <w:spacing w:line="390" w:lineRule="atLeast"/>
              <w:jc w:val="center"/>
              <w:textAlignment w:val="auto"/>
              <w:rPr>
                <w:rFonts w:hint="eastAsia" w:ascii="宋体" w:hAnsi="宋体" w:cs="宋体"/>
                <w:color w:val="000000"/>
                <w:kern w:val="0"/>
                <w:highlight w:val="none"/>
                <w:shd w:val="clear" w:color="auto" w:fill="FFFFFF"/>
              </w:rPr>
            </w:pPr>
          </w:p>
        </w:tc>
        <w:tc>
          <w:tcPr>
            <w:tcW w:w="1027" w:type="dxa"/>
            <w:vAlign w:val="center"/>
          </w:tcPr>
          <w:p w14:paraId="44F97343">
            <w:pPr>
              <w:spacing w:line="390" w:lineRule="atLeast"/>
              <w:jc w:val="center"/>
              <w:textAlignment w:val="auto"/>
              <w:rPr>
                <w:rFonts w:hint="eastAsia" w:ascii="宋体" w:hAnsi="宋体" w:cs="宋体"/>
                <w:color w:val="000000"/>
                <w:kern w:val="0"/>
                <w:highlight w:val="none"/>
                <w:shd w:val="clear" w:color="auto" w:fill="FFFFFF"/>
              </w:rPr>
            </w:pPr>
          </w:p>
        </w:tc>
        <w:tc>
          <w:tcPr>
            <w:tcW w:w="1078" w:type="dxa"/>
            <w:vAlign w:val="center"/>
          </w:tcPr>
          <w:p w14:paraId="5F425539">
            <w:pPr>
              <w:spacing w:line="390" w:lineRule="atLeast"/>
              <w:jc w:val="center"/>
              <w:textAlignment w:val="auto"/>
              <w:rPr>
                <w:rFonts w:hint="eastAsia" w:ascii="宋体" w:hAnsi="宋体" w:cs="宋体"/>
                <w:color w:val="000000"/>
                <w:kern w:val="0"/>
                <w:highlight w:val="none"/>
                <w:shd w:val="clear" w:color="auto" w:fill="FFFFFF"/>
              </w:rPr>
            </w:pPr>
          </w:p>
        </w:tc>
      </w:tr>
      <w:tr w14:paraId="4347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864" w:hRule="atLeast"/>
          <w:jc w:val="center"/>
        </w:trPr>
        <w:tc>
          <w:tcPr>
            <w:tcW w:w="412" w:type="dxa"/>
            <w:vAlign w:val="center"/>
          </w:tcPr>
          <w:p w14:paraId="2A902724">
            <w:pPr>
              <w:spacing w:line="390" w:lineRule="atLeast"/>
              <w:jc w:val="center"/>
              <w:textAlignment w:val="auto"/>
              <w:rPr>
                <w:rFonts w:ascii="宋体" w:hAnsi="宋体" w:cs="宋体"/>
                <w:color w:val="000000"/>
                <w:kern w:val="0"/>
                <w:highlight w:val="none"/>
                <w:shd w:val="clear" w:color="auto" w:fill="FFFFFF"/>
              </w:rPr>
            </w:pPr>
            <w:r>
              <w:rPr>
                <w:rFonts w:hint="eastAsia" w:ascii="宋体" w:hAnsi="宋体" w:cs="宋体"/>
                <w:color w:val="000000"/>
                <w:kern w:val="0"/>
                <w:highlight w:val="none"/>
                <w:shd w:val="clear" w:color="auto" w:fill="FFFFFF"/>
              </w:rPr>
              <w:t>4</w:t>
            </w:r>
          </w:p>
        </w:tc>
        <w:tc>
          <w:tcPr>
            <w:tcW w:w="585" w:type="dxa"/>
            <w:vAlign w:val="center"/>
          </w:tcPr>
          <w:p w14:paraId="74DFCBC0">
            <w:pPr>
              <w:spacing w:line="390" w:lineRule="atLeast"/>
              <w:jc w:val="center"/>
              <w:textAlignment w:val="auto"/>
              <w:rPr>
                <w:rFonts w:hint="eastAsia" w:ascii="宋体" w:hAnsi="宋体" w:cs="宋体"/>
                <w:color w:val="000000"/>
                <w:kern w:val="0"/>
                <w:highlight w:val="none"/>
                <w:shd w:val="clear" w:color="auto" w:fill="FFFFFF"/>
              </w:rPr>
            </w:pPr>
          </w:p>
        </w:tc>
        <w:tc>
          <w:tcPr>
            <w:tcW w:w="1283" w:type="dxa"/>
            <w:vAlign w:val="center"/>
          </w:tcPr>
          <w:p w14:paraId="45F39CA5">
            <w:pPr>
              <w:spacing w:line="390" w:lineRule="atLeast"/>
              <w:jc w:val="center"/>
              <w:textAlignment w:val="auto"/>
              <w:rPr>
                <w:rFonts w:hint="eastAsia" w:ascii="宋体" w:hAnsi="宋体" w:cs="宋体"/>
                <w:color w:val="000000"/>
                <w:kern w:val="0"/>
                <w:highlight w:val="none"/>
                <w:shd w:val="clear" w:color="auto" w:fill="FFFFFF"/>
              </w:rPr>
            </w:pPr>
          </w:p>
        </w:tc>
        <w:tc>
          <w:tcPr>
            <w:tcW w:w="608" w:type="dxa"/>
            <w:vAlign w:val="center"/>
          </w:tcPr>
          <w:p w14:paraId="283F8E67">
            <w:pPr>
              <w:spacing w:line="390" w:lineRule="atLeast"/>
              <w:jc w:val="center"/>
              <w:textAlignment w:val="auto"/>
              <w:rPr>
                <w:rFonts w:hint="eastAsia" w:ascii="宋体" w:hAnsi="宋体" w:cs="宋体"/>
                <w:color w:val="000000"/>
                <w:kern w:val="0"/>
                <w:highlight w:val="none"/>
                <w:shd w:val="clear" w:color="auto" w:fill="FFFFFF"/>
              </w:rPr>
            </w:pPr>
          </w:p>
        </w:tc>
        <w:tc>
          <w:tcPr>
            <w:tcW w:w="649" w:type="dxa"/>
            <w:vAlign w:val="center"/>
          </w:tcPr>
          <w:p w14:paraId="4AB81DA1">
            <w:pPr>
              <w:spacing w:line="390" w:lineRule="atLeast"/>
              <w:jc w:val="center"/>
              <w:textAlignment w:val="auto"/>
              <w:rPr>
                <w:rFonts w:hint="eastAsia" w:ascii="宋体" w:hAnsi="宋体" w:cs="宋体"/>
                <w:color w:val="000000"/>
                <w:kern w:val="0"/>
                <w:highlight w:val="none"/>
                <w:shd w:val="clear" w:color="auto" w:fill="FFFFFF"/>
              </w:rPr>
            </w:pPr>
          </w:p>
        </w:tc>
        <w:tc>
          <w:tcPr>
            <w:tcW w:w="695" w:type="dxa"/>
            <w:vAlign w:val="center"/>
          </w:tcPr>
          <w:p w14:paraId="782899CC">
            <w:pPr>
              <w:spacing w:line="390" w:lineRule="atLeast"/>
              <w:jc w:val="center"/>
              <w:textAlignment w:val="auto"/>
              <w:rPr>
                <w:rFonts w:hint="eastAsia" w:ascii="宋体" w:hAnsi="宋体" w:cs="宋体"/>
                <w:color w:val="000000"/>
                <w:kern w:val="0"/>
                <w:highlight w:val="none"/>
                <w:shd w:val="clear" w:color="auto" w:fill="FFFFFF"/>
              </w:rPr>
            </w:pPr>
          </w:p>
        </w:tc>
        <w:tc>
          <w:tcPr>
            <w:tcW w:w="301" w:type="dxa"/>
            <w:vAlign w:val="center"/>
          </w:tcPr>
          <w:p w14:paraId="080EFB7D">
            <w:pPr>
              <w:spacing w:line="390" w:lineRule="atLeast"/>
              <w:jc w:val="center"/>
              <w:textAlignment w:val="auto"/>
              <w:rPr>
                <w:rFonts w:hint="eastAsia" w:ascii="宋体" w:hAnsi="宋体" w:cs="宋体"/>
                <w:color w:val="000000"/>
                <w:kern w:val="0"/>
                <w:highlight w:val="none"/>
                <w:shd w:val="clear" w:color="auto" w:fill="FFFFFF"/>
              </w:rPr>
            </w:pPr>
          </w:p>
        </w:tc>
        <w:tc>
          <w:tcPr>
            <w:tcW w:w="345" w:type="dxa"/>
            <w:vAlign w:val="center"/>
          </w:tcPr>
          <w:p w14:paraId="10DEC761">
            <w:pPr>
              <w:spacing w:line="390" w:lineRule="atLeast"/>
              <w:jc w:val="center"/>
              <w:textAlignment w:val="auto"/>
              <w:rPr>
                <w:rFonts w:hint="eastAsia" w:ascii="宋体" w:hAnsi="宋体" w:cs="宋体"/>
                <w:color w:val="000000"/>
                <w:kern w:val="0"/>
                <w:highlight w:val="none"/>
                <w:shd w:val="clear" w:color="auto" w:fill="FFFFFF"/>
              </w:rPr>
            </w:pPr>
          </w:p>
        </w:tc>
        <w:tc>
          <w:tcPr>
            <w:tcW w:w="579" w:type="dxa"/>
            <w:vAlign w:val="center"/>
          </w:tcPr>
          <w:p w14:paraId="5BB3A0C4">
            <w:pPr>
              <w:spacing w:line="390" w:lineRule="atLeast"/>
              <w:jc w:val="center"/>
              <w:textAlignment w:val="auto"/>
              <w:rPr>
                <w:rFonts w:hint="eastAsia" w:ascii="宋体" w:hAnsi="宋体" w:cs="宋体"/>
                <w:color w:val="000000"/>
                <w:kern w:val="0"/>
                <w:highlight w:val="none"/>
                <w:shd w:val="clear" w:color="auto" w:fill="FFFFFF"/>
              </w:rPr>
            </w:pPr>
          </w:p>
        </w:tc>
        <w:tc>
          <w:tcPr>
            <w:tcW w:w="625" w:type="dxa"/>
            <w:vAlign w:val="center"/>
          </w:tcPr>
          <w:p w14:paraId="5918333E">
            <w:pPr>
              <w:spacing w:line="390" w:lineRule="atLeast"/>
              <w:jc w:val="center"/>
              <w:textAlignment w:val="auto"/>
              <w:rPr>
                <w:rFonts w:hint="eastAsia" w:ascii="宋体" w:hAnsi="宋体" w:cs="宋体"/>
                <w:color w:val="000000"/>
                <w:kern w:val="0"/>
                <w:highlight w:val="none"/>
                <w:shd w:val="clear" w:color="auto" w:fill="FFFFFF"/>
              </w:rPr>
            </w:pPr>
          </w:p>
        </w:tc>
        <w:tc>
          <w:tcPr>
            <w:tcW w:w="466" w:type="dxa"/>
            <w:vMerge w:val="continue"/>
            <w:vAlign w:val="center"/>
          </w:tcPr>
          <w:p w14:paraId="59DCE2E9">
            <w:pPr>
              <w:spacing w:line="390" w:lineRule="atLeast"/>
              <w:jc w:val="center"/>
              <w:textAlignment w:val="auto"/>
              <w:rPr>
                <w:rFonts w:hint="eastAsia" w:ascii="宋体" w:hAnsi="宋体" w:cs="宋体"/>
                <w:color w:val="000000"/>
                <w:kern w:val="0"/>
                <w:highlight w:val="none"/>
                <w:shd w:val="clear" w:color="auto" w:fill="FFFFFF"/>
              </w:rPr>
            </w:pPr>
          </w:p>
        </w:tc>
        <w:tc>
          <w:tcPr>
            <w:tcW w:w="542" w:type="dxa"/>
            <w:vAlign w:val="center"/>
          </w:tcPr>
          <w:p w14:paraId="52BB5739">
            <w:pPr>
              <w:spacing w:line="390" w:lineRule="atLeast"/>
              <w:jc w:val="center"/>
              <w:textAlignment w:val="auto"/>
              <w:rPr>
                <w:rFonts w:hint="eastAsia" w:ascii="宋体" w:hAnsi="宋体" w:cs="宋体"/>
                <w:color w:val="000000"/>
                <w:kern w:val="0"/>
                <w:highlight w:val="none"/>
                <w:shd w:val="clear" w:color="auto" w:fill="FFFFFF"/>
              </w:rPr>
            </w:pPr>
          </w:p>
        </w:tc>
        <w:tc>
          <w:tcPr>
            <w:tcW w:w="1027" w:type="dxa"/>
            <w:vAlign w:val="center"/>
          </w:tcPr>
          <w:p w14:paraId="788E4488">
            <w:pPr>
              <w:spacing w:line="390" w:lineRule="atLeast"/>
              <w:jc w:val="center"/>
              <w:textAlignment w:val="auto"/>
              <w:rPr>
                <w:rFonts w:hint="eastAsia" w:ascii="宋体" w:hAnsi="宋体" w:cs="宋体"/>
                <w:color w:val="000000"/>
                <w:kern w:val="0"/>
                <w:highlight w:val="none"/>
                <w:shd w:val="clear" w:color="auto" w:fill="FFFFFF"/>
              </w:rPr>
            </w:pPr>
          </w:p>
        </w:tc>
        <w:tc>
          <w:tcPr>
            <w:tcW w:w="1078" w:type="dxa"/>
            <w:vAlign w:val="center"/>
          </w:tcPr>
          <w:p w14:paraId="343FCC1C">
            <w:pPr>
              <w:spacing w:line="390" w:lineRule="atLeast"/>
              <w:jc w:val="center"/>
              <w:textAlignment w:val="auto"/>
              <w:rPr>
                <w:rFonts w:hint="eastAsia" w:ascii="宋体" w:hAnsi="宋体" w:cs="宋体"/>
                <w:color w:val="000000"/>
                <w:kern w:val="0"/>
                <w:highlight w:val="none"/>
                <w:shd w:val="clear" w:color="auto" w:fill="FFFFFF"/>
              </w:rPr>
            </w:pPr>
          </w:p>
        </w:tc>
      </w:tr>
      <w:tr w14:paraId="7C02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894" w:hRule="atLeast"/>
          <w:jc w:val="center"/>
        </w:trPr>
        <w:tc>
          <w:tcPr>
            <w:tcW w:w="412" w:type="dxa"/>
            <w:vAlign w:val="center"/>
          </w:tcPr>
          <w:p w14:paraId="29B6EC49">
            <w:pPr>
              <w:spacing w:line="390" w:lineRule="atLeast"/>
              <w:jc w:val="center"/>
              <w:textAlignment w:val="auto"/>
              <w:rPr>
                <w:rFonts w:hint="eastAsia" w:ascii="宋体" w:hAnsi="宋体" w:cs="宋体"/>
                <w:color w:val="000000"/>
                <w:kern w:val="0"/>
                <w:highlight w:val="none"/>
                <w:shd w:val="clear" w:color="auto" w:fill="FFFFFF"/>
              </w:rPr>
            </w:pPr>
            <w:r>
              <w:rPr>
                <w:rFonts w:ascii="Arial" w:hAnsi="Arial" w:cs="Arial"/>
                <w:color w:val="000000"/>
                <w:kern w:val="0"/>
                <w:highlight w:val="none"/>
                <w:shd w:val="clear" w:color="auto" w:fill="FFFFFF"/>
              </w:rPr>
              <w:t>…</w:t>
            </w:r>
          </w:p>
        </w:tc>
        <w:tc>
          <w:tcPr>
            <w:tcW w:w="585" w:type="dxa"/>
            <w:vAlign w:val="center"/>
          </w:tcPr>
          <w:p w14:paraId="161EC8D8">
            <w:pPr>
              <w:spacing w:line="390" w:lineRule="atLeast"/>
              <w:jc w:val="center"/>
              <w:textAlignment w:val="auto"/>
              <w:rPr>
                <w:rFonts w:hint="eastAsia" w:ascii="宋体" w:hAnsi="宋体" w:cs="宋体"/>
                <w:color w:val="000000"/>
                <w:kern w:val="0"/>
                <w:highlight w:val="none"/>
                <w:shd w:val="clear" w:color="auto" w:fill="FFFFFF"/>
              </w:rPr>
            </w:pPr>
          </w:p>
        </w:tc>
        <w:tc>
          <w:tcPr>
            <w:tcW w:w="1283" w:type="dxa"/>
            <w:vAlign w:val="center"/>
          </w:tcPr>
          <w:p w14:paraId="6D296CF8">
            <w:pPr>
              <w:spacing w:line="390" w:lineRule="atLeast"/>
              <w:jc w:val="center"/>
              <w:textAlignment w:val="auto"/>
              <w:rPr>
                <w:rFonts w:hint="eastAsia" w:ascii="宋体" w:hAnsi="宋体" w:cs="宋体"/>
                <w:color w:val="000000"/>
                <w:kern w:val="0"/>
                <w:highlight w:val="none"/>
                <w:shd w:val="clear" w:color="auto" w:fill="FFFFFF"/>
              </w:rPr>
            </w:pPr>
          </w:p>
        </w:tc>
        <w:tc>
          <w:tcPr>
            <w:tcW w:w="608" w:type="dxa"/>
            <w:vAlign w:val="center"/>
          </w:tcPr>
          <w:p w14:paraId="0E0782D2">
            <w:pPr>
              <w:spacing w:line="390" w:lineRule="atLeast"/>
              <w:jc w:val="center"/>
              <w:textAlignment w:val="auto"/>
              <w:rPr>
                <w:rFonts w:hint="eastAsia" w:ascii="宋体" w:hAnsi="宋体" w:cs="宋体"/>
                <w:color w:val="000000"/>
                <w:kern w:val="0"/>
                <w:highlight w:val="none"/>
                <w:shd w:val="clear" w:color="auto" w:fill="FFFFFF"/>
              </w:rPr>
            </w:pPr>
          </w:p>
        </w:tc>
        <w:tc>
          <w:tcPr>
            <w:tcW w:w="649" w:type="dxa"/>
            <w:vAlign w:val="center"/>
          </w:tcPr>
          <w:p w14:paraId="1C88CE99">
            <w:pPr>
              <w:spacing w:line="390" w:lineRule="atLeast"/>
              <w:jc w:val="center"/>
              <w:textAlignment w:val="auto"/>
              <w:rPr>
                <w:rFonts w:hint="eastAsia" w:ascii="宋体" w:hAnsi="宋体" w:cs="宋体"/>
                <w:color w:val="000000"/>
                <w:kern w:val="0"/>
                <w:highlight w:val="none"/>
                <w:shd w:val="clear" w:color="auto" w:fill="FFFFFF"/>
              </w:rPr>
            </w:pPr>
          </w:p>
        </w:tc>
        <w:tc>
          <w:tcPr>
            <w:tcW w:w="695" w:type="dxa"/>
            <w:vAlign w:val="center"/>
          </w:tcPr>
          <w:p w14:paraId="3A7B2637">
            <w:pPr>
              <w:spacing w:line="390" w:lineRule="atLeast"/>
              <w:jc w:val="center"/>
              <w:textAlignment w:val="auto"/>
              <w:rPr>
                <w:rFonts w:hint="eastAsia" w:ascii="宋体" w:hAnsi="宋体" w:cs="宋体"/>
                <w:color w:val="000000"/>
                <w:kern w:val="0"/>
                <w:highlight w:val="none"/>
                <w:shd w:val="clear" w:color="auto" w:fill="FFFFFF"/>
              </w:rPr>
            </w:pPr>
          </w:p>
        </w:tc>
        <w:tc>
          <w:tcPr>
            <w:tcW w:w="301" w:type="dxa"/>
            <w:vAlign w:val="center"/>
          </w:tcPr>
          <w:p w14:paraId="22FE903D">
            <w:pPr>
              <w:spacing w:line="390" w:lineRule="atLeast"/>
              <w:jc w:val="center"/>
              <w:textAlignment w:val="auto"/>
              <w:rPr>
                <w:rFonts w:hint="eastAsia" w:ascii="宋体" w:hAnsi="宋体" w:cs="宋体"/>
                <w:color w:val="000000"/>
                <w:kern w:val="0"/>
                <w:highlight w:val="none"/>
                <w:shd w:val="clear" w:color="auto" w:fill="FFFFFF"/>
              </w:rPr>
            </w:pPr>
          </w:p>
        </w:tc>
        <w:tc>
          <w:tcPr>
            <w:tcW w:w="345" w:type="dxa"/>
            <w:vAlign w:val="center"/>
          </w:tcPr>
          <w:p w14:paraId="08EB6693">
            <w:pPr>
              <w:spacing w:line="390" w:lineRule="atLeast"/>
              <w:jc w:val="center"/>
              <w:textAlignment w:val="auto"/>
              <w:rPr>
                <w:rFonts w:hint="eastAsia" w:ascii="宋体" w:hAnsi="宋体" w:cs="宋体"/>
                <w:color w:val="000000"/>
                <w:kern w:val="0"/>
                <w:highlight w:val="none"/>
                <w:shd w:val="clear" w:color="auto" w:fill="FFFFFF"/>
              </w:rPr>
            </w:pPr>
          </w:p>
        </w:tc>
        <w:tc>
          <w:tcPr>
            <w:tcW w:w="579" w:type="dxa"/>
            <w:vAlign w:val="center"/>
          </w:tcPr>
          <w:p w14:paraId="18EEABED">
            <w:pPr>
              <w:spacing w:line="390" w:lineRule="atLeast"/>
              <w:jc w:val="center"/>
              <w:textAlignment w:val="auto"/>
              <w:rPr>
                <w:rFonts w:hint="eastAsia" w:ascii="宋体" w:hAnsi="宋体" w:cs="宋体"/>
                <w:color w:val="000000"/>
                <w:kern w:val="0"/>
                <w:highlight w:val="none"/>
                <w:shd w:val="clear" w:color="auto" w:fill="FFFFFF"/>
              </w:rPr>
            </w:pPr>
          </w:p>
        </w:tc>
        <w:tc>
          <w:tcPr>
            <w:tcW w:w="625" w:type="dxa"/>
            <w:vAlign w:val="center"/>
          </w:tcPr>
          <w:p w14:paraId="6B6D2782">
            <w:pPr>
              <w:spacing w:line="390" w:lineRule="atLeast"/>
              <w:jc w:val="center"/>
              <w:textAlignment w:val="auto"/>
              <w:rPr>
                <w:rFonts w:hint="eastAsia" w:ascii="宋体" w:hAnsi="宋体" w:cs="宋体"/>
                <w:color w:val="000000"/>
                <w:kern w:val="0"/>
                <w:highlight w:val="none"/>
                <w:shd w:val="clear" w:color="auto" w:fill="FFFFFF"/>
              </w:rPr>
            </w:pPr>
          </w:p>
        </w:tc>
        <w:tc>
          <w:tcPr>
            <w:tcW w:w="466" w:type="dxa"/>
            <w:vMerge w:val="continue"/>
            <w:vAlign w:val="center"/>
          </w:tcPr>
          <w:p w14:paraId="14A754B1">
            <w:pPr>
              <w:spacing w:line="390" w:lineRule="atLeast"/>
              <w:jc w:val="center"/>
              <w:textAlignment w:val="auto"/>
              <w:rPr>
                <w:rFonts w:hint="eastAsia" w:ascii="宋体" w:hAnsi="宋体" w:cs="宋体"/>
                <w:color w:val="000000"/>
                <w:kern w:val="0"/>
                <w:highlight w:val="none"/>
                <w:shd w:val="clear" w:color="auto" w:fill="FFFFFF"/>
              </w:rPr>
            </w:pPr>
          </w:p>
        </w:tc>
        <w:tc>
          <w:tcPr>
            <w:tcW w:w="542" w:type="dxa"/>
            <w:vAlign w:val="center"/>
          </w:tcPr>
          <w:p w14:paraId="7FFC84A9">
            <w:pPr>
              <w:spacing w:line="390" w:lineRule="atLeast"/>
              <w:jc w:val="center"/>
              <w:textAlignment w:val="auto"/>
              <w:rPr>
                <w:rFonts w:hint="eastAsia" w:ascii="宋体" w:hAnsi="宋体" w:cs="宋体"/>
                <w:color w:val="000000"/>
                <w:kern w:val="0"/>
                <w:highlight w:val="none"/>
                <w:shd w:val="clear" w:color="auto" w:fill="FFFFFF"/>
              </w:rPr>
            </w:pPr>
          </w:p>
        </w:tc>
        <w:tc>
          <w:tcPr>
            <w:tcW w:w="1027" w:type="dxa"/>
            <w:vAlign w:val="center"/>
          </w:tcPr>
          <w:p w14:paraId="1CFE7DDE">
            <w:pPr>
              <w:spacing w:line="390" w:lineRule="atLeast"/>
              <w:jc w:val="center"/>
              <w:textAlignment w:val="auto"/>
              <w:rPr>
                <w:rFonts w:hint="eastAsia" w:ascii="宋体" w:hAnsi="宋体" w:cs="宋体"/>
                <w:color w:val="000000"/>
                <w:kern w:val="0"/>
                <w:highlight w:val="none"/>
                <w:shd w:val="clear" w:color="auto" w:fill="FFFFFF"/>
              </w:rPr>
            </w:pPr>
          </w:p>
        </w:tc>
        <w:tc>
          <w:tcPr>
            <w:tcW w:w="1078" w:type="dxa"/>
            <w:vAlign w:val="center"/>
          </w:tcPr>
          <w:p w14:paraId="51C18BDD">
            <w:pPr>
              <w:spacing w:line="390" w:lineRule="atLeast"/>
              <w:jc w:val="center"/>
              <w:textAlignment w:val="auto"/>
              <w:rPr>
                <w:rFonts w:hint="eastAsia" w:ascii="宋体" w:hAnsi="宋体" w:cs="宋体"/>
                <w:color w:val="000000"/>
                <w:kern w:val="0"/>
                <w:highlight w:val="none"/>
                <w:shd w:val="clear" w:color="auto" w:fill="FFFFFF"/>
              </w:rPr>
            </w:pPr>
          </w:p>
        </w:tc>
      </w:tr>
    </w:tbl>
    <w:p w14:paraId="7916FB18">
      <w:pPr>
        <w:spacing w:line="460" w:lineRule="exact"/>
        <w:ind w:firstLine="480" w:firstLineChars="200"/>
        <w:jc w:val="left"/>
        <w:textAlignment w:val="auto"/>
        <w:rPr>
          <w:rFonts w:hint="eastAsia" w:ascii="宋体" w:hAnsi="宋体" w:cs="宋体"/>
          <w:color w:val="000000"/>
          <w:kern w:val="0"/>
          <w:sz w:val="24"/>
          <w:szCs w:val="24"/>
          <w:highlight w:val="none"/>
          <w:shd w:val="clear" w:color="auto" w:fill="FFFFFF"/>
        </w:rPr>
      </w:pPr>
      <w:r>
        <w:rPr>
          <w:rFonts w:hint="eastAsia" w:ascii="宋体" w:hAnsi="宋体" w:cs="宋体"/>
          <w:color w:val="000000"/>
          <w:kern w:val="0"/>
          <w:sz w:val="24"/>
          <w:szCs w:val="24"/>
          <w:highlight w:val="none"/>
          <w:shd w:val="clear" w:color="auto" w:fill="FFFFFF"/>
        </w:rPr>
        <w:t>注：1.本报价为含税价格。2.本次采购耗材内容为变量，数量暂定为“1”，配送数量及结算金额以实际发生量为准。合同签订后，供应商按照采购人需求，分批次供货，据实结算。3.本表内容若单页不够填写，可按同样格式扩展。但每页均需加盖投标人单位公章并确保清晰可辩。4.投标人必须按“义齿加工采购清单”原有‌品目序号与排列顺序‌填报报价，‌严禁增删、调换或修改序号。</w:t>
      </w:r>
    </w:p>
    <w:p w14:paraId="36AD81FD">
      <w:pPr>
        <w:spacing w:line="360" w:lineRule="auto"/>
        <w:jc w:val="left"/>
        <w:rPr>
          <w:rFonts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供应商名称（签章）：</w:t>
      </w:r>
      <w:r>
        <w:rPr>
          <w:rFonts w:hint="eastAsia" w:ascii="仿宋" w:hAnsi="仿宋" w:eastAsia="仿宋" w:cs="仿宋"/>
          <w:color w:val="000000"/>
          <w:sz w:val="28"/>
          <w:szCs w:val="28"/>
          <w:highlight w:val="none"/>
          <w:u w:val="single"/>
        </w:rPr>
        <w:t xml:space="preserve">                         </w:t>
      </w:r>
    </w:p>
    <w:p w14:paraId="3D367F2B">
      <w:pPr>
        <w:adjustRightInd w:val="0"/>
        <w:snapToGrid w:val="0"/>
        <w:spacing w:line="360" w:lineRule="auto"/>
        <w:rPr>
          <w:rFonts w:ascii="仿宋" w:hAnsi="仿宋" w:eastAsia="仿宋" w:cs="仿宋"/>
          <w:color w:val="000000"/>
          <w:kern w:val="0"/>
          <w:sz w:val="28"/>
          <w:szCs w:val="28"/>
          <w:highlight w:val="none"/>
          <w:u w:val="single"/>
        </w:rPr>
      </w:pPr>
      <w:r>
        <w:rPr>
          <w:rFonts w:hint="eastAsia" w:ascii="仿宋" w:hAnsi="仿宋" w:eastAsia="仿宋" w:cs="仿宋"/>
          <w:color w:val="000000"/>
          <w:sz w:val="28"/>
          <w:szCs w:val="28"/>
          <w:highlight w:val="none"/>
        </w:rPr>
        <w:t>法定代表人（单位负责人）或委托代理人（签字或盖章）：</w:t>
      </w:r>
      <w:r>
        <w:rPr>
          <w:rFonts w:hint="eastAsia" w:ascii="仿宋" w:hAnsi="仿宋" w:eastAsia="仿宋" w:cs="仿宋"/>
          <w:color w:val="000000"/>
          <w:sz w:val="28"/>
          <w:szCs w:val="28"/>
          <w:highlight w:val="none"/>
          <w:u w:val="single"/>
        </w:rPr>
        <w:t xml:space="preserve">                     </w:t>
      </w:r>
    </w:p>
    <w:p w14:paraId="3494952D">
      <w:pPr>
        <w:spacing w:line="360" w:lineRule="auto"/>
        <w:rPr>
          <w:rFonts w:hint="eastAsia" w:ascii="宋体" w:hAnsi="宋体" w:cs="宋体"/>
          <w:color w:val="000000"/>
          <w:kern w:val="0"/>
          <w:sz w:val="24"/>
          <w:szCs w:val="24"/>
          <w:highlight w:val="none"/>
          <w:shd w:val="clear" w:color="auto" w:fill="FFFFFF"/>
        </w:rPr>
      </w:pPr>
      <w:r>
        <w:rPr>
          <w:rFonts w:hint="eastAsia" w:ascii="仿宋" w:hAnsi="仿宋" w:eastAsia="仿宋" w:cs="仿宋"/>
          <w:snapToGrid w:val="0"/>
          <w:color w:val="000000"/>
          <w:sz w:val="28"/>
          <w:szCs w:val="28"/>
          <w:highlight w:val="none"/>
        </w:rPr>
        <w:t>日  期：</w:t>
      </w:r>
    </w:p>
    <w:p w14:paraId="57A24BA3">
      <w:pPr>
        <w:jc w:val="center"/>
        <w:rPr>
          <w:rStyle w:val="61"/>
          <w:rFonts w:hint="eastAsia" w:ascii="仿宋" w:hAnsi="仿宋" w:eastAsia="仿宋" w:cs="仿宋"/>
          <w:b/>
          <w:bCs/>
          <w:kern w:val="0"/>
          <w:sz w:val="28"/>
          <w:szCs w:val="28"/>
          <w:highlight w:val="none"/>
        </w:rPr>
      </w:pPr>
    </w:p>
    <w:p w14:paraId="758D63C3">
      <w:pPr>
        <w:jc w:val="center"/>
        <w:rPr>
          <w:rStyle w:val="61"/>
          <w:rFonts w:hint="eastAsia" w:ascii="仿宋" w:hAnsi="仿宋" w:eastAsia="仿宋" w:cs="仿宋"/>
          <w:b/>
          <w:bCs/>
          <w:kern w:val="0"/>
          <w:sz w:val="28"/>
          <w:szCs w:val="28"/>
          <w:highlight w:val="none"/>
        </w:rPr>
      </w:pPr>
    </w:p>
    <w:p w14:paraId="7B03EFDA">
      <w:pPr>
        <w:jc w:val="center"/>
        <w:rPr>
          <w:rStyle w:val="61"/>
          <w:rFonts w:hint="eastAsia" w:ascii="仿宋" w:hAnsi="仿宋" w:eastAsia="仿宋" w:cs="仿宋"/>
          <w:bCs/>
          <w:kern w:val="0"/>
          <w:sz w:val="28"/>
          <w:szCs w:val="28"/>
          <w:highlight w:val="none"/>
        </w:rPr>
      </w:pPr>
    </w:p>
    <w:p w14:paraId="089FF806">
      <w:pPr>
        <w:jc w:val="center"/>
        <w:rPr>
          <w:rStyle w:val="61"/>
          <w:rFonts w:hint="eastAsia" w:ascii="仿宋" w:hAnsi="仿宋" w:eastAsia="仿宋" w:cs="仿宋"/>
          <w:bCs/>
          <w:kern w:val="0"/>
          <w:sz w:val="28"/>
          <w:szCs w:val="28"/>
          <w:highlight w:val="none"/>
        </w:rPr>
      </w:pPr>
    </w:p>
    <w:p w14:paraId="74BEE2D8">
      <w:pPr>
        <w:jc w:val="center"/>
        <w:rPr>
          <w:rStyle w:val="61"/>
          <w:rFonts w:hint="eastAsia" w:ascii="仿宋" w:hAnsi="仿宋" w:eastAsia="仿宋" w:cs="仿宋"/>
          <w:bCs/>
          <w:kern w:val="0"/>
          <w:sz w:val="28"/>
          <w:szCs w:val="28"/>
          <w:highlight w:val="none"/>
        </w:rPr>
      </w:pPr>
    </w:p>
    <w:p w14:paraId="1D5DA027">
      <w:pPr>
        <w:jc w:val="center"/>
        <w:rPr>
          <w:rStyle w:val="61"/>
          <w:rFonts w:ascii="仿宋" w:hAnsi="仿宋" w:eastAsia="仿宋" w:cs="仿宋"/>
          <w:b/>
          <w:bCs/>
          <w:kern w:val="0"/>
          <w:sz w:val="28"/>
          <w:szCs w:val="28"/>
          <w:highlight w:val="none"/>
        </w:rPr>
      </w:pPr>
      <w:r>
        <w:rPr>
          <w:rStyle w:val="61"/>
          <w:rFonts w:hint="eastAsia" w:ascii="仿宋" w:hAnsi="仿宋" w:eastAsia="仿宋" w:cs="仿宋"/>
          <w:b/>
          <w:bCs/>
          <w:kern w:val="0"/>
          <w:sz w:val="28"/>
          <w:szCs w:val="28"/>
          <w:highlight w:val="none"/>
        </w:rPr>
        <w:t>供应商资格证明及评审所需材料</w:t>
      </w:r>
    </w:p>
    <w:p w14:paraId="59A58F77">
      <w:pPr>
        <w:ind w:firstLine="560" w:firstLineChars="200"/>
        <w:rPr>
          <w:rStyle w:val="61"/>
          <w:rFonts w:ascii="仿宋" w:hAnsi="仿宋" w:eastAsia="仿宋" w:cs="仿宋"/>
          <w:bCs/>
          <w:kern w:val="0"/>
          <w:sz w:val="28"/>
          <w:szCs w:val="28"/>
          <w:highlight w:val="none"/>
        </w:rPr>
      </w:pPr>
      <w:r>
        <w:rPr>
          <w:rStyle w:val="61"/>
          <w:rFonts w:hint="eastAsia" w:ascii="仿宋" w:hAnsi="仿宋" w:eastAsia="仿宋" w:cs="仿宋"/>
          <w:bCs/>
          <w:kern w:val="0"/>
          <w:sz w:val="28"/>
          <w:szCs w:val="28"/>
          <w:highlight w:val="none"/>
        </w:rPr>
        <w:t>供应商应仔细查看谈判公告、评标办法及谈判文件中需提供的资料确保提供齐全（包括营业执照、申请人资格要求内及服务需求中所需的证明材料）</w:t>
      </w:r>
    </w:p>
    <w:p w14:paraId="4DEF56AF">
      <w:pPr>
        <w:pStyle w:val="59"/>
        <w:spacing w:line="360" w:lineRule="auto"/>
        <w:jc w:val="center"/>
        <w:rPr>
          <w:rStyle w:val="61"/>
          <w:rFonts w:ascii="仿宋" w:hAnsi="仿宋" w:eastAsia="仿宋" w:cs="仿宋"/>
          <w:b/>
          <w:bCs/>
          <w:kern w:val="0"/>
          <w:sz w:val="28"/>
          <w:szCs w:val="28"/>
          <w:highlight w:val="none"/>
        </w:rPr>
      </w:pPr>
    </w:p>
    <w:p w14:paraId="3DEDF0E6">
      <w:pPr>
        <w:spacing w:line="340" w:lineRule="exact"/>
        <w:jc w:val="center"/>
        <w:rPr>
          <w:rStyle w:val="61"/>
          <w:rFonts w:ascii="仿宋" w:hAnsi="仿宋" w:eastAsia="仿宋" w:cs="仿宋"/>
          <w:b/>
          <w:sz w:val="28"/>
          <w:szCs w:val="28"/>
          <w:highlight w:val="none"/>
        </w:rPr>
      </w:pPr>
    </w:p>
    <w:p w14:paraId="6D66E8E8">
      <w:pPr>
        <w:spacing w:line="340" w:lineRule="exact"/>
        <w:jc w:val="center"/>
        <w:rPr>
          <w:rStyle w:val="61"/>
          <w:rFonts w:ascii="仿宋" w:hAnsi="仿宋" w:eastAsia="仿宋" w:cs="仿宋"/>
          <w:b/>
          <w:sz w:val="28"/>
          <w:szCs w:val="28"/>
          <w:highlight w:val="none"/>
        </w:rPr>
      </w:pPr>
      <w:r>
        <w:rPr>
          <w:rStyle w:val="61"/>
          <w:rFonts w:hint="eastAsia" w:ascii="仿宋" w:hAnsi="仿宋" w:eastAsia="仿宋" w:cs="仿宋"/>
          <w:b/>
          <w:sz w:val="28"/>
          <w:szCs w:val="28"/>
          <w:highlight w:val="none"/>
        </w:rPr>
        <w:t>其他资料</w:t>
      </w:r>
    </w:p>
    <w:p w14:paraId="34A88C4D">
      <w:pPr>
        <w:pStyle w:val="2"/>
        <w:jc w:val="center"/>
        <w:rPr>
          <w:rStyle w:val="61"/>
          <w:rFonts w:ascii="仿宋" w:hAnsi="仿宋" w:eastAsia="仿宋" w:cs="仿宋"/>
          <w:bCs/>
          <w:kern w:val="0"/>
          <w:sz w:val="28"/>
          <w:szCs w:val="28"/>
          <w:highlight w:val="none"/>
        </w:rPr>
      </w:pPr>
      <w:r>
        <w:rPr>
          <w:rStyle w:val="61"/>
          <w:rFonts w:hint="eastAsia" w:ascii="仿宋" w:hAnsi="仿宋" w:eastAsia="仿宋" w:cs="仿宋"/>
          <w:bCs/>
          <w:kern w:val="0"/>
          <w:sz w:val="28"/>
          <w:szCs w:val="28"/>
          <w:highlight w:val="none"/>
        </w:rPr>
        <w:t>（供应商根据谈判文件要求认为须提交的其他材料）</w:t>
      </w:r>
    </w:p>
    <w:p w14:paraId="118A4652">
      <w:pPr>
        <w:rPr>
          <w:highlight w:val="none"/>
        </w:rPr>
      </w:pPr>
    </w:p>
    <w:p w14:paraId="478665E3">
      <w:pPr>
        <w:pStyle w:val="2"/>
        <w:rPr>
          <w:rFonts w:eastAsiaTheme="minorEastAsia"/>
          <w:highlight w:val="none"/>
        </w:rPr>
      </w:pPr>
    </w:p>
    <w:p w14:paraId="6C53B63A">
      <w:pPr>
        <w:jc w:val="center"/>
        <w:rPr>
          <w:rStyle w:val="61"/>
          <w:rFonts w:ascii="仿宋" w:hAnsi="仿宋" w:eastAsia="仿宋" w:cs="仿宋"/>
          <w:b/>
          <w:sz w:val="28"/>
          <w:szCs w:val="28"/>
          <w:highlight w:val="none"/>
        </w:rPr>
      </w:pPr>
      <w:r>
        <w:rPr>
          <w:rStyle w:val="61"/>
          <w:rFonts w:hint="eastAsia" w:ascii="仿宋" w:hAnsi="仿宋" w:eastAsia="仿宋" w:cs="仿宋"/>
          <w:b/>
          <w:sz w:val="28"/>
          <w:szCs w:val="28"/>
          <w:highlight w:val="none"/>
        </w:rPr>
        <w:t>采购需求中要求提供的方案及承诺等</w:t>
      </w:r>
    </w:p>
    <w:p w14:paraId="160A6E47">
      <w:pPr>
        <w:pStyle w:val="2"/>
        <w:ind w:firstLine="0"/>
        <w:jc w:val="center"/>
        <w:rPr>
          <w:rStyle w:val="61"/>
          <w:rFonts w:ascii="仿宋" w:hAnsi="仿宋" w:eastAsia="仿宋" w:cs="仿宋"/>
          <w:bCs/>
          <w:kern w:val="0"/>
          <w:sz w:val="28"/>
          <w:szCs w:val="28"/>
          <w:highlight w:val="none"/>
        </w:rPr>
      </w:pPr>
      <w:r>
        <w:rPr>
          <w:rStyle w:val="61"/>
          <w:rFonts w:hint="eastAsia" w:ascii="仿宋" w:hAnsi="仿宋" w:eastAsia="仿宋" w:cs="仿宋"/>
          <w:bCs/>
          <w:kern w:val="0"/>
          <w:sz w:val="28"/>
          <w:szCs w:val="28"/>
          <w:highlight w:val="none"/>
        </w:rPr>
        <w:t>（供应商根据采购需求自拟）</w:t>
      </w:r>
    </w:p>
    <w:p w14:paraId="727F3856">
      <w:pPr>
        <w:pStyle w:val="59"/>
        <w:spacing w:line="320" w:lineRule="exact"/>
        <w:rPr>
          <w:rStyle w:val="61"/>
          <w:rFonts w:ascii="仿宋" w:hAnsi="仿宋" w:eastAsia="仿宋" w:cs="仿宋"/>
          <w:b/>
          <w:kern w:val="0"/>
          <w:sz w:val="28"/>
          <w:szCs w:val="28"/>
          <w:highlight w:val="none"/>
        </w:rPr>
      </w:pPr>
    </w:p>
    <w:sectPr>
      <w:footerReference r:id="rId5" w:type="default"/>
      <w:pgSz w:w="11906" w:h="16838"/>
      <w:pgMar w:top="1247" w:right="1134" w:bottom="1134" w:left="1134" w:header="851" w:footer="567" w:gutter="0"/>
      <w:pgNumType w:fmt="numberInDash" w:start="1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FangSong_GB2312">
    <w:altName w:val="仿宋"/>
    <w:panose1 w:val="02010609060101010101"/>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8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9DA1E">
    <w:pPr>
      <w:pStyle w:val="19"/>
      <w:rPr>
        <w:rStyle w:val="61"/>
        <w:rFonts w:eastAsia="Times New Roman"/>
        <w:sz w:val="18"/>
      </w:rPr>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path/>
          <v:fill on="f" focussize="0,0"/>
          <v:stroke on="f" weight="0.5pt" joinstyle="miter"/>
          <v:imagedata o:title=""/>
          <o:lock v:ext="edit"/>
          <v:textbox inset="0mm,0mm,0mm,0mm" style="mso-fit-shape-to-text:t;">
            <w:txbxContent>
              <w:p w14:paraId="443FF8C6">
                <w:pPr>
                  <w:pStyle w:val="19"/>
                  <w:rPr>
                    <w:rFonts w:eastAsia="宋体"/>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CF0E">
    <w:pPr>
      <w:pStyle w:val="19"/>
      <w:jc w:val="center"/>
    </w:pPr>
    <w:r>
      <w:pict>
        <v:shape id="_x0000_s1032" o:spid="_x0000_s103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sdt>
                <w:sdtPr>
                  <w:id w:val="147478651"/>
                </w:sdtPr>
                <w:sdtContent>
                  <w:p w14:paraId="31191B03">
                    <w:pPr>
                      <w:pStyle w:val="19"/>
                      <w:jc w:val="center"/>
                    </w:pPr>
                    <w:r>
                      <w:fldChar w:fldCharType="begin"/>
                    </w:r>
                    <w:r>
                      <w:instrText xml:space="preserve">PAGE   \* MERGEFORMAT</w:instrText>
                    </w:r>
                    <w:r>
                      <w:fldChar w:fldCharType="separate"/>
                    </w:r>
                    <w:r>
                      <w:rPr>
                        <w:lang w:val="zh-CN"/>
                      </w:rPr>
                      <w:t>-</w:t>
                    </w:r>
                    <w:r>
                      <w:t xml:space="preserve"> 1 -</w:t>
                    </w:r>
                    <w:r>
                      <w:rPr>
                        <w:lang w:val="zh-CN"/>
                      </w:rPr>
                      <w:fldChar w:fldCharType="end"/>
                    </w:r>
                  </w:p>
                </w:sdtContent>
              </w:sdt>
              <w:p w14:paraId="0BA5EDD3">
                <w:pPr>
                  <w:pStyle w:val="2"/>
                </w:pPr>
              </w:p>
            </w:txbxContent>
          </v:textbox>
        </v:shape>
      </w:pict>
    </w:r>
  </w:p>
  <w:p w14:paraId="1634F482">
    <w:pPr>
      <w:pStyle w:val="19"/>
      <w:rPr>
        <w:rStyle w:val="61"/>
        <w:rFonts w:eastAsia="Times New Roman"/>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CA218">
    <w:pPr>
      <w:pStyle w:val="19"/>
      <w:ind w:right="360"/>
      <w:jc w:val="right"/>
    </w:pPr>
    <w:r>
      <w:pict>
        <v:shape id="_x0000_s1031" o:spid="_x0000_s103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0A4BB315">
                <w:pPr>
                  <w:pStyle w:val="19"/>
                  <w:rPr>
                    <w:rStyle w:val="34"/>
                  </w:rPr>
                </w:pPr>
                <w:r>
                  <w:fldChar w:fldCharType="begin"/>
                </w:r>
                <w:r>
                  <w:rPr>
                    <w:rStyle w:val="34"/>
                  </w:rPr>
                  <w:instrText xml:space="preserve">PAGE  </w:instrText>
                </w:r>
                <w:r>
                  <w:fldChar w:fldCharType="separate"/>
                </w:r>
                <w:r>
                  <w:rPr>
                    <w:rStyle w:val="34"/>
                  </w:rPr>
                  <w:t>- 10 -</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4E2D9"/>
    <w:multiLevelType w:val="singleLevel"/>
    <w:tmpl w:val="1524E2D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attachedTemplate r:id="rId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UzZmI0Mjc4NDFjOGI0M2NkNWU2Mjc4OTNjMmFiMzAifQ=="/>
  </w:docVars>
  <w:rsids>
    <w:rsidRoot w:val="046F4689"/>
    <w:rsid w:val="00001192"/>
    <w:rsid w:val="000015D0"/>
    <w:rsid w:val="00002198"/>
    <w:rsid w:val="00002489"/>
    <w:rsid w:val="00011314"/>
    <w:rsid w:val="00016DEF"/>
    <w:rsid w:val="00023AB6"/>
    <w:rsid w:val="00024058"/>
    <w:rsid w:val="00024061"/>
    <w:rsid w:val="00025353"/>
    <w:rsid w:val="000316F5"/>
    <w:rsid w:val="000367AB"/>
    <w:rsid w:val="00037DEE"/>
    <w:rsid w:val="000419F8"/>
    <w:rsid w:val="00042C60"/>
    <w:rsid w:val="00042E4F"/>
    <w:rsid w:val="00043E7D"/>
    <w:rsid w:val="00046AE8"/>
    <w:rsid w:val="00046F7C"/>
    <w:rsid w:val="00050BA5"/>
    <w:rsid w:val="00051A3E"/>
    <w:rsid w:val="00052B13"/>
    <w:rsid w:val="00052C45"/>
    <w:rsid w:val="00053C4A"/>
    <w:rsid w:val="0005443D"/>
    <w:rsid w:val="0006058C"/>
    <w:rsid w:val="00061862"/>
    <w:rsid w:val="0006242A"/>
    <w:rsid w:val="00062D65"/>
    <w:rsid w:val="0007396C"/>
    <w:rsid w:val="00080E4F"/>
    <w:rsid w:val="00081300"/>
    <w:rsid w:val="00081F75"/>
    <w:rsid w:val="0008450B"/>
    <w:rsid w:val="00084F8C"/>
    <w:rsid w:val="00086B9A"/>
    <w:rsid w:val="0008782A"/>
    <w:rsid w:val="0009211F"/>
    <w:rsid w:val="00092DE5"/>
    <w:rsid w:val="00094B92"/>
    <w:rsid w:val="000A0201"/>
    <w:rsid w:val="000A1EFC"/>
    <w:rsid w:val="000A30E7"/>
    <w:rsid w:val="000A3651"/>
    <w:rsid w:val="000A4042"/>
    <w:rsid w:val="000A6F39"/>
    <w:rsid w:val="000A7ADD"/>
    <w:rsid w:val="000B04AB"/>
    <w:rsid w:val="000B1767"/>
    <w:rsid w:val="000C0CB5"/>
    <w:rsid w:val="000C323E"/>
    <w:rsid w:val="000C4002"/>
    <w:rsid w:val="000C60D6"/>
    <w:rsid w:val="000C666C"/>
    <w:rsid w:val="000D00A4"/>
    <w:rsid w:val="000D3A5C"/>
    <w:rsid w:val="000D4DAE"/>
    <w:rsid w:val="000D58E3"/>
    <w:rsid w:val="000E1442"/>
    <w:rsid w:val="000E1D2D"/>
    <w:rsid w:val="000E1E10"/>
    <w:rsid w:val="000E227D"/>
    <w:rsid w:val="000E28BD"/>
    <w:rsid w:val="000E34A8"/>
    <w:rsid w:val="000F624E"/>
    <w:rsid w:val="00102FC4"/>
    <w:rsid w:val="0010300A"/>
    <w:rsid w:val="0010647B"/>
    <w:rsid w:val="00106B17"/>
    <w:rsid w:val="0011104C"/>
    <w:rsid w:val="001111B0"/>
    <w:rsid w:val="00111666"/>
    <w:rsid w:val="001157B2"/>
    <w:rsid w:val="00117D69"/>
    <w:rsid w:val="0012083A"/>
    <w:rsid w:val="00126810"/>
    <w:rsid w:val="001306A1"/>
    <w:rsid w:val="00135314"/>
    <w:rsid w:val="0013758F"/>
    <w:rsid w:val="001378A0"/>
    <w:rsid w:val="00137B11"/>
    <w:rsid w:val="001405EB"/>
    <w:rsid w:val="0014130C"/>
    <w:rsid w:val="00141320"/>
    <w:rsid w:val="001416B6"/>
    <w:rsid w:val="00142609"/>
    <w:rsid w:val="00143DAB"/>
    <w:rsid w:val="00147179"/>
    <w:rsid w:val="001478C5"/>
    <w:rsid w:val="001506A1"/>
    <w:rsid w:val="0015557A"/>
    <w:rsid w:val="00155E6E"/>
    <w:rsid w:val="001571D1"/>
    <w:rsid w:val="00157F3D"/>
    <w:rsid w:val="001602A9"/>
    <w:rsid w:val="001603A6"/>
    <w:rsid w:val="00160DD8"/>
    <w:rsid w:val="00163040"/>
    <w:rsid w:val="00164EF9"/>
    <w:rsid w:val="001662A0"/>
    <w:rsid w:val="0016691A"/>
    <w:rsid w:val="001711FB"/>
    <w:rsid w:val="00171B91"/>
    <w:rsid w:val="00175E0E"/>
    <w:rsid w:val="0017640E"/>
    <w:rsid w:val="00176577"/>
    <w:rsid w:val="00184FBF"/>
    <w:rsid w:val="00185330"/>
    <w:rsid w:val="001860C9"/>
    <w:rsid w:val="001862F1"/>
    <w:rsid w:val="00187369"/>
    <w:rsid w:val="00190933"/>
    <w:rsid w:val="00191D35"/>
    <w:rsid w:val="00194A92"/>
    <w:rsid w:val="00194AE0"/>
    <w:rsid w:val="00196BF2"/>
    <w:rsid w:val="00196D8C"/>
    <w:rsid w:val="001A49A9"/>
    <w:rsid w:val="001A4FD4"/>
    <w:rsid w:val="001A5BF4"/>
    <w:rsid w:val="001A68E4"/>
    <w:rsid w:val="001B43DF"/>
    <w:rsid w:val="001B75C1"/>
    <w:rsid w:val="001C249B"/>
    <w:rsid w:val="001C31AC"/>
    <w:rsid w:val="001C483E"/>
    <w:rsid w:val="001C5B06"/>
    <w:rsid w:val="001D05D6"/>
    <w:rsid w:val="001D0F0E"/>
    <w:rsid w:val="001D28EB"/>
    <w:rsid w:val="001D3F0D"/>
    <w:rsid w:val="001D42AE"/>
    <w:rsid w:val="001E0A7C"/>
    <w:rsid w:val="001E4460"/>
    <w:rsid w:val="001E4F37"/>
    <w:rsid w:val="001F2191"/>
    <w:rsid w:val="00201647"/>
    <w:rsid w:val="00206F86"/>
    <w:rsid w:val="0020758B"/>
    <w:rsid w:val="00207819"/>
    <w:rsid w:val="002120AB"/>
    <w:rsid w:val="0022567A"/>
    <w:rsid w:val="00225CA4"/>
    <w:rsid w:val="0022640D"/>
    <w:rsid w:val="00227CD9"/>
    <w:rsid w:val="00230AD1"/>
    <w:rsid w:val="0023124F"/>
    <w:rsid w:val="00231D5B"/>
    <w:rsid w:val="002320C8"/>
    <w:rsid w:val="00233566"/>
    <w:rsid w:val="002350E4"/>
    <w:rsid w:val="00235727"/>
    <w:rsid w:val="002372BA"/>
    <w:rsid w:val="00241CA7"/>
    <w:rsid w:val="00244F10"/>
    <w:rsid w:val="002455F9"/>
    <w:rsid w:val="00247784"/>
    <w:rsid w:val="00251669"/>
    <w:rsid w:val="002531A3"/>
    <w:rsid w:val="0026012A"/>
    <w:rsid w:val="00264183"/>
    <w:rsid w:val="00267D1D"/>
    <w:rsid w:val="00271236"/>
    <w:rsid w:val="002735CB"/>
    <w:rsid w:val="00275347"/>
    <w:rsid w:val="002761CE"/>
    <w:rsid w:val="002763F0"/>
    <w:rsid w:val="002809ED"/>
    <w:rsid w:val="00283C80"/>
    <w:rsid w:val="002841C1"/>
    <w:rsid w:val="00284F77"/>
    <w:rsid w:val="0028547E"/>
    <w:rsid w:val="0028637D"/>
    <w:rsid w:val="002868D9"/>
    <w:rsid w:val="00293FB7"/>
    <w:rsid w:val="002A0512"/>
    <w:rsid w:val="002A1211"/>
    <w:rsid w:val="002A31B0"/>
    <w:rsid w:val="002A4AEF"/>
    <w:rsid w:val="002A4D57"/>
    <w:rsid w:val="002B5083"/>
    <w:rsid w:val="002C2174"/>
    <w:rsid w:val="002C296E"/>
    <w:rsid w:val="002C5693"/>
    <w:rsid w:val="002C6A7C"/>
    <w:rsid w:val="002C7868"/>
    <w:rsid w:val="002D21F0"/>
    <w:rsid w:val="002D2810"/>
    <w:rsid w:val="002D500A"/>
    <w:rsid w:val="002E04EA"/>
    <w:rsid w:val="002E1492"/>
    <w:rsid w:val="002E2381"/>
    <w:rsid w:val="002F1DC7"/>
    <w:rsid w:val="002F1F03"/>
    <w:rsid w:val="002F2D54"/>
    <w:rsid w:val="002F35D0"/>
    <w:rsid w:val="002F4E7E"/>
    <w:rsid w:val="002F579C"/>
    <w:rsid w:val="002F6B76"/>
    <w:rsid w:val="003015CF"/>
    <w:rsid w:val="003018F8"/>
    <w:rsid w:val="0030536A"/>
    <w:rsid w:val="003065F0"/>
    <w:rsid w:val="00306E7C"/>
    <w:rsid w:val="003120CB"/>
    <w:rsid w:val="00314186"/>
    <w:rsid w:val="0031755F"/>
    <w:rsid w:val="0032184E"/>
    <w:rsid w:val="00327F22"/>
    <w:rsid w:val="003343CD"/>
    <w:rsid w:val="00334F03"/>
    <w:rsid w:val="00336311"/>
    <w:rsid w:val="003363E2"/>
    <w:rsid w:val="00341D1C"/>
    <w:rsid w:val="00343668"/>
    <w:rsid w:val="00344335"/>
    <w:rsid w:val="00344590"/>
    <w:rsid w:val="00346F7A"/>
    <w:rsid w:val="00350FA4"/>
    <w:rsid w:val="00351C9F"/>
    <w:rsid w:val="003526D1"/>
    <w:rsid w:val="0035491F"/>
    <w:rsid w:val="003553D8"/>
    <w:rsid w:val="003572F3"/>
    <w:rsid w:val="00360768"/>
    <w:rsid w:val="00363059"/>
    <w:rsid w:val="003637FC"/>
    <w:rsid w:val="00363903"/>
    <w:rsid w:val="00363B18"/>
    <w:rsid w:val="00365D5F"/>
    <w:rsid w:val="00365DC4"/>
    <w:rsid w:val="00370961"/>
    <w:rsid w:val="00372210"/>
    <w:rsid w:val="003753F9"/>
    <w:rsid w:val="00377A8B"/>
    <w:rsid w:val="00380825"/>
    <w:rsid w:val="0038213F"/>
    <w:rsid w:val="003821DC"/>
    <w:rsid w:val="0038758B"/>
    <w:rsid w:val="003876E3"/>
    <w:rsid w:val="00391C72"/>
    <w:rsid w:val="00392181"/>
    <w:rsid w:val="00393074"/>
    <w:rsid w:val="003A2D84"/>
    <w:rsid w:val="003A307B"/>
    <w:rsid w:val="003A45D8"/>
    <w:rsid w:val="003A5842"/>
    <w:rsid w:val="003A5E27"/>
    <w:rsid w:val="003B0BDC"/>
    <w:rsid w:val="003B1DF3"/>
    <w:rsid w:val="003B5E89"/>
    <w:rsid w:val="003B71CF"/>
    <w:rsid w:val="003B7B22"/>
    <w:rsid w:val="003C2D33"/>
    <w:rsid w:val="003C5667"/>
    <w:rsid w:val="003C5F4E"/>
    <w:rsid w:val="003D333D"/>
    <w:rsid w:val="003D6018"/>
    <w:rsid w:val="003D631C"/>
    <w:rsid w:val="003D64C3"/>
    <w:rsid w:val="003E0552"/>
    <w:rsid w:val="003E3B14"/>
    <w:rsid w:val="003E5760"/>
    <w:rsid w:val="003E69DA"/>
    <w:rsid w:val="003F3D0B"/>
    <w:rsid w:val="00401A47"/>
    <w:rsid w:val="004034B9"/>
    <w:rsid w:val="00404F23"/>
    <w:rsid w:val="004057F2"/>
    <w:rsid w:val="004061E9"/>
    <w:rsid w:val="00406A4D"/>
    <w:rsid w:val="0040703A"/>
    <w:rsid w:val="004136DA"/>
    <w:rsid w:val="0041550A"/>
    <w:rsid w:val="00417A65"/>
    <w:rsid w:val="00421B39"/>
    <w:rsid w:val="00421F1D"/>
    <w:rsid w:val="00422860"/>
    <w:rsid w:val="0042547A"/>
    <w:rsid w:val="00426DE1"/>
    <w:rsid w:val="00432F95"/>
    <w:rsid w:val="00434CB6"/>
    <w:rsid w:val="00435FED"/>
    <w:rsid w:val="004376E1"/>
    <w:rsid w:val="00440AE5"/>
    <w:rsid w:val="00441E31"/>
    <w:rsid w:val="00442177"/>
    <w:rsid w:val="00446884"/>
    <w:rsid w:val="004555CA"/>
    <w:rsid w:val="004635A9"/>
    <w:rsid w:val="0046562A"/>
    <w:rsid w:val="00465A72"/>
    <w:rsid w:val="00466B05"/>
    <w:rsid w:val="00470ABD"/>
    <w:rsid w:val="00473671"/>
    <w:rsid w:val="0047444B"/>
    <w:rsid w:val="00483680"/>
    <w:rsid w:val="00485109"/>
    <w:rsid w:val="0049156D"/>
    <w:rsid w:val="00495FE9"/>
    <w:rsid w:val="00496D53"/>
    <w:rsid w:val="004A04D0"/>
    <w:rsid w:val="004A0B62"/>
    <w:rsid w:val="004A3388"/>
    <w:rsid w:val="004A4673"/>
    <w:rsid w:val="004A5A70"/>
    <w:rsid w:val="004A7988"/>
    <w:rsid w:val="004B025F"/>
    <w:rsid w:val="004B0D92"/>
    <w:rsid w:val="004B28D2"/>
    <w:rsid w:val="004B2C0C"/>
    <w:rsid w:val="004B2C76"/>
    <w:rsid w:val="004B4EAA"/>
    <w:rsid w:val="004B544A"/>
    <w:rsid w:val="004B6259"/>
    <w:rsid w:val="004B6E2D"/>
    <w:rsid w:val="004B7D8E"/>
    <w:rsid w:val="004C4ED9"/>
    <w:rsid w:val="004C671A"/>
    <w:rsid w:val="004C7F2F"/>
    <w:rsid w:val="004D0DA1"/>
    <w:rsid w:val="004D0F4B"/>
    <w:rsid w:val="004D1A41"/>
    <w:rsid w:val="004D4439"/>
    <w:rsid w:val="004D49ED"/>
    <w:rsid w:val="004D63FC"/>
    <w:rsid w:val="004D6B9A"/>
    <w:rsid w:val="004D6EA7"/>
    <w:rsid w:val="004E3117"/>
    <w:rsid w:val="004E3A33"/>
    <w:rsid w:val="004E54E9"/>
    <w:rsid w:val="004E5721"/>
    <w:rsid w:val="004E6AC6"/>
    <w:rsid w:val="004E7805"/>
    <w:rsid w:val="004F0697"/>
    <w:rsid w:val="004F1223"/>
    <w:rsid w:val="004F227F"/>
    <w:rsid w:val="004F2380"/>
    <w:rsid w:val="004F770E"/>
    <w:rsid w:val="005122E2"/>
    <w:rsid w:val="005128FC"/>
    <w:rsid w:val="00513A39"/>
    <w:rsid w:val="005164E9"/>
    <w:rsid w:val="0052104B"/>
    <w:rsid w:val="005249F5"/>
    <w:rsid w:val="0052526F"/>
    <w:rsid w:val="00527BCE"/>
    <w:rsid w:val="00532F89"/>
    <w:rsid w:val="005340A0"/>
    <w:rsid w:val="0053479B"/>
    <w:rsid w:val="00536C6F"/>
    <w:rsid w:val="00537190"/>
    <w:rsid w:val="00542B33"/>
    <w:rsid w:val="005433C6"/>
    <w:rsid w:val="00544282"/>
    <w:rsid w:val="0054437C"/>
    <w:rsid w:val="00546200"/>
    <w:rsid w:val="00546867"/>
    <w:rsid w:val="005500B0"/>
    <w:rsid w:val="0055125C"/>
    <w:rsid w:val="00551901"/>
    <w:rsid w:val="00555290"/>
    <w:rsid w:val="0056030A"/>
    <w:rsid w:val="00564EB4"/>
    <w:rsid w:val="005660B6"/>
    <w:rsid w:val="00566798"/>
    <w:rsid w:val="00566FEB"/>
    <w:rsid w:val="00567788"/>
    <w:rsid w:val="00567ACC"/>
    <w:rsid w:val="0057104C"/>
    <w:rsid w:val="005710CE"/>
    <w:rsid w:val="00572971"/>
    <w:rsid w:val="00573D4D"/>
    <w:rsid w:val="005747FB"/>
    <w:rsid w:val="00576083"/>
    <w:rsid w:val="0058199D"/>
    <w:rsid w:val="00581C4C"/>
    <w:rsid w:val="00585F94"/>
    <w:rsid w:val="005A04BF"/>
    <w:rsid w:val="005A1754"/>
    <w:rsid w:val="005A3351"/>
    <w:rsid w:val="005A43D8"/>
    <w:rsid w:val="005A51EC"/>
    <w:rsid w:val="005A5254"/>
    <w:rsid w:val="005B3A5D"/>
    <w:rsid w:val="005B41D5"/>
    <w:rsid w:val="005B5581"/>
    <w:rsid w:val="005B6AE6"/>
    <w:rsid w:val="005C443D"/>
    <w:rsid w:val="005C48B6"/>
    <w:rsid w:val="005D3855"/>
    <w:rsid w:val="005D46EC"/>
    <w:rsid w:val="005D4A42"/>
    <w:rsid w:val="005D4FC7"/>
    <w:rsid w:val="005D6AD2"/>
    <w:rsid w:val="005D767F"/>
    <w:rsid w:val="005E07D0"/>
    <w:rsid w:val="005E11A1"/>
    <w:rsid w:val="005E2977"/>
    <w:rsid w:val="005E34B6"/>
    <w:rsid w:val="005E3EDC"/>
    <w:rsid w:val="005E7D3F"/>
    <w:rsid w:val="005F1455"/>
    <w:rsid w:val="005F1521"/>
    <w:rsid w:val="005F2E9C"/>
    <w:rsid w:val="005F4281"/>
    <w:rsid w:val="005F4386"/>
    <w:rsid w:val="005F52F5"/>
    <w:rsid w:val="005F7B54"/>
    <w:rsid w:val="005F7CB7"/>
    <w:rsid w:val="00604659"/>
    <w:rsid w:val="006052D1"/>
    <w:rsid w:val="00606DA0"/>
    <w:rsid w:val="00606EB1"/>
    <w:rsid w:val="006079A4"/>
    <w:rsid w:val="00607E16"/>
    <w:rsid w:val="00616BF1"/>
    <w:rsid w:val="00617010"/>
    <w:rsid w:val="0062078A"/>
    <w:rsid w:val="00622139"/>
    <w:rsid w:val="006253BC"/>
    <w:rsid w:val="0063237D"/>
    <w:rsid w:val="00632C24"/>
    <w:rsid w:val="00633D5F"/>
    <w:rsid w:val="0063625C"/>
    <w:rsid w:val="00640178"/>
    <w:rsid w:val="006403CD"/>
    <w:rsid w:val="0064117B"/>
    <w:rsid w:val="0065009B"/>
    <w:rsid w:val="00653883"/>
    <w:rsid w:val="00656141"/>
    <w:rsid w:val="00656C41"/>
    <w:rsid w:val="00660E0F"/>
    <w:rsid w:val="006613CC"/>
    <w:rsid w:val="0066535B"/>
    <w:rsid w:val="00665912"/>
    <w:rsid w:val="00667839"/>
    <w:rsid w:val="00670466"/>
    <w:rsid w:val="006708F5"/>
    <w:rsid w:val="006709E2"/>
    <w:rsid w:val="00671832"/>
    <w:rsid w:val="00673E3C"/>
    <w:rsid w:val="00683D09"/>
    <w:rsid w:val="00685225"/>
    <w:rsid w:val="0068623C"/>
    <w:rsid w:val="006870B7"/>
    <w:rsid w:val="006911F9"/>
    <w:rsid w:val="006932A5"/>
    <w:rsid w:val="00696C85"/>
    <w:rsid w:val="00697A81"/>
    <w:rsid w:val="006A0B23"/>
    <w:rsid w:val="006A0F15"/>
    <w:rsid w:val="006A3BDE"/>
    <w:rsid w:val="006A4C6F"/>
    <w:rsid w:val="006A532B"/>
    <w:rsid w:val="006A597F"/>
    <w:rsid w:val="006A6CD2"/>
    <w:rsid w:val="006B1E7A"/>
    <w:rsid w:val="006B346F"/>
    <w:rsid w:val="006B4C02"/>
    <w:rsid w:val="006B501D"/>
    <w:rsid w:val="006B5CEF"/>
    <w:rsid w:val="006C3C4D"/>
    <w:rsid w:val="006C49B0"/>
    <w:rsid w:val="006C5090"/>
    <w:rsid w:val="006C5B9A"/>
    <w:rsid w:val="006C643B"/>
    <w:rsid w:val="006C6D3A"/>
    <w:rsid w:val="006D709D"/>
    <w:rsid w:val="006D7849"/>
    <w:rsid w:val="006E08B6"/>
    <w:rsid w:val="006E115E"/>
    <w:rsid w:val="006E3A9B"/>
    <w:rsid w:val="006E3C34"/>
    <w:rsid w:val="006E4411"/>
    <w:rsid w:val="006E5DA0"/>
    <w:rsid w:val="006F0112"/>
    <w:rsid w:val="006F0550"/>
    <w:rsid w:val="006F17B9"/>
    <w:rsid w:val="006F5238"/>
    <w:rsid w:val="006F6D69"/>
    <w:rsid w:val="006F70B1"/>
    <w:rsid w:val="00706C12"/>
    <w:rsid w:val="00707520"/>
    <w:rsid w:val="007112EC"/>
    <w:rsid w:val="00711404"/>
    <w:rsid w:val="00711547"/>
    <w:rsid w:val="00712ECD"/>
    <w:rsid w:val="0071365B"/>
    <w:rsid w:val="00713769"/>
    <w:rsid w:val="0071438F"/>
    <w:rsid w:val="00716706"/>
    <w:rsid w:val="00716A16"/>
    <w:rsid w:val="0072233D"/>
    <w:rsid w:val="00726666"/>
    <w:rsid w:val="00727ECB"/>
    <w:rsid w:val="007306EF"/>
    <w:rsid w:val="007321DC"/>
    <w:rsid w:val="00733325"/>
    <w:rsid w:val="00734523"/>
    <w:rsid w:val="0073499B"/>
    <w:rsid w:val="00734F5E"/>
    <w:rsid w:val="00736EA1"/>
    <w:rsid w:val="00740705"/>
    <w:rsid w:val="00741BEF"/>
    <w:rsid w:val="007420FF"/>
    <w:rsid w:val="00746C69"/>
    <w:rsid w:val="00747548"/>
    <w:rsid w:val="0074764A"/>
    <w:rsid w:val="00751DAD"/>
    <w:rsid w:val="00752426"/>
    <w:rsid w:val="0075723A"/>
    <w:rsid w:val="0076333B"/>
    <w:rsid w:val="007649AA"/>
    <w:rsid w:val="00765741"/>
    <w:rsid w:val="0076661D"/>
    <w:rsid w:val="007670E7"/>
    <w:rsid w:val="00772650"/>
    <w:rsid w:val="00775C76"/>
    <w:rsid w:val="007776A1"/>
    <w:rsid w:val="00785628"/>
    <w:rsid w:val="00786076"/>
    <w:rsid w:val="0078653B"/>
    <w:rsid w:val="007865FC"/>
    <w:rsid w:val="00791412"/>
    <w:rsid w:val="00791503"/>
    <w:rsid w:val="00794EB2"/>
    <w:rsid w:val="00796D7D"/>
    <w:rsid w:val="007A098F"/>
    <w:rsid w:val="007A15FD"/>
    <w:rsid w:val="007A24A6"/>
    <w:rsid w:val="007A6EB1"/>
    <w:rsid w:val="007A718A"/>
    <w:rsid w:val="007B01DC"/>
    <w:rsid w:val="007B029D"/>
    <w:rsid w:val="007B0532"/>
    <w:rsid w:val="007B2C0C"/>
    <w:rsid w:val="007B310B"/>
    <w:rsid w:val="007B3EF9"/>
    <w:rsid w:val="007B4ABF"/>
    <w:rsid w:val="007B5204"/>
    <w:rsid w:val="007B59F6"/>
    <w:rsid w:val="007C2CBF"/>
    <w:rsid w:val="007C589F"/>
    <w:rsid w:val="007C68F5"/>
    <w:rsid w:val="007D040D"/>
    <w:rsid w:val="007D090A"/>
    <w:rsid w:val="007D3740"/>
    <w:rsid w:val="007D686C"/>
    <w:rsid w:val="007D6C7D"/>
    <w:rsid w:val="007E0F34"/>
    <w:rsid w:val="007E2FB6"/>
    <w:rsid w:val="007E51C5"/>
    <w:rsid w:val="007E56D8"/>
    <w:rsid w:val="007F0220"/>
    <w:rsid w:val="007F1CFB"/>
    <w:rsid w:val="007F4A7F"/>
    <w:rsid w:val="007F55CF"/>
    <w:rsid w:val="007F7D1F"/>
    <w:rsid w:val="007F7FF7"/>
    <w:rsid w:val="00810110"/>
    <w:rsid w:val="00811A85"/>
    <w:rsid w:val="00812E7A"/>
    <w:rsid w:val="00813B6A"/>
    <w:rsid w:val="00813D41"/>
    <w:rsid w:val="008141C1"/>
    <w:rsid w:val="008147CD"/>
    <w:rsid w:val="00816694"/>
    <w:rsid w:val="00820D18"/>
    <w:rsid w:val="0082101D"/>
    <w:rsid w:val="00824704"/>
    <w:rsid w:val="00825E52"/>
    <w:rsid w:val="0083516E"/>
    <w:rsid w:val="0083585C"/>
    <w:rsid w:val="00840BA0"/>
    <w:rsid w:val="00843DCA"/>
    <w:rsid w:val="00845DBE"/>
    <w:rsid w:val="00851ED2"/>
    <w:rsid w:val="00856578"/>
    <w:rsid w:val="00863129"/>
    <w:rsid w:val="00865CE0"/>
    <w:rsid w:val="0086699E"/>
    <w:rsid w:val="00867399"/>
    <w:rsid w:val="00870F8B"/>
    <w:rsid w:val="00871019"/>
    <w:rsid w:val="00874941"/>
    <w:rsid w:val="00874A8D"/>
    <w:rsid w:val="008775EB"/>
    <w:rsid w:val="008802B6"/>
    <w:rsid w:val="0088529E"/>
    <w:rsid w:val="0088656D"/>
    <w:rsid w:val="008920C8"/>
    <w:rsid w:val="00892701"/>
    <w:rsid w:val="00893CBF"/>
    <w:rsid w:val="00895277"/>
    <w:rsid w:val="008A09E7"/>
    <w:rsid w:val="008A0E05"/>
    <w:rsid w:val="008A21C2"/>
    <w:rsid w:val="008A2D4C"/>
    <w:rsid w:val="008A64F2"/>
    <w:rsid w:val="008A7317"/>
    <w:rsid w:val="008B1490"/>
    <w:rsid w:val="008B2410"/>
    <w:rsid w:val="008B2AE1"/>
    <w:rsid w:val="008B46F1"/>
    <w:rsid w:val="008B7A9F"/>
    <w:rsid w:val="008C249E"/>
    <w:rsid w:val="008C2ACD"/>
    <w:rsid w:val="008C3993"/>
    <w:rsid w:val="008C4C28"/>
    <w:rsid w:val="008C5399"/>
    <w:rsid w:val="008C612B"/>
    <w:rsid w:val="008C785A"/>
    <w:rsid w:val="008D060B"/>
    <w:rsid w:val="008D0792"/>
    <w:rsid w:val="008D21AF"/>
    <w:rsid w:val="008D3879"/>
    <w:rsid w:val="008D45FD"/>
    <w:rsid w:val="008D4A4E"/>
    <w:rsid w:val="008E08DA"/>
    <w:rsid w:val="008E0F04"/>
    <w:rsid w:val="008E1A65"/>
    <w:rsid w:val="008E3299"/>
    <w:rsid w:val="008E3DCC"/>
    <w:rsid w:val="008E5D0B"/>
    <w:rsid w:val="008E624B"/>
    <w:rsid w:val="008E6EEA"/>
    <w:rsid w:val="008E7461"/>
    <w:rsid w:val="008F1571"/>
    <w:rsid w:val="0090250E"/>
    <w:rsid w:val="0090646B"/>
    <w:rsid w:val="009079A9"/>
    <w:rsid w:val="00911D6B"/>
    <w:rsid w:val="00914F3D"/>
    <w:rsid w:val="00914FD3"/>
    <w:rsid w:val="009164C1"/>
    <w:rsid w:val="00916A2E"/>
    <w:rsid w:val="0092058D"/>
    <w:rsid w:val="009216AE"/>
    <w:rsid w:val="00921A35"/>
    <w:rsid w:val="0092260F"/>
    <w:rsid w:val="00922D6D"/>
    <w:rsid w:val="00925471"/>
    <w:rsid w:val="00925784"/>
    <w:rsid w:val="00927A75"/>
    <w:rsid w:val="009300D8"/>
    <w:rsid w:val="0093560E"/>
    <w:rsid w:val="00936306"/>
    <w:rsid w:val="009441C1"/>
    <w:rsid w:val="00944817"/>
    <w:rsid w:val="00944BD0"/>
    <w:rsid w:val="00947EF6"/>
    <w:rsid w:val="009506BE"/>
    <w:rsid w:val="00951F79"/>
    <w:rsid w:val="00953928"/>
    <w:rsid w:val="00953D9C"/>
    <w:rsid w:val="009572A3"/>
    <w:rsid w:val="00960EF1"/>
    <w:rsid w:val="00962074"/>
    <w:rsid w:val="009651C4"/>
    <w:rsid w:val="009656DB"/>
    <w:rsid w:val="009670C1"/>
    <w:rsid w:val="00967C4F"/>
    <w:rsid w:val="0097351B"/>
    <w:rsid w:val="00976B69"/>
    <w:rsid w:val="00980206"/>
    <w:rsid w:val="00980601"/>
    <w:rsid w:val="00985D81"/>
    <w:rsid w:val="00987003"/>
    <w:rsid w:val="009920F1"/>
    <w:rsid w:val="0099341E"/>
    <w:rsid w:val="009A2182"/>
    <w:rsid w:val="009A21F0"/>
    <w:rsid w:val="009A2645"/>
    <w:rsid w:val="009A26C8"/>
    <w:rsid w:val="009B06EC"/>
    <w:rsid w:val="009B678D"/>
    <w:rsid w:val="009B6887"/>
    <w:rsid w:val="009C2FD1"/>
    <w:rsid w:val="009C2FDB"/>
    <w:rsid w:val="009C3234"/>
    <w:rsid w:val="009C3BE0"/>
    <w:rsid w:val="009C3E33"/>
    <w:rsid w:val="009C5DE6"/>
    <w:rsid w:val="009D0510"/>
    <w:rsid w:val="009D6C9D"/>
    <w:rsid w:val="009D773B"/>
    <w:rsid w:val="009D7CAC"/>
    <w:rsid w:val="009E144D"/>
    <w:rsid w:val="009E2B19"/>
    <w:rsid w:val="009E459D"/>
    <w:rsid w:val="009E7945"/>
    <w:rsid w:val="009F4EA5"/>
    <w:rsid w:val="00A00053"/>
    <w:rsid w:val="00A01ABD"/>
    <w:rsid w:val="00A10993"/>
    <w:rsid w:val="00A14E9D"/>
    <w:rsid w:val="00A15611"/>
    <w:rsid w:val="00A15B99"/>
    <w:rsid w:val="00A15F65"/>
    <w:rsid w:val="00A17E17"/>
    <w:rsid w:val="00A26108"/>
    <w:rsid w:val="00A275D0"/>
    <w:rsid w:val="00A31189"/>
    <w:rsid w:val="00A3119C"/>
    <w:rsid w:val="00A37BE6"/>
    <w:rsid w:val="00A37FC4"/>
    <w:rsid w:val="00A40F93"/>
    <w:rsid w:val="00A4121C"/>
    <w:rsid w:val="00A43D4E"/>
    <w:rsid w:val="00A45757"/>
    <w:rsid w:val="00A50B33"/>
    <w:rsid w:val="00A5337C"/>
    <w:rsid w:val="00A53599"/>
    <w:rsid w:val="00A53FC8"/>
    <w:rsid w:val="00A55706"/>
    <w:rsid w:val="00A57886"/>
    <w:rsid w:val="00A57F89"/>
    <w:rsid w:val="00A626CA"/>
    <w:rsid w:val="00A630A1"/>
    <w:rsid w:val="00A65723"/>
    <w:rsid w:val="00A667EC"/>
    <w:rsid w:val="00A66AED"/>
    <w:rsid w:val="00A708A0"/>
    <w:rsid w:val="00A70C17"/>
    <w:rsid w:val="00A719C2"/>
    <w:rsid w:val="00A71B60"/>
    <w:rsid w:val="00A77B5A"/>
    <w:rsid w:val="00A77DFE"/>
    <w:rsid w:val="00A900AB"/>
    <w:rsid w:val="00A9229B"/>
    <w:rsid w:val="00A96576"/>
    <w:rsid w:val="00A96B64"/>
    <w:rsid w:val="00AA1101"/>
    <w:rsid w:val="00AA455C"/>
    <w:rsid w:val="00AA4744"/>
    <w:rsid w:val="00AA6965"/>
    <w:rsid w:val="00AB19CE"/>
    <w:rsid w:val="00AB2053"/>
    <w:rsid w:val="00AB2A50"/>
    <w:rsid w:val="00AB2AD9"/>
    <w:rsid w:val="00AB41DE"/>
    <w:rsid w:val="00AC1E0B"/>
    <w:rsid w:val="00AC261D"/>
    <w:rsid w:val="00AC46A1"/>
    <w:rsid w:val="00AC4B47"/>
    <w:rsid w:val="00AD0E1F"/>
    <w:rsid w:val="00AD4185"/>
    <w:rsid w:val="00AD4C04"/>
    <w:rsid w:val="00AD4ED4"/>
    <w:rsid w:val="00AD6984"/>
    <w:rsid w:val="00AD7614"/>
    <w:rsid w:val="00AE08F9"/>
    <w:rsid w:val="00AE5327"/>
    <w:rsid w:val="00AE70A4"/>
    <w:rsid w:val="00AE73BD"/>
    <w:rsid w:val="00AE769F"/>
    <w:rsid w:val="00AE7799"/>
    <w:rsid w:val="00AF1417"/>
    <w:rsid w:val="00AF3497"/>
    <w:rsid w:val="00AF4B06"/>
    <w:rsid w:val="00AF5EB3"/>
    <w:rsid w:val="00B01AF2"/>
    <w:rsid w:val="00B03205"/>
    <w:rsid w:val="00B03DB5"/>
    <w:rsid w:val="00B051C9"/>
    <w:rsid w:val="00B053AE"/>
    <w:rsid w:val="00B117A6"/>
    <w:rsid w:val="00B11833"/>
    <w:rsid w:val="00B1236B"/>
    <w:rsid w:val="00B1384F"/>
    <w:rsid w:val="00B14CEC"/>
    <w:rsid w:val="00B15111"/>
    <w:rsid w:val="00B217A7"/>
    <w:rsid w:val="00B21D7B"/>
    <w:rsid w:val="00B22394"/>
    <w:rsid w:val="00B22672"/>
    <w:rsid w:val="00B22FAA"/>
    <w:rsid w:val="00B249A3"/>
    <w:rsid w:val="00B25B25"/>
    <w:rsid w:val="00B264D6"/>
    <w:rsid w:val="00B2767A"/>
    <w:rsid w:val="00B32BD9"/>
    <w:rsid w:val="00B3327D"/>
    <w:rsid w:val="00B33A8D"/>
    <w:rsid w:val="00B35E8C"/>
    <w:rsid w:val="00B370A4"/>
    <w:rsid w:val="00B40798"/>
    <w:rsid w:val="00B40B07"/>
    <w:rsid w:val="00B40D5E"/>
    <w:rsid w:val="00B40E9C"/>
    <w:rsid w:val="00B40FB1"/>
    <w:rsid w:val="00B4376D"/>
    <w:rsid w:val="00B44361"/>
    <w:rsid w:val="00B451A1"/>
    <w:rsid w:val="00B45D25"/>
    <w:rsid w:val="00B46030"/>
    <w:rsid w:val="00B46A27"/>
    <w:rsid w:val="00B46BFE"/>
    <w:rsid w:val="00B47CB3"/>
    <w:rsid w:val="00B50018"/>
    <w:rsid w:val="00B539A7"/>
    <w:rsid w:val="00B5466A"/>
    <w:rsid w:val="00B6606A"/>
    <w:rsid w:val="00B66F66"/>
    <w:rsid w:val="00B713BC"/>
    <w:rsid w:val="00B74951"/>
    <w:rsid w:val="00B778D1"/>
    <w:rsid w:val="00B82586"/>
    <w:rsid w:val="00B92220"/>
    <w:rsid w:val="00B924C5"/>
    <w:rsid w:val="00B93F9D"/>
    <w:rsid w:val="00B974E8"/>
    <w:rsid w:val="00BA1BAB"/>
    <w:rsid w:val="00BA417E"/>
    <w:rsid w:val="00BB0AC7"/>
    <w:rsid w:val="00BB1111"/>
    <w:rsid w:val="00BB42D4"/>
    <w:rsid w:val="00BC2081"/>
    <w:rsid w:val="00BC2DD9"/>
    <w:rsid w:val="00BC660B"/>
    <w:rsid w:val="00BC6AB9"/>
    <w:rsid w:val="00BC7DB3"/>
    <w:rsid w:val="00BD0280"/>
    <w:rsid w:val="00BD0954"/>
    <w:rsid w:val="00BD3498"/>
    <w:rsid w:val="00BD746D"/>
    <w:rsid w:val="00BE17DC"/>
    <w:rsid w:val="00BE25F3"/>
    <w:rsid w:val="00BE780C"/>
    <w:rsid w:val="00BF0C9B"/>
    <w:rsid w:val="00BF1E28"/>
    <w:rsid w:val="00BF421A"/>
    <w:rsid w:val="00BF6BC1"/>
    <w:rsid w:val="00C01C7E"/>
    <w:rsid w:val="00C02216"/>
    <w:rsid w:val="00C03100"/>
    <w:rsid w:val="00C03A09"/>
    <w:rsid w:val="00C05F02"/>
    <w:rsid w:val="00C0640E"/>
    <w:rsid w:val="00C06598"/>
    <w:rsid w:val="00C06BE9"/>
    <w:rsid w:val="00C1046C"/>
    <w:rsid w:val="00C126EA"/>
    <w:rsid w:val="00C136F5"/>
    <w:rsid w:val="00C14078"/>
    <w:rsid w:val="00C167E6"/>
    <w:rsid w:val="00C21227"/>
    <w:rsid w:val="00C22155"/>
    <w:rsid w:val="00C245F8"/>
    <w:rsid w:val="00C307CA"/>
    <w:rsid w:val="00C319D0"/>
    <w:rsid w:val="00C323A3"/>
    <w:rsid w:val="00C3310D"/>
    <w:rsid w:val="00C348C3"/>
    <w:rsid w:val="00C42CDB"/>
    <w:rsid w:val="00C4606F"/>
    <w:rsid w:val="00C464B4"/>
    <w:rsid w:val="00C47AFF"/>
    <w:rsid w:val="00C47F0B"/>
    <w:rsid w:val="00C50B16"/>
    <w:rsid w:val="00C54BAB"/>
    <w:rsid w:val="00C5573B"/>
    <w:rsid w:val="00C55743"/>
    <w:rsid w:val="00C579C6"/>
    <w:rsid w:val="00C60540"/>
    <w:rsid w:val="00C61F70"/>
    <w:rsid w:val="00C64937"/>
    <w:rsid w:val="00C6545B"/>
    <w:rsid w:val="00C7171B"/>
    <w:rsid w:val="00C751BB"/>
    <w:rsid w:val="00C828B6"/>
    <w:rsid w:val="00C847BC"/>
    <w:rsid w:val="00C9022A"/>
    <w:rsid w:val="00C9062E"/>
    <w:rsid w:val="00C9337A"/>
    <w:rsid w:val="00C94840"/>
    <w:rsid w:val="00CA03A1"/>
    <w:rsid w:val="00CA3623"/>
    <w:rsid w:val="00CB06B2"/>
    <w:rsid w:val="00CB108C"/>
    <w:rsid w:val="00CB18B3"/>
    <w:rsid w:val="00CB6687"/>
    <w:rsid w:val="00CC0B2A"/>
    <w:rsid w:val="00CC0BE5"/>
    <w:rsid w:val="00CC0E65"/>
    <w:rsid w:val="00CC1C7B"/>
    <w:rsid w:val="00CC4E06"/>
    <w:rsid w:val="00CC4FC9"/>
    <w:rsid w:val="00CC6187"/>
    <w:rsid w:val="00CD1034"/>
    <w:rsid w:val="00CD1B61"/>
    <w:rsid w:val="00CD34A0"/>
    <w:rsid w:val="00CD3A52"/>
    <w:rsid w:val="00CD4EE5"/>
    <w:rsid w:val="00CD6ED9"/>
    <w:rsid w:val="00CE127C"/>
    <w:rsid w:val="00CE1783"/>
    <w:rsid w:val="00CE423C"/>
    <w:rsid w:val="00CE78DA"/>
    <w:rsid w:val="00CF1211"/>
    <w:rsid w:val="00CF3C6D"/>
    <w:rsid w:val="00CF5C46"/>
    <w:rsid w:val="00CF6D14"/>
    <w:rsid w:val="00D10223"/>
    <w:rsid w:val="00D13296"/>
    <w:rsid w:val="00D20142"/>
    <w:rsid w:val="00D20FD7"/>
    <w:rsid w:val="00D21012"/>
    <w:rsid w:val="00D2430E"/>
    <w:rsid w:val="00D25E1F"/>
    <w:rsid w:val="00D26540"/>
    <w:rsid w:val="00D26E8B"/>
    <w:rsid w:val="00D27EB4"/>
    <w:rsid w:val="00D3202B"/>
    <w:rsid w:val="00D3295C"/>
    <w:rsid w:val="00D345FD"/>
    <w:rsid w:val="00D352C9"/>
    <w:rsid w:val="00D37151"/>
    <w:rsid w:val="00D4049E"/>
    <w:rsid w:val="00D41601"/>
    <w:rsid w:val="00D43107"/>
    <w:rsid w:val="00D45727"/>
    <w:rsid w:val="00D46F72"/>
    <w:rsid w:val="00D47735"/>
    <w:rsid w:val="00D524A3"/>
    <w:rsid w:val="00D602FC"/>
    <w:rsid w:val="00D61C0F"/>
    <w:rsid w:val="00D70002"/>
    <w:rsid w:val="00D75C0B"/>
    <w:rsid w:val="00D7607E"/>
    <w:rsid w:val="00D77131"/>
    <w:rsid w:val="00D77DE8"/>
    <w:rsid w:val="00D80A5C"/>
    <w:rsid w:val="00D83D5A"/>
    <w:rsid w:val="00D85373"/>
    <w:rsid w:val="00D86922"/>
    <w:rsid w:val="00D9312D"/>
    <w:rsid w:val="00D94825"/>
    <w:rsid w:val="00D94DC0"/>
    <w:rsid w:val="00D9762A"/>
    <w:rsid w:val="00DB1CB6"/>
    <w:rsid w:val="00DB31DF"/>
    <w:rsid w:val="00DB43A1"/>
    <w:rsid w:val="00DB494C"/>
    <w:rsid w:val="00DB4A00"/>
    <w:rsid w:val="00DC0F3B"/>
    <w:rsid w:val="00DC1F5F"/>
    <w:rsid w:val="00DC372E"/>
    <w:rsid w:val="00DD1CFB"/>
    <w:rsid w:val="00DD317A"/>
    <w:rsid w:val="00DD6ADA"/>
    <w:rsid w:val="00DE3666"/>
    <w:rsid w:val="00DF088B"/>
    <w:rsid w:val="00DF10B7"/>
    <w:rsid w:val="00DF62AB"/>
    <w:rsid w:val="00E00991"/>
    <w:rsid w:val="00E0445D"/>
    <w:rsid w:val="00E13029"/>
    <w:rsid w:val="00E2099C"/>
    <w:rsid w:val="00E21264"/>
    <w:rsid w:val="00E24A8D"/>
    <w:rsid w:val="00E30F39"/>
    <w:rsid w:val="00E33616"/>
    <w:rsid w:val="00E355E3"/>
    <w:rsid w:val="00E36E10"/>
    <w:rsid w:val="00E40BB1"/>
    <w:rsid w:val="00E43A64"/>
    <w:rsid w:val="00E44DDC"/>
    <w:rsid w:val="00E475A3"/>
    <w:rsid w:val="00E475A4"/>
    <w:rsid w:val="00E476BB"/>
    <w:rsid w:val="00E500E2"/>
    <w:rsid w:val="00E5086C"/>
    <w:rsid w:val="00E5169D"/>
    <w:rsid w:val="00E54D24"/>
    <w:rsid w:val="00E629CA"/>
    <w:rsid w:val="00E67249"/>
    <w:rsid w:val="00E72184"/>
    <w:rsid w:val="00E733D7"/>
    <w:rsid w:val="00E75173"/>
    <w:rsid w:val="00E80027"/>
    <w:rsid w:val="00E854D9"/>
    <w:rsid w:val="00E86FF6"/>
    <w:rsid w:val="00E872CD"/>
    <w:rsid w:val="00E91913"/>
    <w:rsid w:val="00E924C9"/>
    <w:rsid w:val="00E96120"/>
    <w:rsid w:val="00EA04F6"/>
    <w:rsid w:val="00EA233A"/>
    <w:rsid w:val="00EA2F78"/>
    <w:rsid w:val="00EB047A"/>
    <w:rsid w:val="00EB0D9D"/>
    <w:rsid w:val="00EB1DC2"/>
    <w:rsid w:val="00EB2EC9"/>
    <w:rsid w:val="00EB6656"/>
    <w:rsid w:val="00EB7089"/>
    <w:rsid w:val="00EB756B"/>
    <w:rsid w:val="00EC00F9"/>
    <w:rsid w:val="00EC1419"/>
    <w:rsid w:val="00EC1B3B"/>
    <w:rsid w:val="00EC25B0"/>
    <w:rsid w:val="00EC2FAE"/>
    <w:rsid w:val="00ED33B8"/>
    <w:rsid w:val="00ED3E4D"/>
    <w:rsid w:val="00ED4EA7"/>
    <w:rsid w:val="00EE0A41"/>
    <w:rsid w:val="00EE0F76"/>
    <w:rsid w:val="00EE11A9"/>
    <w:rsid w:val="00EE3CB0"/>
    <w:rsid w:val="00EE3F78"/>
    <w:rsid w:val="00EF09BC"/>
    <w:rsid w:val="00EF2C28"/>
    <w:rsid w:val="00EF40E7"/>
    <w:rsid w:val="00EF474F"/>
    <w:rsid w:val="00EF47A8"/>
    <w:rsid w:val="00F0077C"/>
    <w:rsid w:val="00F0080F"/>
    <w:rsid w:val="00F0111F"/>
    <w:rsid w:val="00F015E9"/>
    <w:rsid w:val="00F018B6"/>
    <w:rsid w:val="00F03DF7"/>
    <w:rsid w:val="00F05B55"/>
    <w:rsid w:val="00F05D4C"/>
    <w:rsid w:val="00F11B82"/>
    <w:rsid w:val="00F13191"/>
    <w:rsid w:val="00F13B0A"/>
    <w:rsid w:val="00F162C1"/>
    <w:rsid w:val="00F21E8A"/>
    <w:rsid w:val="00F22839"/>
    <w:rsid w:val="00F23510"/>
    <w:rsid w:val="00F27494"/>
    <w:rsid w:val="00F2753A"/>
    <w:rsid w:val="00F31D29"/>
    <w:rsid w:val="00F327D8"/>
    <w:rsid w:val="00F330BD"/>
    <w:rsid w:val="00F37310"/>
    <w:rsid w:val="00F37B78"/>
    <w:rsid w:val="00F462CB"/>
    <w:rsid w:val="00F50B61"/>
    <w:rsid w:val="00F51708"/>
    <w:rsid w:val="00F5268E"/>
    <w:rsid w:val="00F52EF5"/>
    <w:rsid w:val="00F54C7B"/>
    <w:rsid w:val="00F60209"/>
    <w:rsid w:val="00F60A5E"/>
    <w:rsid w:val="00F62C21"/>
    <w:rsid w:val="00F65DBB"/>
    <w:rsid w:val="00F67691"/>
    <w:rsid w:val="00F73DC1"/>
    <w:rsid w:val="00F8026A"/>
    <w:rsid w:val="00F81226"/>
    <w:rsid w:val="00F85C5A"/>
    <w:rsid w:val="00F86167"/>
    <w:rsid w:val="00F86BEC"/>
    <w:rsid w:val="00F87ADB"/>
    <w:rsid w:val="00F91464"/>
    <w:rsid w:val="00F91D89"/>
    <w:rsid w:val="00F941AC"/>
    <w:rsid w:val="00F9673D"/>
    <w:rsid w:val="00F96B62"/>
    <w:rsid w:val="00F97E16"/>
    <w:rsid w:val="00FA092D"/>
    <w:rsid w:val="00FA27EE"/>
    <w:rsid w:val="00FA62AB"/>
    <w:rsid w:val="00FA7433"/>
    <w:rsid w:val="00FB2BD6"/>
    <w:rsid w:val="00FC313A"/>
    <w:rsid w:val="00FC56E7"/>
    <w:rsid w:val="00FC6737"/>
    <w:rsid w:val="00FC702B"/>
    <w:rsid w:val="00FD4C41"/>
    <w:rsid w:val="00FE13C0"/>
    <w:rsid w:val="00FE2B6A"/>
    <w:rsid w:val="00FE5D14"/>
    <w:rsid w:val="00FE7DAC"/>
    <w:rsid w:val="00FF0C10"/>
    <w:rsid w:val="00FF1B64"/>
    <w:rsid w:val="00FF4066"/>
    <w:rsid w:val="01607FCF"/>
    <w:rsid w:val="016245C6"/>
    <w:rsid w:val="017D4F5C"/>
    <w:rsid w:val="019F1377"/>
    <w:rsid w:val="01C74A54"/>
    <w:rsid w:val="020B07BA"/>
    <w:rsid w:val="02184458"/>
    <w:rsid w:val="022E6257"/>
    <w:rsid w:val="02F4124E"/>
    <w:rsid w:val="037E4FBC"/>
    <w:rsid w:val="0397607D"/>
    <w:rsid w:val="03EF3B00"/>
    <w:rsid w:val="04402271"/>
    <w:rsid w:val="04695C6C"/>
    <w:rsid w:val="046F4689"/>
    <w:rsid w:val="049B394B"/>
    <w:rsid w:val="051F457C"/>
    <w:rsid w:val="055A7363"/>
    <w:rsid w:val="05850883"/>
    <w:rsid w:val="06093262"/>
    <w:rsid w:val="061816F7"/>
    <w:rsid w:val="062067FE"/>
    <w:rsid w:val="065D535C"/>
    <w:rsid w:val="0680398D"/>
    <w:rsid w:val="068C63E6"/>
    <w:rsid w:val="06B3591C"/>
    <w:rsid w:val="06FF4665"/>
    <w:rsid w:val="0702568C"/>
    <w:rsid w:val="079C1FBD"/>
    <w:rsid w:val="093F5D6F"/>
    <w:rsid w:val="096609CC"/>
    <w:rsid w:val="09960EC9"/>
    <w:rsid w:val="09B72FD5"/>
    <w:rsid w:val="0A27015B"/>
    <w:rsid w:val="0B1C57E6"/>
    <w:rsid w:val="0B1D330C"/>
    <w:rsid w:val="0B5B4152"/>
    <w:rsid w:val="0B636FEB"/>
    <w:rsid w:val="0BBA4FFF"/>
    <w:rsid w:val="0C170E37"/>
    <w:rsid w:val="0C656D19"/>
    <w:rsid w:val="0CA912FB"/>
    <w:rsid w:val="0CCA5FEB"/>
    <w:rsid w:val="0CF06F2A"/>
    <w:rsid w:val="0D144DED"/>
    <w:rsid w:val="0D8D4779"/>
    <w:rsid w:val="0DC91EAE"/>
    <w:rsid w:val="0DD4230C"/>
    <w:rsid w:val="0DE912C7"/>
    <w:rsid w:val="0E2856F6"/>
    <w:rsid w:val="0E625C06"/>
    <w:rsid w:val="0E9B4C74"/>
    <w:rsid w:val="0EB17594"/>
    <w:rsid w:val="0FAE2120"/>
    <w:rsid w:val="0FBD187A"/>
    <w:rsid w:val="101C1DE4"/>
    <w:rsid w:val="10ED7F1F"/>
    <w:rsid w:val="10FA75EB"/>
    <w:rsid w:val="112A0531"/>
    <w:rsid w:val="113C0E4E"/>
    <w:rsid w:val="11A26319"/>
    <w:rsid w:val="11CE5360"/>
    <w:rsid w:val="12214240"/>
    <w:rsid w:val="1266706A"/>
    <w:rsid w:val="12695089"/>
    <w:rsid w:val="13F67C92"/>
    <w:rsid w:val="14171240"/>
    <w:rsid w:val="142A3814"/>
    <w:rsid w:val="14735274"/>
    <w:rsid w:val="1536319F"/>
    <w:rsid w:val="15986B3B"/>
    <w:rsid w:val="15ED2807"/>
    <w:rsid w:val="16155F4A"/>
    <w:rsid w:val="161D0664"/>
    <w:rsid w:val="1686445B"/>
    <w:rsid w:val="16F70EB5"/>
    <w:rsid w:val="17575DF8"/>
    <w:rsid w:val="175B7696"/>
    <w:rsid w:val="178072DB"/>
    <w:rsid w:val="17AE23A2"/>
    <w:rsid w:val="17C03EAB"/>
    <w:rsid w:val="183B3351"/>
    <w:rsid w:val="188C3C0E"/>
    <w:rsid w:val="18A77AB1"/>
    <w:rsid w:val="18BB16A1"/>
    <w:rsid w:val="18DA45EA"/>
    <w:rsid w:val="18DE057F"/>
    <w:rsid w:val="19067AD5"/>
    <w:rsid w:val="198D78AF"/>
    <w:rsid w:val="198F1879"/>
    <w:rsid w:val="19BD0194"/>
    <w:rsid w:val="19CD414F"/>
    <w:rsid w:val="19E33973"/>
    <w:rsid w:val="1A2D5720"/>
    <w:rsid w:val="1A610C16"/>
    <w:rsid w:val="1AB07CF9"/>
    <w:rsid w:val="1AD0039B"/>
    <w:rsid w:val="1AE96D67"/>
    <w:rsid w:val="1B010554"/>
    <w:rsid w:val="1B2B3823"/>
    <w:rsid w:val="1BD73063"/>
    <w:rsid w:val="1C33473D"/>
    <w:rsid w:val="1C4306F9"/>
    <w:rsid w:val="1CD4055C"/>
    <w:rsid w:val="1CDA72AF"/>
    <w:rsid w:val="1D320E99"/>
    <w:rsid w:val="1D840FC9"/>
    <w:rsid w:val="1D8973A7"/>
    <w:rsid w:val="1DFD14A7"/>
    <w:rsid w:val="1E59021D"/>
    <w:rsid w:val="1E85149C"/>
    <w:rsid w:val="1ED02718"/>
    <w:rsid w:val="1EDE65BA"/>
    <w:rsid w:val="1EEA56C8"/>
    <w:rsid w:val="1F197111"/>
    <w:rsid w:val="1F923E71"/>
    <w:rsid w:val="1FAF67D1"/>
    <w:rsid w:val="1FBB33C8"/>
    <w:rsid w:val="1FF76C9D"/>
    <w:rsid w:val="20014B53"/>
    <w:rsid w:val="200A4CE8"/>
    <w:rsid w:val="20801F1B"/>
    <w:rsid w:val="21535882"/>
    <w:rsid w:val="21F030D1"/>
    <w:rsid w:val="22511DC1"/>
    <w:rsid w:val="22564B8B"/>
    <w:rsid w:val="22590C76"/>
    <w:rsid w:val="228072E6"/>
    <w:rsid w:val="229757D0"/>
    <w:rsid w:val="237C4C1C"/>
    <w:rsid w:val="238A7479"/>
    <w:rsid w:val="24077D58"/>
    <w:rsid w:val="2418246B"/>
    <w:rsid w:val="241A4435"/>
    <w:rsid w:val="247C0C4C"/>
    <w:rsid w:val="25B13340"/>
    <w:rsid w:val="25C96113"/>
    <w:rsid w:val="261460CA"/>
    <w:rsid w:val="263C4B36"/>
    <w:rsid w:val="26CA3EF0"/>
    <w:rsid w:val="26CA78D4"/>
    <w:rsid w:val="27225ADA"/>
    <w:rsid w:val="27DF39CB"/>
    <w:rsid w:val="2808523B"/>
    <w:rsid w:val="28133675"/>
    <w:rsid w:val="28302479"/>
    <w:rsid w:val="2839130E"/>
    <w:rsid w:val="28397580"/>
    <w:rsid w:val="289C7B0E"/>
    <w:rsid w:val="28AD3ACA"/>
    <w:rsid w:val="28E13773"/>
    <w:rsid w:val="29223A38"/>
    <w:rsid w:val="29EF34DD"/>
    <w:rsid w:val="2A7C3754"/>
    <w:rsid w:val="2A7F1496"/>
    <w:rsid w:val="2AE32ADA"/>
    <w:rsid w:val="2B2F07C6"/>
    <w:rsid w:val="2BD001FB"/>
    <w:rsid w:val="2C594217"/>
    <w:rsid w:val="2CD45AC9"/>
    <w:rsid w:val="2CFC6DCE"/>
    <w:rsid w:val="2D12039F"/>
    <w:rsid w:val="2D1265F1"/>
    <w:rsid w:val="2D200D0E"/>
    <w:rsid w:val="2D593A83"/>
    <w:rsid w:val="2D5A024C"/>
    <w:rsid w:val="2EF57AE6"/>
    <w:rsid w:val="2EF74B19"/>
    <w:rsid w:val="2F250CD6"/>
    <w:rsid w:val="2F2A5E74"/>
    <w:rsid w:val="2F3E36CD"/>
    <w:rsid w:val="2F837332"/>
    <w:rsid w:val="2FC07DB9"/>
    <w:rsid w:val="2FEE6B1B"/>
    <w:rsid w:val="30224D9D"/>
    <w:rsid w:val="302C1778"/>
    <w:rsid w:val="306A22A0"/>
    <w:rsid w:val="30B360F4"/>
    <w:rsid w:val="30E738F1"/>
    <w:rsid w:val="30F4495F"/>
    <w:rsid w:val="30FC635A"/>
    <w:rsid w:val="316B4522"/>
    <w:rsid w:val="316D2A35"/>
    <w:rsid w:val="318A28D4"/>
    <w:rsid w:val="31A16195"/>
    <w:rsid w:val="324D5E95"/>
    <w:rsid w:val="325F4087"/>
    <w:rsid w:val="32764F2C"/>
    <w:rsid w:val="32D1066D"/>
    <w:rsid w:val="3337290D"/>
    <w:rsid w:val="33A67A93"/>
    <w:rsid w:val="33C33887"/>
    <w:rsid w:val="342E1F62"/>
    <w:rsid w:val="343834A2"/>
    <w:rsid w:val="349E60B0"/>
    <w:rsid w:val="34A70849"/>
    <w:rsid w:val="35357321"/>
    <w:rsid w:val="35474564"/>
    <w:rsid w:val="355157DD"/>
    <w:rsid w:val="355823E5"/>
    <w:rsid w:val="355E0625"/>
    <w:rsid w:val="359B6DF0"/>
    <w:rsid w:val="35D344DD"/>
    <w:rsid w:val="36145188"/>
    <w:rsid w:val="363E3FB3"/>
    <w:rsid w:val="365231D9"/>
    <w:rsid w:val="36DD498F"/>
    <w:rsid w:val="36E07EFC"/>
    <w:rsid w:val="36E61330"/>
    <w:rsid w:val="370C5E5F"/>
    <w:rsid w:val="37270EEB"/>
    <w:rsid w:val="374C2700"/>
    <w:rsid w:val="376E08C8"/>
    <w:rsid w:val="387F53C0"/>
    <w:rsid w:val="38BB7B3D"/>
    <w:rsid w:val="38E23B63"/>
    <w:rsid w:val="39812B34"/>
    <w:rsid w:val="39F2229B"/>
    <w:rsid w:val="39FB069B"/>
    <w:rsid w:val="3A255BB6"/>
    <w:rsid w:val="3A6074A3"/>
    <w:rsid w:val="3A626B6A"/>
    <w:rsid w:val="3A887EF3"/>
    <w:rsid w:val="3AB6680E"/>
    <w:rsid w:val="3B0B6B11"/>
    <w:rsid w:val="3BD57167"/>
    <w:rsid w:val="3C0D06AF"/>
    <w:rsid w:val="3C97266F"/>
    <w:rsid w:val="3D850719"/>
    <w:rsid w:val="3DA908AC"/>
    <w:rsid w:val="3E506F79"/>
    <w:rsid w:val="3EB5188C"/>
    <w:rsid w:val="3EBF7C5B"/>
    <w:rsid w:val="3EF07049"/>
    <w:rsid w:val="3FB672B0"/>
    <w:rsid w:val="400620AF"/>
    <w:rsid w:val="40183AC7"/>
    <w:rsid w:val="40D9376B"/>
    <w:rsid w:val="40EA5463"/>
    <w:rsid w:val="429D02B3"/>
    <w:rsid w:val="42B51AA1"/>
    <w:rsid w:val="43AA5013"/>
    <w:rsid w:val="43EA3433"/>
    <w:rsid w:val="442C18EF"/>
    <w:rsid w:val="442F13DF"/>
    <w:rsid w:val="44564BBE"/>
    <w:rsid w:val="448175E1"/>
    <w:rsid w:val="44837AB9"/>
    <w:rsid w:val="44AC2A30"/>
    <w:rsid w:val="44FC0160"/>
    <w:rsid w:val="453E3216"/>
    <w:rsid w:val="45BB5620"/>
    <w:rsid w:val="479C4F08"/>
    <w:rsid w:val="48343468"/>
    <w:rsid w:val="48A84E49"/>
    <w:rsid w:val="48DA400F"/>
    <w:rsid w:val="490D6193"/>
    <w:rsid w:val="49371507"/>
    <w:rsid w:val="49934808"/>
    <w:rsid w:val="49AA1C33"/>
    <w:rsid w:val="49AE2DA6"/>
    <w:rsid w:val="49BB2622"/>
    <w:rsid w:val="49C83E68"/>
    <w:rsid w:val="4A3E237C"/>
    <w:rsid w:val="4A677B24"/>
    <w:rsid w:val="4BB23021"/>
    <w:rsid w:val="4BBC5C4E"/>
    <w:rsid w:val="4BC35D79"/>
    <w:rsid w:val="4BC62629"/>
    <w:rsid w:val="4BCE4574"/>
    <w:rsid w:val="4BF70A34"/>
    <w:rsid w:val="4C782F28"/>
    <w:rsid w:val="4C997D3D"/>
    <w:rsid w:val="4CBB068E"/>
    <w:rsid w:val="4CC5061B"/>
    <w:rsid w:val="4CEE1E37"/>
    <w:rsid w:val="4CFD7D78"/>
    <w:rsid w:val="4D31555D"/>
    <w:rsid w:val="4E051F49"/>
    <w:rsid w:val="4E4E4DBC"/>
    <w:rsid w:val="4E573B21"/>
    <w:rsid w:val="4E685C19"/>
    <w:rsid w:val="4E7074C0"/>
    <w:rsid w:val="4ED212E5"/>
    <w:rsid w:val="4ED82D9F"/>
    <w:rsid w:val="4EE6332D"/>
    <w:rsid w:val="4EFA0F67"/>
    <w:rsid w:val="4F227C49"/>
    <w:rsid w:val="4F7A5C04"/>
    <w:rsid w:val="4F876C88"/>
    <w:rsid w:val="500104BA"/>
    <w:rsid w:val="50112D45"/>
    <w:rsid w:val="502140B4"/>
    <w:rsid w:val="50AE15E9"/>
    <w:rsid w:val="50CE26AB"/>
    <w:rsid w:val="50EB4F43"/>
    <w:rsid w:val="510C4F82"/>
    <w:rsid w:val="51840FBC"/>
    <w:rsid w:val="51856AE2"/>
    <w:rsid w:val="518F33C5"/>
    <w:rsid w:val="519136D9"/>
    <w:rsid w:val="51A11B6E"/>
    <w:rsid w:val="52097713"/>
    <w:rsid w:val="52302EF2"/>
    <w:rsid w:val="526B3F2A"/>
    <w:rsid w:val="526D6BF4"/>
    <w:rsid w:val="531D5224"/>
    <w:rsid w:val="532A304D"/>
    <w:rsid w:val="53873592"/>
    <w:rsid w:val="53B51901"/>
    <w:rsid w:val="53C93484"/>
    <w:rsid w:val="547C41CC"/>
    <w:rsid w:val="549C486F"/>
    <w:rsid w:val="54DA0EF3"/>
    <w:rsid w:val="54E57FC4"/>
    <w:rsid w:val="5503044A"/>
    <w:rsid w:val="55484D4D"/>
    <w:rsid w:val="557F5F37"/>
    <w:rsid w:val="55B6370E"/>
    <w:rsid w:val="55CE2806"/>
    <w:rsid w:val="565623AA"/>
    <w:rsid w:val="565F3DA6"/>
    <w:rsid w:val="56FD434B"/>
    <w:rsid w:val="57601A1E"/>
    <w:rsid w:val="58206275"/>
    <w:rsid w:val="58711B6E"/>
    <w:rsid w:val="587F32F2"/>
    <w:rsid w:val="5889335C"/>
    <w:rsid w:val="58FF717A"/>
    <w:rsid w:val="5A0F163F"/>
    <w:rsid w:val="5A1530F9"/>
    <w:rsid w:val="5A4F7C8D"/>
    <w:rsid w:val="5A8913F1"/>
    <w:rsid w:val="5B7F68CA"/>
    <w:rsid w:val="5BC65244"/>
    <w:rsid w:val="5C073EEB"/>
    <w:rsid w:val="5C1C4E26"/>
    <w:rsid w:val="5C292E8C"/>
    <w:rsid w:val="5C2C297C"/>
    <w:rsid w:val="5C732359"/>
    <w:rsid w:val="5CDD3F02"/>
    <w:rsid w:val="5CDF1872"/>
    <w:rsid w:val="5D2F4A70"/>
    <w:rsid w:val="5D99435E"/>
    <w:rsid w:val="5DF74826"/>
    <w:rsid w:val="5E3913E4"/>
    <w:rsid w:val="5E8F2D4E"/>
    <w:rsid w:val="5F41229A"/>
    <w:rsid w:val="5F9F13F8"/>
    <w:rsid w:val="600734E4"/>
    <w:rsid w:val="600F29C1"/>
    <w:rsid w:val="6013039D"/>
    <w:rsid w:val="60365B77"/>
    <w:rsid w:val="60AA0313"/>
    <w:rsid w:val="60F90953"/>
    <w:rsid w:val="6182393B"/>
    <w:rsid w:val="61C176C2"/>
    <w:rsid w:val="61D45648"/>
    <w:rsid w:val="622163B3"/>
    <w:rsid w:val="62643A48"/>
    <w:rsid w:val="62B32E2D"/>
    <w:rsid w:val="62BB2364"/>
    <w:rsid w:val="633914DA"/>
    <w:rsid w:val="637644DD"/>
    <w:rsid w:val="637864A7"/>
    <w:rsid w:val="63A4729C"/>
    <w:rsid w:val="63F56A0D"/>
    <w:rsid w:val="641A3689"/>
    <w:rsid w:val="64386F1F"/>
    <w:rsid w:val="643B7C00"/>
    <w:rsid w:val="64E21E2A"/>
    <w:rsid w:val="64EF5272"/>
    <w:rsid w:val="65164F59"/>
    <w:rsid w:val="653D3504"/>
    <w:rsid w:val="659147D3"/>
    <w:rsid w:val="65B31A18"/>
    <w:rsid w:val="65BF510E"/>
    <w:rsid w:val="66B05875"/>
    <w:rsid w:val="66D37C84"/>
    <w:rsid w:val="671D706A"/>
    <w:rsid w:val="675B2367"/>
    <w:rsid w:val="67B25C3D"/>
    <w:rsid w:val="67B506B0"/>
    <w:rsid w:val="67DA506E"/>
    <w:rsid w:val="68721717"/>
    <w:rsid w:val="68A47147"/>
    <w:rsid w:val="68A5389A"/>
    <w:rsid w:val="68C77CB4"/>
    <w:rsid w:val="695A4C0D"/>
    <w:rsid w:val="696061EB"/>
    <w:rsid w:val="698C2CAC"/>
    <w:rsid w:val="69F820EF"/>
    <w:rsid w:val="6A284A8F"/>
    <w:rsid w:val="6A400553"/>
    <w:rsid w:val="6A755A7A"/>
    <w:rsid w:val="6A8120E5"/>
    <w:rsid w:val="6A843F28"/>
    <w:rsid w:val="6AA946B7"/>
    <w:rsid w:val="6B1E7657"/>
    <w:rsid w:val="6B43368F"/>
    <w:rsid w:val="6C0C1E82"/>
    <w:rsid w:val="6CBC7404"/>
    <w:rsid w:val="6CC10EBE"/>
    <w:rsid w:val="6CD62495"/>
    <w:rsid w:val="6CFF5543"/>
    <w:rsid w:val="6D34343E"/>
    <w:rsid w:val="6D535020"/>
    <w:rsid w:val="6D5B09CB"/>
    <w:rsid w:val="6D802E4A"/>
    <w:rsid w:val="6DA560EA"/>
    <w:rsid w:val="6DBF1F1C"/>
    <w:rsid w:val="6DE50BDD"/>
    <w:rsid w:val="6E6234F6"/>
    <w:rsid w:val="6E67016F"/>
    <w:rsid w:val="6E8E6B7E"/>
    <w:rsid w:val="6E8F6D71"/>
    <w:rsid w:val="6ED0363B"/>
    <w:rsid w:val="6F103A37"/>
    <w:rsid w:val="6F5A677C"/>
    <w:rsid w:val="6F9C351D"/>
    <w:rsid w:val="6FCC5BB0"/>
    <w:rsid w:val="7026690A"/>
    <w:rsid w:val="705B2B64"/>
    <w:rsid w:val="710870BC"/>
    <w:rsid w:val="71373FD2"/>
    <w:rsid w:val="72361A07"/>
    <w:rsid w:val="72563E57"/>
    <w:rsid w:val="726D298E"/>
    <w:rsid w:val="72CC4119"/>
    <w:rsid w:val="734939BC"/>
    <w:rsid w:val="73891E81"/>
    <w:rsid w:val="73DE7078"/>
    <w:rsid w:val="74464BB6"/>
    <w:rsid w:val="74485A21"/>
    <w:rsid w:val="74FB6D46"/>
    <w:rsid w:val="751A116C"/>
    <w:rsid w:val="75322959"/>
    <w:rsid w:val="75901DEC"/>
    <w:rsid w:val="759C7DD3"/>
    <w:rsid w:val="75A35605"/>
    <w:rsid w:val="760A7432"/>
    <w:rsid w:val="7645046A"/>
    <w:rsid w:val="768A2321"/>
    <w:rsid w:val="76923F99"/>
    <w:rsid w:val="76C17FE3"/>
    <w:rsid w:val="76CC0B8C"/>
    <w:rsid w:val="77030129"/>
    <w:rsid w:val="7709457F"/>
    <w:rsid w:val="777234E1"/>
    <w:rsid w:val="77843214"/>
    <w:rsid w:val="77CE623E"/>
    <w:rsid w:val="77E03FF0"/>
    <w:rsid w:val="77F71C38"/>
    <w:rsid w:val="77F739E6"/>
    <w:rsid w:val="78850FF2"/>
    <w:rsid w:val="78B41694"/>
    <w:rsid w:val="78E26444"/>
    <w:rsid w:val="79711576"/>
    <w:rsid w:val="79E81839"/>
    <w:rsid w:val="79F57CA1"/>
    <w:rsid w:val="7A301431"/>
    <w:rsid w:val="7A321FD9"/>
    <w:rsid w:val="7A3507F6"/>
    <w:rsid w:val="7A7237F8"/>
    <w:rsid w:val="7A7255A6"/>
    <w:rsid w:val="7B7930E6"/>
    <w:rsid w:val="7C4A67DB"/>
    <w:rsid w:val="7CDC31AB"/>
    <w:rsid w:val="7D853842"/>
    <w:rsid w:val="7E10135E"/>
    <w:rsid w:val="7E6873EC"/>
    <w:rsid w:val="7F402117"/>
    <w:rsid w:val="7F6100F3"/>
    <w:rsid w:val="7F645E05"/>
    <w:rsid w:val="7F685AFF"/>
    <w:rsid w:val="7F6D27E0"/>
    <w:rsid w:val="7F8A5140"/>
    <w:rsid w:val="7FC40652"/>
    <w:rsid w:val="7FC95C68"/>
    <w:rsid w:val="7FD603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Calibri" w:hAnsi="Calibri" w:eastAsia="宋体" w:cstheme="minorBidi"/>
      <w:kern w:val="2"/>
      <w:sz w:val="21"/>
      <w:szCs w:val="21"/>
      <w:lang w:val="en-US" w:eastAsia="zh-CN" w:bidi="ar-SA"/>
    </w:rPr>
  </w:style>
  <w:style w:type="paragraph" w:styleId="3">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jc w:val="left"/>
    </w:pPr>
    <w:rPr>
      <w:rFonts w:eastAsia="Calibri" w:cs="Times New Roman"/>
      <w:kern w:val="0"/>
      <w:sz w:val="20"/>
      <w:szCs w:val="20"/>
    </w:rPr>
  </w:style>
  <w:style w:type="paragraph" w:styleId="6">
    <w:name w:val="toc 7"/>
    <w:basedOn w:val="1"/>
    <w:next w:val="1"/>
    <w:autoRedefine/>
    <w:unhideWhenUsed/>
    <w:qFormat/>
    <w:uiPriority w:val="39"/>
    <w:pPr>
      <w:widowControl w:val="0"/>
      <w:ind w:left="2520" w:leftChars="1200"/>
      <w:textAlignment w:val="auto"/>
    </w:pPr>
    <w:rPr>
      <w:rFonts w:asciiTheme="minorHAnsi" w:hAnsiTheme="minorHAnsi" w:eastAsiaTheme="minorEastAsia"/>
      <w:szCs w:val="22"/>
    </w:rPr>
  </w:style>
  <w:style w:type="paragraph" w:styleId="7">
    <w:name w:val="Body Text"/>
    <w:basedOn w:val="1"/>
    <w:next w:val="8"/>
    <w:link w:val="48"/>
    <w:qFormat/>
    <w:uiPriority w:val="0"/>
    <w:pPr>
      <w:spacing w:after="120"/>
      <w:jc w:val="left"/>
    </w:pPr>
    <w:rPr>
      <w:rFonts w:eastAsia="Calibri" w:cs="Times New Roman"/>
      <w:kern w:val="0"/>
      <w:sz w:val="22"/>
      <w:szCs w:val="22"/>
    </w:rPr>
  </w:style>
  <w:style w:type="paragraph" w:styleId="8">
    <w:name w:val="toc 2"/>
    <w:basedOn w:val="1"/>
    <w:next w:val="1"/>
    <w:qFormat/>
    <w:uiPriority w:val="39"/>
    <w:pPr>
      <w:ind w:left="210"/>
      <w:jc w:val="left"/>
    </w:pPr>
    <w:rPr>
      <w:smallCaps/>
      <w:sz w:val="28"/>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99"/>
    <w:pPr>
      <w:snapToGrid w:val="0"/>
    </w:pPr>
    <w:rPr>
      <w:rFonts w:ascii="Arial" w:hAnsi="Arial"/>
    </w:rPr>
  </w:style>
  <w:style w:type="paragraph" w:styleId="11">
    <w:name w:val="List 2"/>
    <w:basedOn w:val="1"/>
    <w:qFormat/>
    <w:uiPriority w:val="0"/>
    <w:pPr>
      <w:ind w:left="100" w:leftChars="200" w:hanging="200" w:hangingChars="200"/>
      <w:jc w:val="left"/>
    </w:pPr>
    <w:rPr>
      <w:rFonts w:ascii="Times New Roman" w:hAnsi="Times New Roman" w:eastAsia="Calibri" w:cs="Times New Roman"/>
      <w:kern w:val="0"/>
      <w:sz w:val="22"/>
    </w:rPr>
  </w:style>
  <w:style w:type="paragraph" w:styleId="12">
    <w:name w:val="toc 5"/>
    <w:basedOn w:val="1"/>
    <w:next w:val="1"/>
    <w:autoRedefine/>
    <w:unhideWhenUsed/>
    <w:qFormat/>
    <w:uiPriority w:val="39"/>
    <w:pPr>
      <w:widowControl w:val="0"/>
      <w:ind w:left="1680" w:leftChars="800"/>
      <w:textAlignment w:val="auto"/>
    </w:pPr>
    <w:rPr>
      <w:rFonts w:asciiTheme="minorHAnsi" w:hAnsiTheme="minorHAnsi" w:eastAsiaTheme="minorEastAsia"/>
      <w:szCs w:val="22"/>
    </w:rPr>
  </w:style>
  <w:style w:type="paragraph" w:styleId="13">
    <w:name w:val="toc 3"/>
    <w:basedOn w:val="1"/>
    <w:next w:val="1"/>
    <w:autoRedefine/>
    <w:unhideWhenUsed/>
    <w:qFormat/>
    <w:uiPriority w:val="39"/>
    <w:pPr>
      <w:widowControl w:val="0"/>
      <w:ind w:left="840" w:leftChars="400"/>
      <w:textAlignment w:val="auto"/>
    </w:pPr>
    <w:rPr>
      <w:rFonts w:asciiTheme="minorHAnsi" w:hAnsiTheme="minorHAnsi" w:eastAsiaTheme="minorEastAsia"/>
      <w:szCs w:val="22"/>
    </w:rPr>
  </w:style>
  <w:style w:type="paragraph" w:styleId="14">
    <w:name w:val="Plain Text"/>
    <w:basedOn w:val="1"/>
    <w:link w:val="49"/>
    <w:qFormat/>
    <w:uiPriority w:val="99"/>
    <w:pPr>
      <w:widowControl w:val="0"/>
      <w:textAlignment w:val="auto"/>
    </w:pPr>
    <w:rPr>
      <w:rFonts w:ascii="宋体" w:hAnsi="Courier New" w:eastAsiaTheme="minorEastAsia"/>
      <w:szCs w:val="24"/>
    </w:rPr>
  </w:style>
  <w:style w:type="paragraph" w:styleId="15">
    <w:name w:val="toc 8"/>
    <w:basedOn w:val="1"/>
    <w:next w:val="1"/>
    <w:autoRedefine/>
    <w:unhideWhenUsed/>
    <w:qFormat/>
    <w:uiPriority w:val="39"/>
    <w:pPr>
      <w:widowControl w:val="0"/>
      <w:ind w:left="2940" w:leftChars="1400"/>
      <w:textAlignment w:val="auto"/>
    </w:pPr>
    <w:rPr>
      <w:rFonts w:asciiTheme="minorHAnsi" w:hAnsiTheme="minorHAnsi" w:eastAsiaTheme="minorEastAsia"/>
      <w:szCs w:val="22"/>
    </w:rPr>
  </w:style>
  <w:style w:type="paragraph" w:styleId="16">
    <w:name w:val="Date"/>
    <w:basedOn w:val="1"/>
    <w:next w:val="1"/>
    <w:link w:val="50"/>
    <w:qFormat/>
    <w:uiPriority w:val="0"/>
    <w:pPr>
      <w:widowControl w:val="0"/>
      <w:textAlignment w:val="auto"/>
    </w:pPr>
    <w:rPr>
      <w:rFonts w:ascii="Times New Roman" w:hAnsi="Times New Roman" w:cs="Times New Roman"/>
      <w:szCs w:val="20"/>
    </w:rPr>
  </w:style>
  <w:style w:type="paragraph" w:styleId="17">
    <w:name w:val="Body Text Indent 2"/>
    <w:basedOn w:val="1"/>
    <w:link w:val="51"/>
    <w:qFormat/>
    <w:uiPriority w:val="0"/>
    <w:pPr>
      <w:spacing w:after="120" w:line="480" w:lineRule="auto"/>
      <w:ind w:left="420" w:leftChars="200"/>
    </w:pPr>
  </w:style>
  <w:style w:type="paragraph" w:styleId="18">
    <w:name w:val="Balloon Text"/>
    <w:basedOn w:val="1"/>
    <w:link w:val="52"/>
    <w:qFormat/>
    <w:uiPriority w:val="0"/>
    <w:rPr>
      <w:sz w:val="18"/>
      <w:szCs w:val="18"/>
    </w:rPr>
  </w:style>
  <w:style w:type="paragraph" w:styleId="19">
    <w:name w:val="footer"/>
    <w:basedOn w:val="1"/>
    <w:link w:val="53"/>
    <w:qFormat/>
    <w:uiPriority w:val="0"/>
    <w:pPr>
      <w:tabs>
        <w:tab w:val="center" w:pos="4153"/>
        <w:tab w:val="right" w:pos="8306"/>
      </w:tabs>
      <w:snapToGrid w:val="0"/>
      <w:jc w:val="left"/>
    </w:pPr>
    <w:rPr>
      <w:rFonts w:eastAsia="Times New Roman"/>
      <w:sz w:val="18"/>
    </w:rPr>
  </w:style>
  <w:style w:type="paragraph" w:styleId="20">
    <w:name w:val="header"/>
    <w:basedOn w:val="1"/>
    <w:next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styleId="21">
    <w:name w:val="toc 1"/>
    <w:basedOn w:val="1"/>
    <w:next w:val="1"/>
    <w:qFormat/>
    <w:uiPriority w:val="39"/>
  </w:style>
  <w:style w:type="paragraph" w:styleId="22">
    <w:name w:val="toc 4"/>
    <w:basedOn w:val="1"/>
    <w:next w:val="1"/>
    <w:autoRedefine/>
    <w:unhideWhenUsed/>
    <w:qFormat/>
    <w:uiPriority w:val="39"/>
    <w:pPr>
      <w:widowControl w:val="0"/>
      <w:ind w:left="1260" w:leftChars="600"/>
      <w:textAlignment w:val="auto"/>
    </w:pPr>
    <w:rPr>
      <w:rFonts w:asciiTheme="minorHAnsi" w:hAnsiTheme="minorHAnsi" w:eastAsiaTheme="minorEastAsia"/>
      <w:szCs w:val="22"/>
    </w:rPr>
  </w:style>
  <w:style w:type="paragraph" w:styleId="23">
    <w:name w:val="List"/>
    <w:basedOn w:val="1"/>
    <w:next w:val="1"/>
    <w:qFormat/>
    <w:uiPriority w:val="0"/>
    <w:pPr>
      <w:ind w:left="420" w:hanging="420"/>
    </w:pPr>
  </w:style>
  <w:style w:type="paragraph" w:styleId="24">
    <w:name w:val="toc 6"/>
    <w:basedOn w:val="1"/>
    <w:next w:val="1"/>
    <w:autoRedefine/>
    <w:unhideWhenUsed/>
    <w:qFormat/>
    <w:uiPriority w:val="39"/>
    <w:pPr>
      <w:widowControl w:val="0"/>
      <w:ind w:left="2100" w:leftChars="1000"/>
      <w:textAlignment w:val="auto"/>
    </w:pPr>
    <w:rPr>
      <w:rFonts w:asciiTheme="minorHAnsi" w:hAnsiTheme="minorHAnsi" w:eastAsiaTheme="minorEastAsia"/>
      <w:szCs w:val="22"/>
    </w:rPr>
  </w:style>
  <w:style w:type="paragraph" w:styleId="25">
    <w:name w:val="toc 9"/>
    <w:basedOn w:val="1"/>
    <w:next w:val="1"/>
    <w:autoRedefine/>
    <w:unhideWhenUsed/>
    <w:qFormat/>
    <w:uiPriority w:val="39"/>
    <w:pPr>
      <w:widowControl w:val="0"/>
      <w:ind w:left="3360" w:leftChars="1600"/>
      <w:textAlignment w:val="auto"/>
    </w:pPr>
    <w:rPr>
      <w:rFonts w:asciiTheme="minorHAnsi" w:hAnsiTheme="minorHAnsi" w:eastAsiaTheme="minorEastAsia"/>
      <w:szCs w:val="22"/>
    </w:rPr>
  </w:style>
  <w:style w:type="paragraph" w:styleId="26">
    <w:name w:val="Body Text 2"/>
    <w:basedOn w:val="1"/>
    <w:link w:val="92"/>
    <w:qFormat/>
    <w:uiPriority w:val="0"/>
    <w:pPr>
      <w:spacing w:after="120" w:line="480" w:lineRule="auto"/>
    </w:pPr>
  </w:style>
  <w:style w:type="paragraph" w:styleId="27">
    <w:name w:val="Normal (Web)"/>
    <w:basedOn w:val="1"/>
    <w:qFormat/>
    <w:uiPriority w:val="0"/>
    <w:pPr>
      <w:spacing w:beforeAutospacing="1" w:afterAutospacing="1"/>
      <w:jc w:val="left"/>
    </w:pPr>
    <w:rPr>
      <w:rFonts w:cs="Times New Roman"/>
      <w:kern w:val="0"/>
      <w:sz w:val="24"/>
    </w:rPr>
  </w:style>
  <w:style w:type="paragraph" w:styleId="28">
    <w:name w:val="Body Text First Indent"/>
    <w:basedOn w:val="7"/>
    <w:next w:val="1"/>
    <w:qFormat/>
    <w:uiPriority w:val="0"/>
    <w:pPr>
      <w:autoSpaceDE w:val="0"/>
      <w:autoSpaceDN w:val="0"/>
      <w:adjustRightInd w:val="0"/>
      <w:spacing w:before="154" w:after="0" w:line="360" w:lineRule="auto"/>
      <w:ind w:left="102" w:right="-24" w:rightChars="-10" w:firstLine="425" w:firstLineChars="225"/>
    </w:pPr>
    <w:rPr>
      <w:rFonts w:ascii="Arial" w:hAnsi="Arial" w:eastAsia="FangSong_GB2312"/>
      <w:sz w:val="24"/>
      <w:szCs w:val="32"/>
    </w:rPr>
  </w:style>
  <w:style w:type="paragraph" w:styleId="29">
    <w:name w:val="Body Text First Indent 2"/>
    <w:basedOn w:val="9"/>
    <w:next w:val="28"/>
    <w:qFormat/>
    <w:uiPriority w:val="0"/>
    <w:pPr>
      <w:ind w:firstLine="420" w:firstLineChars="200"/>
      <w:jc w:val="left"/>
    </w:pPr>
    <w:rPr>
      <w:rFonts w:eastAsia="Calibri" w:cs="Times New Roman"/>
      <w:kern w:val="0"/>
      <w:sz w:val="22"/>
      <w:szCs w:val="22"/>
    </w:rPr>
  </w:style>
  <w:style w:type="table" w:styleId="31">
    <w:name w:val="Table Grid"/>
    <w:basedOn w:val="3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qFormat/>
    <w:uiPriority w:val="0"/>
    <w:rPr>
      <w:b/>
      <w:sz w:val="24"/>
      <w:szCs w:val="24"/>
    </w:rPr>
  </w:style>
  <w:style w:type="character" w:styleId="34">
    <w:name w:val="page number"/>
    <w:basedOn w:val="32"/>
    <w:qFormat/>
    <w:uiPriority w:val="0"/>
  </w:style>
  <w:style w:type="character" w:styleId="35">
    <w:name w:val="FollowedHyperlink"/>
    <w:basedOn w:val="32"/>
    <w:qFormat/>
    <w:uiPriority w:val="99"/>
    <w:rPr>
      <w:color w:val="551A8B"/>
      <w:u w:val="single"/>
    </w:rPr>
  </w:style>
  <w:style w:type="character" w:styleId="36">
    <w:name w:val="Emphasis"/>
    <w:basedOn w:val="32"/>
    <w:qFormat/>
    <w:uiPriority w:val="0"/>
    <w:rPr>
      <w:color w:val="D73130"/>
      <w:sz w:val="24"/>
      <w:szCs w:val="24"/>
    </w:rPr>
  </w:style>
  <w:style w:type="character" w:styleId="37">
    <w:name w:val="HTML Definition"/>
    <w:basedOn w:val="32"/>
    <w:qFormat/>
    <w:uiPriority w:val="0"/>
  </w:style>
  <w:style w:type="character" w:styleId="38">
    <w:name w:val="HTML Typewriter"/>
    <w:basedOn w:val="32"/>
    <w:qFormat/>
    <w:uiPriority w:val="0"/>
    <w:rPr>
      <w:rFonts w:hint="default" w:ascii="monospace" w:hAnsi="monospace" w:eastAsia="monospace" w:cs="monospace"/>
      <w:sz w:val="20"/>
    </w:rPr>
  </w:style>
  <w:style w:type="character" w:styleId="39">
    <w:name w:val="HTML Acronym"/>
    <w:basedOn w:val="32"/>
    <w:qFormat/>
    <w:uiPriority w:val="0"/>
  </w:style>
  <w:style w:type="character" w:styleId="40">
    <w:name w:val="HTML Variable"/>
    <w:basedOn w:val="32"/>
    <w:qFormat/>
    <w:uiPriority w:val="0"/>
  </w:style>
  <w:style w:type="character" w:styleId="41">
    <w:name w:val="Hyperlink"/>
    <w:basedOn w:val="32"/>
    <w:qFormat/>
    <w:uiPriority w:val="99"/>
    <w:rPr>
      <w:color w:val="2438CF"/>
      <w:u w:val="single"/>
    </w:rPr>
  </w:style>
  <w:style w:type="character" w:styleId="42">
    <w:name w:val="HTML Code"/>
    <w:basedOn w:val="32"/>
    <w:qFormat/>
    <w:uiPriority w:val="0"/>
    <w:rPr>
      <w:rFonts w:hint="default" w:ascii="monospace" w:hAnsi="monospace" w:eastAsia="monospace" w:cs="monospace"/>
      <w:sz w:val="20"/>
    </w:rPr>
  </w:style>
  <w:style w:type="character" w:styleId="43">
    <w:name w:val="HTML Cite"/>
    <w:basedOn w:val="32"/>
    <w:qFormat/>
    <w:uiPriority w:val="0"/>
    <w:rPr>
      <w:sz w:val="24"/>
      <w:szCs w:val="24"/>
    </w:rPr>
  </w:style>
  <w:style w:type="character" w:styleId="44">
    <w:name w:val="HTML Keyboard"/>
    <w:basedOn w:val="32"/>
    <w:qFormat/>
    <w:uiPriority w:val="0"/>
    <w:rPr>
      <w:rFonts w:hint="default" w:ascii="monospace" w:hAnsi="monospace" w:eastAsia="monospace" w:cs="monospace"/>
      <w:sz w:val="20"/>
    </w:rPr>
  </w:style>
  <w:style w:type="character" w:styleId="45">
    <w:name w:val="HTML Sample"/>
    <w:basedOn w:val="32"/>
    <w:qFormat/>
    <w:uiPriority w:val="0"/>
    <w:rPr>
      <w:rFonts w:ascii="monospace" w:hAnsi="monospace" w:eastAsia="monospace" w:cs="monospace"/>
    </w:rPr>
  </w:style>
  <w:style w:type="character" w:customStyle="1" w:styleId="46">
    <w:name w:val="标题 1 Char"/>
    <w:link w:val="3"/>
    <w:qFormat/>
    <w:uiPriority w:val="0"/>
    <w:rPr>
      <w:b/>
      <w:bCs/>
      <w:kern w:val="44"/>
      <w:sz w:val="44"/>
      <w:szCs w:val="44"/>
    </w:rPr>
  </w:style>
  <w:style w:type="character" w:customStyle="1" w:styleId="47">
    <w:name w:val="标题 2 Char"/>
    <w:basedOn w:val="32"/>
    <w:link w:val="4"/>
    <w:semiHidden/>
    <w:qFormat/>
    <w:uiPriority w:val="0"/>
    <w:rPr>
      <w:rFonts w:asciiTheme="majorHAnsi" w:hAnsiTheme="majorHAnsi" w:eastAsiaTheme="majorEastAsia" w:cstheme="majorBidi"/>
      <w:b/>
      <w:bCs/>
      <w:kern w:val="2"/>
      <w:sz w:val="32"/>
      <w:szCs w:val="32"/>
    </w:rPr>
  </w:style>
  <w:style w:type="character" w:customStyle="1" w:styleId="48">
    <w:name w:val="正文文本 Char"/>
    <w:basedOn w:val="32"/>
    <w:link w:val="7"/>
    <w:qFormat/>
    <w:uiPriority w:val="0"/>
    <w:rPr>
      <w:rFonts w:ascii="Calibri" w:hAnsi="Calibri" w:eastAsia="Calibri" w:cs="Times New Roman"/>
      <w:sz w:val="22"/>
      <w:szCs w:val="22"/>
    </w:rPr>
  </w:style>
  <w:style w:type="character" w:customStyle="1" w:styleId="49">
    <w:name w:val="纯文本 Char"/>
    <w:basedOn w:val="32"/>
    <w:link w:val="14"/>
    <w:qFormat/>
    <w:uiPriority w:val="0"/>
    <w:rPr>
      <w:rFonts w:ascii="宋体" w:hAnsi="Courier New"/>
      <w:kern w:val="2"/>
      <w:sz w:val="21"/>
      <w:szCs w:val="24"/>
    </w:rPr>
  </w:style>
  <w:style w:type="character" w:customStyle="1" w:styleId="50">
    <w:name w:val="日期 Char"/>
    <w:basedOn w:val="32"/>
    <w:link w:val="16"/>
    <w:qFormat/>
    <w:uiPriority w:val="0"/>
    <w:rPr>
      <w:rFonts w:ascii="Times New Roman" w:hAnsi="Times New Roman" w:eastAsia="宋体" w:cs="Times New Roman"/>
      <w:kern w:val="2"/>
      <w:sz w:val="21"/>
    </w:rPr>
  </w:style>
  <w:style w:type="character" w:customStyle="1" w:styleId="51">
    <w:name w:val="正文文本缩进 2 Char"/>
    <w:basedOn w:val="32"/>
    <w:link w:val="17"/>
    <w:qFormat/>
    <w:uiPriority w:val="0"/>
    <w:rPr>
      <w:rFonts w:ascii="Calibri" w:hAnsi="Calibri" w:eastAsia="宋体"/>
      <w:kern w:val="2"/>
      <w:sz w:val="21"/>
      <w:szCs w:val="21"/>
    </w:rPr>
  </w:style>
  <w:style w:type="character" w:customStyle="1" w:styleId="52">
    <w:name w:val="批注框文本 Char"/>
    <w:basedOn w:val="32"/>
    <w:link w:val="18"/>
    <w:qFormat/>
    <w:uiPriority w:val="0"/>
    <w:rPr>
      <w:rFonts w:ascii="Calibri" w:hAnsi="Calibri" w:eastAsia="宋体"/>
      <w:kern w:val="2"/>
      <w:sz w:val="18"/>
      <w:szCs w:val="18"/>
    </w:rPr>
  </w:style>
  <w:style w:type="character" w:customStyle="1" w:styleId="53">
    <w:name w:val="页脚 Char"/>
    <w:basedOn w:val="32"/>
    <w:link w:val="19"/>
    <w:qFormat/>
    <w:uiPriority w:val="99"/>
    <w:rPr>
      <w:rFonts w:ascii="Calibri" w:hAnsi="Calibri" w:eastAsia="Times New Roman"/>
      <w:kern w:val="2"/>
      <w:sz w:val="18"/>
      <w:szCs w:val="21"/>
    </w:rPr>
  </w:style>
  <w:style w:type="paragraph" w:customStyle="1" w:styleId="54">
    <w:name w:val="段落"/>
    <w:qFormat/>
    <w:uiPriority w:val="0"/>
    <w:pPr>
      <w:adjustRightInd w:val="0"/>
      <w:snapToGrid w:val="0"/>
      <w:spacing w:before="120" w:after="120" w:line="360" w:lineRule="auto"/>
      <w:ind w:firstLine="425" w:firstLineChars="177"/>
    </w:pPr>
    <w:rPr>
      <w:rFonts w:ascii="宋体" w:hAnsi="宋体" w:eastAsia="宋体" w:cs="Times New Roman"/>
      <w:kern w:val="2"/>
      <w:sz w:val="24"/>
      <w:szCs w:val="24"/>
      <w:lang w:val="en-US" w:eastAsia="zh-CN" w:bidi="ar-SA"/>
    </w:rPr>
  </w:style>
  <w:style w:type="paragraph" w:customStyle="1" w:styleId="55">
    <w:name w:val="BodyText1I2"/>
    <w:basedOn w:val="56"/>
    <w:next w:val="23"/>
    <w:qFormat/>
    <w:uiPriority w:val="0"/>
    <w:pPr>
      <w:spacing w:before="0"/>
      <w:ind w:firstLine="420" w:firstLineChars="200"/>
      <w:jc w:val="left"/>
    </w:pPr>
    <w:rPr>
      <w:kern w:val="0"/>
      <w:sz w:val="22"/>
      <w:szCs w:val="22"/>
    </w:rPr>
  </w:style>
  <w:style w:type="paragraph" w:customStyle="1" w:styleId="56">
    <w:name w:val="BodyTextIndent"/>
    <w:basedOn w:val="1"/>
    <w:next w:val="57"/>
    <w:qFormat/>
    <w:uiPriority w:val="0"/>
    <w:pPr>
      <w:spacing w:before="100" w:beforeAutospacing="1"/>
      <w:ind w:left="200" w:leftChars="200"/>
    </w:pPr>
  </w:style>
  <w:style w:type="paragraph" w:customStyle="1" w:styleId="57">
    <w:name w:val="EnvelopeReturn"/>
    <w:basedOn w:val="1"/>
    <w:qFormat/>
    <w:uiPriority w:val="0"/>
    <w:pPr>
      <w:snapToGrid w:val="0"/>
    </w:pPr>
    <w:rPr>
      <w:rFonts w:ascii="Arial" w:hAnsi="Arial"/>
    </w:rPr>
  </w:style>
  <w:style w:type="paragraph" w:customStyle="1" w:styleId="58">
    <w:name w:val="BodyText1I"/>
    <w:basedOn w:val="59"/>
    <w:next w:val="1"/>
    <w:qFormat/>
    <w:uiPriority w:val="0"/>
    <w:pPr>
      <w:spacing w:before="154" w:after="0" w:line="360" w:lineRule="auto"/>
      <w:ind w:left="102" w:right="-10" w:rightChars="-10" w:firstLine="425" w:firstLineChars="225"/>
    </w:pPr>
    <w:rPr>
      <w:rFonts w:ascii="Arial" w:hAnsi="Arial" w:eastAsia="FangSong_GB2312"/>
      <w:sz w:val="24"/>
      <w:szCs w:val="24"/>
    </w:rPr>
  </w:style>
  <w:style w:type="paragraph" w:customStyle="1" w:styleId="59">
    <w:name w:val="BodyText"/>
    <w:basedOn w:val="1"/>
    <w:next w:val="60"/>
    <w:qFormat/>
    <w:uiPriority w:val="0"/>
    <w:pPr>
      <w:spacing w:after="120"/>
      <w:jc w:val="left"/>
    </w:pPr>
    <w:rPr>
      <w:kern w:val="0"/>
      <w:sz w:val="22"/>
      <w:szCs w:val="22"/>
    </w:rPr>
  </w:style>
  <w:style w:type="paragraph" w:customStyle="1" w:styleId="60">
    <w:name w:val="TOC2"/>
    <w:basedOn w:val="1"/>
    <w:next w:val="1"/>
    <w:qFormat/>
    <w:uiPriority w:val="0"/>
    <w:pPr>
      <w:ind w:left="210"/>
      <w:jc w:val="left"/>
    </w:pPr>
    <w:rPr>
      <w:smallCaps/>
      <w:kern w:val="1"/>
      <w:sz w:val="28"/>
      <w:szCs w:val="24"/>
    </w:rPr>
  </w:style>
  <w:style w:type="character" w:customStyle="1" w:styleId="61">
    <w:name w:val="NormalCharacter"/>
    <w:semiHidden/>
    <w:qFormat/>
    <w:uiPriority w:val="0"/>
    <w:rPr>
      <w:rFonts w:ascii="Calibri" w:hAnsi="Calibri" w:eastAsia="宋体" w:cstheme="minorBidi"/>
      <w:kern w:val="2"/>
      <w:sz w:val="21"/>
      <w:szCs w:val="21"/>
      <w:lang w:val="en-US" w:eastAsia="zh-CN" w:bidi="ar-SA"/>
    </w:rPr>
  </w:style>
  <w:style w:type="paragraph" w:customStyle="1" w:styleId="62">
    <w:name w:val="Heading1"/>
    <w:basedOn w:val="1"/>
    <w:next w:val="1"/>
    <w:link w:val="63"/>
    <w:qFormat/>
    <w:uiPriority w:val="0"/>
    <w:pPr>
      <w:jc w:val="left"/>
    </w:pPr>
    <w:rPr>
      <w:rFonts w:ascii="Times New Roman" w:hAnsi="Times New Roman" w:cs="Calibri"/>
      <w:b/>
      <w:bCs/>
      <w:kern w:val="44"/>
      <w:sz w:val="30"/>
      <w:szCs w:val="30"/>
    </w:rPr>
  </w:style>
  <w:style w:type="character" w:customStyle="1" w:styleId="63">
    <w:name w:val="UserStyle_0"/>
    <w:link w:val="62"/>
    <w:qFormat/>
    <w:uiPriority w:val="0"/>
    <w:rPr>
      <w:rFonts w:ascii="Times New Roman" w:hAnsi="Times New Roman" w:cs="Calibri"/>
      <w:b/>
      <w:bCs/>
      <w:kern w:val="44"/>
      <w:sz w:val="30"/>
      <w:szCs w:val="30"/>
      <w:lang w:val="en-US" w:eastAsia="zh-CN" w:bidi="ar-SA"/>
    </w:rPr>
  </w:style>
  <w:style w:type="paragraph" w:customStyle="1" w:styleId="64">
    <w:name w:val="TOC1"/>
    <w:basedOn w:val="1"/>
    <w:next w:val="1"/>
    <w:qFormat/>
    <w:uiPriority w:val="0"/>
    <w:pPr>
      <w:spacing w:before="116"/>
      <w:ind w:left="18"/>
      <w:jc w:val="left"/>
    </w:pPr>
    <w:rPr>
      <w:rFonts w:ascii="宋体" w:hAnsi="宋体"/>
      <w:kern w:val="0"/>
      <w:sz w:val="28"/>
      <w:szCs w:val="28"/>
    </w:rPr>
  </w:style>
  <w:style w:type="character" w:customStyle="1" w:styleId="65">
    <w:name w:val="UserStyle_10"/>
    <w:qFormat/>
    <w:uiPriority w:val="0"/>
    <w:rPr>
      <w:rFonts w:ascii="黑体" w:hAnsi="宋体" w:eastAsia="黑体" w:cs="Calibri"/>
      <w:b/>
      <w:bCs/>
      <w:kern w:val="0"/>
      <w:sz w:val="32"/>
      <w:szCs w:val="32"/>
    </w:rPr>
  </w:style>
  <w:style w:type="paragraph" w:customStyle="1" w:styleId="66">
    <w:name w:val="HtmlNormal"/>
    <w:basedOn w:val="1"/>
    <w:qFormat/>
    <w:uiPriority w:val="0"/>
    <w:pPr>
      <w:spacing w:before="100" w:beforeAutospacing="1" w:after="100" w:afterAutospacing="1"/>
      <w:jc w:val="left"/>
    </w:pPr>
    <w:rPr>
      <w:rFonts w:ascii="宋体" w:hAnsi="宋体"/>
      <w:kern w:val="0"/>
      <w:sz w:val="24"/>
      <w:szCs w:val="24"/>
    </w:rPr>
  </w:style>
  <w:style w:type="paragraph" w:customStyle="1" w:styleId="67">
    <w:name w:val="UserStyle_23"/>
    <w:basedOn w:val="1"/>
    <w:qFormat/>
    <w:uiPriority w:val="0"/>
    <w:pPr>
      <w:jc w:val="left"/>
    </w:pPr>
    <w:rPr>
      <w:kern w:val="0"/>
      <w:sz w:val="22"/>
      <w:szCs w:val="22"/>
    </w:rPr>
  </w:style>
  <w:style w:type="paragraph" w:customStyle="1" w:styleId="68">
    <w:name w:val="UserStyle_24"/>
    <w:basedOn w:val="1"/>
    <w:qFormat/>
    <w:uiPriority w:val="0"/>
    <w:pPr>
      <w:spacing w:before="100" w:beforeAutospacing="1" w:after="100" w:afterAutospacing="1"/>
      <w:jc w:val="center"/>
    </w:pPr>
    <w:rPr>
      <w:rFonts w:cs="Calibri"/>
      <w:b/>
      <w:bCs/>
      <w:kern w:val="0"/>
      <w:sz w:val="28"/>
      <w:szCs w:val="28"/>
    </w:rPr>
  </w:style>
  <w:style w:type="paragraph" w:customStyle="1" w:styleId="69">
    <w:name w:val="UserStyle_18"/>
    <w:basedOn w:val="1"/>
    <w:qFormat/>
    <w:uiPriority w:val="0"/>
    <w:rPr>
      <w:rFonts w:ascii="Times New Roman" w:hAnsi="Times New Roman"/>
    </w:rPr>
  </w:style>
  <w:style w:type="paragraph" w:customStyle="1" w:styleId="70">
    <w:name w:val="Heading3"/>
    <w:basedOn w:val="1"/>
    <w:next w:val="1"/>
    <w:qFormat/>
    <w:uiPriority w:val="0"/>
    <w:pPr>
      <w:keepNext/>
      <w:keepLines/>
      <w:spacing w:before="260" w:after="260" w:line="416" w:lineRule="auto"/>
      <w:jc w:val="center"/>
    </w:pPr>
    <w:rPr>
      <w:rFonts w:ascii="宋体" w:cs="Calibri"/>
      <w:b/>
      <w:bCs/>
      <w:sz w:val="32"/>
      <w:szCs w:val="32"/>
    </w:rPr>
  </w:style>
  <w:style w:type="paragraph" w:customStyle="1" w:styleId="71">
    <w:name w:val="UserStyle_17"/>
    <w:basedOn w:val="69"/>
    <w:qFormat/>
    <w:uiPriority w:val="0"/>
    <w:pPr>
      <w:ind w:firstLine="645"/>
    </w:pPr>
    <w:rPr>
      <w:rFonts w:ascii="楷体_GB2312" w:eastAsia="楷体_GB2312"/>
      <w:kern w:val="0"/>
      <w:sz w:val="32"/>
    </w:rPr>
  </w:style>
  <w:style w:type="paragraph" w:customStyle="1" w:styleId="72">
    <w:name w:val="NormalIndent"/>
    <w:basedOn w:val="1"/>
    <w:qFormat/>
    <w:uiPriority w:val="0"/>
    <w:pPr>
      <w:ind w:firstLine="420"/>
      <w:jc w:val="left"/>
    </w:pPr>
    <w:rPr>
      <w:kern w:val="0"/>
      <w:sz w:val="20"/>
      <w:szCs w:val="20"/>
    </w:rPr>
  </w:style>
  <w:style w:type="paragraph" w:customStyle="1" w:styleId="73">
    <w:name w:val="List2"/>
    <w:basedOn w:val="1"/>
    <w:qFormat/>
    <w:uiPriority w:val="0"/>
    <w:pPr>
      <w:ind w:left="200" w:leftChars="200" w:hanging="200" w:hangingChars="200"/>
      <w:jc w:val="left"/>
    </w:pPr>
    <w:rPr>
      <w:rFonts w:ascii="Times New Roman" w:hAnsi="Times New Roman" w:eastAsia="Calibri"/>
      <w:kern w:val="0"/>
      <w:sz w:val="22"/>
      <w:szCs w:val="22"/>
    </w:rPr>
  </w:style>
  <w:style w:type="paragraph" w:customStyle="1" w:styleId="74">
    <w:name w:val="UserStyle_16"/>
    <w:basedOn w:val="1"/>
    <w:next w:val="75"/>
    <w:qFormat/>
    <w:uiPriority w:val="0"/>
    <w:pPr>
      <w:ind w:firstLine="480"/>
    </w:pPr>
    <w:rPr>
      <w:rFonts w:ascii="Times New Roman" w:hAnsi="Times New Roman"/>
    </w:rPr>
  </w:style>
  <w:style w:type="paragraph" w:customStyle="1" w:styleId="75">
    <w:name w:val="Heading2"/>
    <w:basedOn w:val="1"/>
    <w:next w:val="1"/>
    <w:qFormat/>
    <w:uiPriority w:val="0"/>
    <w:pPr>
      <w:keepNext/>
      <w:keepLines/>
      <w:spacing w:before="260" w:after="260" w:line="415" w:lineRule="auto"/>
    </w:pPr>
    <w:rPr>
      <w:rFonts w:ascii="Arial" w:hAnsi="Arial" w:eastAsia="黑体" w:cs="Arial"/>
      <w:b/>
      <w:bCs/>
      <w:sz w:val="32"/>
      <w:szCs w:val="32"/>
    </w:rPr>
  </w:style>
  <w:style w:type="paragraph" w:customStyle="1" w:styleId="76">
    <w:name w:val="PlainText"/>
    <w:basedOn w:val="1"/>
    <w:qFormat/>
    <w:uiPriority w:val="0"/>
    <w:rPr>
      <w:rFonts w:ascii="宋体" w:hAnsi="Courier New"/>
    </w:rPr>
  </w:style>
  <w:style w:type="paragraph" w:customStyle="1" w:styleId="77">
    <w:name w:val="xl31"/>
    <w:basedOn w:val="1"/>
    <w:qFormat/>
    <w:uiPriority w:val="0"/>
    <w:pPr>
      <w:spacing w:before="100" w:beforeAutospacing="1" w:after="100" w:afterAutospacing="1"/>
      <w:jc w:val="center"/>
    </w:pPr>
    <w:rPr>
      <w:b/>
      <w:bCs/>
      <w:kern w:val="0"/>
      <w:sz w:val="28"/>
      <w:szCs w:val="28"/>
    </w:rPr>
  </w:style>
  <w:style w:type="paragraph" w:customStyle="1" w:styleId="78">
    <w:name w:val="_Style 53"/>
    <w:basedOn w:val="1"/>
    <w:next w:val="1"/>
    <w:qFormat/>
    <w:uiPriority w:val="0"/>
    <w:pPr>
      <w:pBdr>
        <w:bottom w:val="single" w:color="auto" w:sz="6" w:space="1"/>
      </w:pBdr>
      <w:jc w:val="center"/>
    </w:pPr>
    <w:rPr>
      <w:rFonts w:ascii="Arial"/>
      <w:vanish/>
      <w:sz w:val="16"/>
    </w:rPr>
  </w:style>
  <w:style w:type="paragraph" w:customStyle="1" w:styleId="79">
    <w:name w:val="_Style 54"/>
    <w:basedOn w:val="1"/>
    <w:next w:val="1"/>
    <w:qFormat/>
    <w:uiPriority w:val="0"/>
    <w:pPr>
      <w:pBdr>
        <w:top w:val="single" w:color="auto" w:sz="6" w:space="1"/>
      </w:pBdr>
      <w:jc w:val="center"/>
    </w:pPr>
    <w:rPr>
      <w:rFonts w:ascii="Arial"/>
      <w:vanish/>
      <w:sz w:val="16"/>
    </w:rPr>
  </w:style>
  <w:style w:type="character" w:customStyle="1" w:styleId="80">
    <w:name w:val="first-child"/>
    <w:basedOn w:val="32"/>
    <w:qFormat/>
    <w:uiPriority w:val="0"/>
  </w:style>
  <w:style w:type="character" w:customStyle="1" w:styleId="81">
    <w:name w:val="first-child1"/>
    <w:basedOn w:val="32"/>
    <w:qFormat/>
    <w:uiPriority w:val="0"/>
  </w:style>
  <w:style w:type="character" w:customStyle="1" w:styleId="82">
    <w:name w:val="layui-layer-tabnow"/>
    <w:basedOn w:val="32"/>
    <w:qFormat/>
    <w:uiPriority w:val="0"/>
    <w:rPr>
      <w:bdr w:val="single" w:color="CCCCCC" w:sz="6" w:space="0"/>
      <w:shd w:val="clear" w:color="auto" w:fill="FFFFFF"/>
    </w:rPr>
  </w:style>
  <w:style w:type="paragraph" w:customStyle="1" w:styleId="83">
    <w:name w:val="列出段落3"/>
    <w:basedOn w:val="1"/>
    <w:unhideWhenUsed/>
    <w:qFormat/>
    <w:uiPriority w:val="99"/>
    <w:pPr>
      <w:widowControl w:val="0"/>
      <w:ind w:firstLine="420" w:firstLineChars="200"/>
    </w:pPr>
    <w:rPr>
      <w:rFonts w:cs="Times New Roman"/>
    </w:rPr>
  </w:style>
  <w:style w:type="paragraph" w:styleId="84">
    <w:name w:val="List Paragraph"/>
    <w:basedOn w:val="1"/>
    <w:qFormat/>
    <w:uiPriority w:val="99"/>
    <w:pPr>
      <w:ind w:firstLine="420" w:firstLineChars="200"/>
    </w:pPr>
  </w:style>
  <w:style w:type="character" w:customStyle="1" w:styleId="85">
    <w:name w:val="first-child2"/>
    <w:basedOn w:val="32"/>
    <w:qFormat/>
    <w:uiPriority w:val="0"/>
  </w:style>
  <w:style w:type="character" w:customStyle="1" w:styleId="86">
    <w:name w:val="first-child3"/>
    <w:basedOn w:val="32"/>
    <w:qFormat/>
    <w:uiPriority w:val="0"/>
  </w:style>
  <w:style w:type="table" w:customStyle="1" w:styleId="87">
    <w:name w:val="网格型1"/>
    <w:basedOn w:val="30"/>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8">
    <w:name w:val="网格型2"/>
    <w:basedOn w:val="30"/>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9">
    <w:name w:val="Table Text"/>
    <w:basedOn w:val="1"/>
    <w:autoRedefine/>
    <w:semiHidden/>
    <w:qFormat/>
    <w:uiPriority w:val="0"/>
    <w:pPr>
      <w:kinsoku w:val="0"/>
      <w:autoSpaceDE w:val="0"/>
      <w:autoSpaceDN w:val="0"/>
      <w:adjustRightInd w:val="0"/>
      <w:snapToGrid w:val="0"/>
      <w:jc w:val="left"/>
    </w:pPr>
    <w:rPr>
      <w:rFonts w:ascii="宋体" w:hAnsi="宋体" w:cs="宋体"/>
      <w:snapToGrid w:val="0"/>
      <w:color w:val="000000"/>
      <w:kern w:val="0"/>
      <w:lang w:eastAsia="en-US"/>
    </w:rPr>
  </w:style>
  <w:style w:type="table" w:customStyle="1" w:styleId="90">
    <w:name w:val="Table Normal"/>
    <w:semiHidden/>
    <w:unhideWhenUsed/>
    <w:qFormat/>
    <w:uiPriority w:val="0"/>
    <w:tblPr>
      <w:tblCellMar>
        <w:top w:w="0" w:type="dxa"/>
        <w:left w:w="0" w:type="dxa"/>
        <w:bottom w:w="0" w:type="dxa"/>
        <w:right w:w="0" w:type="dxa"/>
      </w:tblCellMar>
    </w:tblPr>
  </w:style>
  <w:style w:type="paragraph" w:customStyle="1" w:styleId="91">
    <w:name w:val="Default"/>
    <w:basedOn w:val="1"/>
    <w:qFormat/>
    <w:uiPriority w:val="0"/>
    <w:pPr>
      <w:widowControl w:val="0"/>
      <w:autoSpaceDE w:val="0"/>
      <w:autoSpaceDN w:val="0"/>
      <w:adjustRightInd w:val="0"/>
      <w:jc w:val="left"/>
      <w:textAlignment w:val="auto"/>
    </w:pPr>
    <w:rPr>
      <w:rFonts w:ascii="宋体" w:hAnsi="Times New Roman" w:cs="宋体"/>
      <w:sz w:val="24"/>
      <w:szCs w:val="24"/>
    </w:rPr>
  </w:style>
  <w:style w:type="character" w:customStyle="1" w:styleId="92">
    <w:name w:val="正文文本 2 Char"/>
    <w:basedOn w:val="32"/>
    <w:link w:val="26"/>
    <w:qFormat/>
    <w:uiPriority w:val="0"/>
    <w:rPr>
      <w:rFonts w:ascii="Calibri" w:hAnsi="Calibri" w:eastAsia="宋体"/>
      <w:kern w:val="2"/>
      <w:sz w:val="21"/>
      <w:szCs w:val="21"/>
    </w:rPr>
  </w:style>
  <w:style w:type="paragraph" w:customStyle="1" w:styleId="93">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4">
    <w:name w:val="_Style 1"/>
    <w:basedOn w:val="1"/>
    <w:qFormat/>
    <w:uiPriority w:val="0"/>
    <w:pPr>
      <w:widowControl w:val="0"/>
      <w:ind w:firstLine="420" w:firstLineChars="200"/>
      <w:textAlignment w:val="auto"/>
    </w:pPr>
    <w:rPr>
      <w:rFonts w:ascii="Times New Roman" w:hAnsi="Times New Roman" w:eastAsia="仿宋" w:cs="Calibri"/>
      <w:sz w:val="24"/>
    </w:rPr>
  </w:style>
  <w:style w:type="paragraph" w:customStyle="1" w:styleId="95">
    <w:name w:val="正文首行缩进1(Crlf+Shift+M)"/>
    <w:qFormat/>
    <w:uiPriority w:val="0"/>
    <w:pPr>
      <w:spacing w:before="120" w:after="120" w:line="360" w:lineRule="auto"/>
      <w:ind w:firstLine="420" w:firstLineChars="200"/>
    </w:pPr>
    <w:rPr>
      <w:rFonts w:ascii="Arial" w:hAnsi="Arial" w:eastAsia="宋体" w:cs="宋体"/>
      <w:kern w:val="2"/>
      <w:sz w:val="21"/>
      <w:lang w:val="en-US" w:eastAsia="zh-CN" w:bidi="ar-SA"/>
    </w:rPr>
  </w:style>
  <w:style w:type="paragraph" w:customStyle="1" w:styleId="96">
    <w:name w:val="Other|1"/>
    <w:basedOn w:val="1"/>
    <w:qFormat/>
    <w:uiPriority w:val="0"/>
    <w:pPr>
      <w:widowControl w:val="0"/>
      <w:spacing w:line="467" w:lineRule="exact"/>
      <w:textAlignment w:val="auto"/>
    </w:pPr>
    <w:rPr>
      <w:rFonts w:ascii="宋体" w:hAnsi="宋体" w:cs="宋体"/>
      <w:sz w:val="20"/>
      <w:szCs w:val="20"/>
      <w:lang w:val="zh-TW" w:eastAsia="zh-TW" w:bidi="zh-TW"/>
    </w:rPr>
  </w:style>
  <w:style w:type="paragraph" w:customStyle="1" w:styleId="97">
    <w:name w:val="Heading #1|1"/>
    <w:basedOn w:val="1"/>
    <w:qFormat/>
    <w:uiPriority w:val="0"/>
    <w:pPr>
      <w:widowControl w:val="0"/>
      <w:spacing w:after="200"/>
      <w:ind w:firstLine="460"/>
      <w:textAlignment w:val="auto"/>
      <w:outlineLvl w:val="0"/>
    </w:pPr>
    <w:rPr>
      <w:rFonts w:ascii="宋体" w:hAnsi="宋体" w:cs="宋体"/>
      <w:sz w:val="22"/>
      <w:szCs w:val="22"/>
      <w:lang w:val="zh-TW" w:eastAsia="zh-TW" w:bidi="zh-TW"/>
    </w:rPr>
  </w:style>
  <w:style w:type="paragraph" w:customStyle="1" w:styleId="98">
    <w:name w:val="Char Char Char Char Char Char Char1 Char"/>
    <w:basedOn w:val="1"/>
    <w:qFormat/>
    <w:uiPriority w:val="0"/>
    <w:pPr>
      <w:widowControl w:val="0"/>
      <w:textAlignment w:val="auto"/>
    </w:pPr>
    <w:rPr>
      <w:rFonts w:ascii="Cambria" w:hAnsi="Cambria" w:cs="Cambria"/>
      <w:sz w:val="24"/>
      <w:szCs w:val="20"/>
    </w:rPr>
  </w:style>
  <w:style w:type="paragraph" w:customStyle="1" w:styleId="99">
    <w:name w:val="Fließtext"/>
    <w:basedOn w:val="1"/>
    <w:qFormat/>
    <w:uiPriority w:val="0"/>
    <w:pPr>
      <w:widowControl w:val="0"/>
      <w:overflowPunct w:val="0"/>
      <w:autoSpaceDE w:val="0"/>
      <w:autoSpaceDN w:val="0"/>
      <w:adjustRightInd w:val="0"/>
    </w:pPr>
    <w:rPr>
      <w:rFonts w:cs="Times New Roman"/>
      <w:kern w:val="28"/>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2"/>
    <customShpInfo spid="_x0000_s103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8C2308-3FEF-4012-937D-A49999E22AA4}">
  <ds:schemaRefs/>
</ds:datastoreItem>
</file>

<file path=docProps/app.xml><?xml version="1.0" encoding="utf-8"?>
<Properties xmlns="http://schemas.openxmlformats.org/officeDocument/2006/extended-properties" xmlns:vt="http://schemas.openxmlformats.org/officeDocument/2006/docPropsVTypes">
  <Template>0</Template>
  <Company>cz</Company>
  <Pages>25</Pages>
  <Words>7672</Words>
  <Characters>8047</Characters>
  <Lines>82</Lines>
  <Paragraphs>23</Paragraphs>
  <TotalTime>3</TotalTime>
  <ScaleCrop>false</ScaleCrop>
  <LinksUpToDate>false</LinksUpToDate>
  <CharactersWithSpaces>8317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2026-08-03T03:16:00Z</dcterms:created>
  <dc:creator>淮南邦杰工程项目管理有限公司</dc:creator>
  <cp:lastModifiedBy>往事如烟</cp:lastModifiedBy>
  <cp:lastPrinted>2026-07-29T02:35:00Z</cp:lastPrinted>
  <dcterms:modified xsi:type="dcterms:W3CDTF">2026-08-04T08:02:50Z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B0A0085C80704E0AB45BE9C807E8EC85_13</vt:lpwstr>
  </property>
  <property fmtid="{D5CDD505-2E9C-101B-9397-08002B2CF9AE}" pid="4" name="KSOTemplateDocerSaveRecord">
    <vt:lpwstr>eyJoZGlkIjoiODQyMzA5NmVlOTllZmNkNjYxYTM2MDIzYWViNzllYjQiLCJ1c2VySWQiOiI1OTA2Nzc5OTkifQ==</vt:lpwstr>
  </property>
</Properties>
</file>