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宋体" w:cs="宋体"/>
          <w:sz w:val="44"/>
          <w:szCs w:val="44"/>
        </w:rPr>
      </w:pPr>
      <w:bookmarkStart w:id="0" w:name="YS060100"/>
      <w:bookmarkStart w:id="1" w:name="第七部分部门决算分析报告撰写提纲"/>
      <w:r>
        <w:rPr>
          <w:rFonts w:hint="eastAsia" w:ascii="宋体" w:hAnsi="宋体" w:eastAsia="宋体" w:cs="宋体"/>
          <w:b/>
          <w:bCs/>
          <w:sz w:val="44"/>
          <w:szCs w:val="44"/>
        </w:rPr>
        <w:t>寿县正阳关镇202</w:t>
      </w:r>
      <w:r>
        <w:rPr>
          <w:rFonts w:hint="eastAsia" w:ascii="宋体" w:hAnsi="宋体" w:eastAsia="宋体" w:cs="宋体"/>
          <w:b/>
          <w:bCs/>
          <w:sz w:val="44"/>
          <w:szCs w:val="44"/>
          <w:lang w:val="en-US" w:eastAsia="zh-CN"/>
        </w:rPr>
        <w:t>5</w:t>
      </w:r>
      <w:bookmarkStart w:id="3" w:name="_GoBack"/>
      <w:bookmarkEnd w:id="3"/>
      <w:r>
        <w:rPr>
          <w:rFonts w:hint="eastAsia" w:ascii="宋体" w:hAnsi="宋体" w:eastAsia="宋体" w:cs="宋体"/>
          <w:b/>
          <w:bCs/>
          <w:sz w:val="44"/>
          <w:szCs w:val="44"/>
        </w:rPr>
        <w:t>年“三公”经费支出决算情况说明</w:t>
      </w:r>
    </w:p>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一般公共预算财政拨款“三公”经费支出决算表</w:t>
      </w:r>
      <w:r>
        <w:rPr>
          <w:rFonts w:hint="eastAsia" w:ascii="仿宋" w:hAnsi="仿宋" w:eastAsia="仿宋" w:cs="仿宋"/>
          <w:sz w:val="30"/>
          <w:szCs w:val="30"/>
        </w:rPr>
        <w:tab/>
      </w:r>
    </w:p>
    <w:bookmarkEnd w:id="0"/>
    <w:tbl>
      <w:tblPr>
        <w:tblStyle w:val="4"/>
        <w:tblW w:w="10198" w:type="dxa"/>
        <w:tblInd w:w="93" w:type="dxa"/>
        <w:tblLayout w:type="autofit"/>
        <w:tblCellMar>
          <w:top w:w="0" w:type="dxa"/>
          <w:left w:w="108" w:type="dxa"/>
          <w:bottom w:w="0" w:type="dxa"/>
          <w:right w:w="108" w:type="dxa"/>
        </w:tblCellMar>
      </w:tblPr>
      <w:tblGrid>
        <w:gridCol w:w="5677"/>
        <w:gridCol w:w="2155"/>
        <w:gridCol w:w="2366"/>
      </w:tblGrid>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noWrap/>
            <w:vAlign w:val="bottom"/>
          </w:tcPr>
          <w:p>
            <w:pPr>
              <w:widowControl/>
              <w:snapToGrid w:val="0"/>
              <w:spacing w:line="520" w:lineRule="exact"/>
              <w:ind w:firstLine="480" w:firstLineChars="200"/>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部门：淮南市寿县正阳关镇人民政府</w:t>
            </w:r>
          </w:p>
        </w:tc>
        <w:tc>
          <w:tcPr>
            <w:tcW w:w="0" w:type="auto"/>
            <w:tcBorders>
              <w:top w:val="nil"/>
              <w:left w:val="nil"/>
              <w:bottom w:val="nil"/>
              <w:right w:val="nil"/>
            </w:tcBorders>
            <w:noWrap/>
            <w:vAlign w:val="bottom"/>
          </w:tcPr>
          <w:p>
            <w:pPr>
              <w:snapToGrid w:val="0"/>
              <w:spacing w:line="520" w:lineRule="exact"/>
              <w:ind w:firstLine="400" w:firstLineChars="200"/>
              <w:rPr>
                <w:rFonts w:ascii="Arial" w:hAnsi="Arial" w:eastAsia="黑体" w:cs="Arial"/>
                <w:color w:val="000000"/>
                <w:sz w:val="20"/>
                <w:szCs w:val="20"/>
              </w:rPr>
            </w:pPr>
          </w:p>
        </w:tc>
        <w:tc>
          <w:tcPr>
            <w:tcW w:w="0" w:type="auto"/>
            <w:tcBorders>
              <w:top w:val="nil"/>
              <w:left w:val="nil"/>
              <w:bottom w:val="nil"/>
              <w:right w:val="nil"/>
            </w:tcBorders>
            <w:noWrap/>
            <w:vAlign w:val="bottom"/>
          </w:tcPr>
          <w:p>
            <w:pPr>
              <w:widowControl/>
              <w:snapToGrid w:val="0"/>
              <w:spacing w:line="520" w:lineRule="exact"/>
              <w:ind w:firstLine="480" w:firstLineChars="200"/>
              <w:jc w:val="righ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单位：万元</w:t>
            </w:r>
          </w:p>
        </w:tc>
      </w:tr>
      <w:tr>
        <w:tblPrEx>
          <w:tblCellMar>
            <w:top w:w="0" w:type="dxa"/>
            <w:left w:w="108" w:type="dxa"/>
            <w:bottom w:w="0" w:type="dxa"/>
            <w:right w:w="108" w:type="dxa"/>
          </w:tblCellMar>
        </w:tblPrEx>
        <w:trPr>
          <w:trHeight w:val="520" w:hRule="atLeast"/>
        </w:trPr>
        <w:tc>
          <w:tcPr>
            <w:tcW w:w="5677"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snapToGrid w:val="0"/>
              <w:spacing w:line="520" w:lineRule="exact"/>
              <w:ind w:firstLine="440" w:firstLineChars="20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项目</w:t>
            </w:r>
          </w:p>
        </w:tc>
        <w:tc>
          <w:tcPr>
            <w:tcW w:w="215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snapToGrid w:val="0"/>
              <w:spacing w:line="520" w:lineRule="exact"/>
              <w:ind w:firstLine="440" w:firstLineChars="20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预算数</w:t>
            </w:r>
          </w:p>
        </w:tc>
        <w:tc>
          <w:tcPr>
            <w:tcW w:w="236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snapToGrid w:val="0"/>
              <w:spacing w:line="520" w:lineRule="exact"/>
              <w:ind w:firstLine="440" w:firstLineChars="20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0" w:type="dxa"/>
            <w:left w:w="108" w:type="dxa"/>
            <w:bottom w:w="0" w:type="dxa"/>
            <w:right w:w="108" w:type="dxa"/>
          </w:tblCellMar>
        </w:tblPrEx>
        <w:trPr>
          <w:trHeight w:val="585" w:hRule="atLeast"/>
        </w:trPr>
        <w:tc>
          <w:tcPr>
            <w:tcW w:w="5677"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snapToGrid w:val="0"/>
              <w:spacing w:line="520" w:lineRule="exact"/>
              <w:ind w:firstLine="440" w:firstLineChars="200"/>
              <w:jc w:val="center"/>
              <w:rPr>
                <w:rFonts w:hint="eastAsia" w:ascii="宋体" w:hAnsi="宋体" w:eastAsia="宋体" w:cs="宋体"/>
                <w:color w:val="000000"/>
                <w:sz w:val="22"/>
              </w:rPr>
            </w:pPr>
          </w:p>
        </w:tc>
        <w:tc>
          <w:tcPr>
            <w:tcW w:w="2155" w:type="dxa"/>
            <w:vMerge w:val="continue"/>
            <w:tcBorders>
              <w:top w:val="single" w:color="000000" w:sz="4" w:space="0"/>
              <w:left w:val="nil"/>
              <w:bottom w:val="single" w:color="000000" w:sz="4" w:space="0"/>
              <w:right w:val="single" w:color="000000" w:sz="4" w:space="0"/>
            </w:tcBorders>
            <w:shd w:val="clear" w:color="FFFFFF" w:fill="C0C0C0"/>
            <w:vAlign w:val="center"/>
          </w:tcPr>
          <w:p>
            <w:pPr>
              <w:snapToGrid w:val="0"/>
              <w:spacing w:line="520" w:lineRule="exact"/>
              <w:ind w:firstLine="440" w:firstLineChars="200"/>
              <w:jc w:val="center"/>
              <w:rPr>
                <w:rFonts w:hint="eastAsia" w:ascii="宋体" w:hAnsi="宋体" w:eastAsia="宋体" w:cs="宋体"/>
                <w:color w:val="000000"/>
                <w:sz w:val="22"/>
              </w:rPr>
            </w:pPr>
          </w:p>
        </w:tc>
        <w:tc>
          <w:tcPr>
            <w:tcW w:w="2366" w:type="dxa"/>
            <w:vMerge w:val="continue"/>
            <w:tcBorders>
              <w:top w:val="single" w:color="000000" w:sz="4" w:space="0"/>
              <w:left w:val="nil"/>
              <w:bottom w:val="single" w:color="000000" w:sz="4" w:space="0"/>
              <w:right w:val="single" w:color="000000" w:sz="4" w:space="0"/>
            </w:tcBorders>
            <w:shd w:val="clear" w:color="FFFFFF" w:fill="C0C0C0"/>
            <w:vAlign w:val="center"/>
          </w:tcPr>
          <w:p>
            <w:pPr>
              <w:snapToGrid w:val="0"/>
              <w:spacing w:line="520" w:lineRule="exact"/>
              <w:ind w:firstLine="440" w:firstLineChars="200"/>
              <w:jc w:val="center"/>
              <w:rPr>
                <w:rFonts w:hint="eastAsia" w:ascii="宋体" w:hAnsi="宋体" w:eastAsia="宋体" w:cs="宋体"/>
                <w:color w:val="000000"/>
                <w:sz w:val="22"/>
              </w:rPr>
            </w:pPr>
          </w:p>
        </w:tc>
      </w:tr>
      <w:tr>
        <w:tblPrEx>
          <w:tblCellMar>
            <w:top w:w="0" w:type="dxa"/>
            <w:left w:w="108" w:type="dxa"/>
            <w:bottom w:w="0" w:type="dxa"/>
            <w:right w:w="108" w:type="dxa"/>
          </w:tblCellMar>
        </w:tblPrEx>
        <w:trPr>
          <w:trHeight w:val="585" w:hRule="atLeast"/>
        </w:trPr>
        <w:tc>
          <w:tcPr>
            <w:tcW w:w="5677" w:type="dxa"/>
            <w:tcBorders>
              <w:top w:val="nil"/>
              <w:left w:val="single" w:color="000000" w:sz="4" w:space="0"/>
              <w:bottom w:val="single" w:color="000000" w:sz="4" w:space="0"/>
              <w:right w:val="single" w:color="000000" w:sz="4" w:space="0"/>
            </w:tcBorders>
            <w:shd w:val="clear" w:color="FFFFFF" w:fill="C0C0C0"/>
            <w:vAlign w:val="center"/>
          </w:tcPr>
          <w:p>
            <w:pPr>
              <w:widowControl/>
              <w:snapToGrid w:val="0"/>
              <w:spacing w:line="520" w:lineRule="exact"/>
              <w:ind w:firstLine="440" w:firstLineChars="200"/>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585" w:hRule="atLeast"/>
        </w:trPr>
        <w:tc>
          <w:tcPr>
            <w:tcW w:w="5677" w:type="dxa"/>
            <w:tcBorders>
              <w:top w:val="nil"/>
              <w:left w:val="single" w:color="000000" w:sz="4" w:space="0"/>
              <w:bottom w:val="single" w:color="000000" w:sz="4" w:space="0"/>
              <w:right w:val="single" w:color="000000" w:sz="4" w:space="0"/>
            </w:tcBorders>
            <w:shd w:val="clear" w:color="FFFFFF" w:fill="C0C0C0"/>
            <w:vAlign w:val="center"/>
          </w:tcPr>
          <w:p>
            <w:pPr>
              <w:widowControl/>
              <w:snapToGrid w:val="0"/>
              <w:spacing w:line="520" w:lineRule="exact"/>
              <w:ind w:firstLine="440" w:firstLineChars="200"/>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24</w:t>
            </w:r>
            <w:r>
              <w:rPr>
                <w:rFonts w:hint="eastAsia" w:ascii="宋体" w:hAnsi="宋体" w:eastAsia="宋体" w:cs="宋体"/>
                <w:color w:val="000000"/>
                <w:kern w:val="0"/>
                <w:sz w:val="20"/>
                <w:szCs w:val="20"/>
                <w:lang w:bidi="ar"/>
              </w:rPr>
              <w:t>.40</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10.8</w:t>
            </w:r>
          </w:p>
        </w:tc>
      </w:tr>
      <w:tr>
        <w:tblPrEx>
          <w:tblCellMar>
            <w:top w:w="0" w:type="dxa"/>
            <w:left w:w="108" w:type="dxa"/>
            <w:bottom w:w="0" w:type="dxa"/>
            <w:right w:w="108" w:type="dxa"/>
          </w:tblCellMar>
        </w:tblPrEx>
        <w:trPr>
          <w:trHeight w:val="585" w:hRule="atLeast"/>
        </w:trPr>
        <w:tc>
          <w:tcPr>
            <w:tcW w:w="5677" w:type="dxa"/>
            <w:tcBorders>
              <w:top w:val="nil"/>
              <w:left w:val="single" w:color="000000" w:sz="4" w:space="0"/>
              <w:bottom w:val="single" w:color="000000" w:sz="4" w:space="0"/>
              <w:right w:val="single" w:color="000000" w:sz="4" w:space="0"/>
            </w:tcBorders>
            <w:shd w:val="clear" w:color="FFFFFF" w:fill="C0C0C0"/>
            <w:vAlign w:val="center"/>
          </w:tcPr>
          <w:p>
            <w:pPr>
              <w:widowControl/>
              <w:snapToGrid w:val="0"/>
              <w:spacing w:line="520" w:lineRule="exact"/>
              <w:ind w:firstLine="440" w:firstLineChars="200"/>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17.2</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13.9</w:t>
            </w:r>
          </w:p>
        </w:tc>
      </w:tr>
      <w:tr>
        <w:tblPrEx>
          <w:tblCellMar>
            <w:top w:w="0" w:type="dxa"/>
            <w:left w:w="108" w:type="dxa"/>
            <w:bottom w:w="0" w:type="dxa"/>
            <w:right w:w="108" w:type="dxa"/>
          </w:tblCellMar>
        </w:tblPrEx>
        <w:trPr>
          <w:trHeight w:val="585" w:hRule="atLeast"/>
        </w:trPr>
        <w:tc>
          <w:tcPr>
            <w:tcW w:w="5677" w:type="dxa"/>
            <w:tcBorders>
              <w:top w:val="nil"/>
              <w:left w:val="single" w:color="000000" w:sz="4" w:space="0"/>
              <w:bottom w:val="single" w:color="000000" w:sz="4" w:space="0"/>
              <w:right w:val="single" w:color="000000" w:sz="4" w:space="0"/>
            </w:tcBorders>
            <w:shd w:val="clear" w:color="FFFFFF" w:fill="C0C0C0"/>
            <w:vAlign w:val="center"/>
          </w:tcPr>
          <w:p>
            <w:pPr>
              <w:widowControl/>
              <w:snapToGrid w:val="0"/>
              <w:spacing w:line="520" w:lineRule="exact"/>
              <w:ind w:firstLine="440" w:firstLineChars="200"/>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其中：公务用车运行维护费</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17.2</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13.9</w:t>
            </w:r>
          </w:p>
        </w:tc>
      </w:tr>
      <w:tr>
        <w:tblPrEx>
          <w:tblCellMar>
            <w:top w:w="0" w:type="dxa"/>
            <w:left w:w="108" w:type="dxa"/>
            <w:bottom w:w="0" w:type="dxa"/>
            <w:right w:w="108" w:type="dxa"/>
          </w:tblCellMar>
        </w:tblPrEx>
        <w:trPr>
          <w:trHeight w:val="585" w:hRule="atLeast"/>
        </w:trPr>
        <w:tc>
          <w:tcPr>
            <w:tcW w:w="5677" w:type="dxa"/>
            <w:tcBorders>
              <w:top w:val="nil"/>
              <w:left w:val="single" w:color="000000" w:sz="4" w:space="0"/>
              <w:bottom w:val="single" w:color="000000" w:sz="4" w:space="0"/>
              <w:right w:val="single" w:color="000000" w:sz="4" w:space="0"/>
            </w:tcBorders>
            <w:shd w:val="clear" w:color="FFFFFF" w:fill="C0C0C0"/>
            <w:vAlign w:val="center"/>
          </w:tcPr>
          <w:p>
            <w:pPr>
              <w:widowControl/>
              <w:snapToGrid w:val="0"/>
              <w:spacing w:line="520" w:lineRule="exact"/>
              <w:ind w:firstLine="440" w:firstLineChars="200"/>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公务用车购置费</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r>
      <w:tr>
        <w:tblPrEx>
          <w:tblCellMar>
            <w:top w:w="0" w:type="dxa"/>
            <w:left w:w="108" w:type="dxa"/>
            <w:bottom w:w="0" w:type="dxa"/>
            <w:right w:w="108" w:type="dxa"/>
          </w:tblCellMar>
        </w:tblPrEx>
        <w:trPr>
          <w:trHeight w:val="585" w:hRule="atLeast"/>
        </w:trPr>
        <w:tc>
          <w:tcPr>
            <w:tcW w:w="5677" w:type="dxa"/>
            <w:tcBorders>
              <w:top w:val="nil"/>
              <w:left w:val="single" w:color="000000" w:sz="4" w:space="0"/>
              <w:bottom w:val="single" w:color="000000" w:sz="4" w:space="0"/>
              <w:right w:val="single" w:color="000000" w:sz="4" w:space="0"/>
            </w:tcBorders>
            <w:shd w:val="clear" w:color="FFFFFF" w:fill="C0C0C0"/>
            <w:vAlign w:val="center"/>
          </w:tcPr>
          <w:p>
            <w:pPr>
              <w:widowControl/>
              <w:snapToGrid w:val="0"/>
              <w:spacing w:line="520" w:lineRule="exact"/>
              <w:ind w:firstLine="440" w:firstLineChars="20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41.6</w:t>
            </w:r>
          </w:p>
        </w:tc>
        <w:tc>
          <w:tcPr>
            <w:tcW w:w="0" w:type="auto"/>
            <w:tcBorders>
              <w:top w:val="nil"/>
              <w:left w:val="nil"/>
              <w:bottom w:val="single" w:color="000000" w:sz="4" w:space="0"/>
              <w:right w:val="single" w:color="000000" w:sz="4" w:space="0"/>
            </w:tcBorders>
            <w:noWrap/>
            <w:vAlign w:val="center"/>
          </w:tcPr>
          <w:p>
            <w:pPr>
              <w:widowControl/>
              <w:snapToGrid w:val="0"/>
              <w:spacing w:line="520" w:lineRule="exact"/>
              <w:ind w:firstLine="400" w:firstLineChars="2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24.7</w:t>
            </w:r>
          </w:p>
        </w:tc>
      </w:tr>
    </w:tbl>
    <w:p>
      <w:pPr>
        <w:widowControl/>
        <w:snapToGrid w:val="0"/>
        <w:spacing w:line="360" w:lineRule="auto"/>
        <w:ind w:firstLine="1080" w:firstLineChars="300"/>
        <w:jc w:val="left"/>
        <w:rPr>
          <w:rFonts w:hint="eastAsia" w:ascii="宋体" w:hAnsi="宋体" w:eastAsia="宋体" w:cs="宋体"/>
          <w:kern w:val="0"/>
          <w:sz w:val="36"/>
          <w:szCs w:val="36"/>
        </w:rPr>
      </w:pPr>
    </w:p>
    <w:p>
      <w:pPr>
        <w:widowControl/>
        <w:snapToGrid w:val="0"/>
        <w:spacing w:line="360" w:lineRule="auto"/>
        <w:ind w:firstLine="720" w:firstLineChars="200"/>
        <w:jc w:val="left"/>
        <w:rPr>
          <w:rFonts w:hint="eastAsia" w:ascii="宋体" w:hAnsi="宋体" w:eastAsia="宋体" w:cs="宋体"/>
          <w:kern w:val="0"/>
          <w:sz w:val="36"/>
          <w:szCs w:val="36"/>
        </w:rPr>
      </w:pPr>
      <w:r>
        <w:rPr>
          <w:rFonts w:hint="eastAsia" w:ascii="宋体" w:hAnsi="宋体" w:eastAsia="宋体" w:cs="宋体"/>
          <w:kern w:val="0"/>
          <w:sz w:val="36"/>
          <w:szCs w:val="36"/>
        </w:rPr>
        <w:t>（一）一般公共预算财政拨款“三公”经费支出决算总体情况说明。</w:t>
      </w:r>
    </w:p>
    <w:p>
      <w:pPr>
        <w:widowControl/>
        <w:snapToGrid w:val="0"/>
        <w:spacing w:line="360" w:lineRule="auto"/>
        <w:ind w:firstLine="720" w:firstLineChars="200"/>
        <w:jc w:val="left"/>
        <w:rPr>
          <w:rFonts w:hint="eastAsia" w:ascii="宋体" w:hAnsi="宋体" w:eastAsia="宋体" w:cs="宋体"/>
          <w:kern w:val="0"/>
          <w:sz w:val="36"/>
          <w:szCs w:val="36"/>
        </w:rPr>
      </w:pPr>
    </w:p>
    <w:p>
      <w:pPr>
        <w:widowControl/>
        <w:snapToGrid w:val="0"/>
        <w:spacing w:line="360" w:lineRule="auto"/>
        <w:ind w:firstLine="720" w:firstLineChars="200"/>
        <w:jc w:val="left"/>
        <w:rPr>
          <w:rFonts w:hint="eastAsia" w:ascii="宋体" w:hAnsi="宋体" w:eastAsia="宋体" w:cs="宋体"/>
          <w:kern w:val="0"/>
          <w:sz w:val="36"/>
          <w:szCs w:val="36"/>
        </w:rPr>
      </w:pPr>
      <w:r>
        <w:rPr>
          <w:rFonts w:hint="eastAsia" w:ascii="宋体" w:hAnsi="宋体" w:eastAsia="宋体" w:cs="宋体"/>
          <w:kern w:val="0"/>
          <w:sz w:val="36"/>
          <w:szCs w:val="36"/>
        </w:rPr>
        <w:t>寿县正阳关镇人民政府202</w:t>
      </w:r>
      <w:r>
        <w:rPr>
          <w:rFonts w:hint="eastAsia" w:ascii="宋体" w:hAnsi="宋体" w:eastAsia="宋体" w:cs="宋体"/>
          <w:kern w:val="0"/>
          <w:sz w:val="36"/>
          <w:szCs w:val="36"/>
          <w:lang w:val="en-US" w:eastAsia="zh-CN"/>
        </w:rPr>
        <w:t>5</w:t>
      </w:r>
      <w:r>
        <w:rPr>
          <w:rFonts w:hint="eastAsia" w:ascii="宋体" w:hAnsi="宋体" w:eastAsia="宋体" w:cs="宋体"/>
          <w:kern w:val="0"/>
          <w:sz w:val="36"/>
          <w:szCs w:val="36"/>
        </w:rPr>
        <w:t>年度一般公共预算财政拨款“三公”经费支出预算为</w:t>
      </w:r>
      <w:r>
        <w:rPr>
          <w:rFonts w:hint="eastAsia" w:ascii="宋体" w:hAnsi="宋体" w:eastAsia="宋体" w:cs="宋体"/>
          <w:kern w:val="0"/>
          <w:sz w:val="36"/>
          <w:szCs w:val="36"/>
          <w:lang w:val="en-US" w:eastAsia="zh-CN"/>
        </w:rPr>
        <w:t>41.6</w:t>
      </w:r>
      <w:r>
        <w:rPr>
          <w:rFonts w:hint="eastAsia" w:ascii="宋体" w:hAnsi="宋体" w:eastAsia="宋体" w:cs="宋体"/>
          <w:kern w:val="0"/>
          <w:sz w:val="36"/>
          <w:szCs w:val="36"/>
        </w:rPr>
        <w:t>万元，支出决算为</w:t>
      </w:r>
      <w:r>
        <w:rPr>
          <w:rFonts w:hint="eastAsia" w:ascii="宋体" w:hAnsi="宋体" w:eastAsia="宋体" w:cs="宋体"/>
          <w:kern w:val="0"/>
          <w:sz w:val="36"/>
          <w:szCs w:val="36"/>
          <w:lang w:val="en-US" w:eastAsia="zh-CN"/>
        </w:rPr>
        <w:t>24.7</w:t>
      </w:r>
      <w:r>
        <w:rPr>
          <w:rFonts w:hint="eastAsia" w:ascii="宋体" w:hAnsi="宋体" w:eastAsia="宋体" w:cs="宋体"/>
          <w:kern w:val="0"/>
          <w:sz w:val="36"/>
          <w:szCs w:val="36"/>
        </w:rPr>
        <w:t>万元，完成预算的</w:t>
      </w:r>
      <w:r>
        <w:rPr>
          <w:rFonts w:hint="eastAsia" w:ascii="宋体" w:hAnsi="宋体" w:eastAsia="宋体" w:cs="宋体"/>
          <w:kern w:val="0"/>
          <w:sz w:val="36"/>
          <w:szCs w:val="36"/>
          <w:lang w:val="en-US" w:eastAsia="zh-CN"/>
        </w:rPr>
        <w:t>59</w:t>
      </w:r>
      <w:r>
        <w:rPr>
          <w:rFonts w:hint="eastAsia" w:ascii="宋体" w:hAnsi="宋体" w:eastAsia="宋体" w:cs="宋体"/>
          <w:kern w:val="0"/>
          <w:sz w:val="36"/>
          <w:szCs w:val="36"/>
        </w:rPr>
        <w:t>%，决算数小于预算数的主要原因是按照规定压缩三公经费支出。为全面反映“三公”经费支出，本次公布的“三公”经费决算为部门汇总数，包含单位本级和所属单位。</w:t>
      </w:r>
    </w:p>
    <w:p>
      <w:pPr>
        <w:widowControl/>
        <w:snapToGrid w:val="0"/>
        <w:spacing w:line="360" w:lineRule="auto"/>
        <w:ind w:firstLine="720" w:firstLineChars="200"/>
        <w:jc w:val="left"/>
        <w:rPr>
          <w:rFonts w:hint="eastAsia" w:ascii="宋体" w:hAnsi="宋体" w:eastAsia="宋体" w:cs="宋体"/>
          <w:kern w:val="0"/>
          <w:sz w:val="36"/>
          <w:szCs w:val="36"/>
        </w:rPr>
      </w:pPr>
    </w:p>
    <w:p>
      <w:pPr>
        <w:widowControl/>
        <w:snapToGrid w:val="0"/>
        <w:spacing w:line="360" w:lineRule="auto"/>
        <w:ind w:firstLine="720" w:firstLineChars="200"/>
        <w:jc w:val="left"/>
        <w:rPr>
          <w:rFonts w:hint="eastAsia" w:ascii="宋体" w:hAnsi="宋体" w:eastAsia="宋体" w:cs="宋体"/>
          <w:kern w:val="0"/>
          <w:sz w:val="36"/>
          <w:szCs w:val="36"/>
        </w:rPr>
      </w:pPr>
      <w:r>
        <w:rPr>
          <w:rFonts w:hint="eastAsia" w:ascii="宋体" w:hAnsi="宋体" w:eastAsia="宋体" w:cs="宋体"/>
          <w:kern w:val="0"/>
          <w:sz w:val="36"/>
          <w:szCs w:val="36"/>
        </w:rPr>
        <w:t>（二）一般公共预算财政拨款“三公”经费支出决算具体情况说明。</w:t>
      </w:r>
    </w:p>
    <w:p>
      <w:pPr>
        <w:widowControl/>
        <w:snapToGrid w:val="0"/>
        <w:spacing w:line="360" w:lineRule="auto"/>
        <w:ind w:firstLine="720" w:firstLineChars="200"/>
        <w:jc w:val="left"/>
        <w:rPr>
          <w:rFonts w:hint="eastAsia" w:ascii="宋体" w:hAnsi="宋体" w:eastAsia="宋体" w:cs="宋体"/>
          <w:kern w:val="0"/>
          <w:sz w:val="36"/>
          <w:szCs w:val="36"/>
        </w:rPr>
      </w:pPr>
    </w:p>
    <w:p>
      <w:pPr>
        <w:widowControl/>
        <w:snapToGrid w:val="0"/>
        <w:spacing w:line="360" w:lineRule="auto"/>
        <w:ind w:firstLine="720" w:firstLineChars="200"/>
        <w:jc w:val="left"/>
        <w:rPr>
          <w:rFonts w:hint="eastAsia" w:ascii="宋体" w:hAnsi="宋体" w:eastAsia="宋体" w:cs="宋体"/>
          <w:kern w:val="0"/>
          <w:sz w:val="36"/>
          <w:szCs w:val="36"/>
        </w:rPr>
      </w:pPr>
      <w:r>
        <w:rPr>
          <w:rFonts w:hint="eastAsia" w:ascii="宋体" w:hAnsi="宋体" w:eastAsia="宋体" w:cs="宋体"/>
          <w:kern w:val="0"/>
          <w:sz w:val="36"/>
          <w:szCs w:val="36"/>
        </w:rPr>
        <w:t>寿县正阳关镇人民政府202</w:t>
      </w:r>
      <w:r>
        <w:rPr>
          <w:rFonts w:hint="eastAsia" w:ascii="宋体" w:hAnsi="宋体" w:eastAsia="宋体" w:cs="宋体"/>
          <w:kern w:val="0"/>
          <w:sz w:val="36"/>
          <w:szCs w:val="36"/>
          <w:lang w:val="en-US" w:eastAsia="zh-CN"/>
        </w:rPr>
        <w:t>5</w:t>
      </w:r>
      <w:r>
        <w:rPr>
          <w:rFonts w:hint="eastAsia" w:ascii="宋体" w:hAnsi="宋体" w:eastAsia="宋体" w:cs="宋体"/>
          <w:kern w:val="0"/>
          <w:sz w:val="36"/>
          <w:szCs w:val="36"/>
        </w:rPr>
        <w:t>年度一般公共预算财政拨款“三公”经费支出决算中，因公出国（境）费支出决算0万元，占0%;公务接待费支出决算</w:t>
      </w:r>
      <w:r>
        <w:rPr>
          <w:rFonts w:hint="eastAsia" w:ascii="宋体" w:hAnsi="宋体" w:eastAsia="宋体" w:cs="宋体"/>
          <w:kern w:val="0"/>
          <w:sz w:val="36"/>
          <w:szCs w:val="36"/>
          <w:lang w:val="en-US" w:eastAsia="zh-CN"/>
        </w:rPr>
        <w:t>10.8</w:t>
      </w:r>
      <w:r>
        <w:rPr>
          <w:rFonts w:hint="eastAsia" w:ascii="宋体" w:hAnsi="宋体" w:eastAsia="宋体" w:cs="宋体"/>
          <w:kern w:val="0"/>
          <w:sz w:val="36"/>
          <w:szCs w:val="36"/>
        </w:rPr>
        <w:t>万元，占</w:t>
      </w:r>
      <w:r>
        <w:rPr>
          <w:rFonts w:hint="eastAsia" w:ascii="宋体" w:hAnsi="宋体" w:eastAsia="宋体" w:cs="宋体"/>
          <w:kern w:val="0"/>
          <w:sz w:val="36"/>
          <w:szCs w:val="36"/>
          <w:lang w:val="en-US" w:eastAsia="zh-CN"/>
        </w:rPr>
        <w:t>44</w:t>
      </w:r>
      <w:r>
        <w:rPr>
          <w:rFonts w:hint="eastAsia" w:ascii="宋体" w:hAnsi="宋体" w:eastAsia="宋体" w:cs="宋体"/>
          <w:kern w:val="0"/>
          <w:sz w:val="36"/>
          <w:szCs w:val="36"/>
        </w:rPr>
        <w:t>%；公务用车购置及运行维护费支出决算</w:t>
      </w:r>
      <w:r>
        <w:rPr>
          <w:rFonts w:hint="eastAsia" w:ascii="宋体" w:hAnsi="宋体" w:eastAsia="宋体" w:cs="宋体"/>
          <w:kern w:val="0"/>
          <w:sz w:val="36"/>
          <w:szCs w:val="36"/>
          <w:lang w:val="en-US" w:eastAsia="zh-CN"/>
        </w:rPr>
        <w:t>13.9</w:t>
      </w:r>
      <w:r>
        <w:rPr>
          <w:rFonts w:hint="eastAsia" w:ascii="宋体" w:hAnsi="宋体" w:eastAsia="宋体" w:cs="宋体"/>
          <w:kern w:val="0"/>
          <w:sz w:val="36"/>
          <w:szCs w:val="36"/>
        </w:rPr>
        <w:t>万元，占</w:t>
      </w:r>
      <w:r>
        <w:rPr>
          <w:rFonts w:hint="eastAsia" w:ascii="宋体" w:hAnsi="宋体" w:eastAsia="宋体" w:cs="宋体"/>
          <w:kern w:val="0"/>
          <w:sz w:val="36"/>
          <w:szCs w:val="36"/>
          <w:lang w:val="en-US" w:eastAsia="zh-CN"/>
        </w:rPr>
        <w:t>56</w:t>
      </w:r>
      <w:r>
        <w:rPr>
          <w:rFonts w:hint="eastAsia" w:ascii="宋体" w:hAnsi="宋体" w:eastAsia="宋体" w:cs="宋体"/>
          <w:kern w:val="0"/>
          <w:sz w:val="36"/>
          <w:szCs w:val="36"/>
        </w:rPr>
        <w:t>%。具体情况如下：</w:t>
      </w:r>
    </w:p>
    <w:p>
      <w:pPr>
        <w:widowControl/>
        <w:snapToGrid w:val="0"/>
        <w:spacing w:line="360" w:lineRule="auto"/>
        <w:ind w:firstLine="720" w:firstLineChars="200"/>
        <w:jc w:val="left"/>
        <w:rPr>
          <w:rFonts w:hint="eastAsia" w:ascii="宋体" w:hAnsi="宋体" w:eastAsia="宋体" w:cs="宋体"/>
          <w:kern w:val="0"/>
          <w:sz w:val="36"/>
          <w:szCs w:val="36"/>
        </w:rPr>
      </w:pPr>
    </w:p>
    <w:p>
      <w:pPr>
        <w:widowControl/>
        <w:snapToGrid w:val="0"/>
        <w:spacing w:line="360" w:lineRule="auto"/>
        <w:ind w:firstLine="720" w:firstLineChars="200"/>
        <w:jc w:val="left"/>
        <w:rPr>
          <w:rFonts w:hint="eastAsia" w:ascii="宋体" w:hAnsi="宋体" w:eastAsia="宋体" w:cs="宋体"/>
          <w:kern w:val="0"/>
          <w:sz w:val="36"/>
          <w:szCs w:val="36"/>
        </w:rPr>
      </w:pPr>
      <w:r>
        <w:rPr>
          <w:rFonts w:hint="eastAsia" w:ascii="宋体" w:hAnsi="宋体" w:eastAsia="宋体" w:cs="宋体"/>
          <w:kern w:val="0"/>
          <w:sz w:val="36"/>
          <w:szCs w:val="36"/>
        </w:rPr>
        <w:t>1.因公出国（境）费支出0万元，与202</w:t>
      </w:r>
      <w:r>
        <w:rPr>
          <w:rFonts w:hint="eastAsia" w:ascii="宋体" w:hAnsi="宋体" w:eastAsia="宋体" w:cs="宋体"/>
          <w:kern w:val="0"/>
          <w:sz w:val="36"/>
          <w:szCs w:val="36"/>
          <w:lang w:val="en-US" w:eastAsia="zh-CN"/>
        </w:rPr>
        <w:t>5</w:t>
      </w:r>
      <w:r>
        <w:rPr>
          <w:rFonts w:hint="eastAsia" w:ascii="宋体" w:hAnsi="宋体" w:eastAsia="宋体" w:cs="宋体"/>
          <w:kern w:val="0"/>
          <w:sz w:val="36"/>
          <w:szCs w:val="36"/>
        </w:rPr>
        <w:t>年度预算相比，无变化。202</w:t>
      </w:r>
      <w:r>
        <w:rPr>
          <w:rFonts w:hint="eastAsia" w:ascii="宋体" w:hAnsi="宋体" w:eastAsia="宋体" w:cs="宋体"/>
          <w:kern w:val="0"/>
          <w:sz w:val="36"/>
          <w:szCs w:val="36"/>
          <w:lang w:val="en-US" w:eastAsia="zh-CN"/>
        </w:rPr>
        <w:t>5</w:t>
      </w:r>
      <w:r>
        <w:rPr>
          <w:rFonts w:hint="eastAsia" w:ascii="宋体" w:hAnsi="宋体" w:eastAsia="宋体" w:cs="宋体"/>
          <w:kern w:val="0"/>
          <w:sz w:val="36"/>
          <w:szCs w:val="36"/>
        </w:rPr>
        <w:t>年寿县正阳关镇人民政府因公出国（境）团组0次，累计出国（境）0人次。该项经费根据县外办批准的因公临时出国（境）计划，按照规定标准安排。经费使用严格按照《寿县党政机关因公临时出国经费管理办法》（财公〔2016〕29号）等相关规定执行。</w:t>
      </w:r>
    </w:p>
    <w:p>
      <w:pPr>
        <w:widowControl/>
        <w:snapToGrid w:val="0"/>
        <w:spacing w:line="360" w:lineRule="auto"/>
        <w:ind w:firstLine="720" w:firstLineChars="200"/>
        <w:jc w:val="left"/>
        <w:rPr>
          <w:rFonts w:hint="eastAsia" w:ascii="宋体" w:hAnsi="宋体" w:eastAsia="宋体" w:cs="宋体"/>
          <w:kern w:val="0"/>
          <w:sz w:val="36"/>
          <w:szCs w:val="36"/>
        </w:rPr>
      </w:pPr>
    </w:p>
    <w:p>
      <w:pPr>
        <w:widowControl/>
        <w:snapToGrid w:val="0"/>
        <w:spacing w:line="360" w:lineRule="auto"/>
        <w:ind w:firstLine="720" w:firstLineChars="200"/>
        <w:jc w:val="left"/>
        <w:rPr>
          <w:rFonts w:hint="eastAsia" w:ascii="宋体" w:hAnsi="宋体" w:eastAsia="宋体" w:cs="宋体"/>
          <w:kern w:val="0"/>
          <w:sz w:val="36"/>
          <w:szCs w:val="36"/>
        </w:rPr>
      </w:pPr>
      <w:r>
        <w:rPr>
          <w:rFonts w:hint="eastAsia" w:ascii="宋体" w:hAnsi="宋体" w:eastAsia="宋体" w:cs="宋体"/>
          <w:kern w:val="0"/>
          <w:sz w:val="36"/>
          <w:szCs w:val="36"/>
        </w:rPr>
        <w:t>2.公务接待费支出</w:t>
      </w:r>
      <w:r>
        <w:rPr>
          <w:rFonts w:hint="eastAsia" w:ascii="宋体" w:hAnsi="宋体" w:eastAsia="宋体" w:cs="宋体"/>
          <w:kern w:val="0"/>
          <w:sz w:val="36"/>
          <w:szCs w:val="36"/>
          <w:lang w:val="en-US" w:eastAsia="zh-CN"/>
        </w:rPr>
        <w:t>10.8</w:t>
      </w:r>
      <w:r>
        <w:rPr>
          <w:rFonts w:hint="eastAsia" w:ascii="宋体" w:hAnsi="宋体" w:eastAsia="宋体" w:cs="宋体"/>
          <w:kern w:val="0"/>
          <w:sz w:val="36"/>
          <w:szCs w:val="36"/>
        </w:rPr>
        <w:t>万元, 与202</w:t>
      </w:r>
      <w:r>
        <w:rPr>
          <w:rFonts w:hint="eastAsia" w:ascii="宋体" w:hAnsi="宋体" w:eastAsia="宋体" w:cs="宋体"/>
          <w:kern w:val="0"/>
          <w:sz w:val="36"/>
          <w:szCs w:val="36"/>
          <w:lang w:val="en-US" w:eastAsia="zh-CN"/>
        </w:rPr>
        <w:t>5</w:t>
      </w:r>
      <w:r>
        <w:rPr>
          <w:rFonts w:hint="eastAsia" w:ascii="宋体" w:hAnsi="宋体" w:eastAsia="宋体" w:cs="宋体"/>
          <w:kern w:val="0"/>
          <w:sz w:val="36"/>
          <w:szCs w:val="36"/>
        </w:rPr>
        <w:t>年度预算相比，减少</w:t>
      </w:r>
      <w:r>
        <w:rPr>
          <w:rFonts w:hint="eastAsia" w:ascii="宋体" w:hAnsi="宋体" w:eastAsia="宋体" w:cs="宋体"/>
          <w:kern w:val="0"/>
          <w:sz w:val="36"/>
          <w:szCs w:val="36"/>
          <w:lang w:val="en-US" w:eastAsia="zh-CN"/>
        </w:rPr>
        <w:t>13.6</w:t>
      </w:r>
      <w:r>
        <w:rPr>
          <w:rFonts w:hint="eastAsia" w:ascii="宋体" w:hAnsi="宋体" w:eastAsia="宋体" w:cs="宋体"/>
          <w:kern w:val="0"/>
          <w:sz w:val="36"/>
          <w:szCs w:val="36"/>
        </w:rPr>
        <w:t>万元，减少的原因是按照规定压缩公务接待费用支出。202</w:t>
      </w:r>
      <w:r>
        <w:rPr>
          <w:rFonts w:hint="eastAsia" w:ascii="宋体" w:hAnsi="宋体" w:eastAsia="宋体" w:cs="宋体"/>
          <w:kern w:val="0"/>
          <w:sz w:val="36"/>
          <w:szCs w:val="36"/>
          <w:lang w:val="en-US" w:eastAsia="zh-CN"/>
        </w:rPr>
        <w:t>4</w:t>
      </w:r>
      <w:r>
        <w:rPr>
          <w:rFonts w:hint="eastAsia" w:ascii="宋体" w:hAnsi="宋体" w:eastAsia="宋体" w:cs="宋体"/>
          <w:kern w:val="0"/>
          <w:sz w:val="36"/>
          <w:szCs w:val="36"/>
        </w:rPr>
        <w:t>年寿县正阳关镇人民政府国内公务接待共191批次（其中外事接待0批次），1451人次（其中外事接待0人次）。主要是用于各种公务人员接待。经费使用贯彻中央八项规定、《党政机关厉行节约反对浪费条例》、县委县政府有关具体要求，严格执行《寿县党政机关公务接待管理规定》（寿办发〔2015〕2号）相关规定。</w:t>
      </w:r>
    </w:p>
    <w:p>
      <w:pPr>
        <w:widowControl/>
        <w:snapToGrid w:val="0"/>
        <w:spacing w:line="360" w:lineRule="auto"/>
        <w:ind w:firstLine="720" w:firstLineChars="200"/>
        <w:jc w:val="left"/>
        <w:rPr>
          <w:rFonts w:hint="eastAsia" w:ascii="宋体" w:hAnsi="宋体" w:eastAsia="宋体" w:cs="宋体"/>
          <w:kern w:val="0"/>
          <w:sz w:val="36"/>
          <w:szCs w:val="36"/>
        </w:rPr>
      </w:pPr>
    </w:p>
    <w:p>
      <w:pPr>
        <w:widowControl/>
        <w:snapToGrid w:val="0"/>
        <w:spacing w:line="360" w:lineRule="auto"/>
        <w:ind w:firstLine="720" w:firstLineChars="200"/>
        <w:jc w:val="left"/>
        <w:rPr>
          <w:rFonts w:ascii="宋体" w:hAnsi="宋体" w:eastAsia="宋体" w:cs="宋体"/>
          <w:kern w:val="0"/>
          <w:sz w:val="36"/>
          <w:szCs w:val="36"/>
        </w:rPr>
      </w:pPr>
      <w:r>
        <w:rPr>
          <w:rFonts w:hint="eastAsia" w:ascii="宋体" w:hAnsi="宋体" w:eastAsia="宋体" w:cs="宋体"/>
          <w:kern w:val="0"/>
          <w:sz w:val="36"/>
          <w:szCs w:val="36"/>
        </w:rPr>
        <w:t>3.公务用车购置及运行维护费支出</w:t>
      </w:r>
      <w:r>
        <w:rPr>
          <w:rFonts w:hint="eastAsia" w:ascii="宋体" w:hAnsi="宋体" w:eastAsia="宋体" w:cs="宋体"/>
          <w:kern w:val="0"/>
          <w:sz w:val="36"/>
          <w:szCs w:val="36"/>
          <w:lang w:val="en-US" w:eastAsia="zh-CN"/>
        </w:rPr>
        <w:t>12.9</w:t>
      </w:r>
      <w:r>
        <w:rPr>
          <w:rFonts w:hint="eastAsia" w:ascii="宋体" w:hAnsi="宋体" w:eastAsia="宋体" w:cs="宋体"/>
          <w:kern w:val="0"/>
          <w:sz w:val="36"/>
          <w:szCs w:val="36"/>
        </w:rPr>
        <w:t>万元，与202</w:t>
      </w:r>
      <w:r>
        <w:rPr>
          <w:rFonts w:hint="eastAsia" w:ascii="宋体" w:hAnsi="宋体" w:eastAsia="宋体" w:cs="宋体"/>
          <w:kern w:val="0"/>
          <w:sz w:val="36"/>
          <w:szCs w:val="36"/>
          <w:lang w:val="en-US" w:eastAsia="zh-CN"/>
        </w:rPr>
        <w:t>5</w:t>
      </w:r>
      <w:r>
        <w:rPr>
          <w:rFonts w:hint="eastAsia" w:ascii="宋体" w:hAnsi="宋体" w:eastAsia="宋体" w:cs="宋体"/>
          <w:kern w:val="0"/>
          <w:sz w:val="36"/>
          <w:szCs w:val="36"/>
        </w:rPr>
        <w:t>年度预算相比，减少</w:t>
      </w:r>
      <w:r>
        <w:rPr>
          <w:rFonts w:hint="eastAsia" w:ascii="宋体" w:hAnsi="宋体" w:eastAsia="宋体" w:cs="宋体"/>
          <w:kern w:val="0"/>
          <w:sz w:val="36"/>
          <w:szCs w:val="36"/>
          <w:lang w:val="en-US" w:eastAsia="zh-CN"/>
        </w:rPr>
        <w:t>4.3</w:t>
      </w:r>
      <w:r>
        <w:rPr>
          <w:rFonts w:hint="eastAsia" w:ascii="宋体" w:hAnsi="宋体" w:eastAsia="宋体" w:cs="宋体"/>
          <w:kern w:val="0"/>
          <w:sz w:val="36"/>
          <w:szCs w:val="36"/>
        </w:rPr>
        <w:t>万元。公务用车运行维护费，包括车辆燃料费、维修费、过路过桥费、保险费等支出，主要用于车辆燃料费、维修费、过路过桥费、保险费等支出。截至202</w:t>
      </w:r>
      <w:r>
        <w:rPr>
          <w:rFonts w:hint="eastAsia" w:ascii="宋体" w:hAnsi="宋体" w:eastAsia="宋体" w:cs="宋体"/>
          <w:kern w:val="0"/>
          <w:sz w:val="36"/>
          <w:szCs w:val="36"/>
          <w:lang w:val="en-US" w:eastAsia="zh-CN"/>
        </w:rPr>
        <w:t>5</w:t>
      </w:r>
      <w:r>
        <w:rPr>
          <w:rFonts w:hint="eastAsia" w:ascii="宋体" w:hAnsi="宋体" w:eastAsia="宋体" w:cs="宋体"/>
          <w:kern w:val="0"/>
          <w:sz w:val="36"/>
          <w:szCs w:val="36"/>
        </w:rPr>
        <w:t>年12月31日，寿县正阳关镇人民政府及所属单位开支财政拨款的公务用车保有量为2辆。</w:t>
      </w:r>
      <w:bookmarkStart w:id="2" w:name="YS060103"/>
    </w:p>
    <w:bookmarkEnd w:id="1"/>
    <w:bookmarkEnd w:id="2"/>
    <w:p>
      <w:pPr>
        <w:snapToGrid w:val="0"/>
        <w:spacing w:line="360" w:lineRule="auto"/>
        <w:ind w:firstLine="720" w:firstLineChars="200"/>
        <w:rPr>
          <w:rFonts w:hint="eastAsia" w:ascii="仿宋" w:hAnsi="仿宋" w:eastAsia="仿宋" w:cs="仿宋"/>
          <w:sz w:val="36"/>
          <w:szCs w:val="36"/>
        </w:rPr>
      </w:pPr>
    </w:p>
    <w:p/>
    <w:sectPr>
      <w:headerReference r:id="rId5" w:type="first"/>
      <w:footerReference r:id="rId8" w:type="first"/>
      <w:headerReference r:id="rId3" w:type="default"/>
      <w:footerReference r:id="rId6" w:type="default"/>
      <w:headerReference r:id="rId4" w:type="even"/>
      <w:footerReference r:id="rId7" w:type="even"/>
      <w:pgSz w:w="11906" w:h="16838"/>
      <w:pgMar w:top="567"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fldChar w:fldCharType="begin"/>
    </w:r>
    <w:r>
      <w:instrText xml:space="preserve"> PAGE   \* MERGEFORMAT </w:instrText>
    </w:r>
    <w:r>
      <w:fldChar w:fldCharType="separate"/>
    </w:r>
    <w:r>
      <w:rPr>
        <w:lang w:val="zh-CN" w:eastAsia="zh-CN"/>
      </w:rPr>
      <w:t>3</w:t>
    </w:r>
    <w:r>
      <w:fldChar w:fldCharType="end"/>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MDQwZDQxNmQ2ZjBkY2E4ZjVhOTBkNzA1ZGYyODMifQ=="/>
  </w:docVars>
  <w:rsids>
    <w:rsidRoot w:val="0068282A"/>
    <w:rsid w:val="00073EFC"/>
    <w:rsid w:val="0068282A"/>
    <w:rsid w:val="00941A49"/>
    <w:rsid w:val="009A3527"/>
    <w:rsid w:val="03DE5359"/>
    <w:rsid w:val="42A4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938</Words>
  <Characters>1058</Characters>
  <Lines>8</Lines>
  <Paragraphs>2</Paragraphs>
  <TotalTime>23</TotalTime>
  <ScaleCrop>false</ScaleCrop>
  <LinksUpToDate>false</LinksUpToDate>
  <CharactersWithSpaces>1075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2025-04-02T08:03:00Z</dcterms:created>
  <dc:creator>张娟娟</dc:creator>
  <cp:lastModifiedBy>hp</cp:lastModifiedBy>
  <dcterms:modified xsi:type="dcterms:W3CDTF">2026-05-15T00:27:11Z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96C8D1615B21467BAFFA65BE04F43729</vt:lpwstr>
  </property>
</Properties>
</file>