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CD78E" w:themeColor="accent4" w:themeTint="99"/>
  <w:body>
    <w:p>
      <w:pPr>
        <w:tabs>
          <w:tab w:val="left" w:pos="4620"/>
        </w:tabs>
        <w:rPr>
          <w:rFonts w:hint="eastAsia"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rPr>
          <w:rFonts w:eastAsia="仿宋"/>
          <w:color w:val="auto"/>
          <w:sz w:val="44"/>
          <w:szCs w:val="44"/>
        </w:rPr>
      </w:pPr>
    </w:p>
    <w:p>
      <w:pPr>
        <w:adjustRightInd w:val="0"/>
        <w:snapToGrid w:val="0"/>
        <w:spacing w:line="288" w:lineRule="auto"/>
        <w:ind w:firstLine="1040"/>
        <w:jc w:val="center"/>
        <w:rPr>
          <w:rFonts w:hint="eastAsia" w:ascii="仿宋_GB2312" w:eastAsia="仿宋_GB2312"/>
          <w:color w:val="auto"/>
          <w:sz w:val="36"/>
          <w:szCs w:val="36"/>
        </w:rPr>
      </w:pPr>
    </w:p>
    <w:p>
      <w:pPr>
        <w:adjustRightInd w:val="0"/>
        <w:snapToGrid w:val="0"/>
        <w:spacing w:line="288" w:lineRule="auto"/>
        <w:ind w:left="2160" w:hanging="2160" w:hangingChars="600"/>
        <w:jc w:val="left"/>
        <w:rPr>
          <w:rFonts w:hint="eastAsia" w:ascii="仿宋" w:hAnsi="仿宋" w:eastAsia="仿宋" w:cs="仿宋"/>
          <w:color w:val="auto"/>
          <w:sz w:val="36"/>
          <w:szCs w:val="36"/>
          <w:u w:val="single"/>
        </w:rPr>
      </w:pPr>
      <w:r>
        <w:rPr>
          <w:rFonts w:hint="eastAsia" w:ascii="仿宋" w:hAnsi="仿宋" w:eastAsia="仿宋" w:cs="仿宋"/>
          <w:color w:val="auto"/>
          <w:sz w:val="36"/>
          <w:szCs w:val="36"/>
        </w:rPr>
        <w:t>项目名称：</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eastAsia="zh-CN"/>
        </w:rPr>
        <w:t>寿县玖鸿谷物种植专业合作社粮食加工项目</w:t>
      </w:r>
      <w:r>
        <w:rPr>
          <w:rFonts w:hint="eastAsia" w:ascii="仿宋" w:hAnsi="仿宋" w:eastAsia="仿宋" w:cs="仿宋"/>
          <w:color w:val="auto"/>
          <w:sz w:val="36"/>
          <w:szCs w:val="36"/>
          <w:u w:val="single"/>
        </w:rPr>
        <w:t xml:space="preserve">                            </w:t>
      </w:r>
    </w:p>
    <w:p>
      <w:pPr>
        <w:adjustRightInd w:val="0"/>
        <w:snapToGrid w:val="0"/>
        <w:spacing w:line="288" w:lineRule="auto"/>
        <w:ind w:left="3600" w:hanging="3600" w:hangingChars="1000"/>
        <w:jc w:val="left"/>
        <w:rPr>
          <w:rFonts w:hint="eastAsia" w:ascii="仿宋" w:hAnsi="仿宋" w:eastAsia="仿宋" w:cs="仿宋"/>
          <w:color w:val="auto"/>
          <w:sz w:val="36"/>
          <w:szCs w:val="36"/>
          <w:u w:val="single"/>
        </w:rPr>
      </w:pPr>
      <w:r>
        <w:rPr>
          <w:rFonts w:hint="eastAsia" w:ascii="仿宋" w:hAnsi="仿宋" w:eastAsia="仿宋" w:cs="仿宋"/>
          <w:color w:val="auto"/>
          <w:sz w:val="36"/>
          <w:szCs w:val="36"/>
        </w:rPr>
        <w:t xml:space="preserve">建设单位（盖章）： </w:t>
      </w:r>
      <w:r>
        <w:rPr>
          <w:rFonts w:hint="eastAsia" w:ascii="仿宋" w:hAnsi="仿宋" w:eastAsia="仿宋" w:cs="仿宋"/>
          <w:color w:val="auto"/>
          <w:sz w:val="36"/>
          <w:szCs w:val="36"/>
          <w:u w:val="single"/>
          <w:lang w:eastAsia="zh-CN"/>
        </w:rPr>
        <w:t>寿县玖鸿谷物种植专业合作社</w:t>
      </w:r>
      <w:r>
        <w:rPr>
          <w:rFonts w:hint="eastAsia" w:ascii="仿宋" w:hAnsi="仿宋" w:eastAsia="仿宋" w:cs="仿宋"/>
          <w:color w:val="auto"/>
          <w:sz w:val="36"/>
          <w:szCs w:val="36"/>
          <w:u w:val="single"/>
        </w:rPr>
        <w:t xml:space="preserve">                       </w:t>
      </w:r>
    </w:p>
    <w:p>
      <w:pPr>
        <w:adjustRightInd w:val="0"/>
        <w:snapToGrid w:val="0"/>
        <w:spacing w:line="288" w:lineRule="auto"/>
        <w:jc w:val="left"/>
        <w:rPr>
          <w:rFonts w:ascii="仿宋_GB2312" w:eastAsia="仿宋_GB2312"/>
          <w:color w:val="auto"/>
          <w:sz w:val="36"/>
          <w:szCs w:val="36"/>
          <w:u w:val="single"/>
        </w:rPr>
      </w:pPr>
      <w:r>
        <w:rPr>
          <w:rFonts w:hint="eastAsia" w:ascii="仿宋" w:hAnsi="仿宋" w:eastAsia="仿宋" w:cs="仿宋"/>
          <w:color w:val="auto"/>
          <w:sz w:val="36"/>
          <w:szCs w:val="36"/>
        </w:rPr>
        <w:t>编制日期：</w:t>
      </w:r>
      <w:r>
        <w:rPr>
          <w:rFonts w:hint="eastAsia" w:ascii="仿宋" w:hAnsi="仿宋" w:eastAsia="仿宋" w:cs="仿宋"/>
          <w:color w:val="auto"/>
          <w:sz w:val="36"/>
          <w:szCs w:val="36"/>
          <w:u w:val="single"/>
        </w:rPr>
        <w:t xml:space="preserve">          202</w:t>
      </w:r>
      <w:r>
        <w:rPr>
          <w:rFonts w:hint="eastAsia" w:ascii="仿宋" w:hAnsi="仿宋" w:eastAsia="仿宋" w:cs="仿宋"/>
          <w:color w:val="auto"/>
          <w:sz w:val="36"/>
          <w:szCs w:val="36"/>
          <w:u w:val="single"/>
          <w:lang w:val="en-US" w:eastAsia="zh-CN"/>
        </w:rPr>
        <w:t>6</w:t>
      </w:r>
      <w:r>
        <w:rPr>
          <w:rFonts w:hint="eastAsia" w:ascii="仿宋" w:hAnsi="仿宋" w:eastAsia="仿宋" w:cs="仿宋"/>
          <w:color w:val="auto"/>
          <w:sz w:val="36"/>
          <w:szCs w:val="36"/>
          <w:u w:val="single"/>
        </w:rPr>
        <w:t>年</w:t>
      </w:r>
      <w:r>
        <w:rPr>
          <w:rFonts w:hint="eastAsia" w:ascii="仿宋" w:hAnsi="仿宋" w:eastAsia="仿宋" w:cs="仿宋"/>
          <w:color w:val="auto"/>
          <w:sz w:val="36"/>
          <w:szCs w:val="36"/>
          <w:u w:val="single"/>
          <w:lang w:val="en-US" w:eastAsia="zh-CN"/>
        </w:rPr>
        <w:t>3</w:t>
      </w:r>
      <w:r>
        <w:rPr>
          <w:rFonts w:hint="eastAsia" w:ascii="仿宋" w:hAnsi="仿宋" w:eastAsia="仿宋" w:cs="仿宋"/>
          <w:color w:val="auto"/>
          <w:sz w:val="36"/>
          <w:szCs w:val="36"/>
          <w:u w:val="single"/>
        </w:rPr>
        <w:t xml:space="preserve">月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黑体" w:hAnsi="黑体" w:eastAsia="黑体"/>
          <w:snapToGrid w:val="0"/>
          <w:color w:val="auto"/>
          <w:sz w:val="30"/>
          <w:szCs w:val="30"/>
        </w:rPr>
      </w:pPr>
      <w:r>
        <w:rPr>
          <w:rFonts w:hint="eastAsia" w:ascii="楷体_GB2312" w:eastAsia="楷体_GB2312"/>
          <w:color w:val="auto"/>
          <w:sz w:val="36"/>
          <w:szCs w:val="36"/>
        </w:rPr>
        <w:t>中华人民共和国生态环境部</w:t>
      </w:r>
    </w:p>
    <w:p>
      <w:pPr>
        <w:pStyle w:val="22"/>
        <w:jc w:val="center"/>
        <w:outlineLvl w:val="0"/>
        <w:rPr>
          <w:rFonts w:hint="eastAsia" w:ascii="黑体" w:hAnsi="黑体" w:eastAsia="黑体"/>
          <w:snapToGrid w:val="0"/>
          <w:color w:val="auto"/>
          <w:sz w:val="30"/>
          <w:szCs w:val="30"/>
        </w:rPr>
        <w:sectPr>
          <w:footerReference r:id="rId3" w:type="default"/>
          <w:pgSz w:w="11906" w:h="16838"/>
          <w:pgMar w:top="1701" w:right="1531" w:bottom="1701" w:left="1531" w:header="851" w:footer="851" w:gutter="0"/>
          <w:pgNumType w:start="1"/>
          <w:cols w:space="720" w:num="1"/>
          <w:docGrid w:linePitch="312" w:charSpace="0"/>
        </w:sectPr>
      </w:pPr>
    </w:p>
    <w:p>
      <w:pPr>
        <w:pStyle w:val="22"/>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7"/>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2264"/>
        <w:gridCol w:w="2066"/>
        <w:gridCol w:w="2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7020" w:type="dxa"/>
            <w:gridSpan w:val="3"/>
            <w:vAlign w:val="center"/>
          </w:tcPr>
          <w:p>
            <w:pPr>
              <w:adjustRightInd w:val="0"/>
              <w:snapToGrid w:val="0"/>
              <w:jc w:val="center"/>
              <w:rPr>
                <w:rFonts w:hint="eastAsia" w:eastAsia="宋体"/>
                <w:color w:val="auto"/>
                <w:sz w:val="24"/>
                <w:lang w:eastAsia="zh-CN"/>
              </w:rPr>
            </w:pPr>
            <w:r>
              <w:rPr>
                <w:rFonts w:hint="eastAsia"/>
                <w:color w:val="auto"/>
                <w:sz w:val="24"/>
                <w:lang w:eastAsia="zh-CN"/>
              </w:rPr>
              <w:t>寿县玖鸿谷物种植专业合作社粮食加工项目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7020" w:type="dxa"/>
            <w:gridSpan w:val="3"/>
            <w:vAlign w:val="center"/>
          </w:tcPr>
          <w:p>
            <w:pPr>
              <w:adjustRightInd w:val="0"/>
              <w:snapToGrid w:val="0"/>
              <w:jc w:val="center"/>
              <w:rPr>
                <w:rFonts w:hint="eastAsia" w:eastAsia="宋体"/>
                <w:color w:val="auto"/>
                <w:sz w:val="24"/>
                <w:lang w:eastAsia="zh-CN"/>
              </w:rPr>
            </w:pPr>
            <w:r>
              <w:rPr>
                <w:rFonts w:hint="eastAsia"/>
                <w:color w:val="auto"/>
                <w:sz w:val="24"/>
                <w:highlight w:val="none"/>
                <w:lang w:eastAsia="zh-CN"/>
              </w:rPr>
              <w:t>2515-340422-04-05-688468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2264" w:type="dxa"/>
            <w:vAlign w:val="center"/>
          </w:tcPr>
          <w:p>
            <w:pPr>
              <w:adjustRightInd w:val="0"/>
              <w:snapToGrid w:val="0"/>
              <w:jc w:val="center"/>
              <w:rPr>
                <w:rFonts w:hint="default" w:eastAsia="宋体"/>
                <w:color w:val="auto"/>
                <w:sz w:val="24"/>
                <w:lang w:val="en-US" w:eastAsia="zh-CN"/>
              </w:rPr>
            </w:pPr>
            <w:r>
              <w:rPr>
                <w:rFonts w:hint="eastAsia"/>
                <w:color w:val="auto"/>
                <w:sz w:val="24"/>
                <w:highlight w:val="none"/>
                <w:lang w:eastAsia="zh-CN"/>
              </w:rPr>
              <w:t>卫红</w:t>
            </w:r>
          </w:p>
        </w:tc>
        <w:tc>
          <w:tcPr>
            <w:tcW w:w="2066" w:type="dxa"/>
            <w:vAlign w:val="center"/>
          </w:tcPr>
          <w:p>
            <w:pPr>
              <w:adjustRightInd w:val="0"/>
              <w:snapToGrid w:val="0"/>
              <w:jc w:val="center"/>
              <w:rPr>
                <w:color w:val="auto"/>
                <w:sz w:val="24"/>
              </w:rPr>
            </w:pPr>
            <w:r>
              <w:rPr>
                <w:color w:val="auto"/>
                <w:sz w:val="24"/>
              </w:rPr>
              <w:t>联系方式</w:t>
            </w:r>
          </w:p>
        </w:tc>
        <w:tc>
          <w:tcPr>
            <w:tcW w:w="2690" w:type="dxa"/>
            <w:vAlign w:val="center"/>
          </w:tcPr>
          <w:p>
            <w:pPr>
              <w:tabs>
                <w:tab w:val="center" w:pos="1400"/>
                <w:tab w:val="right" w:pos="2681"/>
              </w:tabs>
              <w:adjustRightInd w:val="0"/>
              <w:snapToGrid w:val="0"/>
              <w:jc w:val="left"/>
              <w:rPr>
                <w:rFonts w:hint="default" w:eastAsia="宋体"/>
                <w:color w:val="auto"/>
                <w:sz w:val="24"/>
                <w:lang w:val="en-US" w:eastAsia="zh-CN"/>
              </w:rPr>
            </w:pPr>
            <w:r>
              <w:rPr>
                <w:rFonts w:hint="eastAsia"/>
                <w:color w:val="auto"/>
                <w:sz w:val="24"/>
              </w:rPr>
              <w:tab/>
            </w:r>
            <w:bookmarkStart w:id="4" w:name="_GoBack"/>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7020" w:type="dxa"/>
            <w:gridSpan w:val="3"/>
            <w:vAlign w:val="center"/>
          </w:tcPr>
          <w:p>
            <w:pPr>
              <w:adjustRightInd w:val="0"/>
              <w:snapToGrid w:val="0"/>
              <w:jc w:val="center"/>
              <w:rPr>
                <w:rFonts w:hint="eastAsia" w:eastAsia="宋体"/>
                <w:color w:val="auto"/>
                <w:sz w:val="24"/>
                <w:lang w:eastAsia="zh-CN"/>
              </w:rPr>
            </w:pPr>
            <w:r>
              <w:rPr>
                <w:rFonts w:hint="eastAsia"/>
                <w:color w:val="auto"/>
                <w:sz w:val="24"/>
                <w:lang w:eastAsia="zh-CN"/>
              </w:rPr>
              <w:t>安徽省淮南市寿县众兴镇新店村金圩组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7020" w:type="dxa"/>
            <w:gridSpan w:val="3"/>
            <w:vAlign w:val="center"/>
          </w:tcPr>
          <w:p>
            <w:pPr>
              <w:jc w:val="center"/>
              <w:rPr>
                <w:color w:val="auto"/>
                <w:sz w:val="24"/>
              </w:rPr>
            </w:pPr>
            <w:r>
              <w:rPr>
                <w:color w:val="auto"/>
                <w:sz w:val="24"/>
              </w:rPr>
              <w:t>（</w:t>
            </w:r>
            <w:r>
              <w:rPr>
                <w:color w:val="auto"/>
                <w:sz w:val="24"/>
                <w:u w:val="single"/>
              </w:rPr>
              <w:t xml:space="preserve"> 116 </w:t>
            </w:r>
            <w:r>
              <w:rPr>
                <w:color w:val="auto"/>
                <w:sz w:val="24"/>
              </w:rPr>
              <w:t>度</w:t>
            </w:r>
            <w:r>
              <w:rPr>
                <w:color w:val="auto"/>
                <w:sz w:val="24"/>
                <w:u w:val="single"/>
              </w:rPr>
              <w:t xml:space="preserve"> </w:t>
            </w:r>
            <w:r>
              <w:rPr>
                <w:rFonts w:hint="eastAsia"/>
                <w:color w:val="auto"/>
                <w:sz w:val="24"/>
                <w:u w:val="single"/>
                <w:lang w:val="en-US" w:eastAsia="zh-CN"/>
              </w:rPr>
              <w:t>37</w:t>
            </w:r>
            <w:r>
              <w:rPr>
                <w:color w:val="auto"/>
                <w:sz w:val="24"/>
              </w:rPr>
              <w:t>分</w:t>
            </w:r>
            <w:r>
              <w:rPr>
                <w:color w:val="auto"/>
                <w:sz w:val="24"/>
                <w:u w:val="single"/>
              </w:rPr>
              <w:t xml:space="preserve"> </w:t>
            </w:r>
            <w:r>
              <w:rPr>
                <w:rFonts w:hint="eastAsia"/>
                <w:color w:val="auto"/>
                <w:sz w:val="24"/>
                <w:u w:val="single"/>
                <w:lang w:val="en-US" w:eastAsia="zh-CN"/>
              </w:rPr>
              <w:t>8.276</w:t>
            </w:r>
            <w:r>
              <w:rPr>
                <w:color w:val="auto"/>
                <w:sz w:val="24"/>
              </w:rPr>
              <w:t>秒，</w:t>
            </w:r>
            <w:r>
              <w:rPr>
                <w:color w:val="auto"/>
                <w:sz w:val="24"/>
                <w:u w:val="single"/>
              </w:rPr>
              <w:t xml:space="preserve"> 3</w:t>
            </w:r>
            <w:r>
              <w:rPr>
                <w:rFonts w:hint="eastAsia"/>
                <w:color w:val="auto"/>
                <w:sz w:val="24"/>
                <w:u w:val="single"/>
                <w:lang w:val="en-US" w:eastAsia="zh-CN"/>
              </w:rPr>
              <w:t>2</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1</w:t>
            </w:r>
            <w:r>
              <w:rPr>
                <w:color w:val="auto"/>
                <w:sz w:val="24"/>
                <w:u w:val="single"/>
              </w:rPr>
              <w:t xml:space="preserve"> </w:t>
            </w:r>
            <w:r>
              <w:rPr>
                <w:color w:val="auto"/>
                <w:sz w:val="24"/>
              </w:rPr>
              <w:t>分</w:t>
            </w:r>
            <w:r>
              <w:rPr>
                <w:rFonts w:hint="eastAsia"/>
                <w:color w:val="auto"/>
                <w:sz w:val="24"/>
                <w:u w:val="single"/>
                <w:lang w:val="en-US" w:eastAsia="zh-CN"/>
              </w:rPr>
              <w:t>40.500</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2264" w:type="dxa"/>
            <w:vAlign w:val="center"/>
          </w:tcPr>
          <w:p>
            <w:pPr>
              <w:widowControl/>
              <w:adjustRightInd/>
              <w:snapToGrid/>
              <w:jc w:val="center"/>
              <w:rPr>
                <w:rFonts w:hint="eastAsia"/>
                <w:color w:val="auto"/>
                <w:sz w:val="24"/>
              </w:rPr>
            </w:pPr>
            <w:r>
              <w:rPr>
                <w:rFonts w:hint="eastAsia"/>
                <w:color w:val="auto"/>
                <w:sz w:val="24"/>
              </w:rPr>
              <w:t>A0514 农产品初加</w:t>
            </w:r>
          </w:p>
          <w:p>
            <w:pPr>
              <w:widowControl/>
              <w:adjustRightInd/>
              <w:snapToGrid/>
              <w:jc w:val="center"/>
              <w:rPr>
                <w:rFonts w:hint="eastAsia"/>
                <w:color w:val="auto"/>
                <w:sz w:val="24"/>
              </w:rPr>
            </w:pPr>
            <w:r>
              <w:rPr>
                <w:rFonts w:hint="eastAsia"/>
                <w:color w:val="auto"/>
                <w:sz w:val="24"/>
              </w:rPr>
              <w:t>工活动</w:t>
            </w:r>
          </w:p>
          <w:p>
            <w:pPr>
              <w:widowControl/>
              <w:adjustRightInd/>
              <w:snapToGrid/>
              <w:jc w:val="center"/>
              <w:rPr>
                <w:rFonts w:hint="eastAsia"/>
                <w:color w:val="auto"/>
                <w:sz w:val="24"/>
              </w:rPr>
            </w:pPr>
            <w:r>
              <w:rPr>
                <w:rFonts w:hint="eastAsia"/>
                <w:color w:val="auto"/>
                <w:sz w:val="24"/>
              </w:rPr>
              <w:t>D4430 热力生产和</w:t>
            </w:r>
          </w:p>
          <w:p>
            <w:pPr>
              <w:widowControl/>
              <w:adjustRightInd/>
              <w:snapToGrid/>
              <w:jc w:val="center"/>
              <w:rPr>
                <w:rFonts w:hint="eastAsia"/>
                <w:color w:val="auto"/>
                <w:sz w:val="24"/>
              </w:rPr>
            </w:pPr>
            <w:r>
              <w:rPr>
                <w:rFonts w:hint="eastAsia"/>
                <w:color w:val="auto"/>
                <w:sz w:val="24"/>
              </w:rPr>
              <w:t>供应</w:t>
            </w:r>
          </w:p>
        </w:tc>
        <w:tc>
          <w:tcPr>
            <w:tcW w:w="2066"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行业类别</w:t>
            </w:r>
          </w:p>
        </w:tc>
        <w:tc>
          <w:tcPr>
            <w:tcW w:w="2690" w:type="dxa"/>
            <w:vAlign w:val="center"/>
          </w:tcPr>
          <w:p>
            <w:pPr>
              <w:adjustRightInd w:val="0"/>
              <w:snapToGrid w:val="0"/>
              <w:jc w:val="center"/>
              <w:rPr>
                <w:rFonts w:hint="eastAsia" w:eastAsia="宋体"/>
                <w:color w:val="auto"/>
                <w:sz w:val="24"/>
                <w:lang w:eastAsia="zh-CN"/>
              </w:rPr>
            </w:pPr>
            <w:r>
              <w:rPr>
                <w:rFonts w:hint="eastAsia" w:eastAsia="宋体"/>
                <w:color w:val="auto"/>
                <w:sz w:val="24"/>
                <w:lang w:eastAsia="zh-CN"/>
              </w:rPr>
              <w:t>四十一、电力、热力生产</w:t>
            </w:r>
          </w:p>
          <w:p>
            <w:pPr>
              <w:adjustRightInd w:val="0"/>
              <w:snapToGrid w:val="0"/>
              <w:jc w:val="center"/>
              <w:rPr>
                <w:rFonts w:hint="eastAsia" w:eastAsia="宋体"/>
                <w:color w:val="auto"/>
                <w:sz w:val="24"/>
                <w:lang w:eastAsia="zh-CN"/>
              </w:rPr>
            </w:pPr>
            <w:r>
              <w:rPr>
                <w:rFonts w:hint="eastAsia" w:eastAsia="宋体"/>
                <w:color w:val="auto"/>
                <w:sz w:val="24"/>
                <w:lang w:eastAsia="zh-CN"/>
              </w:rPr>
              <w:t>和供应业-91热力生产和</w:t>
            </w:r>
          </w:p>
          <w:p>
            <w:pPr>
              <w:adjustRightInd w:val="0"/>
              <w:snapToGrid w:val="0"/>
              <w:jc w:val="center"/>
              <w:rPr>
                <w:rFonts w:hint="eastAsia" w:eastAsia="宋体"/>
                <w:color w:val="auto"/>
                <w:sz w:val="24"/>
                <w:lang w:eastAsia="zh-CN"/>
              </w:rPr>
            </w:pPr>
            <w:r>
              <w:rPr>
                <w:rFonts w:hint="eastAsia" w:eastAsia="宋体"/>
                <w:color w:val="auto"/>
                <w:sz w:val="24"/>
                <w:lang w:eastAsia="zh-CN"/>
              </w:rPr>
              <w:t>供应工程（包括建设单位</w:t>
            </w:r>
          </w:p>
          <w:p>
            <w:pPr>
              <w:adjustRightInd w:val="0"/>
              <w:snapToGrid w:val="0"/>
              <w:jc w:val="center"/>
              <w:rPr>
                <w:rFonts w:hint="eastAsia" w:eastAsia="宋体"/>
                <w:color w:val="auto"/>
                <w:sz w:val="24"/>
                <w:lang w:eastAsia="zh-CN"/>
              </w:rPr>
            </w:pPr>
            <w:r>
              <w:rPr>
                <w:rFonts w:hint="eastAsia" w:eastAsia="宋体"/>
                <w:color w:val="auto"/>
                <w:sz w:val="24"/>
                <w:highlight w:val="none"/>
                <w:lang w:eastAsia="zh-CN"/>
              </w:rPr>
              <w:t>自建</w:t>
            </w:r>
            <w:r>
              <w:rPr>
                <w:rFonts w:hint="eastAsia"/>
                <w:color w:val="auto"/>
                <w:sz w:val="24"/>
                <w:highlight w:val="none"/>
                <w:lang w:eastAsia="zh-CN"/>
              </w:rPr>
              <w:t>自</w:t>
            </w:r>
            <w:r>
              <w:rPr>
                <w:rFonts w:hint="eastAsia" w:eastAsia="宋体"/>
                <w:color w:val="auto"/>
                <w:sz w:val="24"/>
                <w:highlight w:val="none"/>
                <w:lang w:eastAsia="zh-CN"/>
              </w:rPr>
              <w:t>用</w:t>
            </w:r>
            <w:r>
              <w:rPr>
                <w:rFonts w:hint="eastAsia" w:eastAsia="宋体"/>
                <w:color w:val="auto"/>
                <w:sz w:val="24"/>
                <w:lang w:eastAsia="zh-CN"/>
              </w:rPr>
              <w:t>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2264" w:type="dxa"/>
            <w:vAlign w:val="center"/>
          </w:tcPr>
          <w:p>
            <w:pPr>
              <w:jc w:val="left"/>
              <w:rPr>
                <w:color w:val="auto"/>
                <w:sz w:val="24"/>
              </w:rPr>
            </w:pPr>
            <w:r>
              <w:rPr>
                <w:rFonts w:hint="eastAsia"/>
                <w:color w:val="auto"/>
                <w:sz w:val="24"/>
              </w:rPr>
              <w:t>☑</w:t>
            </w:r>
            <w:r>
              <w:rPr>
                <w:color w:val="auto"/>
                <w:sz w:val="24"/>
              </w:rPr>
              <w:t>新建（迁建）</w:t>
            </w:r>
          </w:p>
          <w:p>
            <w:pPr>
              <w:jc w:val="left"/>
              <w:rPr>
                <w:color w:val="auto"/>
                <w:sz w:val="24"/>
              </w:rPr>
            </w:pPr>
            <w:r>
              <w:rPr>
                <w:rFonts w:hint="eastAsia"/>
                <w:color w:val="auto"/>
                <w:sz w:val="24"/>
              </w:rPr>
              <w:t>□</w:t>
            </w:r>
            <w:r>
              <w:rPr>
                <w:color w:val="auto"/>
                <w:sz w:val="24"/>
              </w:rPr>
              <w:t>改建</w:t>
            </w:r>
          </w:p>
          <w:p>
            <w:pPr>
              <w:jc w:val="left"/>
              <w:rPr>
                <w:color w:val="auto"/>
                <w:sz w:val="24"/>
              </w:rPr>
            </w:pPr>
            <w:r>
              <w:rPr>
                <w:rFonts w:hint="eastAsia"/>
                <w:color w:val="auto"/>
                <w:sz w:val="24"/>
              </w:rPr>
              <w:t>□</w:t>
            </w:r>
            <w:r>
              <w:rPr>
                <w:color w:val="auto"/>
                <w:sz w:val="24"/>
              </w:rPr>
              <w:t>扩建</w:t>
            </w:r>
          </w:p>
          <w:p>
            <w:pPr>
              <w:jc w:val="left"/>
              <w:rPr>
                <w:color w:val="auto"/>
                <w:sz w:val="24"/>
              </w:rPr>
            </w:pPr>
            <w:r>
              <w:rPr>
                <w:rFonts w:hint="eastAsia"/>
                <w:color w:val="auto"/>
                <w:sz w:val="24"/>
              </w:rPr>
              <w:t>□</w:t>
            </w:r>
            <w:r>
              <w:rPr>
                <w:color w:val="auto"/>
                <w:sz w:val="24"/>
              </w:rPr>
              <w:t>技术改造</w:t>
            </w:r>
          </w:p>
        </w:tc>
        <w:tc>
          <w:tcPr>
            <w:tcW w:w="2066"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690" w:type="dxa"/>
            <w:vAlign w:val="center"/>
          </w:tcPr>
          <w:p>
            <w:pPr>
              <w:jc w:val="left"/>
              <w:rPr>
                <w:rFonts w:ascii="宋体" w:hAnsi="宋体"/>
                <w:color w:val="auto"/>
                <w:sz w:val="24"/>
              </w:rPr>
            </w:pPr>
            <w:r>
              <w:rPr>
                <w:rFonts w:hint="eastAsia" w:ascii="MS Gothic" w:hAnsi="MS Gothic" w:eastAsia="MS Gothic" w:cs="MS Gothic"/>
                <w:color w:val="auto"/>
                <w:sz w:val="24"/>
              </w:rPr>
              <w:t>☑</w:t>
            </w:r>
            <w:r>
              <w:rPr>
                <w:rFonts w:ascii="宋体" w:hAnsi="宋体"/>
                <w:color w:val="auto"/>
                <w:sz w:val="24"/>
              </w:rPr>
              <w:t>首次申报项目</w:t>
            </w:r>
          </w:p>
          <w:p>
            <w:pPr>
              <w:jc w:val="left"/>
              <w:rPr>
                <w:rFonts w:ascii="宋体" w:hAnsi="宋体"/>
                <w:color w:val="auto"/>
                <w:sz w:val="24"/>
              </w:rPr>
            </w:pPr>
            <w:r>
              <w:rPr>
                <w:rFonts w:ascii="宋体" w:hAnsi="宋体"/>
                <w:color w:val="auto"/>
                <w:sz w:val="24"/>
              </w:rPr>
              <w:t>□不予批准后再次申报项目</w:t>
            </w:r>
          </w:p>
          <w:p>
            <w:pPr>
              <w:jc w:val="left"/>
              <w:rPr>
                <w:rFonts w:ascii="宋体" w:hAnsi="宋体"/>
                <w:color w:val="auto"/>
                <w:sz w:val="24"/>
              </w:rPr>
            </w:pPr>
            <w:r>
              <w:rPr>
                <w:rFonts w:ascii="宋体" w:hAnsi="宋体"/>
                <w:color w:val="auto"/>
                <w:sz w:val="24"/>
              </w:rPr>
              <w:t>□超五年重新审核项目</w:t>
            </w:r>
          </w:p>
          <w:p>
            <w:pPr>
              <w:jc w:val="left"/>
              <w:rPr>
                <w:color w:val="auto"/>
                <w:sz w:val="24"/>
              </w:rPr>
            </w:pPr>
            <w:r>
              <w:rPr>
                <w:rFonts w:hint="eastAsia" w:ascii="宋体" w:hAnsi="宋体"/>
                <w:color w:val="auto"/>
                <w:sz w:val="24"/>
              </w:rPr>
              <w:t>□</w:t>
            </w:r>
            <w:r>
              <w:rPr>
                <w:rFonts w:ascii="宋体" w:hAnsi="宋体"/>
                <w:color w:val="auto"/>
                <w:sz w:val="24"/>
              </w:rPr>
              <w:t>重大</w:t>
            </w:r>
            <w:r>
              <w:rPr>
                <w:color w:val="auto"/>
                <w:sz w:val="24"/>
              </w:rPr>
              <w:t>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2264" w:type="dxa"/>
            <w:vAlign w:val="center"/>
          </w:tcPr>
          <w:p>
            <w:pPr>
              <w:adjustRightInd w:val="0"/>
              <w:snapToGrid w:val="0"/>
              <w:jc w:val="center"/>
              <w:rPr>
                <w:rFonts w:hint="eastAsia" w:eastAsia="宋体"/>
                <w:color w:val="auto"/>
                <w:sz w:val="24"/>
                <w:lang w:eastAsia="zh-CN"/>
              </w:rPr>
            </w:pPr>
            <w:r>
              <w:rPr>
                <w:rFonts w:hint="eastAsia"/>
                <w:color w:val="auto"/>
                <w:sz w:val="24"/>
                <w:lang w:eastAsia="zh-CN"/>
              </w:rPr>
              <w:t>寿县发展和改革委员会</w:t>
            </w:r>
          </w:p>
        </w:tc>
        <w:tc>
          <w:tcPr>
            <w:tcW w:w="2066" w:type="dxa"/>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690" w:type="dxa"/>
            <w:vAlign w:val="center"/>
          </w:tcPr>
          <w:p>
            <w:pPr>
              <w:adjustRightInd w:val="0"/>
              <w:snapToGrid w:val="0"/>
              <w:jc w:val="center"/>
              <w:rPr>
                <w:rFonts w:hint="eastAsia"/>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总投资（万元）</w:t>
            </w:r>
          </w:p>
        </w:tc>
        <w:tc>
          <w:tcPr>
            <w:tcW w:w="2264"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500</w:t>
            </w:r>
          </w:p>
        </w:tc>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环保投资（万元）</w:t>
            </w:r>
          </w:p>
        </w:tc>
        <w:tc>
          <w:tcPr>
            <w:tcW w:w="2690"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2264"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3.8</w:t>
            </w:r>
          </w:p>
        </w:tc>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690" w:type="dxa"/>
            <w:vAlign w:val="center"/>
          </w:tcPr>
          <w:p>
            <w:pPr>
              <w:adjustRightInd w:val="0"/>
              <w:snapToGrid w:val="0"/>
              <w:jc w:val="center"/>
              <w:rPr>
                <w:color w:val="auto"/>
                <w:sz w:val="24"/>
                <w:highlight w:val="none"/>
              </w:rPr>
            </w:pPr>
            <w:r>
              <w:rPr>
                <w:rFonts w:hint="eastAsia"/>
                <w:color w:val="auto"/>
                <w:sz w:val="24"/>
                <w:highlight w:val="none"/>
              </w:rPr>
              <w:t xml:space="preserve">3个月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2264" w:type="dxa"/>
            <w:vAlign w:val="center"/>
          </w:tcPr>
          <w:p>
            <w:pPr>
              <w:jc w:val="left"/>
              <w:rPr>
                <w:rFonts w:ascii="宋体" w:hAnsi="宋体"/>
                <w:color w:val="auto"/>
                <w:sz w:val="24"/>
                <w:highlight w:val="none"/>
              </w:rPr>
            </w:pPr>
            <w:r>
              <w:rPr>
                <w:rFonts w:ascii="宋体" w:hAnsi="宋体"/>
                <w:color w:val="auto"/>
                <w:sz w:val="24"/>
                <w:highlight w:val="none"/>
              </w:rPr>
              <w:t>☑否</w:t>
            </w:r>
          </w:p>
          <w:p>
            <w:pPr>
              <w:jc w:val="left"/>
              <w:rPr>
                <w:color w:val="auto"/>
                <w:sz w:val="24"/>
                <w:highlight w:val="none"/>
              </w:rPr>
            </w:pPr>
            <w:r>
              <w:rPr>
                <w:rFonts w:ascii="宋体" w:hAnsi="宋体"/>
                <w:color w:val="auto"/>
                <w:sz w:val="24"/>
                <w:highlight w:val="none"/>
              </w:rPr>
              <w:t>□是：</w:t>
            </w:r>
          </w:p>
        </w:tc>
        <w:tc>
          <w:tcPr>
            <w:tcW w:w="2066" w:type="dxa"/>
            <w:tcMar>
              <w:top w:w="16" w:type="dxa"/>
              <w:left w:w="16" w:type="dxa"/>
              <w:right w:w="16" w:type="dxa"/>
            </w:tcMar>
            <w:vAlign w:val="center"/>
          </w:tcPr>
          <w:p>
            <w:pPr>
              <w:adjustRightInd w:val="0"/>
              <w:snapToGrid w:val="0"/>
              <w:jc w:val="center"/>
              <w:rPr>
                <w:color w:val="auto"/>
                <w:spacing w:val="-6"/>
                <w:sz w:val="24"/>
                <w:highlight w:val="none"/>
              </w:rPr>
            </w:pPr>
            <w:r>
              <w:rPr>
                <w:color w:val="auto"/>
                <w:spacing w:val="-6"/>
                <w:sz w:val="24"/>
                <w:highlight w:val="none"/>
              </w:rPr>
              <w:t>用地（用海）</w:t>
            </w:r>
          </w:p>
          <w:p>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2690" w:type="dxa"/>
            <w:vAlign w:val="center"/>
          </w:tcPr>
          <w:p>
            <w:pPr>
              <w:adjustRightInd w:val="0"/>
              <w:snapToGrid w:val="0"/>
              <w:jc w:val="center"/>
              <w:rPr>
                <w:rFonts w:hint="default" w:eastAsia="宋体"/>
                <w:color w:val="auto"/>
                <w:sz w:val="24"/>
                <w:highlight w:val="none"/>
                <w:lang w:val="en-US" w:eastAsia="zh-CN"/>
              </w:rPr>
            </w:pPr>
            <w:r>
              <w:rPr>
                <w:rStyle w:val="26"/>
                <w:rFonts w:hint="eastAsia"/>
                <w:color w:val="auto"/>
                <w:kern w:val="0"/>
                <w:sz w:val="24"/>
                <w:szCs w:val="24"/>
                <w:highlight w:val="none"/>
                <w:lang w:val="en-US" w:eastAsia="zh-CN"/>
              </w:rPr>
              <w:t>3699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2040" w:type="dxa"/>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7020" w:type="dxa"/>
            <w:gridSpan w:val="3"/>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2040" w:type="dxa"/>
            <w:vAlign w:val="center"/>
          </w:tcPr>
          <w:p>
            <w:pPr>
              <w:autoSpaceDE w:val="0"/>
              <w:autoSpaceDN w:val="0"/>
              <w:adjustRightInd w:val="0"/>
              <w:snapToGrid w:val="0"/>
              <w:jc w:val="center"/>
              <w:rPr>
                <w:color w:val="auto"/>
                <w:kern w:val="0"/>
                <w:sz w:val="24"/>
              </w:rPr>
            </w:pPr>
            <w:r>
              <w:rPr>
                <w:color w:val="auto"/>
                <w:sz w:val="24"/>
              </w:rPr>
              <w:t>规划情况</w:t>
            </w:r>
          </w:p>
        </w:tc>
        <w:tc>
          <w:tcPr>
            <w:tcW w:w="7020" w:type="dxa"/>
            <w:gridSpan w:val="3"/>
            <w:vAlign w:val="center"/>
          </w:tcPr>
          <w:p>
            <w:pPr>
              <w:widowControl/>
              <w:spacing w:line="240" w:lineRule="auto"/>
              <w:jc w:val="center"/>
              <w:rPr>
                <w:rFonts w:hint="eastAsia" w:eastAsia="宋体"/>
                <w:color w:val="auto"/>
                <w:lang w:eastAsia="zh-CN"/>
              </w:rPr>
            </w:pPr>
            <w:r>
              <w:rPr>
                <w:rStyle w:val="35"/>
                <w:rFonts w:hint="default"/>
                <w:color w:val="auto"/>
                <w:sz w:val="24"/>
              </w:rPr>
              <w:t>《寿县</w:t>
            </w:r>
            <w:r>
              <w:rPr>
                <w:rStyle w:val="35"/>
                <w:rFonts w:hint="eastAsia"/>
                <w:color w:val="auto"/>
                <w:sz w:val="24"/>
                <w:lang w:eastAsia="zh-CN"/>
              </w:rPr>
              <w:t>众兴镇国土空间总体规划</w:t>
            </w:r>
            <w:r>
              <w:rPr>
                <w:rStyle w:val="35"/>
                <w:rFonts w:hint="default" w:ascii="Times New Roman" w:hAnsi="Times New Roman" w:cs="Times New Roman"/>
                <w:color w:val="auto"/>
                <w:sz w:val="24"/>
                <w:lang w:eastAsia="zh-CN"/>
              </w:rPr>
              <w:t>（</w:t>
            </w:r>
            <w:r>
              <w:rPr>
                <w:rStyle w:val="35"/>
                <w:rFonts w:hint="default" w:ascii="Times New Roman" w:hAnsi="Times New Roman" w:cs="Times New Roman"/>
                <w:color w:val="auto"/>
                <w:sz w:val="24"/>
                <w:lang w:val="en-US" w:eastAsia="zh-CN"/>
              </w:rPr>
              <w:t>2021-2035年</w:t>
            </w:r>
            <w:r>
              <w:rPr>
                <w:rStyle w:val="35"/>
                <w:rFonts w:hint="default" w:ascii="Times New Roman" w:hAnsi="Times New Roman" w:cs="Times New Roman"/>
                <w:color w:val="auto"/>
                <w:sz w:val="24"/>
                <w:lang w:eastAsia="zh-CN"/>
              </w:rPr>
              <w:t>）</w:t>
            </w:r>
            <w:r>
              <w:rPr>
                <w:rStyle w:val="35"/>
                <w:rFonts w:hint="default" w:ascii="Times New Roman" w:hAnsi="Times New Roman" w:cs="Times New Roman"/>
                <w:color w:val="auto"/>
                <w:sz w:val="24"/>
              </w:rPr>
              <w:t xml:space="preserve">》 </w:t>
            </w:r>
            <w:r>
              <w:rPr>
                <w:rStyle w:val="35"/>
                <w:rFonts w:hint="default" w:ascii="Times New Roman" w:hAnsi="Times New Roman" w:cs="Times New Roman"/>
                <w:b w:val="0"/>
                <w:bCs/>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040" w:type="dxa"/>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highlight w:val="yellow"/>
              </w:rPr>
            </w:pPr>
            <w:r>
              <w:rPr>
                <w:color w:val="auto"/>
                <w:sz w:val="24"/>
              </w:rPr>
              <w:t>评价情况</w:t>
            </w:r>
          </w:p>
        </w:tc>
        <w:tc>
          <w:tcPr>
            <w:tcW w:w="7020" w:type="dxa"/>
            <w:gridSpan w:val="3"/>
            <w:vAlign w:val="center"/>
          </w:tcPr>
          <w:p>
            <w:pPr>
              <w:spacing w:line="240" w:lineRule="auto"/>
              <w:jc w:val="center"/>
              <w:rPr>
                <w:color w:val="auto"/>
                <w:sz w:val="24"/>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80" w:hRule="atLeast"/>
          <w:jc w:val="center"/>
        </w:trPr>
        <w:tc>
          <w:tcPr>
            <w:tcW w:w="2040" w:type="dxa"/>
            <w:vAlign w:val="center"/>
          </w:tcPr>
          <w:p>
            <w:pPr>
              <w:adjustRightInd w:val="0"/>
              <w:snapToGrid w:val="0"/>
              <w:jc w:val="center"/>
              <w:rPr>
                <w:color w:val="auto"/>
                <w:sz w:val="24"/>
              </w:rPr>
            </w:pPr>
            <w:r>
              <w:rPr>
                <w:color w:val="auto"/>
                <w:kern w:val="0"/>
                <w:sz w:val="24"/>
              </w:rPr>
              <w:t>规划及规划环境影响评价符合性分析</w:t>
            </w:r>
          </w:p>
        </w:tc>
        <w:tc>
          <w:tcPr>
            <w:tcW w:w="7020" w:type="dxa"/>
            <w:gridSpan w:val="3"/>
            <w:vAlign w:val="center"/>
          </w:tcPr>
          <w:p>
            <w:pPr>
              <w:pStyle w:val="38"/>
              <w:numPr>
                <w:ilvl w:val="0"/>
                <w:numId w:val="2"/>
              </w:numPr>
              <w:tabs>
                <w:tab w:val="left" w:pos="439"/>
              </w:tabs>
              <w:spacing w:line="360" w:lineRule="auto"/>
              <w:ind w:firstLine="480" w:firstLineChars="200"/>
              <w:jc w:val="both"/>
              <w:rPr>
                <w:rStyle w:val="35"/>
                <w:rFonts w:hint="default" w:ascii="Times New Roman" w:hAnsi="Times New Roman" w:cs="Times New Roman"/>
                <w:b/>
                <w:color w:val="auto"/>
                <w:sz w:val="24"/>
              </w:rPr>
            </w:pPr>
            <w:r>
              <w:rPr>
                <w:rFonts w:hint="eastAsia"/>
                <w:b w:val="0"/>
                <w:bCs w:val="0"/>
                <w:color w:val="auto"/>
                <w:sz w:val="24"/>
                <w:szCs w:val="24"/>
                <w:lang w:eastAsia="zh-CN"/>
              </w:rPr>
              <w:t>与</w:t>
            </w:r>
            <w:r>
              <w:rPr>
                <w:rStyle w:val="35"/>
                <w:rFonts w:hint="default"/>
                <w:color w:val="auto"/>
                <w:sz w:val="24"/>
              </w:rPr>
              <w:t>《寿县</w:t>
            </w:r>
            <w:r>
              <w:rPr>
                <w:rStyle w:val="35"/>
                <w:rFonts w:hint="eastAsia"/>
                <w:color w:val="auto"/>
                <w:sz w:val="24"/>
                <w:lang w:eastAsia="zh-CN"/>
              </w:rPr>
              <w:t>众兴镇国土空间总</w:t>
            </w:r>
            <w:r>
              <w:rPr>
                <w:rStyle w:val="35"/>
                <w:rFonts w:hint="default" w:ascii="Times New Roman" w:hAnsi="Times New Roman" w:cs="Times New Roman"/>
                <w:color w:val="auto"/>
                <w:sz w:val="24"/>
                <w:lang w:eastAsia="zh-CN"/>
              </w:rPr>
              <w:t>体规划（</w:t>
            </w:r>
            <w:r>
              <w:rPr>
                <w:rStyle w:val="35"/>
                <w:rFonts w:hint="default" w:ascii="Times New Roman" w:hAnsi="Times New Roman" w:cs="Times New Roman"/>
                <w:color w:val="auto"/>
                <w:sz w:val="24"/>
                <w:lang w:val="en-US" w:eastAsia="zh-CN"/>
              </w:rPr>
              <w:t>2021-2035年</w:t>
            </w:r>
            <w:r>
              <w:rPr>
                <w:rStyle w:val="35"/>
                <w:rFonts w:hint="default" w:ascii="Times New Roman" w:hAnsi="Times New Roman" w:cs="Times New Roman"/>
                <w:color w:val="auto"/>
                <w:sz w:val="24"/>
                <w:lang w:eastAsia="zh-CN"/>
              </w:rPr>
              <w:t>）</w:t>
            </w:r>
            <w:r>
              <w:rPr>
                <w:rStyle w:val="35"/>
                <w:rFonts w:hint="default" w:ascii="Times New Roman" w:hAnsi="Times New Roman" w:cs="Times New Roman"/>
                <w:color w:val="auto"/>
                <w:sz w:val="24"/>
              </w:rPr>
              <w:t>》</w:t>
            </w:r>
            <w:r>
              <w:rPr>
                <w:rStyle w:val="35"/>
                <w:rFonts w:hint="default" w:ascii="Times New Roman" w:hAnsi="Times New Roman" w:eastAsia="宋体" w:cs="Times New Roman"/>
                <w:b w:val="0"/>
                <w:bCs/>
                <w:color w:val="auto"/>
                <w:sz w:val="24"/>
                <w:lang w:eastAsia="zh-CN"/>
              </w:rPr>
              <w:t>相符性分析</w:t>
            </w:r>
          </w:p>
          <w:p>
            <w:pPr>
              <w:pStyle w:val="38"/>
              <w:numPr>
                <w:ilvl w:val="0"/>
                <w:numId w:val="0"/>
              </w:numPr>
              <w:tabs>
                <w:tab w:val="left" w:pos="439"/>
              </w:tabs>
              <w:spacing w:line="360" w:lineRule="auto"/>
              <w:ind w:firstLine="480" w:firstLineChars="200"/>
              <w:jc w:val="both"/>
              <w:rPr>
                <w:rFonts w:hint="eastAsia" w:eastAsia="宋体"/>
                <w:color w:val="auto"/>
                <w:sz w:val="24"/>
                <w:szCs w:val="24"/>
                <w:lang w:eastAsia="zh-CN"/>
              </w:rPr>
            </w:pPr>
            <w:r>
              <w:rPr>
                <w:rFonts w:hint="default" w:ascii="Times New Roman" w:hAnsi="Times New Roman" w:eastAsia="宋体" w:cs="Times New Roman"/>
                <w:i w:val="0"/>
                <w:iCs w:val="0"/>
                <w:caps w:val="0"/>
                <w:color w:val="auto"/>
                <w:spacing w:val="0"/>
                <w:sz w:val="24"/>
                <w:szCs w:val="24"/>
                <w:shd w:val="clear" w:fill="FFFFFF"/>
                <w:lang w:eastAsia="zh-CN"/>
              </w:rPr>
              <w:t>根据</w:t>
            </w:r>
            <w:r>
              <w:rPr>
                <w:rFonts w:hint="default" w:ascii="Times New Roman" w:hAnsi="Times New Roman" w:eastAsia="Segoe UI" w:cs="Times New Roman"/>
                <w:i w:val="0"/>
                <w:iCs w:val="0"/>
                <w:caps w:val="0"/>
                <w:color w:val="auto"/>
                <w:spacing w:val="0"/>
                <w:sz w:val="24"/>
                <w:szCs w:val="24"/>
                <w:shd w:val="clear" w:fill="FFFFFF"/>
              </w:rPr>
              <w:t>《寿</w:t>
            </w:r>
            <w:r>
              <w:rPr>
                <w:rFonts w:hint="default" w:ascii="Times New Roman" w:hAnsi="Times New Roman" w:eastAsia="Segoe UI" w:cs="Times New Roman"/>
                <w:i w:val="0"/>
                <w:iCs w:val="0"/>
                <w:caps w:val="0"/>
                <w:color w:val="auto"/>
                <w:spacing w:val="0"/>
                <w:sz w:val="24"/>
                <w:szCs w:val="24"/>
                <w:highlight w:val="none"/>
                <w:shd w:val="clear" w:fill="FFFFFF"/>
              </w:rPr>
              <w:t>县</w:t>
            </w:r>
            <w:r>
              <w:rPr>
                <w:rFonts w:hint="default" w:ascii="Times New Roman" w:hAnsi="Times New Roman" w:cs="Times New Roman"/>
                <w:i w:val="0"/>
                <w:iCs w:val="0"/>
                <w:caps w:val="0"/>
                <w:color w:val="auto"/>
                <w:spacing w:val="0"/>
                <w:sz w:val="24"/>
                <w:szCs w:val="24"/>
                <w:highlight w:val="none"/>
                <w:shd w:val="clear" w:fill="FFFFFF"/>
                <w:lang w:eastAsia="zh-CN"/>
              </w:rPr>
              <w:t>众兴镇</w:t>
            </w:r>
            <w:r>
              <w:rPr>
                <w:rFonts w:hint="default" w:ascii="Times New Roman" w:hAnsi="Times New Roman" w:eastAsia="Segoe UI" w:cs="Times New Roman"/>
                <w:i w:val="0"/>
                <w:iCs w:val="0"/>
                <w:caps w:val="0"/>
                <w:color w:val="auto"/>
                <w:spacing w:val="0"/>
                <w:sz w:val="24"/>
                <w:szCs w:val="24"/>
                <w:highlight w:val="none"/>
                <w:shd w:val="clear" w:fill="FFFFFF"/>
              </w:rPr>
              <w:t>国</w:t>
            </w:r>
            <w:r>
              <w:rPr>
                <w:rFonts w:hint="default" w:ascii="Times New Roman" w:hAnsi="Times New Roman" w:eastAsia="Segoe UI" w:cs="Times New Roman"/>
                <w:i w:val="0"/>
                <w:iCs w:val="0"/>
                <w:caps w:val="0"/>
                <w:color w:val="auto"/>
                <w:spacing w:val="0"/>
                <w:sz w:val="24"/>
                <w:szCs w:val="24"/>
                <w:shd w:val="clear" w:fill="FFFFFF"/>
              </w:rPr>
              <w:t>土空间总体规划（2021-2035年）</w:t>
            </w:r>
            <w:r>
              <w:rPr>
                <w:rFonts w:ascii="Segoe UI" w:hAnsi="Segoe UI" w:eastAsia="Segoe UI" w:cs="Segoe UI"/>
                <w:i w:val="0"/>
                <w:iCs w:val="0"/>
                <w:caps w:val="0"/>
                <w:color w:val="auto"/>
                <w:spacing w:val="0"/>
                <w:sz w:val="24"/>
                <w:szCs w:val="24"/>
                <w:shd w:val="clear" w:fill="FFFFFF"/>
              </w:rPr>
              <w:t>》</w:t>
            </w:r>
            <w:r>
              <w:rPr>
                <w:rFonts w:hint="eastAsia" w:ascii="Segoe UI" w:hAnsi="Segoe UI" w:eastAsia="宋体" w:cs="Segoe UI"/>
                <w:i w:val="0"/>
                <w:iCs w:val="0"/>
                <w:caps w:val="0"/>
                <w:color w:val="auto"/>
                <w:spacing w:val="0"/>
                <w:sz w:val="24"/>
                <w:szCs w:val="24"/>
                <w:shd w:val="clear" w:fill="FFFFFF"/>
                <w:lang w:eastAsia="zh-CN"/>
              </w:rPr>
              <w:t>，镇域国土空间总体格局为：统筹发展和安全，立足于寿县现代农业板块的乡村发展前景和农旅融合契机，落实寿县“两核两轴三带两区”的国土空间总体格局，以资源环境承载能力和国土空间开发适宜性为基础，按照“促进生产空间提质增效、生活空间集约和美、生态空间蓝绿交织”的总体要求，构建众兴镇“一核两心，一轴一廊、三片区”国土空间总体格局。三片区包含：特色农业提升示范区、现代农业综合发展区、休闲农业农旅融合区，本项目主要进行粮食烘干，位于现代农业综合发展区</w:t>
            </w:r>
            <w:r>
              <w:rPr>
                <w:rFonts w:hint="eastAsia" w:ascii="Segoe UI" w:hAnsi="Segoe UI" w:cs="Segoe UI"/>
                <w:i w:val="0"/>
                <w:iCs w:val="0"/>
                <w:caps w:val="0"/>
                <w:color w:val="auto"/>
                <w:spacing w:val="0"/>
                <w:sz w:val="24"/>
                <w:szCs w:val="24"/>
                <w:shd w:val="clear" w:fill="FFFFFF"/>
                <w:lang w:eastAsia="zh-CN"/>
              </w:rPr>
              <w:t>，</w:t>
            </w:r>
            <w:r>
              <w:rPr>
                <w:rFonts w:hint="default" w:ascii="Segoe UI" w:hAnsi="Segoe UI" w:eastAsia="Segoe UI" w:cs="Segoe UI"/>
                <w:i w:val="0"/>
                <w:iCs w:val="0"/>
                <w:caps w:val="0"/>
                <w:color w:val="auto"/>
                <w:spacing w:val="0"/>
                <w:sz w:val="24"/>
                <w:szCs w:val="24"/>
                <w:shd w:val="clear" w:fill="FFFFFF"/>
              </w:rPr>
              <w:t>符合镇国土空间总体规划要求。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0" w:type="dxa"/>
            <w:vAlign w:val="center"/>
          </w:tcPr>
          <w:p>
            <w:pPr>
              <w:spacing w:line="360" w:lineRule="auto"/>
              <w:jc w:val="center"/>
              <w:outlineLvl w:val="0"/>
              <w:rPr>
                <w:rFonts w:hint="eastAsia" w:ascii="宋体" w:hAnsi="宋体" w:cs="宋体"/>
                <w:color w:val="auto"/>
                <w:kern w:val="0"/>
                <w:sz w:val="24"/>
              </w:rPr>
            </w:pPr>
            <w:r>
              <w:rPr>
                <w:rFonts w:hint="eastAsia" w:ascii="宋体" w:hAnsi="宋体" w:cs="宋体"/>
                <w:color w:val="auto"/>
                <w:kern w:val="0"/>
                <w:sz w:val="24"/>
              </w:rPr>
              <w:t>其他符合性分析</w:t>
            </w:r>
          </w:p>
          <w:p>
            <w:pPr>
              <w:pStyle w:val="38"/>
              <w:rPr>
                <w:rFonts w:hint="eastAsia"/>
                <w:color w:val="auto"/>
              </w:rPr>
            </w:pPr>
          </w:p>
        </w:tc>
        <w:tc>
          <w:tcPr>
            <w:tcW w:w="7020" w:type="dxa"/>
            <w:gridSpan w:val="3"/>
            <w:vAlign w:val="center"/>
          </w:tcPr>
          <w:p>
            <w:pPr>
              <w:spacing w:line="360" w:lineRule="auto"/>
              <w:ind w:firstLine="482" w:firstLineChars="200"/>
              <w:jc w:val="left"/>
              <w:outlineLvl w:val="0"/>
              <w:rPr>
                <w:rFonts w:hint="eastAsia"/>
                <w:b/>
                <w:bCs/>
                <w:color w:val="auto"/>
                <w:sz w:val="24"/>
              </w:rPr>
            </w:pPr>
            <w:r>
              <w:rPr>
                <w:rFonts w:hint="eastAsia"/>
                <w:b/>
                <w:bCs/>
                <w:color w:val="auto"/>
                <w:sz w:val="24"/>
                <w:lang w:eastAsia="zh-CN"/>
              </w:rPr>
              <w:t>1.</w:t>
            </w:r>
            <w:r>
              <w:rPr>
                <w:rFonts w:hint="eastAsia"/>
                <w:b/>
                <w:bCs/>
                <w:color w:val="auto"/>
                <w:sz w:val="24"/>
              </w:rPr>
              <w:t>产业政策符合性分析</w:t>
            </w:r>
          </w:p>
          <w:p>
            <w:pPr>
              <w:adjustRightInd w:val="0"/>
              <w:snapToGrid w:val="0"/>
              <w:spacing w:line="360" w:lineRule="auto"/>
              <w:ind w:firstLine="480"/>
              <w:jc w:val="both"/>
              <w:rPr>
                <w:color w:val="auto"/>
                <w:sz w:val="24"/>
              </w:rPr>
            </w:pPr>
            <w:r>
              <w:rPr>
                <w:rFonts w:hint="eastAsia"/>
                <w:color w:val="auto"/>
                <w:sz w:val="24"/>
              </w:rPr>
              <w:t>根据《产业结构调整指导目录（2024 年本）》，本项目粮食烘干生产线属于鼓励类的“一、农林牧渔业：8、农产品仓储运输：农林牧渔产品储运、保鲜、加工与综合利用”，为“鼓励类”</w:t>
            </w:r>
            <w:r>
              <w:rPr>
                <w:rFonts w:hint="eastAsia"/>
                <w:color w:val="auto"/>
                <w:sz w:val="24"/>
                <w:highlight w:val="none"/>
              </w:rPr>
              <w:t>。</w:t>
            </w:r>
            <w:r>
              <w:rPr>
                <w:rFonts w:hint="eastAsia"/>
                <w:color w:val="auto"/>
                <w:sz w:val="24"/>
              </w:rPr>
              <w:t>本项目已取得</w:t>
            </w:r>
            <w:r>
              <w:rPr>
                <w:rFonts w:hint="eastAsia"/>
                <w:color w:val="auto"/>
                <w:sz w:val="24"/>
                <w:lang w:eastAsia="zh-CN"/>
              </w:rPr>
              <w:t>寿县发展和改革委员会</w:t>
            </w:r>
            <w:r>
              <w:rPr>
                <w:rFonts w:hint="eastAsia"/>
                <w:color w:val="auto"/>
                <w:sz w:val="24"/>
              </w:rPr>
              <w:t>备案文件</w:t>
            </w:r>
            <w:r>
              <w:rPr>
                <w:rFonts w:hint="eastAsia"/>
                <w:color w:val="auto"/>
                <w:sz w:val="24"/>
                <w:highlight w:val="none"/>
              </w:rPr>
              <w:t>，项目代码为</w:t>
            </w:r>
            <w:r>
              <w:rPr>
                <w:rFonts w:hint="eastAsia"/>
                <w:color w:val="auto"/>
                <w:sz w:val="24"/>
                <w:highlight w:val="none"/>
                <w:lang w:eastAsia="zh-CN"/>
              </w:rPr>
              <w:t>2515-340422-04-05-688468</w:t>
            </w:r>
            <w:r>
              <w:rPr>
                <w:rFonts w:hint="eastAsia"/>
                <w:color w:val="auto"/>
                <w:sz w:val="24"/>
                <w:highlight w:val="none"/>
              </w:rPr>
              <w:t>，</w:t>
            </w:r>
            <w:r>
              <w:rPr>
                <w:color w:val="auto"/>
                <w:sz w:val="24"/>
              </w:rPr>
              <w:t>因此项目建设符合国家产业政策。</w:t>
            </w:r>
          </w:p>
          <w:p>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lang w:eastAsia="zh-CN"/>
              </w:rPr>
              <w:t>2.</w:t>
            </w:r>
            <w:r>
              <w:rPr>
                <w:rFonts w:hint="eastAsia"/>
                <w:b/>
                <w:bCs/>
                <w:color w:val="auto"/>
                <w:kern w:val="0"/>
                <w:sz w:val="24"/>
              </w:rPr>
              <w:t>选址合理性分析</w:t>
            </w:r>
          </w:p>
          <w:p>
            <w:pPr>
              <w:autoSpaceDE w:val="0"/>
              <w:autoSpaceDN w:val="0"/>
              <w:adjustRightInd w:val="0"/>
              <w:snapToGrid w:val="0"/>
              <w:spacing w:line="360" w:lineRule="auto"/>
              <w:ind w:firstLine="480" w:firstLineChars="200"/>
              <w:jc w:val="left"/>
              <w:rPr>
                <w:rFonts w:hint="eastAsia"/>
                <w:color w:val="auto"/>
                <w:kern w:val="0"/>
                <w:sz w:val="24"/>
              </w:rPr>
            </w:pPr>
            <w:r>
              <w:rPr>
                <w:rFonts w:hint="eastAsia"/>
                <w:color w:val="auto"/>
                <w:kern w:val="0"/>
                <w:sz w:val="24"/>
              </w:rPr>
              <w:t>（1）与用地规划相符性分析</w:t>
            </w:r>
          </w:p>
          <w:p>
            <w:pPr>
              <w:spacing w:line="360" w:lineRule="auto"/>
              <w:ind w:firstLine="480" w:firstLineChars="200"/>
              <w:rPr>
                <w:rFonts w:hint="eastAsia"/>
                <w:color w:val="auto"/>
                <w:kern w:val="0"/>
                <w:highlight w:val="none"/>
              </w:rPr>
            </w:pPr>
            <w:r>
              <w:rPr>
                <w:rFonts w:hint="eastAsia"/>
                <w:color w:val="auto"/>
                <w:sz w:val="24"/>
              </w:rPr>
              <w:t>本项目位于</w:t>
            </w:r>
            <w:r>
              <w:rPr>
                <w:rFonts w:hint="eastAsia"/>
                <w:color w:val="auto"/>
                <w:sz w:val="24"/>
                <w:lang w:eastAsia="zh-CN"/>
              </w:rPr>
              <w:t>淮南市寿县众兴镇新店村金圩组</w:t>
            </w:r>
            <w:r>
              <w:rPr>
                <w:rFonts w:hint="eastAsia"/>
                <w:color w:val="auto"/>
                <w:sz w:val="24"/>
              </w:rPr>
              <w:t>。</w:t>
            </w:r>
            <w:r>
              <w:rPr>
                <w:rFonts w:hint="eastAsia"/>
                <w:color w:val="auto"/>
                <w:sz w:val="24"/>
                <w:highlight w:val="none"/>
                <w:lang w:val="en-US" w:eastAsia="zh-CN"/>
              </w:rPr>
              <w:t>根据项目</w:t>
            </w:r>
            <w:r>
              <w:rPr>
                <w:rFonts w:hint="eastAsia"/>
                <w:color w:val="auto"/>
                <w:sz w:val="24"/>
                <w:highlight w:val="none"/>
                <w:lang w:eastAsia="zh-CN"/>
              </w:rPr>
              <w:t>土地性质说明材料</w:t>
            </w:r>
            <w:r>
              <w:rPr>
                <w:rFonts w:hint="eastAsia"/>
                <w:color w:val="auto"/>
                <w:sz w:val="24"/>
                <w:highlight w:val="none"/>
              </w:rPr>
              <w:t>（附件3）</w:t>
            </w:r>
            <w:r>
              <w:rPr>
                <w:color w:val="auto"/>
                <w:sz w:val="24"/>
                <w:highlight w:val="none"/>
              </w:rPr>
              <w:t>，项目所在地块属于</w:t>
            </w:r>
            <w:r>
              <w:rPr>
                <w:rFonts w:hint="eastAsia"/>
                <w:color w:val="auto"/>
                <w:sz w:val="24"/>
                <w:highlight w:val="none"/>
                <w:lang w:eastAsia="zh-CN"/>
              </w:rPr>
              <w:t>设施农用地</w:t>
            </w:r>
            <w:r>
              <w:rPr>
                <w:color w:val="auto"/>
                <w:sz w:val="24"/>
                <w:highlight w:val="none"/>
              </w:rPr>
              <w:t>，用地性质与规划相符。</w:t>
            </w:r>
          </w:p>
          <w:p>
            <w:pPr>
              <w:autoSpaceDE w:val="0"/>
              <w:autoSpaceDN w:val="0"/>
              <w:adjustRightInd w:val="0"/>
              <w:snapToGrid w:val="0"/>
              <w:spacing w:line="360" w:lineRule="auto"/>
              <w:ind w:firstLine="480" w:firstLineChars="200"/>
              <w:jc w:val="left"/>
              <w:rPr>
                <w:rFonts w:hint="eastAsia"/>
                <w:color w:val="auto"/>
                <w:kern w:val="0"/>
                <w:sz w:val="24"/>
              </w:rPr>
            </w:pPr>
            <w:r>
              <w:rPr>
                <w:rFonts w:hint="eastAsia"/>
                <w:color w:val="auto"/>
                <w:kern w:val="0"/>
                <w:sz w:val="24"/>
              </w:rPr>
              <w:t>（2）与周边环境相容性分析</w:t>
            </w:r>
          </w:p>
          <w:p>
            <w:pPr>
              <w:spacing w:line="360" w:lineRule="auto"/>
              <w:ind w:firstLine="480" w:firstLineChars="200"/>
              <w:rPr>
                <w:color w:val="auto"/>
                <w:kern w:val="0"/>
                <w:sz w:val="24"/>
              </w:rPr>
            </w:pPr>
            <w:r>
              <w:rPr>
                <w:rFonts w:hint="eastAsia"/>
                <w:color w:val="auto"/>
                <w:sz w:val="24"/>
                <w:lang w:val="zh-CN"/>
              </w:rPr>
              <w:t>项目位于</w:t>
            </w:r>
            <w:r>
              <w:rPr>
                <w:rFonts w:hint="eastAsia"/>
                <w:color w:val="auto"/>
                <w:sz w:val="24"/>
                <w:lang w:eastAsia="zh-CN"/>
              </w:rPr>
              <w:t>淮南市寿县众兴镇新店村金圩组</w:t>
            </w:r>
            <w:r>
              <w:rPr>
                <w:rFonts w:hint="eastAsia"/>
                <w:color w:val="auto"/>
                <w:sz w:val="24"/>
                <w:lang w:val="zh-CN"/>
              </w:rPr>
              <w:t>，项目区北侧、西侧均为空地，东侧为淮六路，南侧为茂源粮食烘干中心。</w:t>
            </w:r>
            <w:r>
              <w:rPr>
                <w:rFonts w:ascii="宋体" w:hAnsi="宋体" w:cs="宋体"/>
                <w:color w:val="auto"/>
                <w:sz w:val="24"/>
                <w:highlight w:val="none"/>
              </w:rPr>
              <w:t>根据现场勘查，本项目评价区域内无生态保护区、自然保护区、风景旅游区、文化遗产保护区及饮用水源保护区等环境敏感目标。外环境制约因素小，本项目对运营期产生的污染物可实现达标排放，对周边环境影响是</w:t>
            </w:r>
            <w:r>
              <w:rPr>
                <w:rFonts w:ascii="宋体" w:hAnsi="宋体" w:cs="宋体"/>
                <w:color w:val="auto"/>
                <w:sz w:val="24"/>
              </w:rPr>
              <w:t>可接受的，因此本项目建设与周边环境是相容的。</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rPr>
              <w:t>（3）对外环境的影响</w:t>
            </w:r>
          </w:p>
          <w:p>
            <w:pPr>
              <w:spacing w:line="360" w:lineRule="auto"/>
              <w:ind w:firstLine="480" w:firstLineChars="200"/>
              <w:rPr>
                <w:rFonts w:hint="eastAsia"/>
                <w:color w:val="auto"/>
                <w:kern w:val="0"/>
                <w:sz w:val="24"/>
                <w:highlight w:val="none"/>
              </w:rPr>
            </w:pPr>
            <w:r>
              <w:rPr>
                <w:rFonts w:hint="eastAsia"/>
                <w:color w:val="auto"/>
                <w:kern w:val="0"/>
                <w:sz w:val="24"/>
                <w:highlight w:val="none"/>
              </w:rPr>
              <w:t>本项目生产过程中产生的废水主要是生活污水</w:t>
            </w:r>
            <w:r>
              <w:rPr>
                <w:rFonts w:hint="eastAsia"/>
                <w:color w:val="auto"/>
                <w:kern w:val="0"/>
                <w:sz w:val="24"/>
                <w:szCs w:val="24"/>
                <w:highlight w:val="none"/>
                <w:lang w:eastAsia="zh-CN"/>
              </w:rPr>
              <w:t>，</w:t>
            </w:r>
            <w:r>
              <w:rPr>
                <w:rFonts w:hint="eastAsia"/>
                <w:color w:val="auto"/>
                <w:kern w:val="0"/>
                <w:sz w:val="24"/>
                <w:szCs w:val="24"/>
                <w:highlight w:val="none"/>
              </w:rPr>
              <w:t>生活污水</w:t>
            </w:r>
            <w:r>
              <w:rPr>
                <w:rFonts w:hint="eastAsia"/>
                <w:color w:val="auto"/>
                <w:sz w:val="24"/>
                <w:szCs w:val="24"/>
                <w:highlight w:val="none"/>
                <w:lang w:eastAsia="zh-CN"/>
              </w:rPr>
              <w:t>经化粪池预处理后再经厂区一体化污水处理设施处理后达标后回用于厂区抑尘。</w:t>
            </w:r>
            <w:r>
              <w:rPr>
                <w:rFonts w:hint="eastAsia"/>
                <w:color w:val="auto"/>
                <w:kern w:val="0"/>
                <w:sz w:val="24"/>
                <w:szCs w:val="24"/>
                <w:highlight w:val="none"/>
              </w:rPr>
              <w:t>产生的废气、噪声和固废通过设置相应的处理措施，可</w:t>
            </w:r>
            <w:r>
              <w:rPr>
                <w:rFonts w:hint="eastAsia"/>
                <w:color w:val="auto"/>
                <w:kern w:val="0"/>
                <w:sz w:val="24"/>
                <w:highlight w:val="none"/>
              </w:rPr>
              <w:t>实现达标排放，对周围环境影响较小。且不会降低评价区域原有功能级别，对区域环境影响是可接受的。</w:t>
            </w:r>
          </w:p>
          <w:p>
            <w:pPr>
              <w:autoSpaceDE w:val="0"/>
              <w:autoSpaceDN w:val="0"/>
              <w:adjustRightInd w:val="0"/>
              <w:snapToGrid w:val="0"/>
              <w:spacing w:line="360" w:lineRule="auto"/>
              <w:ind w:firstLine="480" w:firstLineChars="200"/>
              <w:jc w:val="left"/>
              <w:rPr>
                <w:color w:val="auto"/>
                <w:highlight w:val="none"/>
              </w:rPr>
            </w:pPr>
            <w:r>
              <w:rPr>
                <w:rFonts w:hint="eastAsia"/>
                <w:color w:val="auto"/>
                <w:kern w:val="0"/>
                <w:sz w:val="24"/>
                <w:highlight w:val="none"/>
              </w:rPr>
              <w:t>综上，本项目选址合理。</w:t>
            </w:r>
          </w:p>
          <w:p>
            <w:pPr>
              <w:spacing w:line="360" w:lineRule="auto"/>
              <w:ind w:firstLine="0" w:firstLineChars="0"/>
              <w:jc w:val="left"/>
              <w:outlineLvl w:val="0"/>
              <w:rPr>
                <w:rFonts w:hint="eastAsia"/>
                <w:b/>
                <w:bCs/>
                <w:color w:val="auto"/>
                <w:sz w:val="24"/>
                <w:highlight w:val="none"/>
              </w:rPr>
            </w:pPr>
            <w:r>
              <w:rPr>
                <w:rFonts w:hint="eastAsia"/>
                <w:b/>
                <w:bCs/>
                <w:color w:val="auto"/>
                <w:sz w:val="24"/>
                <w:highlight w:val="none"/>
                <w:lang w:eastAsia="zh-CN"/>
              </w:rPr>
              <w:t>3.</w:t>
            </w:r>
            <w:r>
              <w:rPr>
                <w:b/>
                <w:bCs/>
                <w:color w:val="auto"/>
                <w:sz w:val="24"/>
                <w:highlight w:val="none"/>
              </w:rPr>
              <w:t>项目“三线一单”符合性分析</w:t>
            </w:r>
          </w:p>
          <w:p>
            <w:pPr>
              <w:spacing w:line="360" w:lineRule="auto"/>
              <w:ind w:firstLine="482" w:firstLineChars="200"/>
              <w:jc w:val="left"/>
              <w:rPr>
                <w:rFonts w:hint="eastAsia"/>
                <w:b/>
                <w:color w:val="auto"/>
                <w:sz w:val="24"/>
                <w:highlight w:val="none"/>
              </w:rPr>
            </w:pPr>
            <w:r>
              <w:rPr>
                <w:rFonts w:hint="eastAsia"/>
                <w:b/>
                <w:color w:val="auto"/>
                <w:sz w:val="24"/>
                <w:highlight w:val="none"/>
              </w:rPr>
              <w:t>（1）生态红线</w:t>
            </w:r>
          </w:p>
          <w:p>
            <w:pPr>
              <w:spacing w:line="360" w:lineRule="auto"/>
              <w:ind w:firstLine="480" w:firstLineChars="200"/>
              <w:jc w:val="both"/>
              <w:rPr>
                <w:color w:val="auto"/>
                <w:sz w:val="24"/>
                <w:highlight w:val="none"/>
              </w:rPr>
            </w:pPr>
            <w:r>
              <w:rPr>
                <w:color w:val="auto"/>
                <w:sz w:val="24"/>
                <w:highlight w:val="none"/>
              </w:rPr>
              <w:t>项目位于</w:t>
            </w:r>
            <w:r>
              <w:rPr>
                <w:rFonts w:hint="eastAsia"/>
                <w:color w:val="auto"/>
                <w:sz w:val="24"/>
                <w:highlight w:val="none"/>
                <w:lang w:eastAsia="zh-CN"/>
              </w:rPr>
              <w:t>安徽省淮南市寿县众兴镇新店村金圩组境内</w:t>
            </w:r>
            <w:r>
              <w:rPr>
                <w:color w:val="auto"/>
                <w:sz w:val="24"/>
                <w:highlight w:val="none"/>
              </w:rPr>
              <w:t>，周边区域不涉及重点生态功能区、生态敏感区、生态脆弱区、禁止开发区以及其他未列入上述范围、但具有重要生态功能或生态环境敏感、脆弱的区域</w:t>
            </w:r>
            <w:r>
              <w:rPr>
                <w:rFonts w:hint="eastAsia"/>
                <w:color w:val="auto"/>
                <w:sz w:val="24"/>
                <w:highlight w:val="none"/>
                <w:lang w:eastAsia="zh-CN"/>
              </w:rPr>
              <w:t>（详见附图</w:t>
            </w:r>
            <w:r>
              <w:rPr>
                <w:rFonts w:hint="eastAsia"/>
                <w:color w:val="auto"/>
                <w:sz w:val="24"/>
                <w:highlight w:val="none"/>
                <w:lang w:val="en-US" w:eastAsia="zh-CN"/>
              </w:rPr>
              <w:t>5</w:t>
            </w:r>
            <w:r>
              <w:rPr>
                <w:rFonts w:hint="eastAsia"/>
                <w:color w:val="auto"/>
                <w:sz w:val="24"/>
                <w:highlight w:val="none"/>
                <w:lang w:eastAsia="zh-CN"/>
              </w:rPr>
              <w:t>）</w:t>
            </w:r>
            <w:r>
              <w:rPr>
                <w:color w:val="auto"/>
                <w:sz w:val="24"/>
                <w:highlight w:val="none"/>
              </w:rPr>
              <w:t>。因此，本项目满足</w:t>
            </w:r>
            <w:r>
              <w:rPr>
                <w:rFonts w:hint="eastAsia"/>
                <w:color w:val="auto"/>
                <w:sz w:val="24"/>
                <w:highlight w:val="none"/>
              </w:rPr>
              <w:t>淮南</w:t>
            </w:r>
            <w:r>
              <w:rPr>
                <w:color w:val="auto"/>
                <w:sz w:val="24"/>
                <w:highlight w:val="none"/>
              </w:rPr>
              <w:t>市生态保护红线空间管控要求。</w:t>
            </w:r>
          </w:p>
          <w:p>
            <w:pPr>
              <w:spacing w:line="360" w:lineRule="auto"/>
              <w:ind w:firstLine="482" w:firstLineChars="200"/>
              <w:rPr>
                <w:b/>
                <w:bCs/>
                <w:color w:val="auto"/>
                <w:sz w:val="24"/>
              </w:rPr>
            </w:pPr>
            <w:r>
              <w:rPr>
                <w:b/>
                <w:bCs/>
                <w:color w:val="auto"/>
                <w:sz w:val="24"/>
              </w:rPr>
              <w:t>（2）环境质量底线</w:t>
            </w:r>
          </w:p>
          <w:p>
            <w:pPr>
              <w:widowControl/>
              <w:spacing w:line="360" w:lineRule="auto"/>
              <w:ind w:firstLine="480" w:firstLineChars="200"/>
              <w:rPr>
                <w:rFonts w:hint="default" w:ascii="Times New Roman" w:hAnsi="Times New Roman" w:cs="Times New Roman"/>
                <w:color w:val="auto"/>
                <w:sz w:val="24"/>
                <w:szCs w:val="24"/>
                <w:lang w:val="en-US" w:eastAsia="zh-CN"/>
              </w:rPr>
            </w:pPr>
            <w:r>
              <w:rPr>
                <w:color w:val="auto"/>
                <w:sz w:val="24"/>
              </w:rPr>
              <w:t>根据淮南市生态环境局发布的《202</w:t>
            </w:r>
            <w:r>
              <w:rPr>
                <w:rFonts w:hint="eastAsia"/>
                <w:color w:val="auto"/>
                <w:sz w:val="24"/>
                <w:lang w:val="en-US" w:eastAsia="zh-CN"/>
              </w:rPr>
              <w:t>4</w:t>
            </w:r>
            <w:r>
              <w:rPr>
                <w:color w:val="auto"/>
                <w:sz w:val="24"/>
              </w:rPr>
              <w:t>年淮南市环境质量状况公报》，区域 PM</w:t>
            </w:r>
            <w:r>
              <w:rPr>
                <w:color w:val="auto"/>
                <w:sz w:val="24"/>
                <w:vertAlign w:val="subscript"/>
              </w:rPr>
              <w:t>2.5</w:t>
            </w:r>
            <w:r>
              <w:rPr>
                <w:color w:val="auto"/>
                <w:sz w:val="24"/>
              </w:rPr>
              <w:t>超过《环境空气质量标准》（GB3095-2012）二级标准要求，区域大气环境质量不达标，</w:t>
            </w:r>
            <w:r>
              <w:rPr>
                <w:rFonts w:hint="eastAsia"/>
                <w:color w:val="auto"/>
                <w:sz w:val="24"/>
              </w:rPr>
              <w:t>淮南市生态环境局就空气质量不达标提出一系列举措，依据《淮南市大气污染防治行动计划实施方案》等工作文件，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r>
              <w:rPr>
                <w:rFonts w:hint="eastAsia" w:ascii="Times New Roman" w:hAnsi="Times New Roman" w:eastAsia="宋体" w:cs="Times New Roman"/>
                <w:color w:val="auto"/>
                <w:kern w:val="0"/>
                <w:sz w:val="24"/>
                <w:szCs w:val="24"/>
                <w:lang w:val="en-US" w:eastAsia="zh-CN" w:bidi="ar"/>
              </w:rPr>
              <w:t>。本项目运行后，大气环境、</w:t>
            </w:r>
            <w:r>
              <w:rPr>
                <w:rFonts w:hint="default" w:ascii="Times New Roman" w:hAnsi="Times New Roman" w:cs="Times New Roman"/>
                <w:color w:val="auto"/>
                <w:sz w:val="24"/>
                <w:szCs w:val="24"/>
                <w:lang w:val="en-US" w:eastAsia="zh-CN"/>
              </w:rPr>
              <w:t>地表水环境、声环境等均符合相应的标准要求，符合环境质量底线要求。本项目</w:t>
            </w:r>
            <w:r>
              <w:rPr>
                <w:rFonts w:hint="eastAsia" w:cs="Times New Roman"/>
                <w:color w:val="auto"/>
                <w:sz w:val="24"/>
                <w:szCs w:val="24"/>
                <w:lang w:val="en-US" w:eastAsia="zh-CN"/>
              </w:rPr>
              <w:t>生产</w:t>
            </w:r>
            <w:r>
              <w:rPr>
                <w:rFonts w:hint="default" w:ascii="Times New Roman" w:hAnsi="Times New Roman" w:cs="Times New Roman"/>
                <w:color w:val="auto"/>
                <w:sz w:val="24"/>
                <w:szCs w:val="24"/>
                <w:lang w:val="en-US" w:eastAsia="zh-CN"/>
              </w:rPr>
              <w:t>废水</w:t>
            </w:r>
            <w:r>
              <w:rPr>
                <w:rFonts w:hint="eastAsia" w:ascii="Times New Roman" w:hAnsi="Times New Roman" w:cs="Times New Roman"/>
                <w:color w:val="auto"/>
                <w:sz w:val="24"/>
                <w:szCs w:val="24"/>
                <w:lang w:val="en-US" w:eastAsia="zh-CN"/>
              </w:rPr>
              <w:t>不外排，</w:t>
            </w:r>
            <w:r>
              <w:rPr>
                <w:rFonts w:hint="eastAsia"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废气、噪声经治理后均可达标排放，对区域环境影响可接受，不会触及环境质量底线。</w:t>
            </w:r>
          </w:p>
          <w:p>
            <w:pPr>
              <w:spacing w:line="360" w:lineRule="auto"/>
              <w:ind w:firstLine="482" w:firstLineChars="200"/>
              <w:rPr>
                <w:b/>
                <w:bCs/>
                <w:color w:val="auto"/>
                <w:sz w:val="24"/>
              </w:rPr>
            </w:pPr>
            <w:r>
              <w:rPr>
                <w:b/>
                <w:bCs/>
                <w:color w:val="auto"/>
                <w:sz w:val="24"/>
              </w:rPr>
              <w:t>（3）资源利用上线</w:t>
            </w:r>
          </w:p>
          <w:p>
            <w:pPr>
              <w:spacing w:line="360" w:lineRule="auto"/>
              <w:ind w:firstLine="480" w:firstLineChars="200"/>
              <w:rPr>
                <w:color w:val="auto"/>
                <w:sz w:val="24"/>
              </w:rPr>
            </w:pPr>
            <w:r>
              <w:rPr>
                <w:color w:val="auto"/>
                <w:sz w:val="24"/>
              </w:rPr>
              <w:t>本项目供水、供电均由</w:t>
            </w:r>
            <w:r>
              <w:rPr>
                <w:rFonts w:hint="eastAsia"/>
                <w:color w:val="auto"/>
                <w:sz w:val="24"/>
                <w:lang w:eastAsia="zh-CN"/>
              </w:rPr>
              <w:t>厂</w:t>
            </w:r>
            <w:r>
              <w:rPr>
                <w:color w:val="auto"/>
                <w:sz w:val="24"/>
              </w:rPr>
              <w:t>区供水、供电管网提供，生产中考虑水的重复利用，选用低耗节能的生产设备及仪器仪表；</w:t>
            </w:r>
            <w:r>
              <w:rPr>
                <w:rFonts w:hint="eastAsia"/>
                <w:color w:val="auto"/>
                <w:sz w:val="24"/>
                <w:lang w:eastAsia="zh-CN"/>
              </w:rPr>
              <w:t>噪声</w:t>
            </w:r>
            <w:r>
              <w:rPr>
                <w:color w:val="auto"/>
                <w:sz w:val="24"/>
              </w:rPr>
              <w:t>、废气均采取相应的治理措施进行治理，可保证</w:t>
            </w:r>
            <w:r>
              <w:rPr>
                <w:rFonts w:hint="eastAsia"/>
                <w:color w:val="auto"/>
                <w:sz w:val="24"/>
                <w:lang w:eastAsia="zh-CN"/>
              </w:rPr>
              <w:t>噪声</w:t>
            </w:r>
            <w:r>
              <w:rPr>
                <w:color w:val="auto"/>
                <w:sz w:val="24"/>
              </w:rPr>
              <w:t>、废气达标排放，符合资源利用上线。</w:t>
            </w:r>
          </w:p>
          <w:p>
            <w:pPr>
              <w:spacing w:line="360" w:lineRule="auto"/>
              <w:ind w:firstLine="480" w:firstLineChars="200"/>
              <w:rPr>
                <w:color w:val="auto"/>
                <w:sz w:val="24"/>
                <w:highlight w:val="none"/>
              </w:rPr>
            </w:pPr>
            <w:r>
              <w:rPr>
                <w:color w:val="auto"/>
                <w:sz w:val="24"/>
                <w:highlight w:val="none"/>
              </w:rPr>
              <w:t>（4）环境准入清单</w:t>
            </w:r>
          </w:p>
          <w:p>
            <w:pPr>
              <w:pStyle w:val="10"/>
              <w:keepNext w:val="0"/>
              <w:keepLines w:val="0"/>
              <w:pageBreakBefore w:val="0"/>
              <w:widowControl w:val="0"/>
              <w:kinsoku/>
              <w:wordWrap/>
              <w:overflowPunct/>
              <w:topLinePunct w:val="0"/>
              <w:bidi w:val="0"/>
              <w:spacing w:line="360" w:lineRule="auto"/>
              <w:ind w:firstLine="480" w:firstLineChars="200"/>
              <w:jc w:val="left"/>
              <w:textAlignment w:val="auto"/>
              <w:rPr>
                <w:rFonts w:hint="eastAsia" w:cs="Times New Roman"/>
                <w:color w:val="auto"/>
                <w:sz w:val="24"/>
                <w:szCs w:val="24"/>
                <w:lang w:val="en-US" w:eastAsia="zh-CN"/>
              </w:rPr>
            </w:pPr>
            <w:r>
              <w:rPr>
                <w:color w:val="auto"/>
              </w:rPr>
              <w:drawing>
                <wp:anchor distT="0" distB="0" distL="114300" distR="114300" simplePos="0" relativeHeight="251662336" behindDoc="0" locked="0" layoutInCell="1" allowOverlap="1">
                  <wp:simplePos x="0" y="0"/>
                  <wp:positionH relativeFrom="column">
                    <wp:posOffset>2973070</wp:posOffset>
                  </wp:positionH>
                  <wp:positionV relativeFrom="paragraph">
                    <wp:posOffset>3618865</wp:posOffset>
                  </wp:positionV>
                  <wp:extent cx="1332230" cy="1343660"/>
                  <wp:effectExtent l="0" t="0" r="1270" b="889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1332230" cy="1343660"/>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1257300</wp:posOffset>
                      </wp:positionH>
                      <wp:positionV relativeFrom="paragraph">
                        <wp:posOffset>2117725</wp:posOffset>
                      </wp:positionV>
                      <wp:extent cx="1009015" cy="352425"/>
                      <wp:effectExtent l="4445" t="5080" r="72390" b="290195"/>
                      <wp:wrapNone/>
                      <wp:docPr id="31" name="圆角矩形标注 31"/>
                      <wp:cNvGraphicFramePr/>
                      <a:graphic xmlns:a="http://schemas.openxmlformats.org/drawingml/2006/main">
                        <a:graphicData uri="http://schemas.microsoft.com/office/word/2010/wordprocessingShape">
                          <wps:wsp>
                            <wps:cNvSpPr/>
                            <wps:spPr>
                              <a:xfrm>
                                <a:off x="0" y="0"/>
                                <a:ext cx="1009015" cy="352425"/>
                              </a:xfrm>
                              <a:prstGeom prst="wedgeRoundRectCallout">
                                <a:avLst>
                                  <a:gd name="adj1" fmla="val 53486"/>
                                  <a:gd name="adj2" fmla="val 126755"/>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本项目位置</w:t>
                                  </w:r>
                                </w:p>
                              </w:txbxContent>
                            </wps:txbx>
                            <wps:bodyPr upright="1"/>
                          </wps:wsp>
                        </a:graphicData>
                      </a:graphic>
                    </wp:anchor>
                  </w:drawing>
                </mc:Choice>
                <mc:Fallback>
                  <w:pict>
                    <v:shape id="_x0000_s1026" o:spid="_x0000_s1026" o:spt="62" type="#_x0000_t62" style="position:absolute;left:0pt;margin-left:99pt;margin-top:166.75pt;height:27.75pt;width:79.45pt;z-index:251661312;mso-width-relative:page;mso-height-relative:page;" fillcolor="#FFFFFF" filled="t" stroked="t" coordsize="21600,21600" o:gfxdata="UEsDBAoAAAAAAIdO4kAAAAAAAAAAAAAAAAAEAAAAZHJzL1BLAwQUAAAACACHTuJAIitZ69sAAAAL&#10;AQAADwAAAGRycy9kb3ducmV2LnhtbE2PzU7DMBCE70i8g7VI3KidRC1JGqcCJFoOvbRU9Oom2yQQ&#10;r6PY/eHtWU5w29GOZr4pFlfbizOOvnOkIZooEEiVqztqNOzeXx9SED4Yqk3vCDV8o4dFeXtTmLx2&#10;F9rgeRsawSHkc6OhDWHIpfRVi9b4iRuQ+Hd0ozWB5djIejQXDre9jJWaSWs64obWDPjSYvW1PVkN&#10;n/J5/2F2y030uHqy9m21PK7jWOv7u0jNQQS8hj8z/OIzOpTMdHAnqr3oWWcpbwkakiSZgmBHMp1l&#10;IA58pJkCWRby/4byB1BLAwQUAAAACACHTuJAppDizjkCAABwBAAADgAAAGRycy9lMm9Eb2MueG1s&#10;rVTLctMwFN0zwz9otKd2nNptM3G6aAgbBjotfIAiybYYvUZSYucHYM+aGTpsgDVrPqeFz+BaMWkC&#10;LBgGL+Qr6+ro3HOuPD3vlERr7rwwusSjoxQjrqlhQtclfvli8egUIx+IZkQazUu84R6fzx4+mLZ2&#10;wjPTGMm4QwCi/aS1JW5CsJMk8bThivgjY7mGxco4RQJMXZ0wR1pAVzLJ0rRIWuOYdYZy7+HrfLuI&#10;ZxG/qjgNz6vK84BkiYFbiKOL47Ifk9mUTGpHbCPoQIP8AwtFhIZDd1BzEghaOfEblBLUGW+qcESN&#10;SkxVCcpjDVDNKP2lmuuGWB5rAXG83cnk/x8sfba+dEiwEo9HGGmiwKPbd6+/f3z77f3n268f7m7e&#10;3H35hGARlGqtn8CGa3vphpmHsC+7q5zq31AQ6qK6m526vAuIwsdRmp6loxwjCmvjPDvO8h40ud9t&#10;nQ9PuFGoD0rcclbzK7PS7Ap8vCBSmlWIKpP1Ux+i3GzgTNgr4F8pCe6tiUT5+Pi0GNzdy8n2c0ZZ&#10;cZJHDuDbXtL4IKkoipOB53AsMP7JtOfgjRRsIaSME1cvL6RDwKHEi/gMmw/SpEZtic9ykABRAn1f&#10;SRIgVBac8LqOVR7s8PvAaXz+BNwTmxPfbAlEhK0KSgTuYrc3nLDHmqGwsWC2hmuJezKKM4wkh1vc&#10;RzEzECH/JhMEkRqc7Ptj2xF9FLplN7TJ0rANtNnKOlE34GzsppgObR1bYLiC/b3Zn0fQ+x/F7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K1nr2wAAAAsBAAAPAAAAAAAAAAEAIAAAACIAAABkcnMv&#10;ZG93bnJldi54bWxQSwECFAAUAAAACACHTuJAppDizjkCAABwBAAADgAAAAAAAAABACAAAAAqAQAA&#10;ZHJzL2Uyb0RvYy54bWxQSwUGAAAAAAYABgBZAQAA1QUAAAAA&#10;" adj="22353,38179,14400">
                      <v:fill on="t" focussize="0,0"/>
                      <v:stroke color="#000000" joinstyle="miter"/>
                      <v:imagedata o:title=""/>
                      <o:lock v:ext="edit" aspectratio="f"/>
                      <v:textbox>
                        <w:txbxContent>
                          <w:p>
                            <w:pPr>
                              <w:rPr>
                                <w:rFonts w:hint="eastAsia" w:eastAsia="宋体"/>
                                <w:lang w:eastAsia="zh-CN"/>
                              </w:rPr>
                            </w:pPr>
                            <w:r>
                              <w:rPr>
                                <w:rFonts w:hint="eastAsia"/>
                                <w:lang w:eastAsia="zh-CN"/>
                              </w:rPr>
                              <w:t>本项目位置</w:t>
                            </w:r>
                          </w:p>
                        </w:txbxContent>
                      </v:textbox>
                    </v:shape>
                  </w:pict>
                </mc:Fallback>
              </mc:AlternateContent>
            </w: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kern w:val="0"/>
                <w:sz w:val="24"/>
                <w:szCs w:val="24"/>
                <w:highlight w:val="none"/>
              </w:rPr>
              <w:t>《淮南市</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三线一单</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环境准入清单》</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项目所在区域</w:t>
            </w:r>
            <w:r>
              <w:rPr>
                <w:rFonts w:hint="eastAsia" w:cs="Times New Roman"/>
                <w:color w:val="auto"/>
                <w:kern w:val="0"/>
                <w:sz w:val="24"/>
                <w:szCs w:val="24"/>
                <w:highlight w:val="none"/>
                <w:lang w:eastAsia="zh-CN"/>
              </w:rPr>
              <w:t>属于</w:t>
            </w:r>
            <w:r>
              <w:rPr>
                <w:rFonts w:hint="eastAsia" w:ascii="Times New Roman" w:hAnsi="Times New Roman" w:eastAsia="宋体" w:cs="Times New Roman"/>
                <w:color w:val="auto"/>
                <w:kern w:val="0"/>
                <w:sz w:val="24"/>
                <w:szCs w:val="24"/>
                <w:highlight w:val="none"/>
                <w:lang w:val="en-US" w:eastAsia="zh-CN"/>
              </w:rPr>
              <w:t>“一般管控单元</w:t>
            </w:r>
            <w:r>
              <w:rPr>
                <w:rFonts w:hint="eastAsia" w:cs="Times New Roman"/>
                <w:color w:val="auto"/>
                <w:kern w:val="0"/>
                <w:sz w:val="24"/>
                <w:szCs w:val="24"/>
                <w:highlight w:val="none"/>
                <w:lang w:val="en-US" w:eastAsia="zh-CN"/>
              </w:rPr>
              <w:t>7</w:t>
            </w:r>
            <w:r>
              <w:rPr>
                <w:rFonts w:hint="eastAsia" w:ascii="Times New Roman" w:hAnsi="Times New Roman" w:eastAsia="宋体" w:cs="Times New Roman"/>
                <w:color w:val="auto"/>
                <w:kern w:val="0"/>
                <w:sz w:val="24"/>
                <w:szCs w:val="24"/>
                <w:highlight w:val="none"/>
                <w:lang w:val="en-US" w:eastAsia="zh-CN"/>
              </w:rPr>
              <w:t>（ZH340422300</w:t>
            </w:r>
            <w:r>
              <w:rPr>
                <w:rFonts w:hint="eastAsia" w:cs="Times New Roman"/>
                <w:color w:val="auto"/>
                <w:kern w:val="0"/>
                <w:sz w:val="24"/>
                <w:szCs w:val="24"/>
                <w:highlight w:val="none"/>
                <w:lang w:val="en-US" w:eastAsia="zh-CN"/>
              </w:rPr>
              <w:t>05</w:t>
            </w:r>
            <w:r>
              <w:rPr>
                <w:rFonts w:hint="eastAsia" w:ascii="Times New Roman" w:hAnsi="Times New Roman" w:eastAsia="宋体" w:cs="Times New Roman"/>
                <w:color w:val="auto"/>
                <w:kern w:val="0"/>
                <w:sz w:val="24"/>
                <w:szCs w:val="24"/>
                <w:highlight w:val="none"/>
                <w:lang w:val="en-US" w:eastAsia="zh-CN"/>
              </w:rPr>
              <w:t>） ”，</w:t>
            </w:r>
            <w:r>
              <w:rPr>
                <w:rFonts w:hint="default" w:ascii="Times New Roman" w:hAnsi="Times New Roman" w:cs="Times New Roman"/>
                <w:color w:val="auto"/>
                <w:sz w:val="24"/>
                <w:szCs w:val="24"/>
                <w:highlight w:val="none"/>
                <w:lang w:val="en-US" w:eastAsia="zh-CN"/>
              </w:rPr>
              <w:t>项目评价范围内不涉及</w:t>
            </w:r>
            <w:r>
              <w:rPr>
                <w:rFonts w:hint="eastAsia" w:cs="Times New Roman"/>
                <w:color w:val="auto"/>
                <w:sz w:val="24"/>
                <w:szCs w:val="24"/>
                <w:highlight w:val="none"/>
                <w:lang w:val="en-US" w:eastAsia="zh-CN"/>
              </w:rPr>
              <w:t>生态保护红线</w:t>
            </w:r>
            <w:r>
              <w:rPr>
                <w:rFonts w:hint="default" w:ascii="Times New Roman" w:hAnsi="Times New Roman" w:cs="Times New Roman"/>
                <w:color w:val="auto"/>
                <w:sz w:val="24"/>
                <w:szCs w:val="24"/>
                <w:highlight w:val="none"/>
                <w:lang w:val="en-US" w:eastAsia="zh-CN"/>
              </w:rPr>
              <w:t>区域，不属于禁止开发建</w:t>
            </w:r>
            <w:r>
              <w:rPr>
                <w:rFonts w:hint="default" w:ascii="Times New Roman" w:hAnsi="Times New Roman" w:cs="Times New Roman"/>
                <w:color w:val="auto"/>
                <w:sz w:val="24"/>
                <w:szCs w:val="24"/>
                <w:lang w:val="en-US" w:eastAsia="zh-CN"/>
              </w:rPr>
              <w:t>设活动、限制开发建设活动、不符合空间布局要求活动的范围内，符合单元有关空间布局约束、污染物排放管控、环境风险防控、资源开发效率要求等相关管控要求</w:t>
            </w:r>
            <w:r>
              <w:rPr>
                <w:rFonts w:hint="eastAsia" w:cs="Times New Roman"/>
                <w:color w:val="auto"/>
                <w:sz w:val="24"/>
                <w:szCs w:val="24"/>
                <w:lang w:val="en-US" w:eastAsia="zh-CN"/>
              </w:rPr>
              <w:t xml:space="preserve">。   </w:t>
            </w:r>
            <w:r>
              <w:drawing>
                <wp:inline distT="0" distB="0" distL="114300" distR="114300">
                  <wp:extent cx="4318000" cy="3240405"/>
                  <wp:effectExtent l="0" t="0" r="6350" b="171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4318000" cy="3240405"/>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bidi w:val="0"/>
              <w:spacing w:line="360" w:lineRule="auto"/>
              <w:ind w:firstLine="422" w:firstLineChars="200"/>
              <w:jc w:val="center"/>
              <w:textAlignment w:val="auto"/>
              <w:rPr>
                <w:rFonts w:hint="default"/>
                <w:b/>
                <w:bCs/>
                <w:color w:val="auto"/>
                <w:sz w:val="21"/>
                <w:szCs w:val="21"/>
                <w:lang w:val="en-US" w:eastAsia="zh-CN"/>
              </w:rPr>
            </w:pPr>
            <w:r>
              <w:rPr>
                <w:rFonts w:hint="eastAsia"/>
                <w:b/>
                <w:bCs/>
                <w:color w:val="auto"/>
                <w:sz w:val="21"/>
                <w:szCs w:val="21"/>
                <w:lang w:val="en-US" w:eastAsia="zh-CN"/>
              </w:rPr>
              <w:t>图1 本项目与“三线一单”管控单元对应关系图</w:t>
            </w: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eastAsia" w:ascii="Times New Roman"/>
                <w:b/>
                <w:bCs/>
                <w:color w:val="auto"/>
                <w:sz w:val="21"/>
                <w:szCs w:val="21"/>
                <w:lang w:eastAsia="zh-CN"/>
              </w:rPr>
            </w:pPr>
          </w:p>
          <w:p>
            <w:pPr>
              <w:pStyle w:val="38"/>
              <w:ind w:left="0" w:leftChars="0" w:firstLine="0" w:firstLineChars="0"/>
              <w:jc w:val="center"/>
              <w:rPr>
                <w:rFonts w:hint="default" w:ascii="Times New Roman"/>
                <w:b/>
                <w:bCs/>
                <w:color w:val="auto"/>
                <w:sz w:val="21"/>
                <w:szCs w:val="21"/>
                <w:lang w:val="en-US" w:eastAsia="zh-CN"/>
              </w:rPr>
            </w:pPr>
            <w:r>
              <w:rPr>
                <w:rFonts w:hint="eastAsia" w:ascii="Times New Roman"/>
                <w:b/>
                <w:bCs/>
                <w:color w:val="auto"/>
                <w:sz w:val="21"/>
                <w:szCs w:val="21"/>
                <w:lang w:eastAsia="zh-CN"/>
              </w:rPr>
              <w:t>表</w:t>
            </w:r>
            <w:r>
              <w:rPr>
                <w:rFonts w:hint="eastAsia" w:ascii="Times New Roman"/>
                <w:b/>
                <w:bCs/>
                <w:color w:val="auto"/>
                <w:sz w:val="21"/>
                <w:szCs w:val="21"/>
                <w:lang w:val="en-US" w:eastAsia="zh-CN"/>
              </w:rPr>
              <w:t>1-1 本项目与生态管控单元的符合性分析</w:t>
            </w:r>
          </w:p>
          <w:tbl>
            <w:tblPr>
              <w:tblStyle w:val="28"/>
              <w:tblW w:w="67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465"/>
              <w:gridCol w:w="4110"/>
              <w:gridCol w:w="765"/>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环境管控单元分类及编码</w:t>
                  </w:r>
                </w:p>
              </w:tc>
              <w:tc>
                <w:tcPr>
                  <w:tcW w:w="465"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管控类别</w:t>
                  </w:r>
                </w:p>
              </w:tc>
              <w:tc>
                <w:tcPr>
                  <w:tcW w:w="4110"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管控要求</w:t>
                  </w:r>
                </w:p>
              </w:tc>
              <w:tc>
                <w:tcPr>
                  <w:tcW w:w="765"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协调性分析</w:t>
                  </w:r>
                </w:p>
              </w:tc>
              <w:tc>
                <w:tcPr>
                  <w:tcW w:w="678"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hAnsi="Times New Roman" w:eastAsia="宋体" w:cs="Times New Roman"/>
                      <w:color w:val="auto"/>
                      <w:kern w:val="0"/>
                      <w:sz w:val="21"/>
                      <w:szCs w:val="21"/>
                      <w:highlight w:val="none"/>
                      <w:lang w:val="en-US" w:eastAsia="zh-CN"/>
                    </w:rPr>
                    <w:t>一般</w:t>
                  </w:r>
                  <w:r>
                    <w:rPr>
                      <w:rFonts w:hint="default" w:ascii="Times New Roman" w:hAnsi="Times New Roman" w:eastAsia="宋体" w:cs="Times New Roman"/>
                      <w:color w:val="auto"/>
                      <w:kern w:val="0"/>
                      <w:sz w:val="21"/>
                      <w:szCs w:val="21"/>
                      <w:highlight w:val="none"/>
                      <w:lang w:val="en-US" w:eastAsia="zh-CN"/>
                    </w:rPr>
                    <w:t>管控单元</w:t>
                  </w:r>
                  <w:r>
                    <w:rPr>
                      <w:rFonts w:hint="default" w:ascii="Times New Roman" w:hAnsi="Times New Roman" w:cs="Times New Roman"/>
                      <w:color w:val="auto"/>
                      <w:kern w:val="0"/>
                      <w:sz w:val="21"/>
                      <w:szCs w:val="21"/>
                      <w:highlight w:val="none"/>
                      <w:lang w:val="en-US" w:eastAsia="zh-CN"/>
                    </w:rPr>
                    <w:t>7</w:t>
                  </w:r>
                  <w:r>
                    <w:rPr>
                      <w:rFonts w:hint="default" w:ascii="Times New Roman" w:hAnsi="Times New Roman" w:eastAsia="宋体" w:cs="Times New Roman"/>
                      <w:color w:val="auto"/>
                      <w:kern w:val="0"/>
                      <w:sz w:val="21"/>
                      <w:szCs w:val="21"/>
                      <w:highlight w:val="none"/>
                      <w:lang w:val="en-US" w:eastAsia="zh-CN"/>
                    </w:rPr>
                    <w:t>（ZH340422300</w:t>
                  </w:r>
                  <w:r>
                    <w:rPr>
                      <w:rFonts w:hint="default" w:ascii="Times New Roman" w:hAnsi="Times New Roman" w:cs="Times New Roman"/>
                      <w:color w:val="auto"/>
                      <w:kern w:val="0"/>
                      <w:sz w:val="21"/>
                      <w:szCs w:val="21"/>
                      <w:highlight w:val="none"/>
                      <w:lang w:val="en-US" w:eastAsia="zh-CN"/>
                    </w:rPr>
                    <w:t>05</w:t>
                  </w:r>
                  <w:r>
                    <w:rPr>
                      <w:rFonts w:hint="default" w:ascii="Times New Roman" w:hAnsi="Times New Roman" w:eastAsia="宋体" w:cs="Times New Roman"/>
                      <w:color w:val="auto"/>
                      <w:kern w:val="0"/>
                      <w:sz w:val="21"/>
                      <w:szCs w:val="21"/>
                      <w:highlight w:val="none"/>
                      <w:lang w:val="en-US" w:eastAsia="zh-CN"/>
                    </w:rPr>
                    <w:t>）</w:t>
                  </w:r>
                </w:p>
              </w:tc>
              <w:tc>
                <w:tcPr>
                  <w:tcW w:w="465"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val="0"/>
                      <w:bCs w:val="0"/>
                      <w:color w:val="auto"/>
                      <w:sz w:val="21"/>
                      <w:szCs w:val="21"/>
                      <w:vertAlign w:val="baseline"/>
                      <w:lang w:eastAsia="zh-CN"/>
                    </w:rPr>
                    <w:t>空间布局约束</w:t>
                  </w:r>
                </w:p>
              </w:tc>
              <w:tc>
                <w:tcPr>
                  <w:tcW w:w="4110"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ascii="宋体" w:hAnsi="宋体" w:eastAsia="宋体" w:cs="宋体"/>
                      <w:color w:val="auto"/>
                      <w:sz w:val="21"/>
                      <w:szCs w:val="21"/>
                    </w:rPr>
                    <w:t>禁止任何单位和个人在基本农田保护区内建窑、建房、建坟、挖砂、采石、采矿、取土、 堆放固体废弃物或者进行其他破坏基本农田的活动。禁止任何单位和个人占用基本农田发 展林果业和挖塘养鱼。禁止生产、销售、使用国家明令禁止的农业投入品。农业投入品生 产者、销售者和使用者应当及时回收农药、肥料等农业投入品的包装废弃物和农用薄膜， 并将农药包装废弃物交由专门的机构或者组织进行无害化处理。在永久基本农田集中区域，不得规划新建可能造成土壤污染的建设项目。基本农田保护区内禁止下列行为：1.擅自将耕 地改为非耕地；2.闲置、荒芜耕地；3.建窑、建房、建坟……10.其他破坏基本农田的行为。在基本农田保护区内不得设立非农业开发区和工业小区。各级人民政府应当采取措施对耕 地实行特殊保护，禁止违法占用耕地从事非农业建设，严格控制耕地转为林地、草地、园 地等其他农用地，确保耕地优先用于粮食和蔬菜、油、棉、糖等农产品生产。实行耕地保 护补偿激励制度，具体按照国家和省有关规定执行。加大优先保护类耕地保护力度，综合 采取占补数量和质量平衡、高标准农田建设、周边污染企业搬迁整治等措施。 提倡和鼓励 农业生产者对其经营的基本农田施用有机肥料，合理施用化肥和农药。利用基本农田从事 农业生产的单位和个人应当保持和培肥地力。严格控制在优先保护类耕地集中区域新建有 色金属冶炼、石油加工、化工、焦化、电镀、制革等行业企业，有关环境保护主管部门依 法不予审批可能造成耕地土壤污染的建设项目环境影响报告书或者报告表。优先保护类耕 地集中区域现有可能造成土壤污染的相关行业企业应当按照有关规定采取措施，防止对耕 地造成污染。设施农业用地选址应当按照保护耕地、节约集约利用土地的原则，少占或者 不占耕地。确需占用耕地的，应当采取措施加强对耕地耕作层的保护；设施农业用地不再 使用的，应当及时组织恢复种植条件。在永久基本农田集中区域，已建成可能造成土壤污 染的建设项目，应当限期关闭拆除。禁止任何单位和个人闲置、荒芜基本农田。</w:t>
                  </w:r>
                </w:p>
              </w:tc>
              <w:tc>
                <w:tcPr>
                  <w:tcW w:w="765"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cs="Times New Roman"/>
                      <w:color w:val="auto"/>
                      <w:sz w:val="21"/>
                      <w:szCs w:val="21"/>
                      <w:highlight w:val="none"/>
                      <w:lang w:eastAsia="zh-CN"/>
                    </w:rPr>
                    <w:t>本项目利用</w:t>
                  </w:r>
                  <w:r>
                    <w:rPr>
                      <w:rFonts w:hint="default" w:ascii="Times New Roman" w:hAnsi="Times New Roman" w:cs="Times New Roman"/>
                      <w:color w:val="auto"/>
                      <w:sz w:val="21"/>
                      <w:szCs w:val="21"/>
                      <w:highlight w:val="none"/>
                      <w:lang w:eastAsia="zh-CN"/>
                    </w:rPr>
                    <w:t>寿县</w:t>
                  </w:r>
                  <w:r>
                    <w:rPr>
                      <w:rFonts w:hint="eastAsia" w:ascii="Times New Roman" w:cs="Times New Roman"/>
                      <w:color w:val="auto"/>
                      <w:sz w:val="21"/>
                      <w:szCs w:val="21"/>
                      <w:highlight w:val="none"/>
                      <w:lang w:eastAsia="zh-CN"/>
                    </w:rPr>
                    <w:t>众兴镇新店村金圩组空置</w:t>
                  </w:r>
                  <w:r>
                    <w:rPr>
                      <w:rFonts w:hint="default" w:ascii="Times New Roman" w:hAnsi="Times New Roman" w:cs="Times New Roman"/>
                      <w:color w:val="auto"/>
                      <w:sz w:val="21"/>
                      <w:szCs w:val="21"/>
                      <w:highlight w:val="none"/>
                      <w:lang w:eastAsia="zh-CN"/>
                    </w:rPr>
                    <w:t>厂房</w:t>
                  </w:r>
                  <w:r>
                    <w:rPr>
                      <w:rFonts w:hint="eastAsia" w:ascii="Times New Roman" w:cs="Times New Roman"/>
                      <w:color w:val="auto"/>
                      <w:sz w:val="21"/>
                      <w:szCs w:val="21"/>
                      <w:highlight w:val="none"/>
                      <w:lang w:eastAsia="zh-CN"/>
                    </w:rPr>
                    <w:t>进行生产建设，不属于基本农田保护区</w:t>
                  </w:r>
                </w:p>
              </w:tc>
              <w:tc>
                <w:tcPr>
                  <w:tcW w:w="678" w:type="dxa"/>
                  <w:vAlign w:val="center"/>
                </w:tcPr>
                <w:p>
                  <w:pPr>
                    <w:pStyle w:val="3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val="0"/>
                      <w:bCs w:val="0"/>
                      <w:color w:val="auto"/>
                      <w:sz w:val="21"/>
                      <w:szCs w:val="21"/>
                      <w:vertAlign w:val="baseline"/>
                      <w:lang w:eastAsia="zh-CN"/>
                    </w:rPr>
                    <w:t>符合</w:t>
                  </w:r>
                </w:p>
              </w:tc>
            </w:tr>
          </w:tbl>
          <w:p>
            <w:pPr>
              <w:pStyle w:val="38"/>
              <w:rPr>
                <w:rFonts w:ascii="Times New Roman"/>
                <w:b/>
                <w:bCs/>
                <w:color w:val="auto"/>
                <w:sz w:val="24"/>
                <w:szCs w:val="24"/>
              </w:rPr>
            </w:pPr>
            <w:r>
              <w:rPr>
                <w:rFonts w:hint="eastAsia" w:ascii="Times New Roman"/>
                <w:b/>
                <w:bCs/>
                <w:color w:val="auto"/>
                <w:sz w:val="24"/>
                <w:szCs w:val="24"/>
                <w:lang w:val="en-US" w:eastAsia="zh-CN"/>
              </w:rPr>
              <w:t>4</w:t>
            </w:r>
            <w:r>
              <w:rPr>
                <w:rFonts w:hint="eastAsia" w:ascii="Times New Roman"/>
                <w:b/>
                <w:bCs/>
                <w:color w:val="auto"/>
                <w:sz w:val="24"/>
                <w:szCs w:val="24"/>
                <w:lang w:eastAsia="zh-CN"/>
              </w:rPr>
              <w:t>.</w:t>
            </w:r>
            <w:r>
              <w:rPr>
                <w:rFonts w:hint="eastAsia" w:ascii="Times New Roman"/>
                <w:b/>
                <w:bCs/>
                <w:color w:val="auto"/>
                <w:sz w:val="24"/>
                <w:szCs w:val="24"/>
              </w:rPr>
              <w:t>与相关政策符合性分析</w:t>
            </w:r>
          </w:p>
          <w:p>
            <w:pPr>
              <w:pStyle w:val="38"/>
              <w:ind w:firstLine="0"/>
              <w:jc w:val="center"/>
              <w:rPr>
                <w:rFonts w:hint="eastAsia" w:ascii="Times New Roman"/>
                <w:b/>
                <w:bCs/>
                <w:color w:val="auto"/>
                <w:sz w:val="21"/>
                <w:szCs w:val="21"/>
              </w:rPr>
            </w:pPr>
            <w:r>
              <w:rPr>
                <w:rFonts w:hint="eastAsia" w:ascii="Times New Roman"/>
                <w:b/>
                <w:bCs/>
                <w:color w:val="auto"/>
                <w:sz w:val="21"/>
                <w:szCs w:val="21"/>
              </w:rPr>
              <w:t>表1-</w:t>
            </w:r>
            <w:r>
              <w:rPr>
                <w:rFonts w:hint="eastAsia" w:ascii="Times New Roman"/>
                <w:b/>
                <w:bCs/>
                <w:color w:val="auto"/>
                <w:sz w:val="21"/>
                <w:szCs w:val="21"/>
                <w:lang w:val="en-US" w:eastAsia="zh-CN"/>
              </w:rPr>
              <w:t>2</w:t>
            </w:r>
            <w:r>
              <w:rPr>
                <w:rFonts w:hint="eastAsia" w:ascii="Times New Roman"/>
                <w:b/>
                <w:bCs/>
                <w:color w:val="auto"/>
                <w:sz w:val="21"/>
                <w:szCs w:val="21"/>
              </w:rPr>
              <w:t xml:space="preserve"> 与相关政策符合性分析</w:t>
            </w:r>
          </w:p>
          <w:tbl>
            <w:tblPr>
              <w:tblStyle w:val="28"/>
              <w:tblW w:w="67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677"/>
              <w:gridCol w:w="1869"/>
              <w:gridCol w:w="1381"/>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政策名称</w:t>
                  </w:r>
                </w:p>
              </w:tc>
              <w:tc>
                <w:tcPr>
                  <w:tcW w:w="3546"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相关条款要求</w:t>
                  </w:r>
                </w:p>
              </w:tc>
              <w:tc>
                <w:tcPr>
                  <w:tcW w:w="138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本项目情况</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70" w:type="dxa"/>
                  <w:vMerge w:val="restart"/>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b/>
                      <w:bCs w:val="0"/>
                      <w:color w:val="auto"/>
                      <w:kern w:val="0"/>
                      <w:sz w:val="21"/>
                      <w:szCs w:val="21"/>
                    </w:rPr>
                    <w:t>《安徽省“十四五”生态环境保护规划》</w:t>
                  </w:r>
                </w:p>
              </w:tc>
              <w:tc>
                <w:tcPr>
                  <w:tcW w:w="3546" w:type="dxa"/>
                  <w:gridSpan w:val="2"/>
                  <w:vAlign w:val="center"/>
                </w:tcPr>
                <w:p>
                  <w:pPr>
                    <w:pStyle w:val="30"/>
                    <w:spacing w:line="240" w:lineRule="auto"/>
                    <w:ind w:firstLine="0"/>
                    <w:jc w:val="center"/>
                    <w:rPr>
                      <w:rFonts w:hint="eastAsia"/>
                      <w:b w:val="0"/>
                      <w:bCs/>
                      <w:color w:val="auto"/>
                      <w:sz w:val="21"/>
                      <w:szCs w:val="21"/>
                    </w:rPr>
                  </w:pPr>
                  <w:r>
                    <w:rPr>
                      <w:rFonts w:hint="eastAsia"/>
                      <w:b w:val="0"/>
                      <w:bCs/>
                      <w:color w:val="auto"/>
                      <w:sz w:val="21"/>
                      <w:szCs w:val="21"/>
                    </w:rPr>
                    <w:t>（一）加快产业结构转型升级</w:t>
                  </w:r>
                </w:p>
                <w:p>
                  <w:pPr>
                    <w:pStyle w:val="30"/>
                    <w:spacing w:line="240" w:lineRule="auto"/>
                    <w:ind w:firstLine="0" w:firstLineChars="0"/>
                    <w:jc w:val="center"/>
                    <w:rPr>
                      <w:rFonts w:hint="default" w:ascii="Times New Roman" w:hAnsi="Times New Roman" w:eastAsia="宋体" w:cs="Times New Roman"/>
                      <w:color w:val="auto"/>
                      <w:kern w:val="0"/>
                      <w:sz w:val="21"/>
                      <w:szCs w:val="21"/>
                    </w:rPr>
                  </w:pPr>
                  <w:r>
                    <w:rPr>
                      <w:rFonts w:hint="eastAsia"/>
                      <w:b w:val="0"/>
                      <w:bCs/>
                      <w:color w:val="auto"/>
                      <w:sz w:val="21"/>
                      <w:szCs w:val="21"/>
                    </w:rPr>
                    <w:t>以钢铁、水泥、石化、化工、玻璃、有色、印染等行业为重点，开展全流程清洁化、循环化、低碳化改造，促进传统产业绿色转型升级，在火电、钢铁、建材等行业开展减污降碳协同增效。</w:t>
                  </w:r>
                </w:p>
              </w:tc>
              <w:tc>
                <w:tcPr>
                  <w:tcW w:w="1381"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rPr>
                    <w:t>本项</w:t>
                  </w:r>
                  <w:r>
                    <w:rPr>
                      <w:rFonts w:hint="default" w:ascii="Times New Roman" w:hAnsi="Times New Roman" w:cs="Times New Roman"/>
                      <w:b w:val="0"/>
                      <w:bCs/>
                      <w:color w:val="auto"/>
                      <w:sz w:val="21"/>
                      <w:szCs w:val="21"/>
                      <w:lang w:eastAsia="zh-CN"/>
                    </w:rPr>
                    <w:t>目为A0514 农产品初加</w:t>
                  </w:r>
                </w:p>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工活动</w:t>
                  </w:r>
                </w:p>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D4430 热力生产和</w:t>
                  </w:r>
                </w:p>
                <w:p>
                  <w:pPr>
                    <w:pStyle w:val="3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color w:val="auto"/>
                      <w:sz w:val="21"/>
                      <w:szCs w:val="21"/>
                      <w:lang w:eastAsia="zh-CN"/>
                    </w:rPr>
                    <w:t>供应</w:t>
                  </w:r>
                  <w:r>
                    <w:rPr>
                      <w:rFonts w:hint="default" w:ascii="Times New Roman" w:hAnsi="Times New Roman" w:cs="Times New Roman"/>
                      <w:b w:val="0"/>
                      <w:bCs w:val="0"/>
                      <w:color w:val="auto"/>
                      <w:sz w:val="21"/>
                      <w:szCs w:val="21"/>
                    </w:rPr>
                    <w:t>，不属于钢铁、水泥、石化、化工、玻璃、有色、印染等行业</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546" w:type="dxa"/>
                  <w:gridSpan w:val="2"/>
                  <w:vAlign w:val="center"/>
                </w:tcPr>
                <w:p>
                  <w:pPr>
                    <w:pStyle w:val="30"/>
                    <w:spacing w:line="240" w:lineRule="auto"/>
                    <w:ind w:firstLine="0"/>
                    <w:jc w:val="center"/>
                    <w:rPr>
                      <w:rFonts w:hint="eastAsia"/>
                      <w:b w:val="0"/>
                      <w:bCs/>
                      <w:color w:val="auto"/>
                      <w:sz w:val="21"/>
                      <w:szCs w:val="21"/>
                    </w:rPr>
                  </w:pPr>
                  <w:r>
                    <w:rPr>
                      <w:rFonts w:hint="eastAsia"/>
                      <w:b w:val="0"/>
                      <w:bCs/>
                      <w:color w:val="auto"/>
                      <w:sz w:val="21"/>
                      <w:szCs w:val="21"/>
                    </w:rPr>
                    <w:t>（二）推动能源结构优化</w:t>
                  </w:r>
                </w:p>
                <w:p>
                  <w:pPr>
                    <w:pStyle w:val="30"/>
                    <w:spacing w:line="240" w:lineRule="auto"/>
                    <w:ind w:firstLine="0" w:firstLineChars="0"/>
                    <w:jc w:val="center"/>
                    <w:rPr>
                      <w:rFonts w:hint="default" w:ascii="Times New Roman" w:hAnsi="Times New Roman" w:eastAsia="宋体" w:cs="Times New Roman"/>
                      <w:color w:val="auto"/>
                      <w:kern w:val="0"/>
                      <w:sz w:val="21"/>
                      <w:szCs w:val="21"/>
                    </w:rPr>
                  </w:pPr>
                  <w:r>
                    <w:rPr>
                      <w:rFonts w:hint="eastAsia"/>
                      <w:b w:val="0"/>
                      <w:bCs/>
                      <w:color w:val="auto"/>
                      <w:sz w:val="21"/>
                      <w:szCs w:val="21"/>
                    </w:rPr>
                    <w:t>强化能源消费总量和强度双控制度，严格控制能耗强度，有效控制能源消费增量，坚决遏制“两高”项目盲目发展。发挥市场配置资源作用，引导能源要素合理流动和高效配置。严格控制煤炭消费总量，大气污染防治重点区域内新、改、扩建用煤项目严格实施煤炭等量或减量替代。完成30万千瓦及以上热电联产机组供热半径15公里范围内燃煤锅炉和低效燃煤热电关停整合。到2025年，完成国家对全省煤炭消费总量控制要求。不断降低煤炭、电力、化工等行业综合能耗，进一步提高工业能源利用效率和清洁化水平。加快各级开发区实施集中供热和清洁能源替代，加大燃煤热电、燃煤锅炉淘汰力度，有条件地发展大型燃气供热锅炉。系统提升清洁低碳能源比例，积极扩大天然气利用，推进发展风电和太阳能发电，有序发展生物质能和其他新能源，壮大清洁能源产业，推进可再生能源规模化发展。</w:t>
                  </w:r>
                </w:p>
              </w:tc>
              <w:tc>
                <w:tcPr>
                  <w:tcW w:w="1381" w:type="dxa"/>
                  <w:vAlign w:val="center"/>
                </w:tcPr>
                <w:p>
                  <w:pPr>
                    <w:pStyle w:val="3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b w:val="0"/>
                      <w:bCs/>
                      <w:color w:val="auto"/>
                      <w:sz w:val="21"/>
                      <w:szCs w:val="21"/>
                    </w:rPr>
                    <w:t>本项目不属于“两高”行业项目</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546" w:type="dxa"/>
                  <w:gridSpan w:val="2"/>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持续深化水污染治理。以补足城镇污水收集和处理设施短板为重点，持续实施污水处理提质增效行动，加大生活污水处理设施、配套管网建设和改造力度。</w:t>
                  </w:r>
                </w:p>
              </w:tc>
              <w:tc>
                <w:tcPr>
                  <w:tcW w:w="1381" w:type="dxa"/>
                  <w:vAlign w:val="center"/>
                </w:tcPr>
                <w:p>
                  <w:pPr>
                    <w:pStyle w:val="30"/>
                    <w:spacing w:line="240" w:lineRule="auto"/>
                    <w:ind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b w:val="0"/>
                      <w:bCs/>
                      <w:color w:val="auto"/>
                      <w:sz w:val="21"/>
                      <w:szCs w:val="21"/>
                    </w:rPr>
                    <w:t>本项目</w:t>
                  </w:r>
                  <w:r>
                    <w:rPr>
                      <w:rFonts w:hint="eastAsia"/>
                      <w:b w:val="0"/>
                      <w:bCs/>
                      <w:color w:val="auto"/>
                      <w:sz w:val="21"/>
                      <w:szCs w:val="21"/>
                      <w:lang w:eastAsia="zh-CN"/>
                    </w:rPr>
                    <w:t>主要废水为生活污水，</w:t>
                  </w:r>
                  <w:r>
                    <w:rPr>
                      <w:rFonts w:hint="eastAsia"/>
                      <w:color w:val="auto"/>
                      <w:sz w:val="21"/>
                      <w:szCs w:val="21"/>
                      <w:highlight w:val="none"/>
                      <w:lang w:eastAsia="zh-CN"/>
                    </w:rPr>
                    <w:t>经化粪池预处理后再经厂区一体化污水处理设施处理后达标后回用于厂区抑尘。</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restart"/>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
                      <w:bCs w:val="0"/>
                      <w:color w:val="auto"/>
                      <w:sz w:val="21"/>
                      <w:szCs w:val="21"/>
                    </w:rPr>
                    <w:t>《安徽省空气质量持续改善行动方案》</w:t>
                  </w:r>
                </w:p>
              </w:tc>
              <w:tc>
                <w:tcPr>
                  <w:tcW w:w="3546" w:type="dxa"/>
                  <w:gridSpan w:val="2"/>
                  <w:vAlign w:val="center"/>
                </w:tcPr>
                <w:p>
                  <w:pPr>
                    <w:pStyle w:val="3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eastAsia="zh-CN"/>
                    </w:rPr>
                    <w:t>三</w:t>
                  </w:r>
                  <w:r>
                    <w:rPr>
                      <w:rFonts w:hint="default" w:ascii="Times New Roman" w:hAnsi="Times New Roman" w:cs="Times New Roman"/>
                      <w:b w:val="0"/>
                      <w:bCs/>
                      <w:color w:val="auto"/>
                      <w:sz w:val="21"/>
                      <w:szCs w:val="21"/>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381"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b w:val="0"/>
                      <w:bCs/>
                      <w:color w:val="auto"/>
                      <w:sz w:val="21"/>
                      <w:szCs w:val="21"/>
                    </w:rPr>
                    <w:t>本</w:t>
                  </w:r>
                  <w:r>
                    <w:rPr>
                      <w:rFonts w:hint="default" w:ascii="Times New Roman" w:hAnsi="Times New Roman" w:cs="Times New Roman"/>
                      <w:b w:val="0"/>
                      <w:bCs/>
                      <w:color w:val="auto"/>
                      <w:sz w:val="21"/>
                      <w:szCs w:val="21"/>
                    </w:rPr>
                    <w:t>项目</w:t>
                  </w:r>
                  <w:r>
                    <w:rPr>
                      <w:rFonts w:hint="default" w:ascii="Times New Roman" w:hAnsi="Times New Roman" w:cs="Times New Roman"/>
                      <w:b w:val="0"/>
                      <w:bCs/>
                      <w:color w:val="auto"/>
                      <w:sz w:val="21"/>
                      <w:szCs w:val="21"/>
                      <w:lang w:eastAsia="zh-CN"/>
                    </w:rPr>
                    <w:t>属于A0514 农产品初加</w:t>
                  </w:r>
                </w:p>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工活动</w:t>
                  </w:r>
                </w:p>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D4430 热力生产和</w:t>
                  </w:r>
                </w:p>
                <w:p>
                  <w:pPr>
                    <w:pStyle w:val="3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b w:val="0"/>
                      <w:bCs/>
                      <w:color w:val="auto"/>
                      <w:sz w:val="21"/>
                      <w:szCs w:val="21"/>
                      <w:lang w:eastAsia="zh-CN"/>
                    </w:rPr>
                    <w:t>供应</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不属于高耗能、高</w:t>
                  </w:r>
                  <w:r>
                    <w:rPr>
                      <w:rFonts w:hint="eastAsia"/>
                      <w:b w:val="0"/>
                      <w:bCs w:val="0"/>
                      <w:color w:val="auto"/>
                      <w:sz w:val="21"/>
                      <w:szCs w:val="21"/>
                      <w:lang w:eastAsia="zh-CN"/>
                    </w:rPr>
                    <w:t>排放、低水平项目</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cs="Times New Roman"/>
                      <w:b/>
                      <w:bCs w:val="0"/>
                      <w:color w:val="auto"/>
                      <w:sz w:val="21"/>
                      <w:szCs w:val="21"/>
                    </w:rPr>
                  </w:pPr>
                </w:p>
              </w:tc>
              <w:tc>
                <w:tcPr>
                  <w:tcW w:w="3546" w:type="dxa"/>
                  <w:gridSpan w:val="2"/>
                  <w:vAlign w:val="center"/>
                </w:tcPr>
                <w:p>
                  <w:pPr>
                    <w:pStyle w:val="30"/>
                    <w:spacing w:line="240" w:lineRule="auto"/>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eastAsia="zh-CN"/>
                    </w:rPr>
                    <w:t>四</w:t>
                  </w:r>
                  <w:r>
                    <w:rPr>
                      <w:rFonts w:hint="default" w:ascii="Times New Roman" w:hAnsi="Times New Roman" w:cs="Times New Roman"/>
                      <w:b w:val="0"/>
                      <w:bCs/>
                      <w:color w:val="auto"/>
                      <w:sz w:val="21"/>
                      <w:szCs w:val="21"/>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381" w:type="dxa"/>
                  <w:vAlign w:val="center"/>
                </w:tcPr>
                <w:p>
                  <w:pPr>
                    <w:pStyle w:val="3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eastAsia="zh-CN"/>
                    </w:rPr>
                    <w:t>为A0514 农产品初加</w:t>
                  </w:r>
                </w:p>
                <w:p>
                  <w:pPr>
                    <w:pStyle w:val="3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工活动</w:t>
                  </w:r>
                </w:p>
                <w:p>
                  <w:pPr>
                    <w:pStyle w:val="30"/>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D4430 热力生产和</w:t>
                  </w:r>
                </w:p>
                <w:p>
                  <w:pPr>
                    <w:pStyle w:val="30"/>
                    <w:spacing w:line="240" w:lineRule="auto"/>
                    <w:ind w:firstLine="0" w:firstLineChars="0"/>
                    <w:jc w:val="center"/>
                    <w:rPr>
                      <w:rFonts w:hint="eastAsia" w:eastAsia="宋体"/>
                      <w:b w:val="0"/>
                      <w:bCs/>
                      <w:color w:val="auto"/>
                      <w:sz w:val="21"/>
                      <w:szCs w:val="21"/>
                      <w:lang w:eastAsia="zh-CN"/>
                    </w:rPr>
                  </w:pPr>
                  <w:r>
                    <w:rPr>
                      <w:rFonts w:hint="default" w:ascii="Times New Roman" w:hAnsi="Times New Roman" w:cs="Times New Roman"/>
                      <w:color w:val="auto"/>
                      <w:sz w:val="21"/>
                      <w:szCs w:val="21"/>
                      <w:lang w:eastAsia="zh-CN"/>
                    </w:rPr>
                    <w:t>供应</w:t>
                  </w:r>
                  <w:r>
                    <w:rPr>
                      <w:rFonts w:hint="default" w:ascii="Times New Roman" w:hAnsi="Times New Roman" w:cs="Times New Roman"/>
                      <w:b w:val="0"/>
                      <w:bCs/>
                      <w:color w:val="auto"/>
                      <w:sz w:val="21"/>
                      <w:szCs w:val="21"/>
                    </w:rPr>
                    <w:t>，根据《产业结构调整指导目录（2024年本）》，本项目属于鼓励类</w:t>
                  </w:r>
                  <w:r>
                    <w:rPr>
                      <w:rFonts w:hint="eastAsia" w:ascii="Times New Roman" w:hAnsi="Times New Roman" w:cs="Times New Roman"/>
                      <w:b w:val="0"/>
                      <w:bCs/>
                      <w:color w:val="auto"/>
                      <w:sz w:val="21"/>
                      <w:szCs w:val="21"/>
                      <w:lang w:eastAsia="zh-CN"/>
                    </w:rPr>
                    <w:t>。</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restart"/>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Style w:val="24"/>
                      <w:rFonts w:ascii="Times New Roman" w:hAnsi="Times New Roman"/>
                      <w:color w:val="auto"/>
                      <w:shd w:val="clear" w:color="auto" w:fill="FFFFFF"/>
                    </w:rPr>
                    <w:t>《淮南市涉气建设项目环评审批负面清单》</w:t>
                  </w:r>
                </w:p>
              </w:tc>
              <w:tc>
                <w:tcPr>
                  <w:tcW w:w="5624"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color w:val="auto"/>
                      <w:sz w:val="21"/>
                      <w:szCs w:val="21"/>
                    </w:rPr>
                    <w:t>（一）坚决遏制高耗能、高排放、低水平项目盲目上马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adjustRightInd w:val="0"/>
                    <w:snapToGrid w:val="0"/>
                    <w:jc w:val="center"/>
                    <w:rPr>
                      <w:rFonts w:ascii="Times New Roman" w:hAnsi="Times New Roman"/>
                      <w:bCs/>
                      <w:color w:val="auto"/>
                      <w:sz w:val="21"/>
                      <w:szCs w:val="21"/>
                    </w:rPr>
                  </w:pPr>
                  <w:r>
                    <w:rPr>
                      <w:color w:val="auto"/>
                      <w:sz w:val="21"/>
                      <w:szCs w:val="21"/>
                    </w:rPr>
                    <w:t>新改扩建项目严格落实国家产业政策要求，严把“两高”项目审批。</w:t>
                  </w:r>
                </w:p>
              </w:tc>
              <w:tc>
                <w:tcPr>
                  <w:tcW w:w="1869" w:type="dxa"/>
                  <w:vAlign w:val="center"/>
                </w:tcPr>
                <w:p>
                  <w:pPr>
                    <w:adjustRightInd w:val="0"/>
                    <w:snapToGrid w:val="0"/>
                    <w:jc w:val="center"/>
                    <w:rPr>
                      <w:color w:val="auto"/>
                      <w:sz w:val="21"/>
                      <w:szCs w:val="21"/>
                    </w:rPr>
                  </w:pPr>
                  <w:r>
                    <w:rPr>
                      <w:rFonts w:hint="eastAsia"/>
                      <w:color w:val="auto"/>
                      <w:sz w:val="21"/>
                      <w:szCs w:val="21"/>
                    </w:rPr>
                    <w:t>1.</w:t>
                  </w:r>
                  <w:r>
                    <w:rPr>
                      <w:color w:val="auto"/>
                      <w:sz w:val="21"/>
                      <w:szCs w:val="21"/>
                    </w:rPr>
                    <w:t>新改扩建项目严格落实国家产业规划、产业政策、生态环境分区管控方案、规划环评、项目环评、节能审查、产能置换、重点污染物总量控制、污染物排放区域削减、碳排放达峰目标等相关要求；</w:t>
                  </w:r>
                </w:p>
                <w:p>
                  <w:pPr>
                    <w:adjustRightInd w:val="0"/>
                    <w:snapToGrid w:val="0"/>
                    <w:jc w:val="center"/>
                    <w:rPr>
                      <w:rFonts w:ascii="Times New Roman" w:hAnsi="Times New Roman"/>
                      <w:bCs/>
                      <w:color w:val="auto"/>
                      <w:sz w:val="21"/>
                      <w:szCs w:val="21"/>
                    </w:rPr>
                  </w:pPr>
                  <w:r>
                    <w:rPr>
                      <w:rFonts w:hint="eastAsia"/>
                      <w:color w:val="auto"/>
                      <w:sz w:val="21"/>
                      <w:szCs w:val="21"/>
                    </w:rPr>
                    <w:t>2.</w:t>
                  </w:r>
                  <w:r>
                    <w:rPr>
                      <w:color w:val="auto"/>
                      <w:sz w:val="21"/>
                      <w:szCs w:val="21"/>
                    </w:rPr>
                    <w:t>两高项目应实施部门联审。</w:t>
                  </w:r>
                </w:p>
              </w:tc>
              <w:tc>
                <w:tcPr>
                  <w:tcW w:w="1381" w:type="dxa"/>
                  <w:vAlign w:val="center"/>
                </w:tcPr>
                <w:p>
                  <w:pPr>
                    <w:adjustRightInd w:val="0"/>
                    <w:snapToGrid w:val="0"/>
                    <w:jc w:val="center"/>
                    <w:rPr>
                      <w:rFonts w:hint="eastAsia"/>
                      <w:color w:val="auto"/>
                      <w:sz w:val="21"/>
                      <w:szCs w:val="21"/>
                    </w:rPr>
                  </w:pPr>
                  <w:r>
                    <w:rPr>
                      <w:rFonts w:hint="eastAsia"/>
                      <w:color w:val="auto"/>
                      <w:sz w:val="21"/>
                      <w:szCs w:val="21"/>
                    </w:rPr>
                    <w:t>1.本项目严格落实</w:t>
                  </w:r>
                  <w:r>
                    <w:rPr>
                      <w:color w:val="auto"/>
                      <w:sz w:val="21"/>
                      <w:szCs w:val="21"/>
                    </w:rPr>
                    <w:t>国家产业规划、产业政策、生态环境分区管控方案、项目环评、节能审查、产能置换、重点污染物总量控制、污染物排放区域削减、碳排放达峰目标等相关要求</w:t>
                  </w:r>
                  <w:r>
                    <w:rPr>
                      <w:rFonts w:hint="eastAsia"/>
                      <w:color w:val="auto"/>
                      <w:sz w:val="21"/>
                      <w:szCs w:val="21"/>
                    </w:rPr>
                    <w:t>。</w:t>
                  </w:r>
                </w:p>
                <w:p>
                  <w:pPr>
                    <w:adjustRightInd w:val="0"/>
                    <w:snapToGrid w:val="0"/>
                    <w:jc w:val="center"/>
                    <w:rPr>
                      <w:rFonts w:hint="eastAsia" w:ascii="Times New Roman" w:hAnsi="Times New Roman"/>
                      <w:bCs/>
                      <w:color w:val="auto"/>
                      <w:sz w:val="21"/>
                      <w:szCs w:val="21"/>
                    </w:rPr>
                  </w:pPr>
                  <w:r>
                    <w:rPr>
                      <w:rFonts w:hint="eastAsia"/>
                      <w:color w:val="auto"/>
                      <w:sz w:val="21"/>
                      <w:szCs w:val="21"/>
                    </w:rPr>
                    <w:t>2.本项目不属于两高项目。</w:t>
                  </w:r>
                </w:p>
              </w:tc>
              <w:tc>
                <w:tcPr>
                  <w:tcW w:w="6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Merge w:val="restart"/>
                  <w:vAlign w:val="center"/>
                </w:tcPr>
                <w:p>
                  <w:pPr>
                    <w:adjustRightInd w:val="0"/>
                    <w:snapToGrid w:val="0"/>
                    <w:jc w:val="center"/>
                    <w:rPr>
                      <w:rFonts w:ascii="Times New Roman" w:hAnsi="Times New Roman"/>
                      <w:bCs/>
                      <w:color w:val="auto"/>
                      <w:sz w:val="21"/>
                      <w:szCs w:val="21"/>
                    </w:rPr>
                  </w:pPr>
                  <w:r>
                    <w:rPr>
                      <w:color w:val="auto"/>
                      <w:szCs w:val="21"/>
                    </w:rPr>
                    <w:t>严格落实产能置换要求。</w:t>
                  </w: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严重过剩行业新增产能项目环评不予审批。</w:t>
                  </w:r>
                </w:p>
              </w:tc>
              <w:tc>
                <w:tcPr>
                  <w:tcW w:w="1381" w:type="dxa"/>
                  <w:vMerge w:val="restart"/>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r>
                    <w:rPr>
                      <w:rFonts w:hint="eastAsia" w:ascii="Times New Roman" w:hAnsi="Times New Roman"/>
                      <w:bCs/>
                      <w:color w:val="auto"/>
                      <w:sz w:val="21"/>
                      <w:szCs w:val="21"/>
                    </w:rPr>
                    <w:t>本项目不属于产能过剩行业；本项目不涉及产能置换。</w:t>
                  </w: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Merge w:val="continue"/>
                  <w:vAlign w:val="center"/>
                </w:tcPr>
                <w:p>
                  <w:pPr>
                    <w:adjustRightInd w:val="0"/>
                    <w:snapToGrid w:val="0"/>
                    <w:jc w:val="center"/>
                    <w:rPr>
                      <w:rFonts w:ascii="Times New Roman" w:hAnsi="Times New Roman"/>
                      <w:bCs/>
                      <w:color w:val="auto"/>
                      <w:sz w:val="21"/>
                      <w:szCs w:val="21"/>
                    </w:rPr>
                  </w:pP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涉及产能置换项目环评阶段应取得置换产能。</w:t>
                  </w:r>
                </w:p>
              </w:tc>
              <w:tc>
                <w:tcPr>
                  <w:tcW w:w="1381" w:type="dxa"/>
                  <w:vMerge w:val="continue"/>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624"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color w:val="auto"/>
                      <w:sz w:val="21"/>
                      <w:szCs w:val="21"/>
                    </w:rPr>
                    <w:t>（二）有序推动落后产能淘汰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Merge w:val="restart"/>
                  <w:vAlign w:val="center"/>
                </w:tcPr>
                <w:p>
                  <w:pPr>
                    <w:adjustRightInd w:val="0"/>
                    <w:snapToGrid w:val="0"/>
                    <w:jc w:val="center"/>
                    <w:rPr>
                      <w:rFonts w:ascii="Times New Roman" w:hAnsi="Times New Roman"/>
                      <w:bCs/>
                      <w:color w:val="auto"/>
                      <w:sz w:val="21"/>
                      <w:szCs w:val="21"/>
                    </w:rPr>
                  </w:pPr>
                  <w:r>
                    <w:rPr>
                      <w:color w:val="auto"/>
                      <w:szCs w:val="21"/>
                    </w:rPr>
                    <w:t>有序推动生产设施老旧、工艺水平落后、环境管理水平低下等企业退出市场。</w:t>
                  </w: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采用步进式烧结机和球团竖炉以及半封闭式硅锰合金、镍铁、高碳铬铁、高碳锰铁电炉新建项目环评不予审批。</w:t>
                  </w:r>
                </w:p>
              </w:tc>
              <w:tc>
                <w:tcPr>
                  <w:tcW w:w="1381" w:type="dxa"/>
                  <w:vMerge w:val="restart"/>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r>
                    <w:rPr>
                      <w:rFonts w:hint="eastAsia" w:ascii="Times New Roman" w:hAnsi="Times New Roman"/>
                      <w:bCs/>
                      <w:color w:val="auto"/>
                      <w:sz w:val="21"/>
                      <w:szCs w:val="21"/>
                    </w:rPr>
                    <w:t>本项目不涉及</w:t>
                  </w:r>
                </w:p>
              </w:tc>
              <w:tc>
                <w:tcPr>
                  <w:tcW w:w="6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Merge w:val="continue"/>
                  <w:vAlign w:val="center"/>
                </w:tcPr>
                <w:p>
                  <w:pPr>
                    <w:adjustRightInd w:val="0"/>
                    <w:snapToGrid w:val="0"/>
                    <w:jc w:val="center"/>
                    <w:rPr>
                      <w:rFonts w:ascii="Times New Roman" w:hAnsi="Times New Roman"/>
                      <w:bCs/>
                      <w:color w:val="auto"/>
                      <w:sz w:val="21"/>
                      <w:szCs w:val="21"/>
                    </w:rPr>
                  </w:pP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落后煤炭洗选项目不予审批。</w:t>
                  </w:r>
                </w:p>
              </w:tc>
              <w:tc>
                <w:tcPr>
                  <w:tcW w:w="1381" w:type="dxa"/>
                  <w:vMerge w:val="continue"/>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Merge w:val="continue"/>
                  <w:vAlign w:val="center"/>
                </w:tcPr>
                <w:p>
                  <w:pPr>
                    <w:adjustRightInd w:val="0"/>
                    <w:snapToGrid w:val="0"/>
                    <w:jc w:val="center"/>
                    <w:rPr>
                      <w:rFonts w:ascii="Times New Roman" w:hAnsi="Times New Roman"/>
                      <w:bCs/>
                      <w:color w:val="auto"/>
                      <w:sz w:val="21"/>
                      <w:szCs w:val="21"/>
                    </w:rPr>
                  </w:pP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采用固定式保温炉组、钢丝绳铸造机的新改扩建铝加工（深井铸造）项目环评不予审批。</w:t>
                  </w:r>
                </w:p>
              </w:tc>
              <w:tc>
                <w:tcPr>
                  <w:tcW w:w="1381" w:type="dxa"/>
                  <w:vMerge w:val="continue"/>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adjustRightInd w:val="0"/>
                    <w:snapToGrid w:val="0"/>
                    <w:jc w:val="center"/>
                    <w:rPr>
                      <w:rFonts w:ascii="Times New Roman" w:hAnsi="Times New Roman"/>
                      <w:bCs/>
                      <w:color w:val="auto"/>
                      <w:sz w:val="21"/>
                      <w:szCs w:val="21"/>
                    </w:rPr>
                  </w:pPr>
                  <w:r>
                    <w:rPr>
                      <w:color w:val="auto"/>
                      <w:szCs w:val="21"/>
                    </w:rPr>
                    <w:t>严禁违规新增产能。</w:t>
                  </w: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违规新增钢铁、水泥（熟料）、焦化、电解铝、平板玻璃（不含光伏压延玻璃）产能项目环评不予审批。</w:t>
                  </w:r>
                </w:p>
              </w:tc>
              <w:tc>
                <w:tcPr>
                  <w:tcW w:w="1381" w:type="dxa"/>
                  <w:vMerge w:val="continue"/>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624"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ascii="Times New Roman" w:hAnsi="Times New Roman"/>
                      <w:bCs/>
                      <w:color w:val="auto"/>
                      <w:sz w:val="21"/>
                      <w:szCs w:val="21"/>
                    </w:rPr>
                    <w:t>（六）推动煤炭消费减量替代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jc w:val="center"/>
                    <w:rPr>
                      <w:rFonts w:ascii="Times New Roman" w:hAnsi="Times New Roman"/>
                      <w:bCs/>
                      <w:color w:val="auto"/>
                      <w:sz w:val="21"/>
                      <w:szCs w:val="21"/>
                    </w:rPr>
                  </w:pPr>
                  <w:r>
                    <w:rPr>
                      <w:color w:val="auto"/>
                      <w:szCs w:val="21"/>
                    </w:rPr>
                    <w:t>推动煤炭等量或减量替代。</w:t>
                  </w: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重点区域新改扩建用煤项目，依法实行煤炭等量或减量替代，替代方案不完善的环评不予审批；不得使用石油焦、焦炭、兰炭等高污染燃料作为煤炭减量替代措施。</w:t>
                  </w:r>
                </w:p>
              </w:tc>
              <w:tc>
                <w:tcPr>
                  <w:tcW w:w="1381" w:type="dxa"/>
                  <w:vAlign w:val="center"/>
                </w:tcPr>
                <w:p>
                  <w:pPr>
                    <w:adjustRightInd w:val="0"/>
                    <w:snapToGrid w:val="0"/>
                    <w:jc w:val="center"/>
                    <w:rPr>
                      <w:rFonts w:hint="eastAsia" w:ascii="Times New Roman" w:hAnsi="Times New Roman"/>
                      <w:bCs/>
                      <w:color w:val="auto"/>
                      <w:sz w:val="21"/>
                      <w:szCs w:val="21"/>
                    </w:rPr>
                  </w:pPr>
                  <w:r>
                    <w:rPr>
                      <w:rFonts w:hint="eastAsia"/>
                      <w:color w:val="auto"/>
                      <w:szCs w:val="21"/>
                    </w:rPr>
                    <w:t>本项目不涉及</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624"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color w:val="auto"/>
                      <w:sz w:val="21"/>
                      <w:szCs w:val="21"/>
                    </w:rPr>
                    <w:t>（七）加快推动燃煤锅炉机组升级改造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adjustRightInd w:val="0"/>
                    <w:snapToGrid w:val="0"/>
                    <w:jc w:val="center"/>
                    <w:rPr>
                      <w:rFonts w:ascii="Times New Roman" w:hAnsi="Times New Roman"/>
                      <w:bCs/>
                      <w:color w:val="auto"/>
                      <w:sz w:val="21"/>
                      <w:szCs w:val="21"/>
                    </w:rPr>
                  </w:pPr>
                  <w:r>
                    <w:rPr>
                      <w:color w:val="auto"/>
                      <w:sz w:val="21"/>
                      <w:szCs w:val="21"/>
                    </w:rPr>
                    <w:t>严控热源性燃煤设施建设。</w:t>
                  </w:r>
                </w:p>
              </w:tc>
              <w:tc>
                <w:tcPr>
                  <w:tcW w:w="1869" w:type="dxa"/>
                  <w:vAlign w:val="center"/>
                </w:tcPr>
                <w:p>
                  <w:pPr>
                    <w:adjustRightInd w:val="0"/>
                    <w:snapToGrid w:val="0"/>
                    <w:jc w:val="center"/>
                    <w:rPr>
                      <w:rFonts w:ascii="Times New Roman" w:hAnsi="Times New Roman"/>
                      <w:bCs/>
                      <w:color w:val="auto"/>
                      <w:sz w:val="21"/>
                      <w:szCs w:val="21"/>
                    </w:rPr>
                  </w:pPr>
                  <w:r>
                    <w:rPr>
                      <w:color w:val="auto"/>
                      <w:sz w:val="21"/>
                      <w:szCs w:val="21"/>
                    </w:rPr>
                    <w:t>原则上不得审批除集中供暖外的燃煤锅炉。</w:t>
                  </w:r>
                </w:p>
              </w:tc>
              <w:tc>
                <w:tcPr>
                  <w:tcW w:w="1381" w:type="dxa"/>
                  <w:vMerge w:val="restart"/>
                  <w:vAlign w:val="center"/>
                </w:tcPr>
                <w:p>
                  <w:pPr>
                    <w:pStyle w:val="30"/>
                    <w:numPr>
                      <w:ilvl w:val="1"/>
                      <w:numId w:val="0"/>
                    </w:numPr>
                    <w:ind w:left="42" w:leftChars="20" w:right="42" w:rightChars="20" w:firstLine="0" w:firstLineChars="0"/>
                    <w:jc w:val="center"/>
                    <w:rPr>
                      <w:rFonts w:hint="eastAsia" w:ascii="Times New Roman" w:hAnsi="Times New Roman" w:eastAsia="宋体"/>
                      <w:bCs/>
                      <w:color w:val="auto"/>
                      <w:sz w:val="21"/>
                      <w:szCs w:val="21"/>
                      <w:lang w:eastAsia="zh-CN"/>
                    </w:rPr>
                  </w:pPr>
                  <w:r>
                    <w:rPr>
                      <w:rFonts w:hint="eastAsia" w:ascii="Times New Roman" w:hAnsi="Times New Roman"/>
                      <w:bCs/>
                      <w:color w:val="auto"/>
                      <w:sz w:val="21"/>
                      <w:szCs w:val="21"/>
                      <w:lang w:eastAsia="zh-CN"/>
                    </w:rPr>
                    <w:t>本项目不涉及</w:t>
                  </w:r>
                </w:p>
              </w:tc>
              <w:tc>
                <w:tcPr>
                  <w:tcW w:w="6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adjustRightInd w:val="0"/>
                    <w:snapToGrid w:val="0"/>
                    <w:jc w:val="center"/>
                    <w:rPr>
                      <w:rFonts w:ascii="Times New Roman" w:hAnsi="Times New Roman"/>
                      <w:bCs/>
                      <w:color w:val="auto"/>
                      <w:sz w:val="21"/>
                      <w:szCs w:val="21"/>
                    </w:rPr>
                  </w:pPr>
                  <w:r>
                    <w:rPr>
                      <w:color w:val="auto"/>
                      <w:sz w:val="21"/>
                      <w:szCs w:val="21"/>
                    </w:rPr>
                    <w:t>推动现有燃煤机组升级改造。</w:t>
                  </w:r>
                </w:p>
              </w:tc>
              <w:tc>
                <w:tcPr>
                  <w:tcW w:w="1869" w:type="dxa"/>
                  <w:vAlign w:val="center"/>
                </w:tcPr>
                <w:p>
                  <w:pPr>
                    <w:adjustRightInd w:val="0"/>
                    <w:snapToGrid w:val="0"/>
                    <w:jc w:val="center"/>
                    <w:rPr>
                      <w:rFonts w:ascii="Times New Roman" w:hAnsi="Times New Roman"/>
                      <w:bCs/>
                      <w:color w:val="auto"/>
                      <w:sz w:val="21"/>
                      <w:szCs w:val="21"/>
                    </w:rPr>
                  </w:pPr>
                  <w:r>
                    <w:rPr>
                      <w:color w:val="auto"/>
                      <w:sz w:val="21"/>
                      <w:szCs w:val="21"/>
                    </w:rPr>
                    <w:t>新建自备燃煤机组环评项目不予审批。</w:t>
                  </w:r>
                </w:p>
              </w:tc>
              <w:tc>
                <w:tcPr>
                  <w:tcW w:w="1381" w:type="dxa"/>
                  <w:vMerge w:val="continue"/>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624"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color w:val="auto"/>
                      <w:sz w:val="21"/>
                      <w:szCs w:val="21"/>
                    </w:rPr>
                    <w:t>（八）推动工业炉窑清洁能源替代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jc w:val="center"/>
                    <w:rPr>
                      <w:rFonts w:ascii="Times New Roman" w:hAnsi="Times New Roman"/>
                      <w:bCs/>
                      <w:color w:val="auto"/>
                      <w:sz w:val="21"/>
                      <w:szCs w:val="21"/>
                    </w:rPr>
                  </w:pPr>
                  <w:r>
                    <w:rPr>
                      <w:color w:val="auto"/>
                      <w:szCs w:val="21"/>
                    </w:rPr>
                    <w:t>推动煤气发生炉清洁能源替代。</w:t>
                  </w:r>
                </w:p>
              </w:tc>
              <w:tc>
                <w:tcPr>
                  <w:tcW w:w="1869" w:type="dxa"/>
                  <w:vAlign w:val="center"/>
                </w:tcPr>
                <w:p>
                  <w:pPr>
                    <w:adjustRightInd w:val="0"/>
                    <w:snapToGrid w:val="0"/>
                    <w:jc w:val="center"/>
                    <w:rPr>
                      <w:rFonts w:ascii="Times New Roman" w:hAnsi="Times New Roman"/>
                      <w:bCs/>
                      <w:color w:val="auto"/>
                      <w:sz w:val="21"/>
                      <w:szCs w:val="21"/>
                    </w:rPr>
                  </w:pPr>
                  <w:r>
                    <w:rPr>
                      <w:color w:val="auto"/>
                      <w:szCs w:val="21"/>
                    </w:rPr>
                    <w:t>新增燃煤类煤气发生炉项目不予审批。</w:t>
                  </w:r>
                </w:p>
              </w:tc>
              <w:tc>
                <w:tcPr>
                  <w:tcW w:w="1381" w:type="dxa"/>
                  <w:vAlign w:val="center"/>
                </w:tcPr>
                <w:p>
                  <w:pPr>
                    <w:pStyle w:val="30"/>
                    <w:numPr>
                      <w:ilvl w:val="1"/>
                      <w:numId w:val="0"/>
                    </w:numPr>
                    <w:ind w:left="42" w:leftChars="20" w:right="42" w:rightChars="20" w:firstLine="0" w:firstLineChars="0"/>
                    <w:jc w:val="center"/>
                    <w:rPr>
                      <w:rFonts w:hint="eastAsia" w:ascii="Times New Roman" w:hAnsi="Times New Roman" w:eastAsia="宋体"/>
                      <w:bCs/>
                      <w:color w:val="auto"/>
                      <w:sz w:val="21"/>
                      <w:szCs w:val="21"/>
                      <w:lang w:eastAsia="zh-CN"/>
                    </w:rPr>
                  </w:pPr>
                  <w:r>
                    <w:rPr>
                      <w:rFonts w:hint="eastAsia" w:ascii="Times New Roman" w:hAnsi="Times New Roman"/>
                      <w:bCs/>
                      <w:color w:val="auto"/>
                      <w:sz w:val="21"/>
                      <w:szCs w:val="21"/>
                      <w:lang w:eastAsia="zh-CN"/>
                    </w:rPr>
                    <w:t>本项目热风炉使用生物质成型颗粒</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624"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color w:val="auto"/>
                      <w:sz w:val="21"/>
                      <w:szCs w:val="21"/>
                    </w:rPr>
                    <w:t>（十七）加快低（无</w:t>
                  </w:r>
                  <w:r>
                    <w:rPr>
                      <w:rFonts w:hint="default" w:ascii="Times New Roman" w:hAnsi="Times New Roman" w:cs="Times New Roman"/>
                      <w:color w:val="auto"/>
                      <w:sz w:val="21"/>
                      <w:szCs w:val="21"/>
                    </w:rPr>
                    <w:t>）VOCs原辅材料替代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adjustRightInd w:val="0"/>
                    <w:snapToGrid w:val="0"/>
                    <w:jc w:val="center"/>
                    <w:rPr>
                      <w:rFonts w:ascii="Times New Roman" w:hAnsi="Times New Roman"/>
                      <w:bCs/>
                      <w:color w:val="auto"/>
                      <w:sz w:val="21"/>
                      <w:szCs w:val="21"/>
                    </w:rPr>
                  </w:pPr>
                  <w:r>
                    <w:rPr>
                      <w:color w:val="auto"/>
                      <w:sz w:val="21"/>
                      <w:szCs w:val="21"/>
                    </w:rPr>
                    <w:t>严格控制生产和使用高VOCs含量建设项目。</w:t>
                  </w:r>
                </w:p>
              </w:tc>
              <w:tc>
                <w:tcPr>
                  <w:tcW w:w="1869" w:type="dxa"/>
                  <w:vAlign w:val="center"/>
                </w:tcPr>
                <w:p>
                  <w:pPr>
                    <w:adjustRightInd w:val="0"/>
                    <w:snapToGrid w:val="0"/>
                    <w:jc w:val="center"/>
                    <w:rPr>
                      <w:rFonts w:ascii="Times New Roman" w:hAnsi="Times New Roman"/>
                      <w:bCs/>
                      <w:color w:val="auto"/>
                      <w:sz w:val="21"/>
                      <w:szCs w:val="21"/>
                    </w:rPr>
                  </w:pPr>
                  <w:r>
                    <w:rPr>
                      <w:color w:val="auto"/>
                      <w:sz w:val="21"/>
                      <w:szCs w:val="21"/>
                    </w:rPr>
                    <w:t>严格控制审批生产和使用高VOCs含量涂料、油墨、胶粘剂、清洗剂等建设项目环评。</w:t>
                  </w:r>
                </w:p>
              </w:tc>
              <w:tc>
                <w:tcPr>
                  <w:tcW w:w="1381" w:type="dxa"/>
                  <w:vMerge w:val="restart"/>
                  <w:vAlign w:val="center"/>
                </w:tcPr>
                <w:p>
                  <w:pPr>
                    <w:pStyle w:val="30"/>
                    <w:numPr>
                      <w:ilvl w:val="1"/>
                      <w:numId w:val="0"/>
                    </w:numPr>
                    <w:ind w:left="42" w:leftChars="20" w:right="42" w:rightChars="20" w:firstLine="0" w:firstLineChars="0"/>
                    <w:jc w:val="center"/>
                    <w:rPr>
                      <w:rFonts w:hint="eastAsia" w:ascii="Times New Roman" w:hAnsi="Times New Roman" w:eastAsia="宋体"/>
                      <w:bCs/>
                      <w:color w:val="auto"/>
                      <w:sz w:val="21"/>
                      <w:szCs w:val="21"/>
                      <w:lang w:eastAsia="zh-CN"/>
                    </w:rPr>
                  </w:pPr>
                  <w:r>
                    <w:rPr>
                      <w:rFonts w:hint="eastAsia" w:ascii="Times New Roman" w:hAnsi="Times New Roman"/>
                      <w:bCs/>
                      <w:color w:val="auto"/>
                      <w:sz w:val="21"/>
                      <w:szCs w:val="21"/>
                      <w:lang w:eastAsia="zh-CN"/>
                    </w:rPr>
                    <w:t>本项目不涉及</w:t>
                  </w:r>
                </w:p>
              </w:tc>
              <w:tc>
                <w:tcPr>
                  <w:tcW w:w="6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677" w:type="dxa"/>
                  <w:vAlign w:val="center"/>
                </w:tcPr>
                <w:p>
                  <w:pPr>
                    <w:adjustRightInd w:val="0"/>
                    <w:snapToGrid w:val="0"/>
                    <w:jc w:val="center"/>
                    <w:rPr>
                      <w:rFonts w:ascii="Times New Roman" w:hAnsi="Times New Roman"/>
                      <w:bCs/>
                      <w:color w:val="auto"/>
                      <w:sz w:val="21"/>
                      <w:szCs w:val="21"/>
                    </w:rPr>
                  </w:pPr>
                  <w:r>
                    <w:rPr>
                      <w:color w:val="auto"/>
                      <w:sz w:val="21"/>
                      <w:szCs w:val="21"/>
                    </w:rPr>
                    <w:t>推动低（无）VOCs原辅材料源头替代。</w:t>
                  </w:r>
                </w:p>
              </w:tc>
              <w:tc>
                <w:tcPr>
                  <w:tcW w:w="1869" w:type="dxa"/>
                  <w:vAlign w:val="center"/>
                </w:tcPr>
                <w:p>
                  <w:pPr>
                    <w:adjustRightInd w:val="0"/>
                    <w:snapToGrid w:val="0"/>
                    <w:jc w:val="center"/>
                    <w:rPr>
                      <w:rFonts w:ascii="Times New Roman" w:hAnsi="Times New Roman"/>
                      <w:bCs/>
                      <w:color w:val="auto"/>
                      <w:sz w:val="21"/>
                      <w:szCs w:val="21"/>
                    </w:rPr>
                  </w:pPr>
                  <w:r>
                    <w:rPr>
                      <w:color w:val="auto"/>
                      <w:sz w:val="21"/>
                      <w:szCs w:val="21"/>
                    </w:rPr>
                    <w:t>汽车整车制造、汽车修理、木质家具制造、汽车零部件、工程机械、钢结构、船舶制造等工业涂装行业、包装印刷行业及电子行业环评审批中要求加大低（无）VOCs含量原辅材料的替代力度。</w:t>
                  </w:r>
                </w:p>
              </w:tc>
              <w:tc>
                <w:tcPr>
                  <w:tcW w:w="1381" w:type="dxa"/>
                  <w:vMerge w:val="continue"/>
                  <w:vAlign w:val="center"/>
                </w:tcPr>
                <w:p>
                  <w:pPr>
                    <w:pStyle w:val="30"/>
                    <w:numPr>
                      <w:ilvl w:val="1"/>
                      <w:numId w:val="0"/>
                    </w:numPr>
                    <w:ind w:left="42" w:leftChars="20" w:right="42" w:rightChars="20" w:firstLine="0" w:firstLineChars="0"/>
                    <w:jc w:val="center"/>
                    <w:rPr>
                      <w:rFonts w:hint="eastAsia" w:ascii="Times New Roman" w:hAnsi="Times New Roman"/>
                      <w:bCs/>
                      <w:color w:val="auto"/>
                      <w:sz w:val="21"/>
                      <w:szCs w:val="21"/>
                    </w:rPr>
                  </w:pPr>
                </w:p>
              </w:tc>
              <w:tc>
                <w:tcPr>
                  <w:tcW w:w="6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r>
          </w:tbl>
          <w:p>
            <w:pPr>
              <w:pStyle w:val="38"/>
              <w:ind w:firstLine="0"/>
              <w:jc w:val="center"/>
              <w:rPr>
                <w:rFonts w:hint="eastAsia" w:ascii="Times New Roman"/>
                <w:b/>
                <w:bCs/>
                <w:color w:val="auto"/>
                <w:sz w:val="21"/>
                <w:szCs w:val="21"/>
              </w:rPr>
            </w:pPr>
          </w:p>
          <w:p>
            <w:pPr>
              <w:pStyle w:val="38"/>
              <w:ind w:firstLine="0"/>
              <w:jc w:val="left"/>
              <w:rPr>
                <w:rFonts w:ascii="Times New Roman"/>
                <w:color w:val="auto"/>
                <w:sz w:val="21"/>
                <w:szCs w:val="21"/>
              </w:rPr>
            </w:pPr>
          </w:p>
        </w:tc>
      </w:tr>
    </w:tbl>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7"/>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6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0"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建</w:t>
            </w:r>
            <w:r>
              <w:rPr>
                <w:rFonts w:ascii="Times New Roman" w:hAnsi="Times New Roman"/>
                <w:color w:val="auto"/>
                <w:sz w:val="21"/>
                <w:szCs w:val="21"/>
              </w:rPr>
              <w:t>设内容</w:t>
            </w:r>
          </w:p>
        </w:tc>
        <w:tc>
          <w:tcPr>
            <w:tcW w:w="8610" w:type="dxa"/>
            <w:vAlign w:val="top"/>
          </w:tcPr>
          <w:p>
            <w:pPr>
              <w:pStyle w:val="6"/>
              <w:widowControl w:val="0"/>
              <w:snapToGrid/>
              <w:spacing w:before="0" w:after="0" w:line="360" w:lineRule="auto"/>
              <w:ind w:right="0" w:firstLine="482" w:firstLineChars="200"/>
              <w:textAlignment w:val="baseline"/>
              <w:rPr>
                <w:color w:val="auto"/>
                <w:sz w:val="24"/>
              </w:rPr>
            </w:pPr>
            <w:r>
              <w:rPr>
                <w:rFonts w:hint="eastAsia"/>
                <w:b/>
                <w:bCs/>
                <w:color w:val="auto"/>
                <w:sz w:val="24"/>
                <w:lang w:eastAsia="zh-CN"/>
              </w:rPr>
              <w:t>1.</w:t>
            </w:r>
            <w:r>
              <w:rPr>
                <w:rFonts w:hint="eastAsia"/>
                <w:b/>
                <w:bCs/>
                <w:color w:val="auto"/>
                <w:sz w:val="24"/>
              </w:rPr>
              <w:t>项目由来</w:t>
            </w:r>
          </w:p>
          <w:p>
            <w:pPr>
              <w:spacing w:line="360" w:lineRule="auto"/>
              <w:ind w:firstLine="480"/>
              <w:rPr>
                <w:rFonts w:hint="eastAsia"/>
                <w:color w:val="auto"/>
                <w:sz w:val="24"/>
                <w:lang w:val="en-US" w:eastAsia="zh-CN"/>
              </w:rPr>
            </w:pPr>
            <w:r>
              <w:rPr>
                <w:rFonts w:hint="eastAsia"/>
                <w:color w:val="auto"/>
                <w:sz w:val="24"/>
                <w:lang w:eastAsia="zh-CN"/>
              </w:rPr>
              <w:t>寿县玖鸿谷物种植专业合作社粮食加工项目，</w:t>
            </w:r>
            <w:r>
              <w:rPr>
                <w:rFonts w:hint="eastAsia"/>
                <w:color w:val="auto"/>
                <w:sz w:val="24"/>
              </w:rPr>
              <w:t>位于</w:t>
            </w:r>
            <w:r>
              <w:rPr>
                <w:rFonts w:hint="eastAsia"/>
                <w:color w:val="auto"/>
                <w:sz w:val="24"/>
                <w:lang w:eastAsia="zh-CN"/>
              </w:rPr>
              <w:t>安徽省淮南市寿县众兴镇新店村金圩组。该项目已于</w:t>
            </w:r>
            <w:r>
              <w:rPr>
                <w:rFonts w:hint="eastAsia"/>
                <w:color w:val="auto"/>
                <w:sz w:val="24"/>
                <w:lang w:val="en-US" w:eastAsia="zh-CN"/>
              </w:rPr>
              <w:t>2025年12月9日在寿县发展和改革委员会备案，项目代码为2515-340422-04-05-688468。</w:t>
            </w:r>
          </w:p>
          <w:p>
            <w:pPr>
              <w:autoSpaceDE w:val="0"/>
              <w:autoSpaceDN w:val="0"/>
              <w:spacing w:line="360" w:lineRule="auto"/>
              <w:ind w:firstLine="480" w:firstLineChars="200"/>
              <w:rPr>
                <w:b/>
                <w:bCs/>
                <w:color w:val="auto"/>
                <w:szCs w:val="21"/>
              </w:rPr>
            </w:pPr>
            <w:r>
              <w:rPr>
                <w:color w:val="auto"/>
                <w:sz w:val="24"/>
              </w:rPr>
              <w:t>根据《中华人民共和国环境影响评价法》的有关规定和《建设项目环境影响评价分类管理名录》（2021年版），本项目环评类别判断如下表</w:t>
            </w:r>
            <w:r>
              <w:rPr>
                <w:rStyle w:val="26"/>
                <w:rFonts w:hint="eastAsia"/>
                <w:color w:val="auto"/>
                <w:kern w:val="0"/>
                <w:szCs w:val="20"/>
              </w:rPr>
              <w:t>。</w:t>
            </w:r>
          </w:p>
          <w:p>
            <w:pPr>
              <w:pStyle w:val="6"/>
              <w:spacing w:before="0" w:after="0" w:line="240" w:lineRule="auto"/>
              <w:ind w:right="0"/>
              <w:jc w:val="center"/>
              <w:rPr>
                <w:b/>
                <w:bCs/>
                <w:color w:val="auto"/>
                <w:sz w:val="21"/>
                <w:szCs w:val="21"/>
              </w:rPr>
            </w:pPr>
            <w:r>
              <w:rPr>
                <w:b/>
                <w:bCs/>
                <w:color w:val="auto"/>
                <w:sz w:val="21"/>
                <w:szCs w:val="21"/>
              </w:rPr>
              <w:t>表2-1  环评类别判断一览表</w:t>
            </w:r>
          </w:p>
          <w:tbl>
            <w:tblPr>
              <w:tblStyle w:val="27"/>
              <w:tblW w:w="83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455"/>
              <w:gridCol w:w="1231"/>
              <w:gridCol w:w="2634"/>
              <w:gridCol w:w="890"/>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2042" w:type="dxa"/>
                  <w:gridSpan w:val="2"/>
                  <w:vMerge w:val="restart"/>
                  <w:tcBorders>
                    <w:top w:val="single" w:color="auto" w:sz="4" w:space="0"/>
                    <w:left w:val="single" w:color="auto" w:sz="4" w:space="0"/>
                    <w:bottom w:val="single" w:color="auto" w:sz="4" w:space="0"/>
                    <w:tl2br w:val="single" w:color="auto" w:sz="4" w:space="0"/>
                  </w:tcBorders>
                  <w:vAlign w:val="center"/>
                </w:tcPr>
                <w:p>
                  <w:pPr>
                    <w:kinsoku w:val="0"/>
                    <w:overflowPunct w:val="0"/>
                    <w:autoSpaceDE w:val="0"/>
                    <w:autoSpaceDN w:val="0"/>
                    <w:jc w:val="right"/>
                    <w:rPr>
                      <w:snapToGrid w:val="0"/>
                      <w:color w:val="auto"/>
                      <w:kern w:val="24"/>
                      <w:szCs w:val="21"/>
                    </w:rPr>
                  </w:pPr>
                  <w:r>
                    <w:rPr>
                      <w:snapToGrid w:val="0"/>
                      <w:color w:val="auto"/>
                      <w:kern w:val="24"/>
                      <w:szCs w:val="21"/>
                    </w:rPr>
                    <w:t>环评类别</w:t>
                  </w:r>
                </w:p>
                <w:p>
                  <w:pPr>
                    <w:kinsoku w:val="0"/>
                    <w:overflowPunct w:val="0"/>
                    <w:autoSpaceDE w:val="0"/>
                    <w:autoSpaceDN w:val="0"/>
                    <w:jc w:val="left"/>
                    <w:rPr>
                      <w:snapToGrid w:val="0"/>
                      <w:color w:val="auto"/>
                      <w:kern w:val="24"/>
                      <w:szCs w:val="21"/>
                    </w:rPr>
                  </w:pPr>
                  <w:r>
                    <w:rPr>
                      <w:snapToGrid w:val="0"/>
                      <w:color w:val="auto"/>
                      <w:kern w:val="24"/>
                      <w:szCs w:val="21"/>
                    </w:rPr>
                    <w:t>项目类别</w:t>
                  </w:r>
                </w:p>
              </w:tc>
              <w:tc>
                <w:tcPr>
                  <w:tcW w:w="4755" w:type="dxa"/>
                  <w:gridSpan w:val="3"/>
                  <w:tcBorders>
                    <w:top w:val="single" w:color="auto" w:sz="4" w:space="0"/>
                    <w:bottom w:val="single" w:color="auto" w:sz="4" w:space="0"/>
                    <w:right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环境影响评价类别</w:t>
                  </w:r>
                </w:p>
              </w:tc>
              <w:tc>
                <w:tcPr>
                  <w:tcW w:w="1593" w:type="dxa"/>
                  <w:vMerge w:val="restart"/>
                  <w:tcBorders>
                    <w:top w:val="single" w:color="auto" w:sz="4" w:space="0"/>
                    <w:right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项目环评类别判定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2" w:type="dxa"/>
                  <w:gridSpan w:val="2"/>
                  <w:vMerge w:val="continue"/>
                  <w:tcBorders>
                    <w:left w:val="single" w:color="auto" w:sz="4" w:space="0"/>
                    <w:bottom w:val="single" w:color="auto" w:sz="4" w:space="0"/>
                    <w:tl2br w:val="single" w:color="auto" w:sz="4" w:space="0"/>
                  </w:tcBorders>
                  <w:vAlign w:val="center"/>
                </w:tcPr>
                <w:p>
                  <w:pPr>
                    <w:kinsoku w:val="0"/>
                    <w:overflowPunct w:val="0"/>
                    <w:autoSpaceDE w:val="0"/>
                    <w:autoSpaceDN w:val="0"/>
                    <w:jc w:val="left"/>
                    <w:rPr>
                      <w:snapToGrid w:val="0"/>
                      <w:color w:val="auto"/>
                      <w:kern w:val="24"/>
                      <w:szCs w:val="21"/>
                    </w:rPr>
                  </w:pPr>
                </w:p>
              </w:tc>
              <w:tc>
                <w:tcPr>
                  <w:tcW w:w="1231" w:type="dxa"/>
                  <w:tcBorders>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报告书</w:t>
                  </w:r>
                </w:p>
              </w:tc>
              <w:tc>
                <w:tcPr>
                  <w:tcW w:w="2634" w:type="dxa"/>
                  <w:tcBorders>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报告表</w:t>
                  </w:r>
                </w:p>
              </w:tc>
              <w:tc>
                <w:tcPr>
                  <w:tcW w:w="890" w:type="dxa"/>
                  <w:tcBorders>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登记表</w:t>
                  </w:r>
                </w:p>
              </w:tc>
              <w:tc>
                <w:tcPr>
                  <w:tcW w:w="1593" w:type="dxa"/>
                  <w:vMerge w:val="continue"/>
                  <w:tcBorders>
                    <w:right w:val="single" w:color="auto" w:sz="4" w:space="0"/>
                  </w:tcBorders>
                  <w:vAlign w:val="center"/>
                </w:tcPr>
                <w:p>
                  <w:pPr>
                    <w:kinsoku w:val="0"/>
                    <w:overflowPunct w:val="0"/>
                    <w:autoSpaceDE w:val="0"/>
                    <w:autoSpaceDN w:val="0"/>
                    <w:jc w:val="center"/>
                    <w:rPr>
                      <w:snapToGrid w:val="0"/>
                      <w:color w:val="auto"/>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jc w:val="center"/>
                    <w:rPr>
                      <w:rFonts w:hint="default" w:eastAsia="宋体"/>
                      <w:snapToGrid w:val="0"/>
                      <w:color w:val="auto"/>
                      <w:kern w:val="24"/>
                      <w:szCs w:val="21"/>
                      <w:lang w:val="en-US" w:eastAsia="zh-CN"/>
                    </w:rPr>
                  </w:pPr>
                  <w:r>
                    <w:rPr>
                      <w:rFonts w:hint="eastAsia"/>
                      <w:snapToGrid w:val="0"/>
                      <w:color w:val="auto"/>
                      <w:kern w:val="24"/>
                      <w:szCs w:val="21"/>
                      <w:lang w:val="en-US" w:eastAsia="zh-CN"/>
                    </w:rPr>
                    <w:t>91</w:t>
                  </w:r>
                </w:p>
              </w:tc>
              <w:tc>
                <w:tcPr>
                  <w:tcW w:w="1455" w:type="dxa"/>
                  <w:tcBorders>
                    <w:top w:val="single" w:color="auto" w:sz="4" w:space="0"/>
                    <w:left w:val="single" w:color="auto" w:sz="4" w:space="0"/>
                    <w:bottom w:val="single" w:color="auto" w:sz="4" w:space="0"/>
                  </w:tcBorders>
                  <w:vAlign w:val="center"/>
                </w:tcPr>
                <w:p>
                  <w:pPr>
                    <w:kinsoku w:val="0"/>
                    <w:overflowPunct w:val="0"/>
                    <w:autoSpaceDE w:val="0"/>
                    <w:autoSpaceDN w:val="0"/>
                    <w:jc w:val="center"/>
                    <w:rPr>
                      <w:rFonts w:hint="eastAsia"/>
                      <w:snapToGrid w:val="0"/>
                      <w:color w:val="auto"/>
                      <w:kern w:val="24"/>
                      <w:szCs w:val="21"/>
                    </w:rPr>
                  </w:pPr>
                  <w:r>
                    <w:rPr>
                      <w:rFonts w:hint="eastAsia"/>
                      <w:snapToGrid w:val="0"/>
                      <w:color w:val="auto"/>
                      <w:kern w:val="24"/>
                      <w:szCs w:val="21"/>
                    </w:rPr>
                    <w:t>热力生产和供应工程</w:t>
                  </w:r>
                </w:p>
                <w:p>
                  <w:pPr>
                    <w:kinsoku w:val="0"/>
                    <w:overflowPunct w:val="0"/>
                    <w:autoSpaceDE w:val="0"/>
                    <w:autoSpaceDN w:val="0"/>
                    <w:jc w:val="center"/>
                    <w:rPr>
                      <w:rFonts w:hint="eastAsia"/>
                      <w:snapToGrid w:val="0"/>
                      <w:color w:val="auto"/>
                      <w:kern w:val="24"/>
                      <w:szCs w:val="21"/>
                    </w:rPr>
                  </w:pPr>
                  <w:r>
                    <w:rPr>
                      <w:rFonts w:hint="eastAsia"/>
                      <w:snapToGrid w:val="0"/>
                      <w:color w:val="auto"/>
                      <w:kern w:val="24"/>
                      <w:szCs w:val="21"/>
                    </w:rPr>
                    <w:t>（包括建设单位自建</w:t>
                  </w:r>
                </w:p>
                <w:p>
                  <w:pPr>
                    <w:kinsoku w:val="0"/>
                    <w:overflowPunct w:val="0"/>
                    <w:autoSpaceDE w:val="0"/>
                    <w:autoSpaceDN w:val="0"/>
                    <w:jc w:val="center"/>
                    <w:rPr>
                      <w:snapToGrid w:val="0"/>
                      <w:color w:val="auto"/>
                      <w:kern w:val="24"/>
                      <w:szCs w:val="21"/>
                    </w:rPr>
                  </w:pPr>
                  <w:r>
                    <w:rPr>
                      <w:rFonts w:hint="eastAsia"/>
                      <w:snapToGrid w:val="0"/>
                      <w:color w:val="auto"/>
                      <w:kern w:val="24"/>
                      <w:szCs w:val="21"/>
                    </w:rPr>
                    <w:t>自用的供热工程）</w:t>
                  </w:r>
                </w:p>
              </w:tc>
              <w:tc>
                <w:tcPr>
                  <w:tcW w:w="1231" w:type="dxa"/>
                  <w:tcBorders>
                    <w:top w:val="single" w:color="auto" w:sz="4" w:space="0"/>
                    <w:bottom w:val="single" w:color="auto" w:sz="4" w:space="0"/>
                  </w:tcBorders>
                  <w:vAlign w:val="center"/>
                </w:tcPr>
                <w:p>
                  <w:pPr>
                    <w:keepNext w:val="0"/>
                    <w:keepLines w:val="0"/>
                    <w:pageBreakBefore w:val="0"/>
                    <w:widowControl/>
                    <w:kinsoku/>
                    <w:wordWrap/>
                    <w:overflowPunct w:val="0"/>
                    <w:topLinePunct w:val="0"/>
                    <w:bidi w:val="0"/>
                    <w:adjustRightInd/>
                    <w:snapToGrid/>
                    <w:jc w:val="center"/>
                    <w:textAlignment w:val="auto"/>
                    <w:rPr>
                      <w:rFonts w:hint="eastAsia"/>
                      <w:snapToGrid w:val="0"/>
                      <w:color w:val="auto"/>
                      <w:kern w:val="24"/>
                      <w:szCs w:val="21"/>
                    </w:rPr>
                  </w:pPr>
                  <w:r>
                    <w:rPr>
                      <w:rFonts w:hint="eastAsia"/>
                      <w:snapToGrid w:val="0"/>
                      <w:color w:val="auto"/>
                      <w:kern w:val="24"/>
                      <w:szCs w:val="21"/>
                    </w:rPr>
                    <w:t>燃煤、燃油锅炉总容量65吨/小时（45.5</w:t>
                  </w:r>
                </w:p>
                <w:p>
                  <w:pPr>
                    <w:keepNext w:val="0"/>
                    <w:keepLines w:val="0"/>
                    <w:pageBreakBefore w:val="0"/>
                    <w:widowControl/>
                    <w:kinsoku/>
                    <w:wordWrap/>
                    <w:overflowPunct w:val="0"/>
                    <w:topLinePunct w:val="0"/>
                    <w:bidi w:val="0"/>
                    <w:adjustRightInd/>
                    <w:snapToGrid/>
                    <w:jc w:val="center"/>
                    <w:textAlignment w:val="auto"/>
                    <w:rPr>
                      <w:snapToGrid w:val="0"/>
                      <w:color w:val="auto"/>
                      <w:kern w:val="24"/>
                      <w:szCs w:val="21"/>
                    </w:rPr>
                  </w:pPr>
                  <w:r>
                    <w:rPr>
                      <w:rFonts w:hint="eastAsia"/>
                      <w:snapToGrid w:val="0"/>
                      <w:color w:val="auto"/>
                      <w:kern w:val="24"/>
                      <w:szCs w:val="21"/>
                    </w:rPr>
                    <w:t>兆瓦）以上的</w:t>
                  </w:r>
                </w:p>
              </w:tc>
              <w:tc>
                <w:tcPr>
                  <w:tcW w:w="2634" w:type="dxa"/>
                  <w:tcBorders>
                    <w:top w:val="single" w:color="auto" w:sz="4" w:space="0"/>
                    <w:bottom w:val="single" w:color="auto" w:sz="4" w:space="0"/>
                  </w:tcBorders>
                  <w:vAlign w:val="center"/>
                </w:tcPr>
                <w:p>
                  <w:pPr>
                    <w:keepNext w:val="0"/>
                    <w:keepLines w:val="0"/>
                    <w:pageBreakBefore w:val="0"/>
                    <w:kinsoku/>
                    <w:wordWrap/>
                    <w:overflowPunct w:val="0"/>
                    <w:topLinePunct w:val="0"/>
                    <w:autoSpaceDE w:val="0"/>
                    <w:autoSpaceDN w:val="0"/>
                    <w:bidi w:val="0"/>
                    <w:adjustRightInd/>
                    <w:snapToGrid/>
                    <w:jc w:val="center"/>
                    <w:textAlignment w:val="auto"/>
                    <w:rPr>
                      <w:rFonts w:hint="eastAsia"/>
                      <w:snapToGrid w:val="0"/>
                      <w:color w:val="auto"/>
                      <w:kern w:val="24"/>
                      <w:szCs w:val="21"/>
                    </w:rPr>
                  </w:pPr>
                  <w:r>
                    <w:rPr>
                      <w:rFonts w:hint="eastAsia"/>
                      <w:snapToGrid w:val="0"/>
                      <w:color w:val="auto"/>
                      <w:kern w:val="24"/>
                      <w:szCs w:val="21"/>
                    </w:rPr>
                    <w:t>燃煤、燃油锅炉总容量65吨/小时（45.5兆瓦）及以下的；天然气锅炉总容量1吨/小时（0.7兆瓦）以上的；使用其他高污染燃料的</w:t>
                  </w:r>
                </w:p>
                <w:p>
                  <w:pPr>
                    <w:keepNext w:val="0"/>
                    <w:keepLines w:val="0"/>
                    <w:pageBreakBefore w:val="0"/>
                    <w:kinsoku/>
                    <w:wordWrap/>
                    <w:overflowPunct w:val="0"/>
                    <w:topLinePunct w:val="0"/>
                    <w:autoSpaceDE w:val="0"/>
                    <w:autoSpaceDN w:val="0"/>
                    <w:bidi w:val="0"/>
                    <w:adjustRightInd/>
                    <w:snapToGrid/>
                    <w:jc w:val="center"/>
                    <w:textAlignment w:val="auto"/>
                    <w:rPr>
                      <w:snapToGrid w:val="0"/>
                      <w:color w:val="auto"/>
                      <w:kern w:val="24"/>
                      <w:szCs w:val="21"/>
                    </w:rPr>
                  </w:pPr>
                  <w:r>
                    <w:rPr>
                      <w:rFonts w:hint="eastAsia"/>
                      <w:snapToGrid w:val="0"/>
                      <w:color w:val="auto"/>
                      <w:kern w:val="24"/>
                      <w:szCs w:val="21"/>
                    </w:rPr>
                    <w:t>（高污染燃料指国环规大气〔2017〕2号《高污染燃料目录》中规定的燃料）</w:t>
                  </w:r>
                </w:p>
              </w:tc>
              <w:tc>
                <w:tcPr>
                  <w:tcW w:w="890" w:type="dxa"/>
                  <w:tcBorders>
                    <w:top w:val="single" w:color="auto" w:sz="4" w:space="0"/>
                    <w:bottom w:val="single" w:color="auto" w:sz="4" w:space="0"/>
                  </w:tcBorders>
                  <w:vAlign w:val="center"/>
                </w:tcPr>
                <w:p>
                  <w:pPr>
                    <w:kinsoku w:val="0"/>
                    <w:overflowPunct w:val="0"/>
                    <w:autoSpaceDE w:val="0"/>
                    <w:autoSpaceDN w:val="0"/>
                    <w:jc w:val="center"/>
                    <w:rPr>
                      <w:rFonts w:hint="eastAsia" w:eastAsia="宋体"/>
                      <w:snapToGrid w:val="0"/>
                      <w:color w:val="auto"/>
                      <w:kern w:val="24"/>
                      <w:szCs w:val="21"/>
                      <w:lang w:val="en-US" w:eastAsia="zh-CN"/>
                    </w:rPr>
                  </w:pPr>
                  <w:r>
                    <w:rPr>
                      <w:rFonts w:hint="eastAsia"/>
                      <w:snapToGrid w:val="0"/>
                      <w:color w:val="auto"/>
                      <w:kern w:val="24"/>
                      <w:szCs w:val="21"/>
                      <w:lang w:val="en-US" w:eastAsia="zh-CN"/>
                    </w:rPr>
                    <w:t>/</w:t>
                  </w:r>
                </w:p>
              </w:tc>
              <w:tc>
                <w:tcPr>
                  <w:tcW w:w="1593" w:type="dxa"/>
                  <w:tcBorders>
                    <w:top w:val="single" w:color="auto" w:sz="4" w:space="0"/>
                    <w:bottom w:val="single" w:color="auto" w:sz="4" w:space="0"/>
                    <w:right w:val="single" w:color="auto" w:sz="4" w:space="0"/>
                  </w:tcBorders>
                  <w:vAlign w:val="center"/>
                </w:tcPr>
                <w:p>
                  <w:pPr>
                    <w:kinsoku w:val="0"/>
                    <w:overflowPunct w:val="0"/>
                    <w:autoSpaceDE w:val="0"/>
                    <w:autoSpaceDN w:val="0"/>
                    <w:jc w:val="center"/>
                    <w:rPr>
                      <w:snapToGrid w:val="0"/>
                      <w:color w:val="auto"/>
                      <w:kern w:val="24"/>
                      <w:szCs w:val="21"/>
                    </w:rPr>
                  </w:pPr>
                  <w:r>
                    <w:rPr>
                      <w:rFonts w:hint="eastAsia"/>
                      <w:snapToGrid w:val="0"/>
                      <w:color w:val="auto"/>
                      <w:kern w:val="24"/>
                      <w:szCs w:val="21"/>
                    </w:rPr>
                    <w:t>本项目</w:t>
                  </w:r>
                  <w:r>
                    <w:rPr>
                      <w:rFonts w:hint="eastAsia"/>
                      <w:snapToGrid w:val="0"/>
                      <w:color w:val="auto"/>
                      <w:kern w:val="24"/>
                      <w:szCs w:val="21"/>
                      <w:lang w:eastAsia="zh-CN"/>
                    </w:rPr>
                    <w:t>热风炉使用生物质成型燃料</w:t>
                  </w:r>
                  <w:r>
                    <w:rPr>
                      <w:rFonts w:hint="eastAsia"/>
                      <w:snapToGrid w:val="0"/>
                      <w:color w:val="auto"/>
                      <w:kern w:val="24"/>
                      <w:szCs w:val="21"/>
                    </w:rPr>
                    <w:t>，因此需要编制报告表</w:t>
                  </w:r>
                </w:p>
              </w:tc>
            </w:tr>
          </w:tbl>
          <w:p>
            <w:pPr>
              <w:pStyle w:val="6"/>
              <w:spacing w:before="0" w:after="0" w:line="240" w:lineRule="auto"/>
              <w:ind w:right="0"/>
              <w:jc w:val="center"/>
              <w:rPr>
                <w:b/>
                <w:bCs/>
                <w:color w:val="auto"/>
                <w:sz w:val="21"/>
                <w:szCs w:val="21"/>
              </w:rPr>
            </w:pPr>
          </w:p>
          <w:p>
            <w:pPr>
              <w:autoSpaceDE w:val="0"/>
              <w:autoSpaceDN w:val="0"/>
              <w:spacing w:line="360" w:lineRule="auto"/>
              <w:ind w:firstLine="480" w:firstLineChars="200"/>
              <w:rPr>
                <w:color w:val="auto"/>
                <w:sz w:val="24"/>
              </w:rPr>
            </w:pPr>
            <w:r>
              <w:rPr>
                <w:rFonts w:hint="eastAsia"/>
                <w:color w:val="auto"/>
                <w:sz w:val="24"/>
                <w:lang w:eastAsia="zh-CN"/>
              </w:rPr>
              <w:t>寿县玖鸿谷物种植专业合作社</w:t>
            </w:r>
            <w:r>
              <w:rPr>
                <w:color w:val="auto"/>
                <w:sz w:val="24"/>
              </w:rPr>
              <w:t>委托我单位编制</w:t>
            </w:r>
            <w:r>
              <w:rPr>
                <w:rFonts w:hint="eastAsia"/>
                <w:color w:val="auto"/>
                <w:sz w:val="24"/>
                <w:lang w:eastAsia="zh-CN"/>
              </w:rPr>
              <w:t>“寿县玖鸿谷物种植专业合作社粮食加工项目”</w:t>
            </w:r>
            <w:r>
              <w:rPr>
                <w:color w:val="auto"/>
                <w:sz w:val="24"/>
              </w:rPr>
              <w:t>环境影响报告表，我单位接受委托后，认真研究了该项目的有关资料，在踏勘现场的社会、自然环境状况，调查、收集建设项目资料的基础上，根据项目所在区域的环境特征、结合工程实际污染特性等因素，</w:t>
            </w:r>
            <w:r>
              <w:rPr>
                <w:rFonts w:hint="eastAsia"/>
                <w:color w:val="auto"/>
                <w:sz w:val="24"/>
              </w:rPr>
              <w:t>编</w:t>
            </w:r>
            <w:r>
              <w:rPr>
                <w:color w:val="auto"/>
                <w:sz w:val="24"/>
              </w:rPr>
              <w:t>制了本项目环境影响报告表。</w:t>
            </w:r>
          </w:p>
          <w:p>
            <w:pPr>
              <w:pStyle w:val="10"/>
              <w:spacing w:line="360" w:lineRule="auto"/>
              <w:ind w:firstLine="480" w:firstLineChars="200"/>
              <w:rPr>
                <w:rFonts w:hint="eastAsia"/>
                <w:color w:val="auto"/>
              </w:rPr>
            </w:pPr>
            <w:r>
              <w:rPr>
                <w:color w:val="auto"/>
              </w:rPr>
              <w:t>根据《固定污染源排污许可分类管理名录》</w:t>
            </w:r>
            <w:r>
              <w:rPr>
                <w:rFonts w:hint="eastAsia"/>
                <w:color w:val="auto"/>
                <w:lang w:eastAsia="zh-CN"/>
              </w:rPr>
              <w:t>（</w:t>
            </w:r>
            <w:r>
              <w:rPr>
                <w:color w:val="auto"/>
              </w:rPr>
              <w:t>2019年版</w:t>
            </w:r>
            <w:r>
              <w:rPr>
                <w:rFonts w:hint="eastAsia"/>
                <w:color w:val="auto"/>
                <w:lang w:eastAsia="zh-CN"/>
              </w:rPr>
              <w:t>）</w:t>
            </w:r>
            <w:r>
              <w:rPr>
                <w:rFonts w:hint="eastAsia"/>
                <w:color w:val="auto"/>
              </w:rPr>
              <w:t>，本项目排污许可类别判定如下所示：</w:t>
            </w:r>
          </w:p>
          <w:p>
            <w:pPr>
              <w:pStyle w:val="6"/>
              <w:spacing w:before="0" w:after="0" w:line="240" w:lineRule="auto"/>
              <w:ind w:right="0"/>
              <w:jc w:val="center"/>
              <w:rPr>
                <w:b/>
                <w:bCs/>
                <w:color w:val="auto"/>
                <w:sz w:val="21"/>
                <w:szCs w:val="21"/>
              </w:rPr>
            </w:pPr>
            <w:r>
              <w:rPr>
                <w:b/>
                <w:bCs/>
                <w:color w:val="auto"/>
                <w:sz w:val="21"/>
                <w:szCs w:val="21"/>
              </w:rPr>
              <w:t>表2-2  排污许可类别判断一览表</w:t>
            </w:r>
          </w:p>
          <w:tbl>
            <w:tblPr>
              <w:tblStyle w:val="27"/>
              <w:tblW w:w="83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229"/>
              <w:gridCol w:w="1065"/>
              <w:gridCol w:w="2117"/>
              <w:gridCol w:w="1725"/>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16" w:type="dxa"/>
                  <w:gridSpan w:val="2"/>
                  <w:vMerge w:val="restart"/>
                  <w:tcBorders>
                    <w:top w:val="single" w:color="auto" w:sz="4" w:space="0"/>
                    <w:left w:val="single" w:color="auto" w:sz="4" w:space="0"/>
                    <w:bottom w:val="single" w:color="auto" w:sz="4" w:space="0"/>
                    <w:tl2br w:val="single" w:color="auto" w:sz="4" w:space="0"/>
                  </w:tcBorders>
                  <w:vAlign w:val="center"/>
                </w:tcPr>
                <w:p>
                  <w:pPr>
                    <w:kinsoku/>
                    <w:overflowPunct/>
                    <w:autoSpaceDE w:val="0"/>
                    <w:autoSpaceDN w:val="0"/>
                    <w:jc w:val="right"/>
                    <w:rPr>
                      <w:snapToGrid w:val="0"/>
                      <w:color w:val="auto"/>
                      <w:kern w:val="24"/>
                      <w:szCs w:val="21"/>
                    </w:rPr>
                  </w:pPr>
                  <w:r>
                    <w:rPr>
                      <w:snapToGrid w:val="0"/>
                      <w:color w:val="auto"/>
                      <w:kern w:val="24"/>
                      <w:szCs w:val="21"/>
                    </w:rPr>
                    <w:t>许可类别</w:t>
                  </w:r>
                </w:p>
                <w:p>
                  <w:pPr>
                    <w:kinsoku/>
                    <w:overflowPunct/>
                    <w:autoSpaceDE w:val="0"/>
                    <w:autoSpaceDN w:val="0"/>
                    <w:jc w:val="left"/>
                    <w:rPr>
                      <w:snapToGrid w:val="0"/>
                      <w:color w:val="auto"/>
                      <w:kern w:val="24"/>
                      <w:szCs w:val="21"/>
                    </w:rPr>
                  </w:pPr>
                  <w:r>
                    <w:rPr>
                      <w:snapToGrid w:val="0"/>
                      <w:color w:val="auto"/>
                      <w:kern w:val="24"/>
                      <w:szCs w:val="21"/>
                    </w:rPr>
                    <w:t>项目类别</w:t>
                  </w:r>
                </w:p>
              </w:tc>
              <w:tc>
                <w:tcPr>
                  <w:tcW w:w="4907" w:type="dxa"/>
                  <w:gridSpan w:val="3"/>
                  <w:tcBorders>
                    <w:top w:val="single" w:color="auto" w:sz="4" w:space="0"/>
                    <w:bottom w:val="single" w:color="auto" w:sz="4" w:space="0"/>
                    <w:right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排污许可类别</w:t>
                  </w:r>
                </w:p>
              </w:tc>
              <w:tc>
                <w:tcPr>
                  <w:tcW w:w="1667" w:type="dxa"/>
                  <w:vMerge w:val="restart"/>
                  <w:tcBorders>
                    <w:top w:val="single" w:color="auto" w:sz="4" w:space="0"/>
                    <w:right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项目排污许可类别判定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16" w:type="dxa"/>
                  <w:gridSpan w:val="2"/>
                  <w:vMerge w:val="continue"/>
                  <w:tcBorders>
                    <w:left w:val="single" w:color="auto" w:sz="4" w:space="0"/>
                    <w:bottom w:val="single" w:color="auto" w:sz="4" w:space="0"/>
                    <w:tl2br w:val="single" w:color="auto" w:sz="4" w:space="0"/>
                  </w:tcBorders>
                  <w:vAlign w:val="center"/>
                </w:tcPr>
                <w:p>
                  <w:pPr>
                    <w:kinsoku/>
                    <w:overflowPunct/>
                    <w:autoSpaceDE w:val="0"/>
                    <w:autoSpaceDN w:val="0"/>
                    <w:jc w:val="left"/>
                    <w:rPr>
                      <w:snapToGrid w:val="0"/>
                      <w:color w:val="auto"/>
                      <w:kern w:val="24"/>
                      <w:szCs w:val="21"/>
                    </w:rPr>
                  </w:pPr>
                </w:p>
              </w:tc>
              <w:tc>
                <w:tcPr>
                  <w:tcW w:w="1065" w:type="dxa"/>
                  <w:tcBorders>
                    <w:bottom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重点管理</w:t>
                  </w:r>
                </w:p>
              </w:tc>
              <w:tc>
                <w:tcPr>
                  <w:tcW w:w="2117" w:type="dxa"/>
                  <w:tcBorders>
                    <w:bottom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简化管理</w:t>
                  </w:r>
                </w:p>
              </w:tc>
              <w:tc>
                <w:tcPr>
                  <w:tcW w:w="1725" w:type="dxa"/>
                  <w:tcBorders>
                    <w:bottom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登记管理</w:t>
                  </w:r>
                </w:p>
              </w:tc>
              <w:tc>
                <w:tcPr>
                  <w:tcW w:w="1667" w:type="dxa"/>
                  <w:vMerge w:val="continue"/>
                  <w:tcBorders>
                    <w:right w:val="single" w:color="auto" w:sz="4" w:space="0"/>
                  </w:tcBorders>
                  <w:vAlign w:val="center"/>
                </w:tcPr>
                <w:p>
                  <w:pPr>
                    <w:kinsoku/>
                    <w:overflowPunct/>
                    <w:autoSpaceDE w:val="0"/>
                    <w:autoSpaceDN w:val="0"/>
                    <w:jc w:val="center"/>
                    <w:rPr>
                      <w:snapToGrid w:val="0"/>
                      <w:color w:val="auto"/>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pPr>
                    <w:kinsoku/>
                    <w:overflowPunct/>
                    <w:autoSpaceDE w:val="0"/>
                    <w:autoSpaceDN w:val="0"/>
                    <w:jc w:val="center"/>
                    <w:rPr>
                      <w:rFonts w:hint="default" w:eastAsia="宋体"/>
                      <w:snapToGrid w:val="0"/>
                      <w:color w:val="auto"/>
                      <w:kern w:val="24"/>
                      <w:szCs w:val="21"/>
                      <w:lang w:val="en-US" w:eastAsia="zh-CN"/>
                    </w:rPr>
                  </w:pPr>
                  <w:r>
                    <w:rPr>
                      <w:rFonts w:hint="eastAsia"/>
                      <w:snapToGrid w:val="0"/>
                      <w:color w:val="auto"/>
                      <w:kern w:val="24"/>
                      <w:szCs w:val="21"/>
                      <w:lang w:val="en-US" w:eastAsia="zh-CN"/>
                    </w:rPr>
                    <w:t>110</w:t>
                  </w:r>
                </w:p>
              </w:tc>
              <w:tc>
                <w:tcPr>
                  <w:tcW w:w="1229" w:type="dxa"/>
                  <w:tcBorders>
                    <w:top w:val="single" w:color="auto" w:sz="4" w:space="0"/>
                    <w:left w:val="single" w:color="auto" w:sz="4" w:space="0"/>
                    <w:bottom w:val="single" w:color="auto" w:sz="4" w:space="0"/>
                  </w:tcBorders>
                  <w:vAlign w:val="center"/>
                </w:tcPr>
                <w:p>
                  <w:pPr>
                    <w:keepNext w:val="0"/>
                    <w:keepLines w:val="0"/>
                    <w:widowControl/>
                    <w:suppressLineNumbers w:val="0"/>
                    <w:jc w:val="left"/>
                  </w:pPr>
                  <w:r>
                    <w:rPr>
                      <w:rFonts w:hint="eastAsia"/>
                      <w:color w:val="auto"/>
                      <w:szCs w:val="21"/>
                      <w:lang w:eastAsia="zh-CN"/>
                    </w:rPr>
                    <w:t>工业</w:t>
                  </w:r>
                  <w:r>
                    <w:rPr>
                      <w:rFonts w:hint="eastAsia" w:ascii="宋体" w:hAnsi="宋体" w:eastAsia="宋体" w:cs="宋体"/>
                      <w:color w:val="000000"/>
                      <w:kern w:val="0"/>
                      <w:sz w:val="21"/>
                      <w:szCs w:val="21"/>
                      <w:lang w:val="en-US" w:eastAsia="zh-CN" w:bidi="ar"/>
                    </w:rPr>
                    <w:t>炉窑</w:t>
                  </w:r>
                </w:p>
                <w:p>
                  <w:pPr>
                    <w:kinsoku/>
                    <w:overflowPunct/>
                    <w:autoSpaceDE w:val="0"/>
                    <w:autoSpaceDN w:val="0"/>
                    <w:jc w:val="center"/>
                    <w:rPr>
                      <w:rFonts w:hint="eastAsia" w:eastAsia="宋体"/>
                      <w:snapToGrid w:val="0"/>
                      <w:color w:val="auto"/>
                      <w:kern w:val="24"/>
                      <w:szCs w:val="21"/>
                      <w:lang w:eastAsia="zh-CN"/>
                    </w:rPr>
                  </w:pPr>
                </w:p>
              </w:tc>
              <w:tc>
                <w:tcPr>
                  <w:tcW w:w="1065" w:type="dxa"/>
                  <w:tcBorders>
                    <w:top w:val="single" w:color="auto" w:sz="4" w:space="0"/>
                    <w:bottom w:val="single" w:color="auto" w:sz="4" w:space="0"/>
                  </w:tcBorders>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纳入重点排污单位名录的</w:t>
                  </w:r>
                </w:p>
                <w:p>
                  <w:pPr>
                    <w:widowControl/>
                    <w:jc w:val="center"/>
                    <w:rPr>
                      <w:snapToGrid w:val="0"/>
                      <w:color w:val="auto"/>
                      <w:kern w:val="24"/>
                      <w:szCs w:val="21"/>
                    </w:rPr>
                  </w:pPr>
                </w:p>
              </w:tc>
              <w:tc>
                <w:tcPr>
                  <w:tcW w:w="2117" w:type="dxa"/>
                  <w:tcBorders>
                    <w:top w:val="single" w:color="auto" w:sz="4" w:space="0"/>
                    <w:bottom w:val="single" w:color="auto" w:sz="4" w:space="0"/>
                  </w:tcBorders>
                  <w:vAlign w:val="center"/>
                </w:tcPr>
                <w:p>
                  <w:pPr>
                    <w:kinsoku/>
                    <w:overflowPunct/>
                    <w:autoSpaceDE w:val="0"/>
                    <w:autoSpaceDN w:val="0"/>
                    <w:jc w:val="center"/>
                    <w:rPr>
                      <w:rFonts w:hint="eastAsia"/>
                      <w:snapToGrid w:val="0"/>
                      <w:color w:val="auto"/>
                      <w:kern w:val="24"/>
                      <w:szCs w:val="21"/>
                    </w:rPr>
                  </w:pPr>
                  <w:r>
                    <w:rPr>
                      <w:rFonts w:hint="eastAsia"/>
                      <w:snapToGrid w:val="0"/>
                      <w:color w:val="auto"/>
                      <w:kern w:val="24"/>
                      <w:szCs w:val="21"/>
                    </w:rPr>
                    <w:t>除纳入重点排污单位名录的，除以天然气或者电为能源的加热炉、热处理炉、干燥炉（窑）以外的其他</w:t>
                  </w:r>
                </w:p>
                <w:p>
                  <w:pPr>
                    <w:kinsoku/>
                    <w:overflowPunct/>
                    <w:autoSpaceDE w:val="0"/>
                    <w:autoSpaceDN w:val="0"/>
                    <w:jc w:val="center"/>
                    <w:rPr>
                      <w:snapToGrid w:val="0"/>
                      <w:color w:val="auto"/>
                      <w:kern w:val="24"/>
                      <w:szCs w:val="21"/>
                    </w:rPr>
                  </w:pPr>
                  <w:r>
                    <w:rPr>
                      <w:rFonts w:hint="eastAsia"/>
                      <w:snapToGrid w:val="0"/>
                      <w:color w:val="auto"/>
                      <w:kern w:val="24"/>
                      <w:szCs w:val="21"/>
                    </w:rPr>
                    <w:t>工业炉窑</w:t>
                  </w:r>
                </w:p>
              </w:tc>
              <w:tc>
                <w:tcPr>
                  <w:tcW w:w="1725" w:type="dxa"/>
                  <w:tcBorders>
                    <w:top w:val="single" w:color="auto" w:sz="4" w:space="0"/>
                    <w:bottom w:val="single" w:color="auto" w:sz="4" w:space="0"/>
                  </w:tcBorders>
                  <w:vAlign w:val="center"/>
                </w:tcPr>
                <w:p>
                  <w:pPr>
                    <w:keepNext w:val="0"/>
                    <w:keepLines w:val="0"/>
                    <w:widowControl/>
                    <w:suppressLineNumbers w:val="0"/>
                    <w:jc w:val="center"/>
                  </w:pPr>
                  <w:r>
                    <w:rPr>
                      <w:rFonts w:hint="eastAsia" w:ascii="宋体" w:hAnsi="宋体" w:eastAsia="宋体" w:cs="宋体"/>
                      <w:color w:val="000000"/>
                      <w:kern w:val="0"/>
                      <w:sz w:val="21"/>
                      <w:szCs w:val="21"/>
                      <w:lang w:val="en-US" w:eastAsia="zh-CN" w:bidi="ar"/>
                    </w:rPr>
                    <w:t>除纳入重点排污单位名录的，以天然气 或者电为能源的加热炉、热处理炉或者干燥炉（窑）</w:t>
                  </w:r>
                </w:p>
                <w:p>
                  <w:pPr>
                    <w:kinsoku/>
                    <w:overflowPunct/>
                    <w:autoSpaceDE w:val="0"/>
                    <w:autoSpaceDN w:val="0"/>
                    <w:jc w:val="center"/>
                    <w:rPr>
                      <w:snapToGrid w:val="0"/>
                      <w:color w:val="auto"/>
                      <w:kern w:val="24"/>
                      <w:szCs w:val="21"/>
                    </w:rPr>
                  </w:pPr>
                </w:p>
              </w:tc>
              <w:tc>
                <w:tcPr>
                  <w:tcW w:w="1667" w:type="dxa"/>
                  <w:tcBorders>
                    <w:top w:val="single" w:color="auto" w:sz="4" w:space="0"/>
                    <w:right w:val="single" w:color="auto" w:sz="4" w:space="0"/>
                  </w:tcBorders>
                  <w:vAlign w:val="center"/>
                </w:tcPr>
                <w:p>
                  <w:pPr>
                    <w:kinsoku/>
                    <w:overflowPunct/>
                    <w:autoSpaceDE w:val="0"/>
                    <w:autoSpaceDN w:val="0"/>
                    <w:jc w:val="center"/>
                    <w:rPr>
                      <w:rFonts w:hint="eastAsia" w:eastAsia="宋体"/>
                      <w:snapToGrid w:val="0"/>
                      <w:color w:val="auto"/>
                      <w:kern w:val="24"/>
                      <w:szCs w:val="21"/>
                      <w:lang w:eastAsia="zh-CN"/>
                    </w:rPr>
                  </w:pPr>
                  <w:r>
                    <w:rPr>
                      <w:rFonts w:hint="eastAsia"/>
                      <w:snapToGrid w:val="0"/>
                      <w:color w:val="auto"/>
                      <w:kern w:val="24"/>
                      <w:szCs w:val="21"/>
                    </w:rPr>
                    <w:t>本项目</w:t>
                  </w:r>
                  <w:r>
                    <w:rPr>
                      <w:rFonts w:hint="eastAsia"/>
                      <w:snapToGrid w:val="0"/>
                      <w:color w:val="auto"/>
                      <w:kern w:val="24"/>
                      <w:szCs w:val="21"/>
                      <w:lang w:eastAsia="zh-CN"/>
                    </w:rPr>
                    <w:t>热风炉使用生物质成型燃料</w:t>
                  </w:r>
                  <w:r>
                    <w:rPr>
                      <w:rFonts w:hint="eastAsia" w:ascii="Times New Roman" w:hAnsi="Times New Roman" w:eastAsia="宋体" w:cs="Times New Roman"/>
                      <w:color w:val="auto"/>
                      <w:sz w:val="21"/>
                      <w:szCs w:val="21"/>
                      <w:lang w:eastAsia="zh-CN"/>
                    </w:rPr>
                    <w:t>，</w:t>
                  </w:r>
                  <w:r>
                    <w:rPr>
                      <w:rFonts w:hint="eastAsia"/>
                      <w:snapToGrid w:val="0"/>
                      <w:color w:val="auto"/>
                      <w:kern w:val="24"/>
                      <w:szCs w:val="21"/>
                    </w:rPr>
                    <w:t>因此属于</w:t>
                  </w:r>
                  <w:r>
                    <w:rPr>
                      <w:rFonts w:hint="eastAsia"/>
                      <w:snapToGrid w:val="0"/>
                      <w:color w:val="auto"/>
                      <w:kern w:val="24"/>
                      <w:szCs w:val="21"/>
                      <w:lang w:eastAsia="zh-CN"/>
                    </w:rPr>
                    <w:t>简化</w:t>
                  </w:r>
                  <w:r>
                    <w:rPr>
                      <w:rFonts w:hint="eastAsia"/>
                      <w:snapToGrid w:val="0"/>
                      <w:color w:val="auto"/>
                      <w:kern w:val="24"/>
                      <w:szCs w:val="21"/>
                    </w:rPr>
                    <w:t>管理。</w:t>
                  </w:r>
                </w:p>
              </w:tc>
            </w:tr>
          </w:tbl>
          <w:p>
            <w:pPr>
              <w:pStyle w:val="6"/>
              <w:spacing w:before="0" w:after="0" w:line="240" w:lineRule="auto"/>
              <w:ind w:right="0"/>
              <w:jc w:val="center"/>
              <w:rPr>
                <w:b/>
                <w:bCs/>
                <w:color w:val="auto"/>
                <w:sz w:val="21"/>
                <w:szCs w:val="21"/>
              </w:rPr>
            </w:pPr>
          </w:p>
          <w:p>
            <w:pPr>
              <w:pStyle w:val="38"/>
              <w:rPr>
                <w:rFonts w:ascii="Times New Roman"/>
                <w:b/>
                <w:bCs/>
                <w:color w:val="auto"/>
                <w:sz w:val="24"/>
                <w:szCs w:val="24"/>
              </w:rPr>
            </w:pPr>
            <w:r>
              <w:rPr>
                <w:rFonts w:ascii="Times New Roman"/>
                <w:b/>
                <w:bCs/>
                <w:color w:val="auto"/>
                <w:sz w:val="24"/>
                <w:szCs w:val="24"/>
              </w:rPr>
              <w:t>2</w:t>
            </w:r>
            <w:r>
              <w:rPr>
                <w:rFonts w:hint="eastAsia" w:ascii="Times New Roman"/>
                <w:b/>
                <w:bCs/>
                <w:color w:val="auto"/>
                <w:sz w:val="24"/>
                <w:szCs w:val="24"/>
                <w:lang w:val="en-US" w:eastAsia="zh-CN"/>
              </w:rPr>
              <w:t>.</w:t>
            </w:r>
            <w:r>
              <w:rPr>
                <w:rFonts w:ascii="Times New Roman"/>
                <w:b/>
                <w:bCs/>
                <w:color w:val="auto"/>
                <w:sz w:val="24"/>
                <w:szCs w:val="24"/>
              </w:rPr>
              <w:t>项目概况</w:t>
            </w:r>
          </w:p>
          <w:p>
            <w:pPr>
              <w:pStyle w:val="38"/>
              <w:rPr>
                <w:rFonts w:hint="eastAsia" w:ascii="Times New Roman" w:eastAsia="宋体"/>
                <w:color w:val="auto"/>
                <w:sz w:val="24"/>
                <w:szCs w:val="24"/>
                <w:lang w:eastAsia="zh-CN"/>
              </w:rPr>
            </w:pPr>
            <w:r>
              <w:rPr>
                <w:rFonts w:ascii="Times New Roman"/>
                <w:color w:val="auto"/>
                <w:sz w:val="24"/>
                <w:szCs w:val="24"/>
              </w:rPr>
              <w:t>项目名称：</w:t>
            </w:r>
            <w:r>
              <w:rPr>
                <w:rFonts w:hint="eastAsia" w:ascii="Times New Roman"/>
                <w:color w:val="auto"/>
                <w:sz w:val="24"/>
                <w:szCs w:val="24"/>
                <w:lang w:eastAsia="zh-CN"/>
              </w:rPr>
              <w:t>寿县玖鸿谷物种植专业合作社粮食加工项目</w:t>
            </w:r>
          </w:p>
          <w:p>
            <w:pPr>
              <w:pStyle w:val="38"/>
              <w:rPr>
                <w:rFonts w:hint="eastAsia" w:ascii="Times New Roman" w:eastAsia="宋体"/>
                <w:color w:val="auto"/>
                <w:sz w:val="24"/>
                <w:szCs w:val="24"/>
                <w:lang w:eastAsia="zh-CN"/>
              </w:rPr>
            </w:pPr>
            <w:r>
              <w:rPr>
                <w:rFonts w:ascii="Times New Roman"/>
                <w:color w:val="auto"/>
                <w:sz w:val="24"/>
                <w:szCs w:val="24"/>
              </w:rPr>
              <w:t>建设单位：</w:t>
            </w:r>
            <w:r>
              <w:rPr>
                <w:rFonts w:hint="eastAsia" w:ascii="Times New Roman"/>
                <w:color w:val="auto"/>
                <w:sz w:val="24"/>
                <w:szCs w:val="24"/>
                <w:lang w:eastAsia="zh-CN"/>
              </w:rPr>
              <w:t>寿县玖鸿谷物种植专业合作社</w:t>
            </w:r>
          </w:p>
          <w:p>
            <w:pPr>
              <w:pStyle w:val="38"/>
              <w:rPr>
                <w:rFonts w:hint="eastAsia" w:ascii="Times New Roman"/>
                <w:color w:val="auto"/>
                <w:sz w:val="24"/>
                <w:szCs w:val="24"/>
              </w:rPr>
            </w:pPr>
            <w:r>
              <w:rPr>
                <w:rFonts w:ascii="Times New Roman"/>
                <w:color w:val="auto"/>
                <w:sz w:val="24"/>
                <w:szCs w:val="24"/>
              </w:rPr>
              <w:t>性质：</w:t>
            </w:r>
            <w:r>
              <w:rPr>
                <w:rFonts w:hint="eastAsia" w:ascii="Times New Roman"/>
                <w:color w:val="auto"/>
                <w:sz w:val="24"/>
                <w:szCs w:val="24"/>
              </w:rPr>
              <w:t>新建</w:t>
            </w:r>
          </w:p>
          <w:p>
            <w:pPr>
              <w:pStyle w:val="38"/>
              <w:rPr>
                <w:rFonts w:hint="eastAsia" w:ascii="Times New Roman" w:eastAsia="宋体"/>
                <w:color w:val="auto"/>
                <w:sz w:val="24"/>
                <w:szCs w:val="24"/>
                <w:lang w:eastAsia="zh-CN"/>
              </w:rPr>
            </w:pPr>
            <w:r>
              <w:rPr>
                <w:rFonts w:ascii="Times New Roman"/>
                <w:color w:val="auto"/>
                <w:sz w:val="24"/>
                <w:szCs w:val="24"/>
              </w:rPr>
              <w:t>建设地点：</w:t>
            </w:r>
            <w:r>
              <w:rPr>
                <w:rFonts w:hint="eastAsia" w:ascii="Times New Roman"/>
                <w:color w:val="auto"/>
                <w:sz w:val="24"/>
                <w:szCs w:val="24"/>
                <w:lang w:eastAsia="zh-CN"/>
              </w:rPr>
              <w:t>安徽省淮南市寿县众兴镇新店村金圩组</w:t>
            </w:r>
          </w:p>
          <w:p>
            <w:pPr>
              <w:pStyle w:val="38"/>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建设内容：项目总投资</w:t>
            </w:r>
            <w:r>
              <w:rPr>
                <w:rFonts w:hint="eastAsia" w:ascii="Times New Roman" w:cs="Times New Roman"/>
                <w:color w:val="auto"/>
                <w:sz w:val="24"/>
                <w:highlight w:val="none"/>
                <w:lang w:val="en-US" w:eastAsia="zh-CN"/>
              </w:rPr>
              <w:t>500</w:t>
            </w:r>
            <w:r>
              <w:rPr>
                <w:rFonts w:hint="default" w:ascii="Times New Roman" w:hAnsi="Times New Roman" w:cs="Times New Roman"/>
                <w:color w:val="auto"/>
                <w:sz w:val="24"/>
                <w:highlight w:val="none"/>
              </w:rPr>
              <w:t>万元，购置烘干机等生产设施，年处理4500吨水稻、年处理2000吨小麦的生产能力。</w:t>
            </w:r>
          </w:p>
          <w:p>
            <w:pPr>
              <w:pStyle w:val="38"/>
              <w:rPr>
                <w:rFonts w:hint="default" w:ascii="Times New Roman" w:hAnsi="Times New Roman" w:cs="Times New Roman"/>
                <w:color w:val="auto"/>
                <w:sz w:val="24"/>
                <w:highlight w:val="none"/>
                <w:lang w:eastAsia="zh-CN"/>
              </w:rPr>
            </w:pPr>
            <w:r>
              <w:rPr>
                <w:rStyle w:val="24"/>
                <w:rFonts w:ascii="Segoe UI" w:hAnsi="Segoe UI" w:eastAsia="Segoe UI" w:cs="Segoe UI"/>
                <w:b w:val="0"/>
                <w:bCs w:val="0"/>
                <w:i w:val="0"/>
                <w:iCs w:val="0"/>
                <w:caps w:val="0"/>
                <w:spacing w:val="0"/>
                <w:sz w:val="24"/>
                <w:szCs w:val="24"/>
                <w:shd w:val="clear" w:fill="FFFFFF"/>
                <w:vertAlign w:val="baseline"/>
              </w:rPr>
              <w:t>依托厂房及项目性质：</w:t>
            </w:r>
            <w:r>
              <w:rPr>
                <w:rFonts w:hint="default" w:ascii="Segoe UI" w:hAnsi="Segoe UI" w:eastAsia="Segoe UI" w:cs="Segoe UI"/>
                <w:i w:val="0"/>
                <w:iCs w:val="0"/>
                <w:caps w:val="0"/>
                <w:spacing w:val="0"/>
                <w:sz w:val="24"/>
                <w:szCs w:val="24"/>
                <w:shd w:val="clear" w:fill="FFFFFF"/>
              </w:rPr>
              <w:t>本项目为新建项目，拟利用厂区内现有空置厂房开展生产活动，不涉及新建厂房。该厂房由建设单位自行建设，于</w:t>
            </w:r>
            <w:r>
              <w:rPr>
                <w:rFonts w:hint="default" w:ascii="Times New Roman" w:hAnsi="Times New Roman" w:eastAsia="Segoe UI" w:cs="Times New Roman"/>
                <w:i w:val="0"/>
                <w:iCs w:val="0"/>
                <w:caps w:val="0"/>
                <w:spacing w:val="0"/>
                <w:sz w:val="24"/>
                <w:szCs w:val="24"/>
                <w:shd w:val="clear" w:fill="FFFFFF"/>
              </w:rPr>
              <w:t>2025年10月</w:t>
            </w:r>
            <w:r>
              <w:rPr>
                <w:rFonts w:hint="default" w:ascii="Segoe UI" w:hAnsi="Segoe UI" w:eastAsia="Segoe UI" w:cs="Segoe UI"/>
                <w:i w:val="0"/>
                <w:iCs w:val="0"/>
                <w:caps w:val="0"/>
                <w:spacing w:val="0"/>
                <w:sz w:val="24"/>
                <w:szCs w:val="24"/>
                <w:shd w:val="clear" w:fill="FFFFFF"/>
              </w:rPr>
              <w:t>完成建设并达到交付条件，自建成后未投入任何生产经营活动，一直处于空置状态。</w:t>
            </w:r>
          </w:p>
          <w:p>
            <w:pPr>
              <w:autoSpaceDE w:val="0"/>
              <w:autoSpaceDN w:val="0"/>
              <w:spacing w:line="360" w:lineRule="auto"/>
              <w:ind w:firstLine="480" w:firstLineChars="200"/>
              <w:rPr>
                <w:color w:val="auto"/>
                <w:sz w:val="24"/>
              </w:rPr>
            </w:pPr>
            <w:r>
              <w:rPr>
                <w:color w:val="auto"/>
                <w:sz w:val="24"/>
              </w:rPr>
              <w:t>主要建设内容见下表</w:t>
            </w:r>
            <w:r>
              <w:rPr>
                <w:rFonts w:hint="eastAsia"/>
                <w:color w:val="auto"/>
                <w:sz w:val="24"/>
              </w:rPr>
              <w:t>。</w:t>
            </w:r>
          </w:p>
          <w:p>
            <w:pPr>
              <w:pStyle w:val="6"/>
              <w:spacing w:before="0" w:after="0" w:line="240" w:lineRule="auto"/>
              <w:ind w:right="0"/>
              <w:jc w:val="center"/>
              <w:rPr>
                <w:b/>
                <w:bCs/>
                <w:color w:val="auto"/>
                <w:sz w:val="21"/>
                <w:szCs w:val="21"/>
              </w:rPr>
            </w:pPr>
            <w:r>
              <w:rPr>
                <w:b/>
                <w:bCs/>
                <w:color w:val="auto"/>
                <w:sz w:val="21"/>
                <w:szCs w:val="21"/>
              </w:rPr>
              <w:t>表2-3  主要建设内容一览表</w:t>
            </w:r>
          </w:p>
          <w:tbl>
            <w:tblPr>
              <w:tblStyle w:val="27"/>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63"/>
              <w:gridCol w:w="6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jc w:val="center"/>
                    <w:rPr>
                      <w:b/>
                      <w:bCs/>
                      <w:color w:val="auto"/>
                      <w:szCs w:val="21"/>
                    </w:rPr>
                  </w:pPr>
                  <w:r>
                    <w:rPr>
                      <w:b/>
                      <w:bCs/>
                      <w:color w:val="auto"/>
                      <w:szCs w:val="21"/>
                    </w:rPr>
                    <w:t>工程</w:t>
                  </w:r>
                </w:p>
                <w:p>
                  <w:pPr>
                    <w:jc w:val="center"/>
                    <w:rPr>
                      <w:b/>
                      <w:bCs/>
                      <w:color w:val="auto"/>
                      <w:szCs w:val="21"/>
                    </w:rPr>
                  </w:pPr>
                  <w:r>
                    <w:rPr>
                      <w:b/>
                      <w:bCs/>
                      <w:color w:val="auto"/>
                      <w:szCs w:val="21"/>
                    </w:rPr>
                    <w:t>类别</w:t>
                  </w:r>
                </w:p>
              </w:tc>
              <w:tc>
                <w:tcPr>
                  <w:tcW w:w="1363" w:type="dxa"/>
                  <w:tcBorders>
                    <w:top w:val="single" w:color="auto" w:sz="4" w:space="0"/>
                    <w:bottom w:val="single" w:color="auto" w:sz="4" w:space="0"/>
                    <w:right w:val="single" w:color="auto" w:sz="4" w:space="0"/>
                  </w:tcBorders>
                  <w:vAlign w:val="center"/>
                </w:tcPr>
                <w:p>
                  <w:pPr>
                    <w:jc w:val="center"/>
                    <w:rPr>
                      <w:rFonts w:hint="eastAsia"/>
                      <w:b/>
                      <w:bCs/>
                      <w:color w:val="auto"/>
                      <w:szCs w:val="21"/>
                    </w:rPr>
                  </w:pPr>
                  <w:r>
                    <w:rPr>
                      <w:rFonts w:hint="eastAsia"/>
                      <w:b/>
                      <w:bCs/>
                      <w:color w:val="auto"/>
                      <w:szCs w:val="21"/>
                    </w:rPr>
                    <w:t>工程</w:t>
                  </w:r>
                </w:p>
                <w:p>
                  <w:pPr>
                    <w:jc w:val="center"/>
                    <w:rPr>
                      <w:b/>
                      <w:bCs/>
                      <w:color w:val="auto"/>
                      <w:szCs w:val="21"/>
                    </w:rPr>
                  </w:pPr>
                  <w:r>
                    <w:rPr>
                      <w:rFonts w:hint="eastAsia"/>
                      <w:b/>
                      <w:bCs/>
                      <w:color w:val="auto"/>
                      <w:szCs w:val="21"/>
                    </w:rPr>
                    <w:t>名称</w:t>
                  </w:r>
                </w:p>
              </w:tc>
              <w:tc>
                <w:tcPr>
                  <w:tcW w:w="6059" w:type="dxa"/>
                  <w:tcBorders>
                    <w:top w:val="single" w:color="auto" w:sz="4" w:space="0"/>
                    <w:bottom w:val="single" w:color="auto" w:sz="4" w:space="0"/>
                    <w:right w:val="single" w:color="auto" w:sz="4" w:space="0"/>
                  </w:tcBorders>
                  <w:vAlign w:val="center"/>
                </w:tcPr>
                <w:p>
                  <w:pPr>
                    <w:jc w:val="center"/>
                    <w:rPr>
                      <w:rFonts w:hint="eastAsia"/>
                      <w:b/>
                      <w:bCs/>
                      <w:color w:val="auto"/>
                      <w:szCs w:val="21"/>
                    </w:rPr>
                  </w:pPr>
                  <w:r>
                    <w:rPr>
                      <w:rFonts w:hint="eastAsia"/>
                      <w:b/>
                      <w:bCs/>
                      <w:color w:val="auto"/>
                      <w:szCs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tcBorders>
                    <w:left w:val="single" w:color="auto" w:sz="4" w:space="0"/>
                    <w:right w:val="single" w:color="auto" w:sz="4" w:space="0"/>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主体工程</w:t>
                  </w:r>
                </w:p>
              </w:tc>
              <w:tc>
                <w:tcPr>
                  <w:tcW w:w="1363" w:type="dxa"/>
                  <w:tcBorders>
                    <w:top w:val="single" w:color="auto" w:sz="4" w:space="0"/>
                    <w:bottom w:val="single" w:color="auto" w:sz="4" w:space="0"/>
                    <w:right w:val="single" w:color="auto" w:sz="4" w:space="0"/>
                  </w:tcBorders>
                  <w:vAlign w:val="center"/>
                </w:tcPr>
                <w:p>
                  <w:pPr>
                    <w:adjustRightInd w:val="0"/>
                    <w:jc w:val="center"/>
                    <w:rPr>
                      <w:rFonts w:hint="eastAsia" w:eastAsia="宋体"/>
                      <w:color w:val="auto"/>
                      <w:szCs w:val="21"/>
                      <w:highlight w:val="none"/>
                      <w:lang w:eastAsia="zh-CN"/>
                    </w:rPr>
                  </w:pPr>
                  <w:r>
                    <w:rPr>
                      <w:rFonts w:hint="eastAsia"/>
                      <w:color w:val="auto"/>
                      <w:szCs w:val="21"/>
                      <w:highlight w:val="none"/>
                      <w:lang w:eastAsia="zh-CN"/>
                    </w:rPr>
                    <w:t>生产厂房</w:t>
                  </w:r>
                </w:p>
              </w:tc>
              <w:tc>
                <w:tcPr>
                  <w:tcW w:w="6059" w:type="dxa"/>
                  <w:tcBorders>
                    <w:top w:val="single" w:color="auto" w:sz="4" w:space="0"/>
                    <w:bottom w:val="single" w:color="auto" w:sz="4" w:space="0"/>
                    <w:right w:val="single" w:color="auto" w:sz="4" w:space="0"/>
                  </w:tcBorders>
                  <w:vAlign w:val="center"/>
                </w:tcPr>
                <w:p>
                  <w:pPr>
                    <w:adjustRightInd w:val="0"/>
                    <w:jc w:val="center"/>
                    <w:rPr>
                      <w:rFonts w:hint="default" w:eastAsia="宋体"/>
                      <w:color w:val="auto"/>
                      <w:szCs w:val="21"/>
                      <w:highlight w:val="none"/>
                      <w:lang w:val="en-US" w:eastAsia="zh-CN"/>
                    </w:rPr>
                  </w:pPr>
                  <w:r>
                    <w:rPr>
                      <w:rFonts w:hint="eastAsia"/>
                      <w:color w:val="auto"/>
                      <w:szCs w:val="21"/>
                      <w:highlight w:val="none"/>
                      <w:lang w:eastAsia="zh-CN"/>
                    </w:rPr>
                    <w:t>占地面积约</w:t>
                  </w:r>
                  <w:r>
                    <w:rPr>
                      <w:rFonts w:hint="eastAsia"/>
                      <w:color w:val="auto"/>
                      <w:szCs w:val="21"/>
                      <w:highlight w:val="none"/>
                      <w:lang w:val="en-US" w:eastAsia="zh-CN"/>
                    </w:rPr>
                    <w:t>3699m</w:t>
                  </w:r>
                  <w:r>
                    <w:rPr>
                      <w:rFonts w:hint="eastAsia"/>
                      <w:color w:val="auto"/>
                      <w:szCs w:val="21"/>
                      <w:highlight w:val="none"/>
                      <w:vertAlign w:val="superscript"/>
                      <w:lang w:val="en-US" w:eastAsia="zh-CN"/>
                    </w:rPr>
                    <w:t>2</w:t>
                  </w:r>
                  <w:r>
                    <w:rPr>
                      <w:rFonts w:hint="eastAsia"/>
                      <w:color w:val="auto"/>
                      <w:szCs w:val="21"/>
                      <w:highlight w:val="none"/>
                      <w:lang w:val="en-US" w:eastAsia="zh-CN"/>
                    </w:rPr>
                    <w:t>，在车间西侧设置烘干机4台，配套热风炉4台，在车间北侧设置振动筛1台。年处理4500吨水稻、年处理2000吨小麦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储运工程</w:t>
                  </w:r>
                </w:p>
              </w:tc>
              <w:tc>
                <w:tcPr>
                  <w:tcW w:w="136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eastAsia="宋体"/>
                      <w:color w:val="auto"/>
                      <w:szCs w:val="21"/>
                      <w:lang w:eastAsia="zh-CN"/>
                    </w:rPr>
                  </w:pPr>
                  <w:r>
                    <w:rPr>
                      <w:rFonts w:hint="eastAsia"/>
                      <w:color w:val="auto"/>
                      <w:szCs w:val="21"/>
                      <w:lang w:eastAsia="zh-CN"/>
                    </w:rPr>
                    <w:t>原料区</w:t>
                  </w:r>
                </w:p>
              </w:tc>
              <w:tc>
                <w:tcPr>
                  <w:tcW w:w="6059" w:type="dxa"/>
                  <w:tcBorders>
                    <w:top w:val="single" w:color="auto" w:sz="4" w:space="0"/>
                    <w:bottom w:val="single" w:color="auto" w:sz="4" w:space="0"/>
                    <w:right w:val="single" w:color="auto" w:sz="4" w:space="0"/>
                  </w:tcBorders>
                  <w:vAlign w:val="center"/>
                </w:tcPr>
                <w:p>
                  <w:pPr>
                    <w:tabs>
                      <w:tab w:val="left" w:pos="3255"/>
                    </w:tabs>
                    <w:jc w:val="center"/>
                    <w:rPr>
                      <w:rFonts w:hint="default"/>
                      <w:color w:val="auto"/>
                      <w:szCs w:val="21"/>
                      <w:lang w:val="en-US"/>
                    </w:rPr>
                  </w:pPr>
                  <w:r>
                    <w:rPr>
                      <w:rFonts w:hint="eastAsia" w:ascii="Times" w:hAnsi="Times"/>
                      <w:color w:val="auto"/>
                      <w:szCs w:val="21"/>
                      <w:lang w:eastAsia="zh-CN"/>
                    </w:rPr>
                    <w:t>在车间内设置原料区</w:t>
                  </w:r>
                  <w:r>
                    <w:rPr>
                      <w:rFonts w:hint="eastAsia" w:ascii="Times" w:hAnsi="Times"/>
                      <w:color w:val="auto"/>
                      <w:szCs w:val="21"/>
                      <w:lang w:val="en-US" w:eastAsia="zh-CN"/>
                    </w:rPr>
                    <w:t>2处（分别位于车间西北侧和东侧），总占地面积约200m</w:t>
                  </w:r>
                  <w:r>
                    <w:rPr>
                      <w:rFonts w:hint="eastAsia" w:ascii="Times" w:hAnsi="Times"/>
                      <w:color w:val="auto"/>
                      <w:szCs w:val="21"/>
                      <w:vertAlign w:val="superscript"/>
                      <w:lang w:val="en-US" w:eastAsia="zh-CN"/>
                    </w:rPr>
                    <w:t>2</w:t>
                  </w:r>
                  <w:r>
                    <w:rPr>
                      <w:rFonts w:hint="eastAsia" w:ascii="Times" w:hAnsi="Times"/>
                      <w:color w:val="auto"/>
                      <w:szCs w:val="21"/>
                      <w:lang w:val="en-US" w:eastAsia="zh-CN"/>
                    </w:rPr>
                    <w:t>，用于水稻、小麦等原料的存储。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jc w:val="center"/>
                    <w:rPr>
                      <w:color w:val="auto"/>
                      <w:szCs w:val="21"/>
                    </w:rPr>
                  </w:pPr>
                </w:p>
              </w:tc>
              <w:tc>
                <w:tcPr>
                  <w:tcW w:w="136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color w:val="auto"/>
                      <w:szCs w:val="21"/>
                      <w:lang w:eastAsia="zh-CN"/>
                    </w:rPr>
                  </w:pPr>
                  <w:r>
                    <w:rPr>
                      <w:rFonts w:hint="eastAsia"/>
                      <w:color w:val="auto"/>
                      <w:szCs w:val="21"/>
                      <w:lang w:eastAsia="zh-CN"/>
                    </w:rPr>
                    <w:t>生物质成型颗粒存放区</w:t>
                  </w:r>
                </w:p>
              </w:tc>
              <w:tc>
                <w:tcPr>
                  <w:tcW w:w="6059" w:type="dxa"/>
                  <w:tcBorders>
                    <w:top w:val="single" w:color="auto" w:sz="4" w:space="0"/>
                    <w:bottom w:val="single" w:color="auto" w:sz="4" w:space="0"/>
                    <w:right w:val="single" w:color="auto" w:sz="4" w:space="0"/>
                  </w:tcBorders>
                  <w:vAlign w:val="center"/>
                </w:tcPr>
                <w:p>
                  <w:pPr>
                    <w:tabs>
                      <w:tab w:val="left" w:pos="3255"/>
                    </w:tabs>
                    <w:jc w:val="center"/>
                    <w:rPr>
                      <w:rFonts w:hint="default" w:ascii="Times" w:hAnsi="Times"/>
                      <w:color w:val="auto"/>
                      <w:szCs w:val="21"/>
                      <w:lang w:val="en-US" w:eastAsia="zh-CN"/>
                    </w:rPr>
                  </w:pPr>
                  <w:r>
                    <w:rPr>
                      <w:rFonts w:hint="eastAsia" w:ascii="Times" w:hAnsi="Times"/>
                      <w:color w:val="auto"/>
                      <w:szCs w:val="21"/>
                      <w:lang w:eastAsia="zh-CN"/>
                    </w:rPr>
                    <w:t>位于生产车间烘干区北侧，占地面积约</w:t>
                  </w:r>
                  <w:r>
                    <w:rPr>
                      <w:rFonts w:hint="eastAsia" w:ascii="Times" w:hAnsi="Times"/>
                      <w:color w:val="auto"/>
                      <w:szCs w:val="21"/>
                      <w:lang w:val="en-US" w:eastAsia="zh-CN"/>
                    </w:rPr>
                    <w:t>50m</w:t>
                  </w:r>
                  <w:r>
                    <w:rPr>
                      <w:rFonts w:hint="eastAsia" w:ascii="Times" w:hAnsi="Times"/>
                      <w:color w:val="auto"/>
                      <w:szCs w:val="21"/>
                      <w:vertAlign w:val="superscript"/>
                      <w:lang w:val="en-US" w:eastAsia="zh-CN"/>
                    </w:rPr>
                    <w:t>2</w:t>
                  </w:r>
                  <w:r>
                    <w:rPr>
                      <w:rFonts w:hint="eastAsia" w:ascii="Times" w:hAnsi="Times"/>
                      <w:color w:val="auto"/>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jc w:val="center"/>
                    <w:rPr>
                      <w:color w:val="auto"/>
                      <w:szCs w:val="21"/>
                    </w:rPr>
                  </w:pPr>
                </w:p>
              </w:tc>
              <w:tc>
                <w:tcPr>
                  <w:tcW w:w="1363"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color w:val="auto"/>
                      <w:szCs w:val="21"/>
                      <w:lang w:eastAsia="zh-CN"/>
                    </w:rPr>
                  </w:pPr>
                  <w:r>
                    <w:rPr>
                      <w:rFonts w:hint="eastAsia"/>
                      <w:color w:val="auto"/>
                      <w:szCs w:val="21"/>
                      <w:lang w:eastAsia="zh-CN"/>
                    </w:rPr>
                    <w:t>成品区</w:t>
                  </w:r>
                </w:p>
              </w:tc>
              <w:tc>
                <w:tcPr>
                  <w:tcW w:w="6059" w:type="dxa"/>
                  <w:tcBorders>
                    <w:top w:val="single" w:color="auto" w:sz="4" w:space="0"/>
                    <w:bottom w:val="single" w:color="auto" w:sz="4" w:space="0"/>
                    <w:right w:val="single" w:color="auto" w:sz="4" w:space="0"/>
                  </w:tcBorders>
                  <w:vAlign w:val="center"/>
                </w:tcPr>
                <w:p>
                  <w:pPr>
                    <w:tabs>
                      <w:tab w:val="left" w:pos="3255"/>
                    </w:tabs>
                    <w:jc w:val="center"/>
                    <w:rPr>
                      <w:rFonts w:hint="default" w:ascii="Times" w:hAnsi="Times" w:eastAsia="宋体"/>
                      <w:color w:val="auto"/>
                      <w:szCs w:val="21"/>
                      <w:lang w:val="en-US" w:eastAsia="zh-CN"/>
                    </w:rPr>
                  </w:pPr>
                  <w:r>
                    <w:rPr>
                      <w:rFonts w:hint="eastAsia" w:ascii="Times" w:hAnsi="Times"/>
                      <w:color w:val="auto"/>
                      <w:szCs w:val="21"/>
                      <w:lang w:val="en-US" w:eastAsia="zh-CN"/>
                    </w:rPr>
                    <w:t>位于车间东侧，占地面积约200m</w:t>
                  </w:r>
                  <w:r>
                    <w:rPr>
                      <w:rFonts w:hint="eastAsia" w:ascii="Times" w:hAnsi="Times"/>
                      <w:color w:val="auto"/>
                      <w:szCs w:val="21"/>
                      <w:vertAlign w:val="superscript"/>
                      <w:lang w:val="en-US" w:eastAsia="zh-CN"/>
                    </w:rPr>
                    <w:t>2</w:t>
                  </w:r>
                  <w:r>
                    <w:rPr>
                      <w:rFonts w:hint="eastAsia" w:ascii="Times" w:hAnsi="Times"/>
                      <w:color w:val="auto"/>
                      <w:szCs w:val="21"/>
                      <w:vertAlign w:val="baseline"/>
                      <w:lang w:val="en-US" w:eastAsia="zh-CN"/>
                    </w:rPr>
                    <w:t>，</w:t>
                  </w:r>
                  <w:r>
                    <w:rPr>
                      <w:rFonts w:hint="eastAsia" w:ascii="Times" w:hAnsi="Times"/>
                      <w:color w:val="auto"/>
                      <w:szCs w:val="21"/>
                      <w:lang w:val="en-US" w:eastAsia="zh-CN"/>
                    </w:rPr>
                    <w:t>用于成品存储。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restart"/>
                  <w:tcBorders>
                    <w:left w:val="single" w:color="auto" w:sz="4" w:space="0"/>
                    <w:right w:val="single" w:color="auto" w:sz="4" w:space="0"/>
                  </w:tcBorders>
                  <w:vAlign w:val="center"/>
                </w:tcPr>
                <w:p>
                  <w:pPr>
                    <w:jc w:val="center"/>
                    <w:rPr>
                      <w:color w:val="auto"/>
                      <w:szCs w:val="21"/>
                    </w:rPr>
                  </w:pPr>
                  <w:r>
                    <w:rPr>
                      <w:color w:val="auto"/>
                      <w:szCs w:val="21"/>
                    </w:rPr>
                    <w:t>公用</w:t>
                  </w:r>
                </w:p>
                <w:p>
                  <w:pPr>
                    <w:jc w:val="center"/>
                    <w:rPr>
                      <w:color w:val="auto"/>
                      <w:szCs w:val="21"/>
                    </w:rPr>
                  </w:pPr>
                  <w:r>
                    <w:rPr>
                      <w:color w:val="auto"/>
                      <w:szCs w:val="21"/>
                    </w:rPr>
                    <w:t>工程</w:t>
                  </w:r>
                </w:p>
              </w:tc>
              <w:tc>
                <w:tcPr>
                  <w:tcW w:w="1363" w:type="dxa"/>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给水</w:t>
                  </w:r>
                </w:p>
              </w:tc>
              <w:tc>
                <w:tcPr>
                  <w:tcW w:w="6059" w:type="dxa"/>
                  <w:tcBorders>
                    <w:top w:val="single" w:color="auto" w:sz="4" w:space="0"/>
                    <w:bottom w:val="single" w:color="auto" w:sz="4" w:space="0"/>
                    <w:right w:val="single" w:color="auto" w:sz="4" w:space="0"/>
                  </w:tcBorders>
                  <w:vAlign w:val="center"/>
                </w:tcPr>
                <w:p>
                  <w:pPr>
                    <w:jc w:val="center"/>
                    <w:rPr>
                      <w:color w:val="auto"/>
                      <w:szCs w:val="21"/>
                      <w:highlight w:val="none"/>
                    </w:rPr>
                  </w:pPr>
                  <w:r>
                    <w:rPr>
                      <w:rFonts w:hint="eastAsia"/>
                      <w:color w:val="auto"/>
                      <w:highlight w:val="none"/>
                    </w:rPr>
                    <w:t>供水水源为市政自来水管网。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rPr>
                  </w:pPr>
                </w:p>
              </w:tc>
              <w:tc>
                <w:tcPr>
                  <w:tcW w:w="1363" w:type="dxa"/>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供电</w:t>
                  </w:r>
                </w:p>
              </w:tc>
              <w:tc>
                <w:tcPr>
                  <w:tcW w:w="6059" w:type="dxa"/>
                  <w:tcBorders>
                    <w:top w:val="single" w:color="auto" w:sz="4" w:space="0"/>
                    <w:bottom w:val="single" w:color="auto" w:sz="4" w:space="0"/>
                    <w:right w:val="single" w:color="auto" w:sz="4" w:space="0"/>
                  </w:tcBorders>
                  <w:vAlign w:val="center"/>
                </w:tcPr>
                <w:p>
                  <w:pPr>
                    <w:jc w:val="center"/>
                    <w:rPr>
                      <w:rFonts w:hint="eastAsia"/>
                      <w:color w:val="auto"/>
                      <w:szCs w:val="21"/>
                      <w:highlight w:val="none"/>
                    </w:rPr>
                  </w:pPr>
                  <w:r>
                    <w:rPr>
                      <w:color w:val="auto"/>
                      <w:szCs w:val="21"/>
                      <w:highlight w:val="none"/>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restart"/>
                  <w:tcBorders>
                    <w:left w:val="single" w:color="auto" w:sz="4" w:space="0"/>
                    <w:right w:val="single" w:color="auto" w:sz="4" w:space="0"/>
                  </w:tcBorders>
                  <w:vAlign w:val="center"/>
                </w:tcPr>
                <w:p>
                  <w:pPr>
                    <w:widowControl/>
                    <w:jc w:val="center"/>
                    <w:rPr>
                      <w:color w:val="auto"/>
                      <w:szCs w:val="21"/>
                      <w:highlight w:val="none"/>
                    </w:rPr>
                  </w:pPr>
                  <w:r>
                    <w:rPr>
                      <w:color w:val="auto"/>
                      <w:szCs w:val="21"/>
                      <w:highlight w:val="none"/>
                    </w:rPr>
                    <w:t>环保</w:t>
                  </w:r>
                </w:p>
                <w:p>
                  <w:pPr>
                    <w:widowControl/>
                    <w:jc w:val="center"/>
                    <w:rPr>
                      <w:color w:val="auto"/>
                      <w:szCs w:val="21"/>
                      <w:highlight w:val="yellow"/>
                    </w:rPr>
                  </w:pPr>
                  <w:r>
                    <w:rPr>
                      <w:color w:val="auto"/>
                      <w:szCs w:val="21"/>
                      <w:highlight w:val="none"/>
                    </w:rPr>
                    <w:t>工程</w:t>
                  </w:r>
                </w:p>
              </w:tc>
              <w:tc>
                <w:tcPr>
                  <w:tcW w:w="1363" w:type="dxa"/>
                  <w:tcBorders>
                    <w:top w:val="single" w:color="auto" w:sz="4" w:space="0"/>
                    <w:right w:val="single" w:color="auto" w:sz="4" w:space="0"/>
                  </w:tcBorders>
                  <w:vAlign w:val="center"/>
                </w:tcPr>
                <w:p>
                  <w:pPr>
                    <w:jc w:val="center"/>
                    <w:rPr>
                      <w:color w:val="auto"/>
                      <w:szCs w:val="21"/>
                      <w:highlight w:val="none"/>
                    </w:rPr>
                  </w:pPr>
                  <w:r>
                    <w:rPr>
                      <w:color w:val="auto"/>
                      <w:szCs w:val="21"/>
                      <w:highlight w:val="none"/>
                    </w:rPr>
                    <w:t>废水</w:t>
                  </w:r>
                </w:p>
                <w:p>
                  <w:pPr>
                    <w:jc w:val="center"/>
                    <w:rPr>
                      <w:color w:val="auto"/>
                      <w:szCs w:val="21"/>
                      <w:highlight w:val="none"/>
                    </w:rPr>
                  </w:pPr>
                  <w:r>
                    <w:rPr>
                      <w:color w:val="auto"/>
                      <w:szCs w:val="21"/>
                      <w:highlight w:val="none"/>
                    </w:rPr>
                    <w:t>治理</w:t>
                  </w:r>
                </w:p>
              </w:tc>
              <w:tc>
                <w:tcPr>
                  <w:tcW w:w="6059" w:type="dxa"/>
                  <w:tcBorders>
                    <w:top w:val="single" w:color="auto" w:sz="4" w:space="0"/>
                    <w:right w:val="single" w:color="auto" w:sz="4" w:space="0"/>
                  </w:tcBorders>
                  <w:vAlign w:val="center"/>
                </w:tcPr>
                <w:p>
                  <w:pPr>
                    <w:jc w:val="center"/>
                    <w:rPr>
                      <w:color w:val="auto"/>
                      <w:szCs w:val="21"/>
                      <w:highlight w:val="yellow"/>
                    </w:rPr>
                  </w:pPr>
                  <w:r>
                    <w:rPr>
                      <w:rFonts w:hint="eastAsia"/>
                      <w:color w:val="auto"/>
                      <w:szCs w:val="21"/>
                      <w:highlight w:val="none"/>
                    </w:rPr>
                    <w:t>生活污水</w:t>
                  </w:r>
                  <w:r>
                    <w:rPr>
                      <w:rFonts w:hint="eastAsia"/>
                      <w:color w:val="auto"/>
                      <w:szCs w:val="21"/>
                      <w:highlight w:val="none"/>
                      <w:lang w:eastAsia="zh-CN"/>
                    </w:rPr>
                    <w:t>：经化粪池预处理后再经厂区一体化污水处理设施处理后达标后回用于厂区抑尘。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1363" w:type="dxa"/>
                  <w:vMerge w:val="restart"/>
                  <w:tcBorders>
                    <w:top w:val="single" w:color="auto" w:sz="4" w:space="0"/>
                    <w:right w:val="single" w:color="auto" w:sz="4" w:space="0"/>
                  </w:tcBorders>
                  <w:vAlign w:val="center"/>
                </w:tcPr>
                <w:p>
                  <w:pPr>
                    <w:jc w:val="center"/>
                    <w:rPr>
                      <w:rFonts w:hint="eastAsia"/>
                      <w:color w:val="auto"/>
                      <w:szCs w:val="21"/>
                      <w:highlight w:val="none"/>
                    </w:rPr>
                  </w:pPr>
                  <w:r>
                    <w:rPr>
                      <w:rFonts w:hint="eastAsia"/>
                      <w:color w:val="auto"/>
                      <w:szCs w:val="21"/>
                      <w:highlight w:val="none"/>
                    </w:rPr>
                    <w:t>废气</w:t>
                  </w:r>
                </w:p>
                <w:p>
                  <w:pPr>
                    <w:jc w:val="center"/>
                    <w:rPr>
                      <w:color w:val="auto"/>
                      <w:szCs w:val="21"/>
                      <w:highlight w:val="yellow"/>
                    </w:rPr>
                  </w:pPr>
                  <w:r>
                    <w:rPr>
                      <w:rFonts w:hint="eastAsia"/>
                      <w:color w:val="auto"/>
                      <w:szCs w:val="21"/>
                      <w:highlight w:val="none"/>
                    </w:rPr>
                    <w:t>治理</w:t>
                  </w:r>
                </w:p>
              </w:tc>
              <w:tc>
                <w:tcPr>
                  <w:tcW w:w="6059" w:type="dxa"/>
                  <w:tcBorders>
                    <w:top w:val="single" w:color="auto" w:sz="4" w:space="0"/>
                    <w:right w:val="single" w:color="auto" w:sz="4" w:space="0"/>
                  </w:tcBorders>
                  <w:vAlign w:val="center"/>
                </w:tcPr>
                <w:p>
                  <w:pPr>
                    <w:pStyle w:val="21"/>
                    <w:spacing w:line="240" w:lineRule="auto"/>
                    <w:jc w:val="center"/>
                    <w:rPr>
                      <w:rFonts w:hint="eastAsia"/>
                      <w:color w:val="auto"/>
                      <w:sz w:val="21"/>
                      <w:szCs w:val="21"/>
                      <w:highlight w:val="yellow"/>
                      <w:lang w:eastAsia="zh-CN"/>
                    </w:rPr>
                  </w:pPr>
                  <w:r>
                    <w:rPr>
                      <w:rFonts w:hint="eastAsia"/>
                      <w:color w:val="auto"/>
                      <w:sz w:val="21"/>
                      <w:szCs w:val="21"/>
                      <w:highlight w:val="none"/>
                      <w:lang w:eastAsia="zh-CN"/>
                    </w:rPr>
                    <w:t>卸粮粉尘：</w:t>
                  </w:r>
                  <w:r>
                    <w:rPr>
                      <w:rFonts w:hint="eastAsia"/>
                      <w:color w:val="auto"/>
                      <w:sz w:val="21"/>
                      <w:szCs w:val="21"/>
                      <w:highlight w:val="none"/>
                    </w:rPr>
                    <w:t>卸粮时车间封闭、苫布遮盖、降低卸粮高度、定期清扫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bookmarkStart w:id="1" w:name="OLE_LINK1" w:colFirst="2" w:colLast="2"/>
                </w:p>
              </w:tc>
              <w:tc>
                <w:tcPr>
                  <w:tcW w:w="1363" w:type="dxa"/>
                  <w:vMerge w:val="continue"/>
                  <w:tcBorders>
                    <w:right w:val="single" w:color="auto" w:sz="4" w:space="0"/>
                  </w:tcBorders>
                  <w:vAlign w:val="center"/>
                </w:tcPr>
                <w:p>
                  <w:pPr>
                    <w:jc w:val="center"/>
                    <w:rPr>
                      <w:rFonts w:hint="eastAsia"/>
                      <w:color w:val="auto"/>
                      <w:szCs w:val="21"/>
                      <w:highlight w:val="none"/>
                    </w:rPr>
                  </w:pPr>
                </w:p>
              </w:tc>
              <w:tc>
                <w:tcPr>
                  <w:tcW w:w="6059" w:type="dxa"/>
                  <w:tcBorders>
                    <w:right w:val="single" w:color="auto" w:sz="4" w:space="0"/>
                  </w:tcBorders>
                  <w:vAlign w:val="center"/>
                </w:tcPr>
                <w:p>
                  <w:pPr>
                    <w:pStyle w:val="21"/>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转运和运输粉尘：</w:t>
                  </w:r>
                  <w:r>
                    <w:rPr>
                      <w:rFonts w:hint="eastAsia"/>
                      <w:color w:val="auto"/>
                      <w:sz w:val="21"/>
                      <w:szCs w:val="21"/>
                      <w:lang w:eastAsia="zh-CN"/>
                    </w:rPr>
                    <w:t>采取在传送带加罩的方式加强密闭性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1363" w:type="dxa"/>
                  <w:vMerge w:val="continue"/>
                  <w:tcBorders>
                    <w:right w:val="single" w:color="auto" w:sz="4" w:space="0"/>
                  </w:tcBorders>
                  <w:vAlign w:val="center"/>
                </w:tcPr>
                <w:p>
                  <w:pPr>
                    <w:jc w:val="center"/>
                    <w:rPr>
                      <w:rFonts w:hint="eastAsia"/>
                      <w:color w:val="auto"/>
                      <w:szCs w:val="21"/>
                      <w:highlight w:val="none"/>
                    </w:rPr>
                  </w:pPr>
                </w:p>
              </w:tc>
              <w:tc>
                <w:tcPr>
                  <w:tcW w:w="6059" w:type="dxa"/>
                  <w:tcBorders>
                    <w:right w:val="single" w:color="auto" w:sz="4" w:space="0"/>
                  </w:tcBorders>
                  <w:vAlign w:val="center"/>
                </w:tcPr>
                <w:p>
                  <w:pPr>
                    <w:pStyle w:val="21"/>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清选粉尘：</w:t>
                  </w:r>
                  <w:r>
                    <w:rPr>
                      <w:rFonts w:hint="eastAsia"/>
                      <w:color w:val="auto"/>
                      <w:sz w:val="21"/>
                      <w:szCs w:val="21"/>
                      <w:lang w:eastAsia="zh-CN"/>
                    </w:rPr>
                    <w:t>设备密闭</w:t>
                  </w:r>
                  <w:r>
                    <w:rPr>
                      <w:rFonts w:hint="eastAsia"/>
                      <w:color w:val="auto"/>
                      <w:sz w:val="21"/>
                      <w:szCs w:val="21"/>
                      <w:lang w:val="en-US" w:eastAsia="zh-CN"/>
                    </w:rPr>
                    <w:t>+自带旋风除尘器+1根15m高排气筒（DA001）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1363" w:type="dxa"/>
                  <w:vMerge w:val="continue"/>
                  <w:tcBorders>
                    <w:right w:val="single" w:color="auto" w:sz="4" w:space="0"/>
                  </w:tcBorders>
                  <w:vAlign w:val="center"/>
                </w:tcPr>
                <w:p>
                  <w:pPr>
                    <w:jc w:val="center"/>
                    <w:rPr>
                      <w:rFonts w:hint="eastAsia"/>
                      <w:color w:val="auto"/>
                      <w:szCs w:val="21"/>
                      <w:highlight w:val="none"/>
                    </w:rPr>
                  </w:pPr>
                </w:p>
              </w:tc>
              <w:tc>
                <w:tcPr>
                  <w:tcW w:w="6059" w:type="dxa"/>
                  <w:tcBorders>
                    <w:right w:val="single" w:color="auto" w:sz="4" w:space="0"/>
                  </w:tcBorders>
                  <w:vAlign w:val="center"/>
                </w:tcPr>
                <w:p>
                  <w:pPr>
                    <w:jc w:val="center"/>
                    <w:rPr>
                      <w:rFonts w:hint="eastAsia"/>
                      <w:color w:val="auto"/>
                      <w:sz w:val="21"/>
                      <w:szCs w:val="21"/>
                      <w:lang w:eastAsia="zh-CN"/>
                    </w:rPr>
                  </w:pPr>
                  <w:r>
                    <w:rPr>
                      <w:rFonts w:hint="eastAsia"/>
                      <w:color w:val="auto"/>
                      <w:sz w:val="21"/>
                      <w:szCs w:val="21"/>
                      <w:highlight w:val="none"/>
                      <w:lang w:eastAsia="zh-CN"/>
                    </w:rPr>
                    <w:t>烘干粉尘：</w:t>
                  </w:r>
                  <w:r>
                    <w:rPr>
                      <w:rFonts w:hint="eastAsia"/>
                      <w:color w:val="auto"/>
                      <w:sz w:val="21"/>
                      <w:szCs w:val="21"/>
                      <w:lang w:eastAsia="zh-CN"/>
                    </w:rPr>
                    <w:t>烘干机机身设置内外腔，内腔的侧壁上开设有连通内腔与外腔的排潮口，</w:t>
                  </w:r>
                </w:p>
                <w:p>
                  <w:pPr>
                    <w:pStyle w:val="21"/>
                    <w:spacing w:line="240" w:lineRule="auto"/>
                    <w:jc w:val="center"/>
                    <w:rPr>
                      <w:rFonts w:hint="eastAsia"/>
                      <w:color w:val="auto"/>
                      <w:sz w:val="21"/>
                      <w:szCs w:val="21"/>
                      <w:highlight w:val="none"/>
                      <w:lang w:eastAsia="zh-CN"/>
                    </w:rPr>
                  </w:pPr>
                  <w:r>
                    <w:rPr>
                      <w:rFonts w:hint="eastAsia"/>
                      <w:color w:val="auto"/>
                      <w:sz w:val="21"/>
                      <w:szCs w:val="21"/>
                      <w:lang w:eastAsia="zh-CN"/>
                    </w:rPr>
                    <w:t>在外腔的侧壁上开设有排潮口，排潮口四周设置防尘罩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1363" w:type="dxa"/>
                  <w:vMerge w:val="continue"/>
                  <w:tcBorders>
                    <w:right w:val="single" w:color="auto" w:sz="4" w:space="0"/>
                  </w:tcBorders>
                  <w:vAlign w:val="center"/>
                </w:tcPr>
                <w:p>
                  <w:pPr>
                    <w:jc w:val="center"/>
                    <w:rPr>
                      <w:rFonts w:hint="eastAsia"/>
                      <w:color w:val="auto"/>
                      <w:szCs w:val="21"/>
                      <w:highlight w:val="none"/>
                    </w:rPr>
                  </w:pPr>
                </w:p>
              </w:tc>
              <w:tc>
                <w:tcPr>
                  <w:tcW w:w="6059" w:type="dxa"/>
                  <w:tcBorders>
                    <w:top w:val="single" w:color="auto" w:sz="4" w:space="0"/>
                    <w:right w:val="single" w:color="auto" w:sz="4" w:space="0"/>
                  </w:tcBorders>
                  <w:vAlign w:val="center"/>
                </w:tcPr>
                <w:p>
                  <w:pPr>
                    <w:pStyle w:val="21"/>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生物质热风炉燃烧废气：管道收集+旋风除尘器+袋式除尘器+1根15m高排气筒（DA002）</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1363" w:type="dxa"/>
                  <w:tcBorders>
                    <w:bottom w:val="single" w:color="auto" w:sz="4" w:space="0"/>
                    <w:right w:val="single" w:color="auto" w:sz="4" w:space="0"/>
                  </w:tcBorders>
                  <w:vAlign w:val="center"/>
                </w:tcPr>
                <w:p>
                  <w:pPr>
                    <w:jc w:val="center"/>
                    <w:rPr>
                      <w:color w:val="auto"/>
                      <w:szCs w:val="21"/>
                      <w:highlight w:val="none"/>
                    </w:rPr>
                  </w:pPr>
                  <w:r>
                    <w:rPr>
                      <w:color w:val="auto"/>
                      <w:szCs w:val="21"/>
                      <w:highlight w:val="none"/>
                    </w:rPr>
                    <w:t>噪声</w:t>
                  </w:r>
                </w:p>
                <w:p>
                  <w:pPr>
                    <w:jc w:val="center"/>
                    <w:rPr>
                      <w:color w:val="auto"/>
                      <w:szCs w:val="21"/>
                      <w:highlight w:val="none"/>
                    </w:rPr>
                  </w:pPr>
                  <w:r>
                    <w:rPr>
                      <w:color w:val="auto"/>
                      <w:szCs w:val="21"/>
                      <w:highlight w:val="none"/>
                    </w:rPr>
                    <w:t>治理</w:t>
                  </w:r>
                </w:p>
              </w:tc>
              <w:tc>
                <w:tcPr>
                  <w:tcW w:w="6059" w:type="dxa"/>
                  <w:tcBorders>
                    <w:top w:val="single" w:color="auto" w:sz="4" w:space="0"/>
                    <w:right w:val="single" w:color="auto" w:sz="4" w:space="0"/>
                  </w:tcBorders>
                  <w:vAlign w:val="center"/>
                </w:tcPr>
                <w:p>
                  <w:pPr>
                    <w:jc w:val="center"/>
                    <w:rPr>
                      <w:rFonts w:hint="eastAsia" w:eastAsia="宋体"/>
                      <w:color w:val="auto"/>
                      <w:szCs w:val="21"/>
                      <w:highlight w:val="none"/>
                      <w:lang w:val="en-US" w:eastAsia="zh-CN"/>
                    </w:rPr>
                  </w:pPr>
                  <w:r>
                    <w:rPr>
                      <w:color w:val="auto"/>
                      <w:szCs w:val="21"/>
                      <w:highlight w:val="none"/>
                    </w:rPr>
                    <w:t>选取低噪声设备，厂房隔声，基础减</w:t>
                  </w:r>
                  <w:r>
                    <w:rPr>
                      <w:rFonts w:hint="eastAsia"/>
                      <w:color w:val="auto"/>
                      <w:szCs w:val="21"/>
                      <w:highlight w:val="none"/>
                    </w:rPr>
                    <w:t>振</w:t>
                  </w:r>
                  <w:r>
                    <w:rPr>
                      <w:rFonts w:hint="eastAsia"/>
                      <w:color w:val="auto"/>
                      <w:szCs w:val="21"/>
                      <w:highlight w:val="none"/>
                      <w:lang w:eastAsia="zh-CN"/>
                    </w:rPr>
                    <w:t>，</w:t>
                  </w:r>
                  <w:r>
                    <w:rPr>
                      <w:rFonts w:hint="eastAsia"/>
                      <w:color w:val="auto"/>
                      <w:szCs w:val="21"/>
                      <w:lang w:eastAsia="zh-CN"/>
                    </w:rPr>
                    <w:t>加装轻量化隔声罩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1363" w:type="dxa"/>
                  <w:tcBorders>
                    <w:top w:val="single" w:color="auto" w:sz="4" w:space="0"/>
                    <w:bottom w:val="single" w:color="auto" w:sz="4" w:space="0"/>
                    <w:right w:val="single" w:color="auto" w:sz="4" w:space="0"/>
                  </w:tcBorders>
                  <w:vAlign w:val="center"/>
                </w:tcPr>
                <w:p>
                  <w:pPr>
                    <w:widowControl/>
                    <w:jc w:val="center"/>
                    <w:rPr>
                      <w:color w:val="auto"/>
                      <w:szCs w:val="21"/>
                      <w:highlight w:val="none"/>
                    </w:rPr>
                  </w:pPr>
                  <w:r>
                    <w:rPr>
                      <w:color w:val="auto"/>
                      <w:szCs w:val="21"/>
                      <w:highlight w:val="none"/>
                    </w:rPr>
                    <w:t>固废</w:t>
                  </w:r>
                </w:p>
                <w:p>
                  <w:pPr>
                    <w:widowControl/>
                    <w:jc w:val="center"/>
                    <w:rPr>
                      <w:color w:val="auto"/>
                      <w:szCs w:val="21"/>
                      <w:highlight w:val="none"/>
                    </w:rPr>
                  </w:pPr>
                  <w:r>
                    <w:rPr>
                      <w:color w:val="auto"/>
                      <w:szCs w:val="21"/>
                      <w:highlight w:val="none"/>
                    </w:rPr>
                    <w:t>治理</w:t>
                  </w:r>
                </w:p>
              </w:tc>
              <w:tc>
                <w:tcPr>
                  <w:tcW w:w="6059" w:type="dxa"/>
                  <w:tcBorders>
                    <w:top w:val="single" w:color="auto" w:sz="4" w:space="0"/>
                    <w:bottom w:val="single" w:color="auto" w:sz="4" w:space="0"/>
                    <w:right w:val="single" w:color="auto" w:sz="4" w:space="0"/>
                  </w:tcBorders>
                  <w:vAlign w:val="center"/>
                </w:tcPr>
                <w:p>
                  <w:pPr>
                    <w:jc w:val="center"/>
                    <w:rPr>
                      <w:rFonts w:hint="eastAsia" w:ascii="Times" w:hAnsi="Times"/>
                      <w:color w:val="auto"/>
                      <w:szCs w:val="21"/>
                      <w:highlight w:val="none"/>
                    </w:rPr>
                  </w:pPr>
                  <w:r>
                    <w:rPr>
                      <w:rFonts w:hint="eastAsia"/>
                      <w:color w:val="auto"/>
                      <w:szCs w:val="21"/>
                      <w:highlight w:val="none"/>
                    </w:rPr>
                    <w:t>一般固废：在</w:t>
                  </w:r>
                  <w:r>
                    <w:rPr>
                      <w:rFonts w:hint="eastAsia"/>
                      <w:color w:val="auto"/>
                      <w:szCs w:val="21"/>
                      <w:highlight w:val="none"/>
                      <w:lang w:eastAsia="zh-CN"/>
                    </w:rPr>
                    <w:t>厂房中部</w:t>
                  </w:r>
                  <w:r>
                    <w:rPr>
                      <w:rFonts w:hint="eastAsia"/>
                      <w:color w:val="auto"/>
                      <w:szCs w:val="21"/>
                      <w:highlight w:val="none"/>
                    </w:rPr>
                    <w:t>设置一般固废暂存区</w:t>
                  </w:r>
                  <w:r>
                    <w:rPr>
                      <w:rFonts w:hint="eastAsia"/>
                      <w:color w:val="auto"/>
                      <w:szCs w:val="21"/>
                      <w:highlight w:val="none"/>
                      <w:lang w:eastAsia="zh-CN"/>
                    </w:rPr>
                    <w:t>，</w:t>
                  </w:r>
                  <w:r>
                    <w:rPr>
                      <w:rFonts w:hint="eastAsia"/>
                      <w:color w:val="auto"/>
                      <w:szCs w:val="21"/>
                      <w:highlight w:val="none"/>
                    </w:rPr>
                    <w:t>面积约30m</w:t>
                  </w:r>
                  <w:r>
                    <w:rPr>
                      <w:rFonts w:ascii="Times" w:hAnsi="Times"/>
                      <w:color w:val="auto"/>
                      <w:szCs w:val="21"/>
                      <w:highlight w:val="none"/>
                      <w:vertAlign w:val="superscript"/>
                    </w:rPr>
                    <w:t>2</w:t>
                  </w:r>
                  <w:r>
                    <w:rPr>
                      <w:rFonts w:hint="eastAsia" w:ascii="Times" w:hAnsi="Times"/>
                      <w:color w:val="auto"/>
                      <w:szCs w:val="21"/>
                      <w:highlight w:val="none"/>
                    </w:rPr>
                    <w:t>，固体废物分类分区暂存。</w:t>
                  </w:r>
                </w:p>
                <w:p>
                  <w:pPr>
                    <w:pStyle w:val="21"/>
                    <w:spacing w:line="240" w:lineRule="auto"/>
                    <w:jc w:val="center"/>
                    <w:rPr>
                      <w:rFonts w:hint="eastAsia" w:ascii="Times" w:hAnsi="Times"/>
                      <w:color w:val="auto"/>
                      <w:sz w:val="21"/>
                      <w:szCs w:val="21"/>
                      <w:highlight w:val="none"/>
                    </w:rPr>
                  </w:pPr>
                  <w:r>
                    <w:rPr>
                      <w:rFonts w:hint="eastAsia" w:ascii="Times" w:hAnsi="Times"/>
                      <w:color w:val="auto"/>
                      <w:sz w:val="21"/>
                      <w:szCs w:val="21"/>
                      <w:highlight w:val="none"/>
                    </w:rPr>
                    <w:t>危险废物：</w:t>
                  </w:r>
                  <w:r>
                    <w:rPr>
                      <w:rFonts w:ascii="Times New Roman" w:hAnsi="Times New Roman"/>
                      <w:b w:val="0"/>
                      <w:bCs w:val="0"/>
                      <w:color w:val="auto"/>
                      <w:sz w:val="21"/>
                      <w:szCs w:val="21"/>
                      <w:highlight w:val="none"/>
                    </w:rPr>
                    <w:t>在</w:t>
                  </w:r>
                  <w:r>
                    <w:rPr>
                      <w:rFonts w:hint="eastAsia"/>
                      <w:b w:val="0"/>
                      <w:bCs w:val="0"/>
                      <w:color w:val="auto"/>
                      <w:sz w:val="21"/>
                      <w:szCs w:val="21"/>
                      <w:highlight w:val="none"/>
                      <w:lang w:eastAsia="zh-CN"/>
                    </w:rPr>
                    <w:t>成品仓库北侧</w:t>
                  </w:r>
                  <w:r>
                    <w:rPr>
                      <w:rFonts w:hint="eastAsia" w:ascii="Times New Roman" w:hAnsi="Times New Roman"/>
                      <w:b w:val="0"/>
                      <w:bCs w:val="0"/>
                      <w:color w:val="auto"/>
                      <w:sz w:val="21"/>
                      <w:szCs w:val="21"/>
                      <w:highlight w:val="none"/>
                      <w:lang w:eastAsia="zh-CN"/>
                    </w:rPr>
                    <w:t>设置</w:t>
                  </w:r>
                  <w:r>
                    <w:rPr>
                      <w:rFonts w:hint="eastAsia"/>
                      <w:b w:val="0"/>
                      <w:bCs w:val="0"/>
                      <w:color w:val="auto"/>
                      <w:sz w:val="21"/>
                      <w:szCs w:val="21"/>
                      <w:highlight w:val="none"/>
                      <w:lang w:val="en-US" w:eastAsia="zh-CN"/>
                    </w:rPr>
                    <w:t>10</w:t>
                  </w:r>
                  <w:r>
                    <w:rPr>
                      <w:rFonts w:ascii="Times New Roman" w:hAnsi="Times New Roman"/>
                      <w:b w:val="0"/>
                      <w:bCs w:val="0"/>
                      <w:color w:val="auto"/>
                      <w:sz w:val="21"/>
                      <w:szCs w:val="21"/>
                      <w:highlight w:val="none"/>
                    </w:rPr>
                    <w:t>m</w:t>
                  </w:r>
                  <w:r>
                    <w:rPr>
                      <w:rFonts w:ascii="Times New Roman" w:hAnsi="Times New Roman"/>
                      <w:b w:val="0"/>
                      <w:bCs w:val="0"/>
                      <w:color w:val="auto"/>
                      <w:sz w:val="21"/>
                      <w:szCs w:val="21"/>
                      <w:highlight w:val="none"/>
                      <w:vertAlign w:val="superscript"/>
                    </w:rPr>
                    <w:t>2</w:t>
                  </w:r>
                  <w:r>
                    <w:rPr>
                      <w:rFonts w:ascii="Times New Roman" w:hAnsi="Times New Roman"/>
                      <w:b w:val="0"/>
                      <w:bCs w:val="0"/>
                      <w:color w:val="auto"/>
                      <w:sz w:val="21"/>
                      <w:szCs w:val="21"/>
                      <w:highlight w:val="none"/>
                    </w:rPr>
                    <w:t>的危废</w:t>
                  </w:r>
                  <w:r>
                    <w:rPr>
                      <w:rFonts w:hint="eastAsia" w:ascii="Times New Roman" w:hAnsi="Times New Roman"/>
                      <w:b w:val="0"/>
                      <w:bCs w:val="0"/>
                      <w:color w:val="auto"/>
                      <w:sz w:val="21"/>
                      <w:szCs w:val="21"/>
                      <w:highlight w:val="none"/>
                    </w:rPr>
                    <w:t>贮存库</w:t>
                  </w:r>
                  <w:r>
                    <w:rPr>
                      <w:rFonts w:hint="eastAsia" w:ascii="Times" w:hAnsi="Times"/>
                      <w:color w:val="auto"/>
                      <w:sz w:val="21"/>
                      <w:szCs w:val="21"/>
                      <w:highlight w:val="none"/>
                    </w:rPr>
                    <w:t>，暂存产生的危险固废，</w:t>
                  </w:r>
                  <w:r>
                    <w:rPr>
                      <w:rFonts w:hint="eastAsia" w:ascii="Times" w:hAnsi="Times"/>
                      <w:color w:val="auto"/>
                      <w:sz w:val="21"/>
                      <w:szCs w:val="21"/>
                      <w:highlight w:val="none"/>
                      <w:lang w:eastAsia="zh-CN"/>
                    </w:rPr>
                    <w:t>交由</w:t>
                  </w:r>
                  <w:r>
                    <w:rPr>
                      <w:rFonts w:hint="eastAsia" w:ascii="Times" w:hAnsi="Times"/>
                      <w:color w:val="auto"/>
                      <w:sz w:val="21"/>
                      <w:szCs w:val="21"/>
                      <w:highlight w:val="none"/>
                    </w:rPr>
                    <w:t>资质单位进行处理。</w:t>
                  </w:r>
                </w:p>
                <w:p>
                  <w:pPr>
                    <w:pStyle w:val="21"/>
                    <w:spacing w:line="240" w:lineRule="auto"/>
                    <w:jc w:val="center"/>
                    <w:rPr>
                      <w:rFonts w:ascii="Times" w:hAnsi="Times"/>
                      <w:color w:val="auto"/>
                      <w:sz w:val="21"/>
                      <w:szCs w:val="21"/>
                      <w:highlight w:val="none"/>
                    </w:rPr>
                  </w:pPr>
                  <w:r>
                    <w:rPr>
                      <w:rFonts w:hint="eastAsia" w:ascii="Times" w:hAnsi="Times"/>
                      <w:color w:val="auto"/>
                      <w:sz w:val="21"/>
                      <w:szCs w:val="21"/>
                      <w:highlight w:val="none"/>
                    </w:rPr>
                    <w:t>生活垃圾：设置垃圾桶进行分类收集，交环卫部门清运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restart"/>
                  <w:tcBorders>
                    <w:left w:val="single" w:color="auto" w:sz="4" w:space="0"/>
                    <w:right w:val="single" w:color="auto" w:sz="4" w:space="0"/>
                  </w:tcBorders>
                  <w:vAlign w:val="center"/>
                </w:tcPr>
                <w:p>
                  <w:pPr>
                    <w:widowControl/>
                    <w:jc w:val="center"/>
                    <w:rPr>
                      <w:rFonts w:hint="eastAsia"/>
                      <w:color w:val="auto"/>
                      <w:szCs w:val="21"/>
                      <w:highlight w:val="yellow"/>
                    </w:rPr>
                  </w:pPr>
                  <w:r>
                    <w:rPr>
                      <w:rFonts w:hint="eastAsia"/>
                      <w:color w:val="auto"/>
                      <w:szCs w:val="21"/>
                      <w:highlight w:val="none"/>
                    </w:rPr>
                    <w:t>其他</w:t>
                  </w:r>
                </w:p>
              </w:tc>
              <w:tc>
                <w:tcPr>
                  <w:tcW w:w="1363" w:type="dxa"/>
                  <w:tcBorders>
                    <w:top w:val="single" w:color="auto" w:sz="4" w:space="0"/>
                    <w:bottom w:val="single" w:color="auto" w:sz="4" w:space="0"/>
                    <w:right w:val="single" w:color="auto" w:sz="4" w:space="0"/>
                  </w:tcBorders>
                  <w:vAlign w:val="center"/>
                </w:tcPr>
                <w:p>
                  <w:pPr>
                    <w:pStyle w:val="41"/>
                    <w:widowControl w:val="0"/>
                    <w:pBdr>
                      <w:left w:val="none" w:color="auto" w:sz="0" w:space="0"/>
                      <w:bottom w:val="none" w:color="auto" w:sz="0" w:space="0"/>
                      <w:right w:val="none" w:color="auto" w:sz="0" w:space="0"/>
                    </w:pBdr>
                    <w:spacing w:before="0" w:after="0"/>
                    <w:textAlignment w:val="auto"/>
                    <w:rPr>
                      <w:color w:val="auto"/>
                      <w:szCs w:val="21"/>
                      <w:highlight w:val="none"/>
                    </w:rPr>
                  </w:pPr>
                  <w:r>
                    <w:rPr>
                      <w:rFonts w:hint="eastAsia" w:ascii="Times New Roman" w:hAnsi="Times New Roman"/>
                      <w:color w:val="auto"/>
                      <w:sz w:val="21"/>
                      <w:szCs w:val="21"/>
                      <w:highlight w:val="none"/>
                    </w:rPr>
                    <w:t>地下水、土壤防治</w:t>
                  </w:r>
                </w:p>
              </w:tc>
              <w:tc>
                <w:tcPr>
                  <w:tcW w:w="6059" w:type="dxa"/>
                  <w:tcBorders>
                    <w:top w:val="single" w:color="auto" w:sz="4" w:space="0"/>
                    <w:bottom w:val="single" w:color="auto" w:sz="4" w:space="0"/>
                    <w:right w:val="single" w:color="auto" w:sz="4" w:space="0"/>
                  </w:tcBorders>
                  <w:vAlign w:val="center"/>
                </w:tcPr>
                <w:p>
                  <w:pPr>
                    <w:jc w:val="center"/>
                    <w:rPr>
                      <w:rFonts w:hint="eastAsia" w:ascii="Times" w:hAnsi="Times"/>
                      <w:color w:val="auto"/>
                      <w:szCs w:val="21"/>
                      <w:highlight w:val="none"/>
                    </w:rPr>
                  </w:pPr>
                  <w:r>
                    <w:rPr>
                      <w:rFonts w:hint="eastAsia"/>
                      <w:bCs/>
                      <w:color w:val="auto"/>
                      <w:szCs w:val="21"/>
                      <w:highlight w:val="none"/>
                    </w:rPr>
                    <w:t>对危废贮存库</w:t>
                  </w:r>
                  <w:r>
                    <w:rPr>
                      <w:rFonts w:hint="eastAsia"/>
                      <w:color w:val="auto"/>
                      <w:szCs w:val="21"/>
                      <w:highlight w:val="none"/>
                    </w:rPr>
                    <w:t>进行重点防渗</w:t>
                  </w:r>
                  <w:r>
                    <w:rPr>
                      <w:color w:val="auto"/>
                      <w:kern w:val="0"/>
                      <w:szCs w:val="21"/>
                      <w:highlight w:val="none"/>
                    </w:rPr>
                    <w:t>等效黏土防渗层 Mb≥6.0m、渗透系数K≤1.0×10</w:t>
                  </w:r>
                  <w:r>
                    <w:rPr>
                      <w:color w:val="auto"/>
                      <w:kern w:val="0"/>
                      <w:szCs w:val="21"/>
                      <w:highlight w:val="none"/>
                      <w:vertAlign w:val="superscript"/>
                    </w:rPr>
                    <w:t>-7</w:t>
                  </w:r>
                  <w:r>
                    <w:rPr>
                      <w:color w:val="auto"/>
                      <w:kern w:val="0"/>
                      <w:szCs w:val="21"/>
                      <w:highlight w:val="none"/>
                    </w:rPr>
                    <w:t>cm/s</w:t>
                  </w:r>
                  <w:r>
                    <w:rPr>
                      <w:rFonts w:hint="eastAsia"/>
                      <w:color w:val="auto"/>
                      <w:szCs w:val="21"/>
                      <w:highlight w:val="none"/>
                    </w:rPr>
                    <w:t>；其他区域进行简单防渗</w:t>
                  </w:r>
                  <w:r>
                    <w:rPr>
                      <w:rFonts w:hint="eastAsia"/>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5" w:type="dxa"/>
                  <w:vMerge w:val="continue"/>
                  <w:tcBorders>
                    <w:left w:val="single" w:color="auto" w:sz="4" w:space="0"/>
                    <w:right w:val="single" w:color="auto" w:sz="4" w:space="0"/>
                  </w:tcBorders>
                  <w:vAlign w:val="center"/>
                </w:tcPr>
                <w:p>
                  <w:pPr>
                    <w:widowControl/>
                    <w:jc w:val="center"/>
                    <w:rPr>
                      <w:rFonts w:hint="eastAsia"/>
                      <w:color w:val="auto"/>
                      <w:szCs w:val="21"/>
                      <w:highlight w:val="yellow"/>
                    </w:rPr>
                  </w:pPr>
                </w:p>
              </w:tc>
              <w:tc>
                <w:tcPr>
                  <w:tcW w:w="1363" w:type="dxa"/>
                  <w:tcBorders>
                    <w:top w:val="single" w:color="auto" w:sz="4" w:space="0"/>
                    <w:right w:val="single" w:color="auto" w:sz="4" w:space="0"/>
                  </w:tcBorders>
                  <w:vAlign w:val="center"/>
                </w:tcPr>
                <w:p>
                  <w:pPr>
                    <w:pStyle w:val="41"/>
                    <w:widowControl w:val="0"/>
                    <w:pBdr>
                      <w:left w:val="none" w:color="auto" w:sz="0" w:space="0"/>
                      <w:bottom w:val="none" w:color="auto" w:sz="0" w:space="0"/>
                      <w:right w:val="none" w:color="auto" w:sz="0" w:space="0"/>
                    </w:pBdr>
                    <w:spacing w:before="0" w:after="0"/>
                    <w:textAlignment w:val="auto"/>
                    <w:rPr>
                      <w:color w:val="auto"/>
                      <w:szCs w:val="21"/>
                      <w:highlight w:val="none"/>
                    </w:rPr>
                  </w:pPr>
                  <w:r>
                    <w:rPr>
                      <w:rFonts w:hint="eastAsia" w:ascii="Times New Roman" w:hAnsi="Times New Roman"/>
                      <w:color w:val="auto"/>
                      <w:sz w:val="21"/>
                      <w:szCs w:val="21"/>
                      <w:highlight w:val="none"/>
                    </w:rPr>
                    <w:t>环境风险</w:t>
                  </w:r>
                </w:p>
              </w:tc>
              <w:tc>
                <w:tcPr>
                  <w:tcW w:w="6059" w:type="dxa"/>
                  <w:tcBorders>
                    <w:top w:val="single" w:color="auto" w:sz="4" w:space="0"/>
                    <w:right w:val="single" w:color="auto" w:sz="4" w:space="0"/>
                  </w:tcBorders>
                  <w:vAlign w:val="center"/>
                </w:tcPr>
                <w:p>
                  <w:pPr>
                    <w:jc w:val="center"/>
                    <w:rPr>
                      <w:rFonts w:hint="eastAsia" w:ascii="Times" w:hAnsi="Times"/>
                      <w:color w:val="auto"/>
                      <w:szCs w:val="21"/>
                      <w:highlight w:val="none"/>
                    </w:rPr>
                  </w:pPr>
                  <w:r>
                    <w:rPr>
                      <w:rFonts w:hint="eastAsia"/>
                      <w:bCs/>
                      <w:color w:val="auto"/>
                      <w:szCs w:val="21"/>
                      <w:highlight w:val="none"/>
                    </w:rPr>
                    <w:t>设置灭火器等防火器材，加强员工风险意识</w:t>
                  </w:r>
                </w:p>
              </w:tc>
            </w:tr>
          </w:tbl>
          <w:p>
            <w:pPr>
              <w:pStyle w:val="6"/>
              <w:spacing w:before="0" w:after="0" w:line="240" w:lineRule="auto"/>
              <w:ind w:right="0"/>
              <w:jc w:val="center"/>
              <w:rPr>
                <w:b/>
                <w:bCs/>
                <w:color w:val="auto"/>
                <w:sz w:val="21"/>
                <w:szCs w:val="21"/>
              </w:rPr>
            </w:pPr>
          </w:p>
          <w:p>
            <w:pPr>
              <w:autoSpaceDE w:val="0"/>
              <w:autoSpaceDN w:val="0"/>
              <w:spacing w:line="360" w:lineRule="auto"/>
              <w:ind w:firstLine="482" w:firstLineChars="200"/>
              <w:rPr>
                <w:b/>
                <w:bCs/>
                <w:color w:val="auto"/>
                <w:sz w:val="24"/>
              </w:rPr>
            </w:pPr>
            <w:r>
              <w:rPr>
                <w:b/>
                <w:bCs/>
                <w:color w:val="auto"/>
                <w:sz w:val="24"/>
              </w:rPr>
              <w:t>3</w:t>
            </w:r>
            <w:r>
              <w:rPr>
                <w:rFonts w:hint="eastAsia"/>
                <w:b/>
                <w:bCs/>
                <w:color w:val="auto"/>
                <w:sz w:val="24"/>
                <w:lang w:val="en-US" w:eastAsia="zh-CN"/>
              </w:rPr>
              <w:t>.</w:t>
            </w:r>
            <w:r>
              <w:rPr>
                <w:b/>
                <w:bCs/>
                <w:color w:val="auto"/>
                <w:sz w:val="24"/>
              </w:rPr>
              <w:t>主要产品方案</w:t>
            </w:r>
          </w:p>
          <w:p>
            <w:pPr>
              <w:autoSpaceDE w:val="0"/>
              <w:autoSpaceDN w:val="0"/>
              <w:spacing w:line="360" w:lineRule="auto"/>
              <w:ind w:firstLine="480" w:firstLineChars="200"/>
              <w:rPr>
                <w:b/>
                <w:bCs/>
                <w:color w:val="auto"/>
                <w:szCs w:val="21"/>
              </w:rPr>
            </w:pPr>
            <w:r>
              <w:rPr>
                <w:rFonts w:hint="eastAsia"/>
                <w:color w:val="auto"/>
                <w:sz w:val="24"/>
              </w:rPr>
              <w:t>本项目主要产品见下表。</w:t>
            </w:r>
          </w:p>
          <w:p>
            <w:pPr>
              <w:pStyle w:val="6"/>
              <w:spacing w:before="0" w:after="0" w:line="240" w:lineRule="auto"/>
              <w:ind w:right="0"/>
              <w:jc w:val="center"/>
              <w:rPr>
                <w:rFonts w:hint="eastAsia"/>
                <w:b/>
                <w:bCs/>
                <w:color w:val="auto"/>
                <w:sz w:val="21"/>
                <w:szCs w:val="21"/>
              </w:rPr>
            </w:pPr>
            <w:r>
              <w:rPr>
                <w:b/>
                <w:bCs/>
                <w:color w:val="auto"/>
                <w:sz w:val="21"/>
                <w:szCs w:val="21"/>
              </w:rPr>
              <w:t>表2-4  项目产品一览表</w:t>
            </w:r>
          </w:p>
          <w:tbl>
            <w:tblPr>
              <w:tblStyle w:val="27"/>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934"/>
              <w:gridCol w:w="2070"/>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Align w:val="center"/>
                </w:tcPr>
                <w:p>
                  <w:pPr>
                    <w:jc w:val="center"/>
                    <w:rPr>
                      <w:color w:val="auto"/>
                    </w:rPr>
                  </w:pPr>
                  <w:r>
                    <w:rPr>
                      <w:rFonts w:hint="eastAsia"/>
                      <w:color w:val="auto"/>
                    </w:rPr>
                    <w:t>序号</w:t>
                  </w:r>
                </w:p>
              </w:tc>
              <w:tc>
                <w:tcPr>
                  <w:tcW w:w="1934" w:type="dxa"/>
                  <w:vAlign w:val="center"/>
                </w:tcPr>
                <w:p>
                  <w:pPr>
                    <w:jc w:val="center"/>
                    <w:rPr>
                      <w:rFonts w:hint="eastAsia"/>
                      <w:color w:val="auto"/>
                    </w:rPr>
                  </w:pPr>
                  <w:r>
                    <w:rPr>
                      <w:rFonts w:hint="eastAsia"/>
                      <w:color w:val="auto"/>
                    </w:rPr>
                    <w:t>产品名称</w:t>
                  </w:r>
                </w:p>
              </w:tc>
              <w:tc>
                <w:tcPr>
                  <w:tcW w:w="2070" w:type="dxa"/>
                  <w:vAlign w:val="center"/>
                </w:tcPr>
                <w:p>
                  <w:pPr>
                    <w:jc w:val="center"/>
                    <w:rPr>
                      <w:rFonts w:hint="eastAsia" w:eastAsia="宋体"/>
                      <w:color w:val="auto"/>
                      <w:lang w:eastAsia="zh-CN"/>
                    </w:rPr>
                  </w:pPr>
                  <w:r>
                    <w:rPr>
                      <w:rFonts w:hint="eastAsia"/>
                      <w:color w:val="auto"/>
                      <w:lang w:eastAsia="zh-CN"/>
                    </w:rPr>
                    <w:t>年处理量</w:t>
                  </w:r>
                </w:p>
              </w:tc>
              <w:tc>
                <w:tcPr>
                  <w:tcW w:w="3615" w:type="dxa"/>
                  <w:vAlign w:val="center"/>
                </w:tcPr>
                <w:p>
                  <w:pPr>
                    <w:jc w:val="center"/>
                    <w:rPr>
                      <w:rFonts w:hint="eastAsia" w:eastAsia="宋体"/>
                      <w:color w:val="auto"/>
                      <w:lang w:eastAsia="zh-CN"/>
                    </w:rPr>
                  </w:pPr>
                  <w:r>
                    <w:rPr>
                      <w:rFonts w:hint="eastAsia"/>
                      <w:color w:val="auto"/>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678" w:type="dxa"/>
                  <w:vAlign w:val="center"/>
                </w:tcPr>
                <w:p>
                  <w:pPr>
                    <w:jc w:val="center"/>
                    <w:rPr>
                      <w:color w:val="auto"/>
                    </w:rPr>
                  </w:pPr>
                  <w:r>
                    <w:rPr>
                      <w:rFonts w:hint="eastAsia"/>
                      <w:color w:val="auto"/>
                    </w:rPr>
                    <w:t>1</w:t>
                  </w:r>
                </w:p>
              </w:tc>
              <w:tc>
                <w:tcPr>
                  <w:tcW w:w="1934" w:type="dxa"/>
                  <w:vAlign w:val="center"/>
                </w:tcPr>
                <w:p>
                  <w:pPr>
                    <w:spacing w:before="120" w:beforeLines="50" w:after="120" w:afterLines="50"/>
                    <w:jc w:val="center"/>
                    <w:outlineLvl w:val="1"/>
                    <w:rPr>
                      <w:rFonts w:hint="eastAsia" w:eastAsia="宋体"/>
                      <w:color w:val="auto"/>
                      <w:szCs w:val="21"/>
                      <w:lang w:eastAsia="zh-CN"/>
                    </w:rPr>
                  </w:pPr>
                  <w:r>
                    <w:rPr>
                      <w:rFonts w:hint="eastAsia"/>
                      <w:color w:val="auto"/>
                      <w:szCs w:val="21"/>
                      <w:lang w:eastAsia="zh-CN"/>
                    </w:rPr>
                    <w:t>水稻</w:t>
                  </w:r>
                </w:p>
              </w:tc>
              <w:tc>
                <w:tcPr>
                  <w:tcW w:w="2070" w:type="dxa"/>
                  <w:vAlign w:val="center"/>
                </w:tcPr>
                <w:p>
                  <w:pPr>
                    <w:spacing w:before="120" w:beforeLines="50" w:after="120" w:afterLines="50"/>
                    <w:jc w:val="center"/>
                    <w:outlineLvl w:val="1"/>
                    <w:rPr>
                      <w:color w:val="auto"/>
                      <w:szCs w:val="21"/>
                    </w:rPr>
                  </w:pPr>
                  <w:r>
                    <w:rPr>
                      <w:rFonts w:hint="eastAsia"/>
                      <w:color w:val="auto"/>
                      <w:szCs w:val="21"/>
                      <w:lang w:val="en-US" w:eastAsia="zh-CN"/>
                    </w:rPr>
                    <w:t>4500吨</w:t>
                  </w:r>
                  <w:r>
                    <w:rPr>
                      <w:rFonts w:hint="eastAsia"/>
                      <w:color w:val="auto"/>
                      <w:szCs w:val="21"/>
                    </w:rPr>
                    <w:t>/年</w:t>
                  </w:r>
                </w:p>
              </w:tc>
              <w:tc>
                <w:tcPr>
                  <w:tcW w:w="3615" w:type="dxa"/>
                  <w:vAlign w:val="center"/>
                </w:tcPr>
                <w:p>
                  <w:pPr>
                    <w:spacing w:before="120" w:beforeLines="50" w:after="120" w:afterLines="50"/>
                    <w:jc w:val="center"/>
                    <w:outlineLvl w:val="1"/>
                    <w:rPr>
                      <w:rFonts w:hint="default"/>
                      <w:color w:val="auto"/>
                      <w:szCs w:val="21"/>
                      <w:lang w:val="en-US" w:eastAsia="zh-CN"/>
                    </w:rPr>
                  </w:pPr>
                  <w:r>
                    <w:rPr>
                      <w:rFonts w:hint="eastAsia"/>
                      <w:color w:val="auto"/>
                      <w:szCs w:val="21"/>
                      <w:lang w:val="en-US" w:eastAsia="zh-CN"/>
                    </w:rPr>
                    <w:t>烘干前平均含水率22%，烘干后含水率12%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Align w:val="center"/>
                </w:tcPr>
                <w:p>
                  <w:pPr>
                    <w:jc w:val="center"/>
                    <w:rPr>
                      <w:rFonts w:hint="eastAsia" w:eastAsia="宋体"/>
                      <w:color w:val="auto"/>
                      <w:lang w:val="en-US" w:eastAsia="zh-CN"/>
                    </w:rPr>
                  </w:pPr>
                  <w:r>
                    <w:rPr>
                      <w:rFonts w:hint="eastAsia"/>
                      <w:color w:val="auto"/>
                      <w:lang w:val="en-US" w:eastAsia="zh-CN"/>
                    </w:rPr>
                    <w:t>2</w:t>
                  </w:r>
                </w:p>
              </w:tc>
              <w:tc>
                <w:tcPr>
                  <w:tcW w:w="1934" w:type="dxa"/>
                  <w:vAlign w:val="center"/>
                </w:tcPr>
                <w:p>
                  <w:pPr>
                    <w:spacing w:before="120" w:beforeLines="50" w:after="120" w:afterLines="50"/>
                    <w:jc w:val="center"/>
                    <w:outlineLvl w:val="1"/>
                    <w:rPr>
                      <w:rFonts w:hint="eastAsia"/>
                      <w:color w:val="auto"/>
                      <w:szCs w:val="21"/>
                      <w:lang w:eastAsia="zh-CN"/>
                    </w:rPr>
                  </w:pPr>
                  <w:r>
                    <w:rPr>
                      <w:rFonts w:hint="eastAsia"/>
                      <w:color w:val="auto"/>
                      <w:szCs w:val="21"/>
                      <w:lang w:eastAsia="zh-CN"/>
                    </w:rPr>
                    <w:t>小麦</w:t>
                  </w:r>
                </w:p>
              </w:tc>
              <w:tc>
                <w:tcPr>
                  <w:tcW w:w="2070" w:type="dxa"/>
                  <w:vAlign w:val="center"/>
                </w:tcPr>
                <w:p>
                  <w:pPr>
                    <w:spacing w:before="120" w:beforeLines="50" w:after="120" w:afterLines="50"/>
                    <w:jc w:val="center"/>
                    <w:outlineLvl w:val="1"/>
                    <w:rPr>
                      <w:rFonts w:hint="default"/>
                      <w:color w:val="auto"/>
                      <w:szCs w:val="21"/>
                      <w:lang w:val="en-US" w:eastAsia="zh-CN"/>
                    </w:rPr>
                  </w:pPr>
                  <w:r>
                    <w:rPr>
                      <w:rFonts w:hint="eastAsia"/>
                      <w:color w:val="auto"/>
                      <w:szCs w:val="21"/>
                      <w:lang w:val="en-US" w:eastAsia="zh-CN"/>
                    </w:rPr>
                    <w:t>2000吨/年</w:t>
                  </w:r>
                </w:p>
              </w:tc>
              <w:tc>
                <w:tcPr>
                  <w:tcW w:w="3615" w:type="dxa"/>
                  <w:vAlign w:val="center"/>
                </w:tcPr>
                <w:p>
                  <w:pPr>
                    <w:spacing w:before="120" w:beforeLines="50" w:after="120" w:afterLines="50"/>
                    <w:jc w:val="center"/>
                    <w:outlineLvl w:val="1"/>
                    <w:rPr>
                      <w:rFonts w:hint="eastAsia"/>
                      <w:color w:val="auto"/>
                      <w:szCs w:val="21"/>
                      <w:lang w:val="en-US" w:eastAsia="zh-CN"/>
                    </w:rPr>
                  </w:pPr>
                  <w:r>
                    <w:rPr>
                      <w:rFonts w:hint="eastAsia"/>
                      <w:color w:val="auto"/>
                      <w:szCs w:val="21"/>
                      <w:lang w:val="en-US" w:eastAsia="zh-CN"/>
                    </w:rPr>
                    <w:t>烘干前平均含水率25%，烘干后含水率14%</w:t>
                  </w:r>
                </w:p>
              </w:tc>
            </w:tr>
          </w:tbl>
          <w:p>
            <w:pPr>
              <w:rPr>
                <w:color w:val="auto"/>
              </w:rPr>
            </w:pPr>
          </w:p>
          <w:p>
            <w:pPr>
              <w:pStyle w:val="38"/>
              <w:spacing w:line="360" w:lineRule="auto"/>
              <w:ind w:firstLine="480" w:firstLineChars="200"/>
              <w:rPr>
                <w:rFonts w:hint="eastAsia" w:ascii="Times New Roman"/>
                <w:b w:val="0"/>
                <w:bCs/>
                <w:color w:val="auto"/>
                <w:sz w:val="24"/>
                <w:szCs w:val="24"/>
                <w:lang w:val="en-US" w:eastAsia="zh-CN"/>
              </w:rPr>
            </w:pPr>
            <w:r>
              <w:rPr>
                <w:rFonts w:hint="eastAsia" w:ascii="Times New Roman"/>
                <w:b w:val="0"/>
                <w:bCs/>
                <w:color w:val="auto"/>
                <w:sz w:val="24"/>
                <w:szCs w:val="24"/>
                <w:lang w:eastAsia="zh-CN"/>
              </w:rPr>
              <w:t>本项目外购水稻</w:t>
            </w:r>
            <w:r>
              <w:rPr>
                <w:rFonts w:hint="eastAsia" w:ascii="Times New Roman"/>
                <w:b w:val="0"/>
                <w:bCs/>
                <w:color w:val="auto"/>
                <w:sz w:val="24"/>
                <w:szCs w:val="24"/>
                <w:lang w:val="en-US" w:eastAsia="zh-CN"/>
              </w:rPr>
              <w:t>4572.169t/a、小麦2032.075t/a，</w:t>
            </w:r>
            <w:r>
              <w:rPr>
                <w:rFonts w:hint="eastAsia" w:ascii="Times New Roman"/>
                <w:b w:val="0"/>
                <w:bCs/>
                <w:color w:val="auto"/>
                <w:sz w:val="24"/>
                <w:szCs w:val="24"/>
                <w:lang w:eastAsia="zh-CN"/>
              </w:rPr>
              <w:t>进厂潮粮经初步筛选清除杂质后（杂质产生量约</w:t>
            </w:r>
            <w:r>
              <w:rPr>
                <w:rFonts w:hint="eastAsia" w:ascii="Times New Roman"/>
                <w:b w:val="0"/>
                <w:bCs/>
                <w:color w:val="auto"/>
                <w:sz w:val="24"/>
                <w:szCs w:val="24"/>
                <w:lang w:val="en-US" w:eastAsia="zh-CN"/>
              </w:rPr>
              <w:t>66t/a，卸粮、转运、清选等工序产生粉尘38.244t/a</w:t>
            </w:r>
            <w:r>
              <w:rPr>
                <w:rFonts w:hint="eastAsia" w:ascii="Times New Roman"/>
                <w:b w:val="0"/>
                <w:bCs/>
                <w:color w:val="auto"/>
                <w:sz w:val="24"/>
                <w:szCs w:val="24"/>
                <w:lang w:eastAsia="zh-CN"/>
              </w:rPr>
              <w:t>），进入烘干机进行烘干</w:t>
            </w:r>
            <w:r>
              <w:rPr>
                <w:rFonts w:hint="eastAsia" w:ascii="Times New Roman"/>
                <w:b w:val="0"/>
                <w:bCs/>
                <w:color w:val="auto"/>
                <w:sz w:val="24"/>
                <w:szCs w:val="24"/>
                <w:highlight w:val="none"/>
                <w:lang w:eastAsia="zh-CN"/>
              </w:rPr>
              <w:t>的潮粮为</w:t>
            </w:r>
            <w:r>
              <w:rPr>
                <w:rFonts w:hint="eastAsia" w:ascii="Times New Roman"/>
                <w:b w:val="0"/>
                <w:bCs/>
                <w:color w:val="auto"/>
                <w:sz w:val="24"/>
                <w:szCs w:val="24"/>
                <w:highlight w:val="none"/>
                <w:lang w:val="en-US" w:eastAsia="zh-CN"/>
              </w:rPr>
              <w:t>6500t/a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4572</w:t>
            </w:r>
            <w:r>
              <w:rPr>
                <w:rFonts w:hint="default" w:ascii="Times New Roman" w:hAnsi="Times New Roman" w:cs="Times New Roman"/>
                <w:sz w:val="24"/>
                <w:szCs w:val="24"/>
                <w:highlight w:val="none"/>
                <w:lang w:val="en-US" w:eastAsia="zh-CN"/>
              </w:rPr>
              <w:t>.169+2032.075-66-38.244=6500</w:t>
            </w:r>
            <w:r>
              <w:rPr>
                <w:rFonts w:hint="default" w:ascii="Times New Roman" w:hAnsi="Times New Roman" w:cs="Times New Roman"/>
                <w:sz w:val="24"/>
                <w:szCs w:val="24"/>
                <w:highlight w:val="none"/>
                <w:lang w:eastAsia="zh-CN"/>
              </w:rPr>
              <w:t>）</w:t>
            </w:r>
            <w:r>
              <w:rPr>
                <w:rFonts w:hint="eastAsia" w:ascii="Times New Roman"/>
                <w:b w:val="0"/>
                <w:bCs/>
                <w:color w:val="auto"/>
                <w:sz w:val="24"/>
                <w:szCs w:val="24"/>
                <w:highlight w:val="none"/>
                <w:lang w:val="en-US" w:eastAsia="zh-CN"/>
              </w:rPr>
              <w:t>，其中水稻4500t/a，烘干前平均含水率22%，要求烘干后干粮含水率12%；小麦2000t/a</w:t>
            </w:r>
            <w:r>
              <w:rPr>
                <w:rFonts w:hint="eastAsia" w:ascii="Times New Roman"/>
                <w:b w:val="0"/>
                <w:bCs/>
                <w:color w:val="auto"/>
                <w:sz w:val="24"/>
                <w:szCs w:val="24"/>
                <w:lang w:val="en-US" w:eastAsia="zh-CN"/>
              </w:rPr>
              <w:t>，烘干前平均含水率25%，要求烘干后干粮含水率14%。</w:t>
            </w:r>
          </w:p>
          <w:p>
            <w:pPr>
              <w:pStyle w:val="38"/>
              <w:spacing w:line="360" w:lineRule="auto"/>
              <w:ind w:firstLine="480" w:firstLineChars="200"/>
              <w:rPr>
                <w:rFonts w:hint="eastAsia" w:ascii="Times New Roman"/>
                <w:b w:val="0"/>
                <w:bCs/>
                <w:color w:val="auto"/>
                <w:sz w:val="24"/>
                <w:szCs w:val="24"/>
                <w:lang w:val="en-US" w:eastAsia="zh-CN"/>
              </w:rPr>
            </w:pPr>
            <w:r>
              <w:rPr>
                <w:rFonts w:hint="eastAsia" w:ascii="Times New Roman"/>
                <w:b w:val="0"/>
                <w:bCs/>
                <w:color w:val="auto"/>
                <w:sz w:val="24"/>
                <w:szCs w:val="24"/>
                <w:lang w:val="en-US" w:eastAsia="zh-CN"/>
              </w:rPr>
              <w:t>则烘干过程水分蒸发量按照下方公式计算：</w:t>
            </w:r>
          </w:p>
          <w:p>
            <w:pPr>
              <w:keepNext w:val="0"/>
              <w:keepLines w:val="0"/>
              <w:widowControl/>
              <w:suppressLineNumbers w:val="0"/>
              <w:spacing w:line="360" w:lineRule="auto"/>
              <w:jc w:val="center"/>
              <w:rPr>
                <w:sz w:val="24"/>
                <w:szCs w:val="24"/>
              </w:rPr>
            </w:pPr>
            <w:r>
              <w:rPr>
                <w:rFonts w:hint="default" w:ascii="Times New Roman" w:hAnsi="Times New Roman" w:eastAsia="宋体" w:cs="Times New Roman"/>
                <w:color w:val="000000"/>
                <w:kern w:val="0"/>
                <w:sz w:val="24"/>
                <w:szCs w:val="24"/>
                <w:lang w:val="en-US" w:eastAsia="zh-CN" w:bidi="ar"/>
              </w:rPr>
              <w:t>W = G</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ω</w:t>
            </w:r>
            <w:r>
              <w:rPr>
                <w:rFonts w:hint="default" w:ascii="Times New Roman" w:hAnsi="Times New Roman" w:eastAsia="宋体" w:cs="Times New Roman"/>
                <w:color w:val="000000"/>
                <w:kern w:val="0"/>
                <w:sz w:val="24"/>
                <w:szCs w:val="24"/>
                <w:vertAlign w:val="subscript"/>
                <w:lang w:val="en-US" w:eastAsia="zh-CN" w:bidi="ar"/>
              </w:rPr>
              <w:t>1</w:t>
            </w:r>
            <w:r>
              <w:rPr>
                <w:rFonts w:hint="default" w:ascii="Times New Roman" w:hAnsi="Times New Roman" w:eastAsia="宋体" w:cs="Times New Roman"/>
                <w:color w:val="000000"/>
                <w:kern w:val="0"/>
                <w:sz w:val="24"/>
                <w:szCs w:val="24"/>
                <w:lang w:val="en-US" w:eastAsia="zh-CN" w:bidi="ar"/>
              </w:rPr>
              <w:t xml:space="preserve"> -ω</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100 -ω</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vertAlign w:val="baseline"/>
                <w:lang w:val="en-US" w:eastAsia="zh-CN" w:bidi="ar"/>
              </w:rPr>
              <w:t>）</w:t>
            </w:r>
          </w:p>
          <w:p>
            <w:pPr>
              <w:keepNext w:val="0"/>
              <w:keepLines w:val="0"/>
              <w:widowControl/>
              <w:suppressLineNumbers w:val="0"/>
              <w:spacing w:line="360" w:lineRule="auto"/>
              <w:ind w:firstLine="480" w:firstLineChars="200"/>
              <w:jc w:val="both"/>
              <w:rPr>
                <w:sz w:val="24"/>
                <w:szCs w:val="24"/>
              </w:rPr>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W</w:t>
            </w:r>
            <w:r>
              <w:rPr>
                <w:rFonts w:hint="eastAsia" w:ascii="宋体" w:hAnsi="宋体" w:eastAsia="宋体" w:cs="宋体"/>
                <w:color w:val="000000"/>
                <w:kern w:val="0"/>
                <w:sz w:val="24"/>
                <w:szCs w:val="24"/>
                <w:lang w:val="en-US" w:eastAsia="zh-CN" w:bidi="ar"/>
              </w:rPr>
              <w:t>：水分蒸发量，</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G</w:t>
            </w:r>
            <w:r>
              <w:rPr>
                <w:rFonts w:hint="eastAsia" w:ascii="宋体" w:hAnsi="宋体" w:eastAsia="宋体" w:cs="宋体"/>
                <w:color w:val="000000"/>
                <w:kern w:val="0"/>
                <w:sz w:val="24"/>
                <w:szCs w:val="24"/>
                <w:lang w:val="en-US" w:eastAsia="zh-CN" w:bidi="ar"/>
              </w:rPr>
              <w:t>：处理量；</w:t>
            </w:r>
            <w:r>
              <w:rPr>
                <w:rFonts w:hint="default" w:ascii="Times New Roman" w:hAnsi="Times New Roman" w:eastAsia="宋体" w:cs="Times New Roman"/>
                <w:color w:val="000000"/>
                <w:kern w:val="0"/>
                <w:sz w:val="24"/>
                <w:szCs w:val="24"/>
                <w:lang w:val="en-US" w:eastAsia="zh-CN" w:bidi="ar"/>
              </w:rPr>
              <w:t>ω</w:t>
            </w:r>
            <w:r>
              <w:rPr>
                <w:rFonts w:hint="default" w:ascii="Times New Roman" w:hAnsi="Times New Roman" w:eastAsia="宋体" w:cs="Times New Roman"/>
                <w:color w:val="000000"/>
                <w:kern w:val="0"/>
                <w:sz w:val="24"/>
                <w:szCs w:val="24"/>
                <w:vertAlign w:val="subscript"/>
                <w:lang w:val="en-US" w:eastAsia="zh-CN" w:bidi="ar"/>
              </w:rPr>
              <w:t>1</w:t>
            </w:r>
            <w:r>
              <w:rPr>
                <w:rFonts w:hint="eastAsia" w:ascii="宋体" w:hAnsi="宋体" w:eastAsia="宋体" w:cs="宋体"/>
                <w:color w:val="000000"/>
                <w:kern w:val="0"/>
                <w:sz w:val="24"/>
                <w:szCs w:val="24"/>
                <w:lang w:val="en-US" w:eastAsia="zh-CN" w:bidi="ar"/>
              </w:rPr>
              <w:t>：进料含水量百分数；</w:t>
            </w:r>
            <w:r>
              <w:rPr>
                <w:rFonts w:hint="default" w:ascii="Times New Roman" w:hAnsi="Times New Roman" w:eastAsia="宋体" w:cs="Times New Roman"/>
                <w:color w:val="000000"/>
                <w:kern w:val="0"/>
                <w:sz w:val="24"/>
                <w:szCs w:val="24"/>
                <w:lang w:val="en-US" w:eastAsia="zh-CN" w:bidi="ar"/>
              </w:rPr>
              <w:t>ω</w:t>
            </w:r>
            <w:r>
              <w:rPr>
                <w:rFonts w:hint="default" w:ascii="Times New Roman" w:hAnsi="Times New Roman" w:eastAsia="宋体" w:cs="Times New Roman"/>
                <w:color w:val="000000"/>
                <w:kern w:val="0"/>
                <w:sz w:val="24"/>
                <w:szCs w:val="24"/>
                <w:vertAlign w:val="subscript"/>
                <w:lang w:val="en-US" w:eastAsia="zh-CN" w:bidi="ar"/>
              </w:rPr>
              <w:t>2</w:t>
            </w:r>
            <w:r>
              <w:rPr>
                <w:rFonts w:hint="eastAsia" w:ascii="宋体" w:hAnsi="宋体" w:eastAsia="宋体" w:cs="宋体"/>
                <w:color w:val="000000"/>
                <w:kern w:val="0"/>
                <w:sz w:val="24"/>
                <w:szCs w:val="24"/>
                <w:lang w:val="en-US" w:eastAsia="zh-CN" w:bidi="ar"/>
              </w:rPr>
              <w:t>：出料含水量百分数；</w:t>
            </w:r>
          </w:p>
          <w:p>
            <w:pPr>
              <w:keepNext w:val="0"/>
              <w:keepLines w:val="0"/>
              <w:widowControl/>
              <w:suppressLineNumbers w:val="0"/>
              <w:spacing w:line="360" w:lineRule="auto"/>
              <w:ind w:firstLine="480" w:firstLineChars="200"/>
              <w:jc w:val="both"/>
              <w:rPr>
                <w:sz w:val="24"/>
                <w:szCs w:val="24"/>
              </w:rPr>
            </w:pPr>
            <w:r>
              <w:rPr>
                <w:rFonts w:hint="eastAsia" w:ascii="宋体" w:hAnsi="宋体" w:eastAsia="宋体" w:cs="宋体"/>
                <w:color w:val="000000"/>
                <w:kern w:val="0"/>
                <w:sz w:val="24"/>
                <w:szCs w:val="24"/>
                <w:lang w:val="en-US" w:eastAsia="zh-CN" w:bidi="ar"/>
              </w:rPr>
              <w:t xml:space="preserve">则水分蒸发量为 </w:t>
            </w:r>
            <w:r>
              <w:rPr>
                <w:rFonts w:hint="eastAsia" w:ascii="Times New Roman" w:hAnsi="Times New Roman" w:eastAsia="宋体" w:cs="Times New Roman"/>
                <w:color w:val="000000"/>
                <w:kern w:val="0"/>
                <w:sz w:val="24"/>
                <w:szCs w:val="24"/>
                <w:lang w:val="en-US" w:eastAsia="zh-CN" w:bidi="ar"/>
              </w:rPr>
              <w:t>767.1</w:t>
            </w:r>
            <w:r>
              <w:rPr>
                <w:rFonts w:hint="eastAsia" w:cs="Times New Roman"/>
                <w:color w:val="000000"/>
                <w:kern w:val="0"/>
                <w:sz w:val="24"/>
                <w:szCs w:val="24"/>
                <w:lang w:val="en-US" w:eastAsia="zh-CN" w:bidi="ar"/>
              </w:rPr>
              <w:t>78</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w:t>
            </w:r>
          </w:p>
          <w:p>
            <w:pPr>
              <w:pStyle w:val="38"/>
              <w:spacing w:line="360" w:lineRule="auto"/>
              <w:ind w:firstLine="482" w:firstLineChars="200"/>
              <w:rPr>
                <w:rFonts w:ascii="Times New Roman"/>
                <w:b/>
                <w:color w:val="auto"/>
                <w:sz w:val="24"/>
                <w:szCs w:val="24"/>
              </w:rPr>
            </w:pPr>
            <w:r>
              <w:rPr>
                <w:rFonts w:ascii="Times New Roman"/>
                <w:b/>
                <w:color w:val="auto"/>
                <w:sz w:val="24"/>
                <w:szCs w:val="24"/>
              </w:rPr>
              <w:t>4</w:t>
            </w:r>
            <w:r>
              <w:rPr>
                <w:rFonts w:hint="eastAsia" w:ascii="Times New Roman"/>
                <w:b/>
                <w:color w:val="auto"/>
                <w:sz w:val="24"/>
                <w:szCs w:val="24"/>
                <w:lang w:val="en-US" w:eastAsia="zh-CN"/>
              </w:rPr>
              <w:t>.</w:t>
            </w:r>
            <w:r>
              <w:rPr>
                <w:rFonts w:ascii="Times New Roman"/>
                <w:b/>
                <w:color w:val="auto"/>
                <w:sz w:val="24"/>
                <w:szCs w:val="24"/>
              </w:rPr>
              <w:t xml:space="preserve"> 主要原辅料量</w:t>
            </w:r>
          </w:p>
          <w:p>
            <w:pPr>
              <w:pStyle w:val="6"/>
              <w:spacing w:before="0" w:after="0" w:line="240" w:lineRule="auto"/>
              <w:ind w:right="0"/>
              <w:jc w:val="center"/>
              <w:rPr>
                <w:b/>
                <w:bCs/>
                <w:color w:val="auto"/>
                <w:sz w:val="21"/>
                <w:szCs w:val="21"/>
              </w:rPr>
            </w:pPr>
            <w:r>
              <w:rPr>
                <w:b/>
                <w:bCs/>
                <w:color w:val="auto"/>
                <w:sz w:val="21"/>
                <w:szCs w:val="21"/>
              </w:rPr>
              <w:t>表2-5  项目主要原辅材料一览表</w:t>
            </w:r>
          </w:p>
          <w:tbl>
            <w:tblPr>
              <w:tblStyle w:val="27"/>
              <w:tblW w:w="8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0"/>
              <w:gridCol w:w="1518"/>
              <w:gridCol w:w="1417"/>
              <w:gridCol w:w="1590"/>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1830" w:type="dxa"/>
                  <w:vAlign w:val="center"/>
                </w:tcPr>
                <w:p>
                  <w:pPr>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CN"/>
                    </w:rPr>
                    <w:t>原料</w:t>
                  </w:r>
                  <w:r>
                    <w:rPr>
                      <w:rFonts w:hint="default" w:ascii="Times New Roman" w:hAnsi="Times New Roman" w:eastAsia="宋体" w:cs="Times New Roman"/>
                      <w:b/>
                      <w:bCs/>
                      <w:color w:val="auto"/>
                      <w:szCs w:val="21"/>
                    </w:rPr>
                    <w:t>名称</w:t>
                  </w:r>
                </w:p>
              </w:tc>
              <w:tc>
                <w:tcPr>
                  <w:tcW w:w="1518"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消耗量</w:t>
                  </w:r>
                </w:p>
              </w:tc>
              <w:tc>
                <w:tcPr>
                  <w:tcW w:w="1417"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最大贮存量</w:t>
                  </w:r>
                </w:p>
              </w:tc>
              <w:tc>
                <w:tcPr>
                  <w:tcW w:w="1590" w:type="dxa"/>
                  <w:vAlign w:val="center"/>
                </w:tcPr>
                <w:p>
                  <w:pPr>
                    <w:jc w:val="center"/>
                    <w:rPr>
                      <w:rFonts w:hint="eastAsia"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存储方式</w:t>
                  </w:r>
                  <w:r>
                    <w:rPr>
                      <w:rFonts w:hint="eastAsia" w:ascii="Times New Roman" w:hAnsi="Times New Roman" w:eastAsia="宋体" w:cs="Times New Roman"/>
                      <w:b/>
                      <w:bCs/>
                      <w:color w:val="auto"/>
                      <w:szCs w:val="21"/>
                      <w:lang w:val="en-US" w:eastAsia="zh-CN"/>
                    </w:rPr>
                    <w:t>/位置</w:t>
                  </w:r>
                </w:p>
              </w:tc>
              <w:tc>
                <w:tcPr>
                  <w:tcW w:w="1944" w:type="dxa"/>
                  <w:vAlign w:val="center"/>
                </w:tcPr>
                <w:p>
                  <w:pPr>
                    <w:jc w:val="center"/>
                    <w:rPr>
                      <w:rFonts w:hint="eastAsia" w:ascii="Times New Roman" w:hAnsi="Times New Roman" w:eastAsia="宋体" w:cs="Times New Roman"/>
                      <w:b/>
                      <w:bCs/>
                      <w:color w:val="auto"/>
                      <w:szCs w:val="21"/>
                      <w:lang w:eastAsia="zh-CN"/>
                    </w:rPr>
                  </w:pPr>
                  <w:r>
                    <w:rPr>
                      <w:rFonts w:hint="eastAsia" w:cs="Times New Roman"/>
                      <w:b/>
                      <w:bCs/>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1" w:hRule="atLeast"/>
                <w:jc w:val="center"/>
              </w:trPr>
              <w:tc>
                <w:tcPr>
                  <w:tcW w:w="183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水稻</w:t>
                  </w:r>
                </w:p>
              </w:tc>
              <w:tc>
                <w:tcPr>
                  <w:tcW w:w="1518" w:type="dxa"/>
                  <w:vAlign w:val="center"/>
                </w:tcPr>
                <w:p>
                  <w:pPr>
                    <w:keepNext w:val="0"/>
                    <w:keepLines w:val="0"/>
                    <w:widowControl/>
                    <w:suppressLineNumbers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4572.169</w:t>
                  </w: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r>
                    <w:rPr>
                      <w:rFonts w:hint="eastAsia" w:ascii="Times New Roman" w:hAnsi="Times New Roman" w:eastAsia="宋体" w:cs="Times New Roman"/>
                      <w:color w:val="auto"/>
                      <w:szCs w:val="21"/>
                      <w:highlight w:val="none"/>
                      <w:lang w:val="en-US" w:eastAsia="zh-CN"/>
                    </w:rPr>
                    <w:t>t</w:t>
                  </w:r>
                </w:p>
              </w:tc>
              <w:tc>
                <w:tcPr>
                  <w:tcW w:w="1590"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原料区</w:t>
                  </w:r>
                </w:p>
              </w:tc>
              <w:tc>
                <w:tcPr>
                  <w:tcW w:w="1944" w:type="dxa"/>
                  <w:vAlign w:val="center"/>
                </w:tcPr>
                <w:p>
                  <w:pPr>
                    <w:jc w:val="center"/>
                    <w:rPr>
                      <w:rFonts w:hint="eastAsia" w:cs="Times New Roman"/>
                      <w:color w:val="auto"/>
                      <w:szCs w:val="21"/>
                      <w:lang w:eastAsia="zh-CN"/>
                    </w:rPr>
                  </w:pPr>
                  <w:r>
                    <w:rPr>
                      <w:rFonts w:hint="eastAsia" w:cs="Times New Roman"/>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6" w:hRule="atLeast"/>
                <w:jc w:val="center"/>
              </w:trPr>
              <w:tc>
                <w:tcPr>
                  <w:tcW w:w="1830" w:type="dxa"/>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小麦</w:t>
                  </w:r>
                </w:p>
              </w:tc>
              <w:tc>
                <w:tcPr>
                  <w:tcW w:w="1518" w:type="dxa"/>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2032.075</w:t>
                  </w: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15t</w:t>
                  </w:r>
                </w:p>
              </w:tc>
              <w:tc>
                <w:tcPr>
                  <w:tcW w:w="1590"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原料区</w:t>
                  </w:r>
                </w:p>
              </w:tc>
              <w:tc>
                <w:tcPr>
                  <w:tcW w:w="1944" w:type="dxa"/>
                  <w:vAlign w:val="center"/>
                </w:tcPr>
                <w:p>
                  <w:pPr>
                    <w:jc w:val="center"/>
                    <w:rPr>
                      <w:rFonts w:hint="eastAsia" w:cs="Times New Roman"/>
                      <w:color w:val="auto"/>
                      <w:szCs w:val="21"/>
                      <w:lang w:eastAsia="zh-CN"/>
                    </w:rPr>
                  </w:pPr>
                  <w:r>
                    <w:rPr>
                      <w:rFonts w:hint="eastAsia" w:cs="Times New Roman"/>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生物质成型颗粒</w:t>
                  </w:r>
                </w:p>
              </w:tc>
              <w:tc>
                <w:tcPr>
                  <w:tcW w:w="15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305.37</w:t>
                  </w: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r>
                    <w:rPr>
                      <w:rFonts w:hint="eastAsia" w:ascii="Times New Roman" w:hAnsi="Times New Roman" w:eastAsia="宋体" w:cs="Times New Roman"/>
                      <w:color w:val="auto"/>
                      <w:szCs w:val="21"/>
                      <w:highlight w:val="none"/>
                      <w:lang w:val="en-US" w:eastAsia="zh-CN"/>
                    </w:rPr>
                    <w:t>t</w:t>
                  </w:r>
                </w:p>
              </w:tc>
              <w:tc>
                <w:tcPr>
                  <w:tcW w:w="1590"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生物质成型颗粒堆放区</w:t>
                  </w:r>
                </w:p>
              </w:tc>
              <w:tc>
                <w:tcPr>
                  <w:tcW w:w="1944" w:type="dxa"/>
                  <w:vAlign w:val="center"/>
                </w:tcPr>
                <w:p>
                  <w:pPr>
                    <w:jc w:val="center"/>
                    <w:rPr>
                      <w:rFonts w:hint="eastAsia" w:cs="Times New Roman"/>
                      <w:color w:val="auto"/>
                      <w:szCs w:val="21"/>
                      <w:lang w:eastAsia="zh-CN"/>
                    </w:rPr>
                  </w:pPr>
                  <w:r>
                    <w:rPr>
                      <w:rFonts w:hint="eastAsia" w:cs="Times New Roman"/>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518"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2</w:t>
                  </w:r>
                  <w:r>
                    <w:rPr>
                      <w:rFonts w:hint="eastAsia"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万</w:t>
                  </w:r>
                  <w:r>
                    <w:rPr>
                      <w:rFonts w:hint="default" w:ascii="Times New Roman" w:hAnsi="Times New Roman" w:eastAsia="宋体" w:cs="Times New Roman"/>
                      <w:color w:val="auto"/>
                      <w:sz w:val="21"/>
                      <w:szCs w:val="21"/>
                      <w:highlight w:val="none"/>
                    </w:rPr>
                    <w:t>kW∙h/a</w:t>
                  </w:r>
                </w:p>
              </w:tc>
              <w:tc>
                <w:tcPr>
                  <w:tcW w:w="141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590" w:type="dxa"/>
                  <w:vAlign w:val="center"/>
                </w:tcPr>
                <w:p>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1944"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w:t>
                  </w:r>
                </w:p>
              </w:tc>
              <w:tc>
                <w:tcPr>
                  <w:tcW w:w="1518" w:type="dxa"/>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45</w:t>
                  </w:r>
                  <w:r>
                    <w:rPr>
                      <w:rFonts w:hint="default" w:ascii="Times New Roman" w:hAnsi="Times New Roman" w:eastAsia="宋体" w:cs="Times New Roman"/>
                      <w:color w:val="auto"/>
                      <w:szCs w:val="21"/>
                      <w:highlight w:val="none"/>
                    </w:rPr>
                    <w:t>t/a</w:t>
                  </w:r>
                </w:p>
              </w:tc>
              <w:tc>
                <w:tcPr>
                  <w:tcW w:w="141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590" w:type="dxa"/>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p>
              </w:tc>
              <w:tc>
                <w:tcPr>
                  <w:tcW w:w="1944"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市政</w:t>
                  </w:r>
                </w:p>
              </w:tc>
            </w:tr>
          </w:tbl>
          <w:p>
            <w:pPr>
              <w:rPr>
                <w:color w:val="auto"/>
              </w:rPr>
            </w:pPr>
          </w:p>
          <w:p>
            <w:pPr>
              <w:pStyle w:val="6"/>
              <w:spacing w:before="0" w:after="0" w:line="360" w:lineRule="auto"/>
              <w:ind w:right="0" w:firstLine="482" w:firstLineChars="200"/>
              <w:jc w:val="left"/>
              <w:rPr>
                <w:rFonts w:hint="eastAsia" w:ascii="宋体" w:hAnsi="宋体" w:cs="宋体"/>
                <w:b/>
                <w:bCs/>
                <w:color w:val="auto"/>
                <w:sz w:val="24"/>
                <w:szCs w:val="24"/>
              </w:rPr>
            </w:pPr>
            <w:r>
              <w:rPr>
                <w:rFonts w:hint="eastAsia" w:ascii="宋体" w:hAnsi="宋体" w:cs="宋体"/>
                <w:b/>
                <w:bCs/>
                <w:color w:val="auto"/>
                <w:sz w:val="24"/>
                <w:szCs w:val="24"/>
              </w:rPr>
              <w:t>5</w:t>
            </w:r>
            <w:r>
              <w:rPr>
                <w:rFonts w:hint="eastAsia" w:ascii="宋体" w:hAnsi="宋体" w:cs="宋体"/>
                <w:b/>
                <w:bCs/>
                <w:color w:val="auto"/>
                <w:sz w:val="24"/>
                <w:szCs w:val="24"/>
                <w:lang w:val="en-US" w:eastAsia="zh-CN"/>
              </w:rPr>
              <w:t>.</w:t>
            </w:r>
            <w:r>
              <w:rPr>
                <w:rFonts w:hint="eastAsia" w:ascii="宋体" w:hAnsi="宋体" w:cs="宋体"/>
                <w:b/>
                <w:bCs/>
                <w:color w:val="auto"/>
                <w:sz w:val="24"/>
                <w:szCs w:val="24"/>
              </w:rPr>
              <w:t xml:space="preserve"> 原辅材料理化性质</w:t>
            </w:r>
          </w:p>
          <w:p>
            <w:pPr>
              <w:spacing w:line="360" w:lineRule="auto"/>
              <w:ind w:firstLine="480" w:firstLineChars="200"/>
              <w:rPr>
                <w:rFonts w:hint="eastAsia"/>
                <w:color w:val="auto"/>
                <w:lang w:eastAsia="zh-CN"/>
              </w:rPr>
            </w:pPr>
            <w:r>
              <w:rPr>
                <w:rFonts w:hint="eastAsia"/>
                <w:color w:val="auto"/>
                <w:sz w:val="24"/>
                <w:lang w:val="en-US" w:eastAsia="zh-CN"/>
              </w:rPr>
              <w:t>生物质成型颗粒</w:t>
            </w:r>
            <w:r>
              <w:rPr>
                <w:rFonts w:hint="eastAsia"/>
                <w:color w:val="auto"/>
                <w:sz w:val="24"/>
                <w:szCs w:val="24"/>
                <w:lang w:val="en-US" w:eastAsia="zh-CN"/>
              </w:rPr>
              <w:t>：</w:t>
            </w:r>
            <w:r>
              <w:rPr>
                <w:rFonts w:hint="eastAsia"/>
                <w:color w:val="auto"/>
                <w:sz w:val="24"/>
                <w:szCs w:val="24"/>
                <w:lang w:eastAsia="zh-CN"/>
              </w:rPr>
              <w:t>根据生物</w:t>
            </w:r>
            <w:r>
              <w:rPr>
                <w:rFonts w:hint="eastAsia"/>
                <w:color w:val="auto"/>
                <w:sz w:val="24"/>
                <w:szCs w:val="24"/>
                <w:highlight w:val="none"/>
                <w:lang w:eastAsia="zh-CN"/>
              </w:rPr>
              <w:t>质</w:t>
            </w:r>
            <w:r>
              <w:rPr>
                <w:rFonts w:hint="eastAsia"/>
                <w:color w:val="auto"/>
                <w:sz w:val="24"/>
                <w:szCs w:val="24"/>
                <w:highlight w:val="none"/>
                <w:lang w:val="en-US" w:eastAsia="zh-CN"/>
              </w:rPr>
              <w:t>燃料</w:t>
            </w:r>
            <w:r>
              <w:rPr>
                <w:rFonts w:hint="eastAsia"/>
                <w:color w:val="auto"/>
                <w:sz w:val="24"/>
                <w:szCs w:val="24"/>
                <w:highlight w:val="none"/>
                <w:lang w:eastAsia="zh-CN"/>
              </w:rPr>
              <w:t>检</w:t>
            </w:r>
            <w:r>
              <w:rPr>
                <w:rFonts w:hint="eastAsia"/>
                <w:color w:val="auto"/>
                <w:sz w:val="24"/>
                <w:szCs w:val="24"/>
                <w:lang w:eastAsia="zh-CN"/>
              </w:rPr>
              <w:t>测报</w:t>
            </w:r>
            <w:r>
              <w:rPr>
                <w:rFonts w:hint="eastAsia"/>
                <w:color w:val="auto"/>
                <w:sz w:val="24"/>
                <w:szCs w:val="24"/>
                <w:highlight w:val="none"/>
                <w:lang w:eastAsia="zh-CN"/>
              </w:rPr>
              <w:t>告（附件</w:t>
            </w:r>
            <w:r>
              <w:rPr>
                <w:rFonts w:hint="eastAsia"/>
                <w:color w:val="auto"/>
                <w:sz w:val="24"/>
                <w:szCs w:val="24"/>
                <w:highlight w:val="none"/>
                <w:lang w:val="en-US" w:eastAsia="zh-CN"/>
              </w:rPr>
              <w:t>5</w:t>
            </w:r>
            <w:r>
              <w:rPr>
                <w:rFonts w:hint="eastAsia"/>
                <w:color w:val="auto"/>
                <w:sz w:val="24"/>
                <w:szCs w:val="24"/>
                <w:highlight w:val="none"/>
                <w:lang w:eastAsia="zh-CN"/>
              </w:rPr>
              <w:t>），本</w:t>
            </w:r>
            <w:r>
              <w:rPr>
                <w:rFonts w:hint="eastAsia"/>
                <w:color w:val="auto"/>
                <w:sz w:val="24"/>
                <w:szCs w:val="24"/>
                <w:lang w:eastAsia="zh-CN"/>
              </w:rPr>
              <w:t>项目生物质不含汞，生物质特性见下表。</w:t>
            </w:r>
          </w:p>
          <w:p>
            <w:pPr>
              <w:pStyle w:val="30"/>
              <w:numPr>
                <w:ilvl w:val="0"/>
                <w:numId w:val="0"/>
              </w:numPr>
              <w:jc w:val="center"/>
              <w:rPr>
                <w:rFonts w:hint="default" w:ascii="Times New Roman" w:hAnsi="Times New Roman" w:cs="Times New Roman"/>
                <w:b/>
                <w:bCs/>
                <w:color w:val="auto"/>
                <w:sz w:val="21"/>
                <w:szCs w:val="21"/>
                <w:lang w:eastAsia="zh-CN"/>
              </w:rPr>
            </w:pPr>
          </w:p>
          <w:p>
            <w:pPr>
              <w:pStyle w:val="30"/>
              <w:numPr>
                <w:ilvl w:val="0"/>
                <w:numId w:val="0"/>
              </w:numPr>
              <w:jc w:val="center"/>
              <w:rPr>
                <w:rFonts w:hint="default" w:ascii="Times New Roman" w:hAnsi="Times New Roman" w:cs="Times New Roman"/>
                <w:b/>
                <w:bCs/>
                <w:color w:val="auto"/>
                <w:sz w:val="21"/>
                <w:szCs w:val="21"/>
                <w:lang w:eastAsia="zh-CN"/>
              </w:rPr>
            </w:pPr>
          </w:p>
          <w:p>
            <w:pPr>
              <w:pStyle w:val="30"/>
              <w:numPr>
                <w:ilvl w:val="0"/>
                <w:numId w:val="0"/>
              </w:numPr>
              <w:jc w:val="center"/>
              <w:rPr>
                <w:rFonts w:hint="default" w:ascii="Times New Roman" w:hAnsi="Times New Roman" w:cs="Times New Roman"/>
                <w:b/>
                <w:bCs/>
                <w:color w:val="auto"/>
                <w:sz w:val="21"/>
                <w:szCs w:val="21"/>
                <w:lang w:eastAsia="zh-CN"/>
              </w:rPr>
            </w:pPr>
          </w:p>
          <w:p>
            <w:pPr>
              <w:pStyle w:val="30"/>
              <w:numPr>
                <w:ilvl w:val="0"/>
                <w:numId w:val="0"/>
              </w:num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生物质特性一览表</w:t>
            </w:r>
          </w:p>
          <w:tbl>
            <w:tblPr>
              <w:tblStyle w:val="28"/>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0"/>
              <w:gridCol w:w="4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eastAsia="宋体"/>
                      <w:color w:val="auto"/>
                      <w:vertAlign w:val="baseline"/>
                      <w:lang w:eastAsia="zh-CN"/>
                    </w:rPr>
                  </w:pPr>
                  <w:r>
                    <w:rPr>
                      <w:rFonts w:hint="eastAsia"/>
                      <w:color w:val="auto"/>
                      <w:vertAlign w:val="baseline"/>
                      <w:lang w:eastAsia="zh-CN"/>
                    </w:rPr>
                    <w:t>项目</w:t>
                  </w:r>
                </w:p>
              </w:tc>
              <w:tc>
                <w:tcPr>
                  <w:tcW w:w="4150" w:type="dxa"/>
                  <w:vAlign w:val="center"/>
                </w:tcPr>
                <w:p>
                  <w:pPr>
                    <w:pStyle w:val="59"/>
                    <w:ind w:left="0" w:leftChars="0" w:firstLine="0" w:firstLineChars="0"/>
                    <w:jc w:val="center"/>
                    <w:rPr>
                      <w:rFonts w:hint="eastAsia" w:eastAsia="宋体"/>
                      <w:color w:val="auto"/>
                      <w:vertAlign w:val="baseline"/>
                      <w:lang w:eastAsia="zh-CN"/>
                    </w:rPr>
                  </w:pPr>
                  <w:r>
                    <w:rPr>
                      <w:rFonts w:hint="eastAsia"/>
                      <w:color w:val="auto"/>
                      <w:vertAlign w:val="baseline"/>
                      <w:lang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eastAsia="宋体"/>
                      <w:color w:val="auto"/>
                      <w:vertAlign w:val="baseline"/>
                      <w:lang w:eastAsia="zh-CN"/>
                    </w:rPr>
                  </w:pPr>
                  <w:r>
                    <w:rPr>
                      <w:rFonts w:hint="eastAsia"/>
                      <w:color w:val="auto"/>
                      <w:vertAlign w:val="baseline"/>
                      <w:lang w:eastAsia="zh-CN"/>
                    </w:rPr>
                    <w:t>全水分</w:t>
                  </w:r>
                </w:p>
              </w:tc>
              <w:tc>
                <w:tcPr>
                  <w:tcW w:w="4150" w:type="dxa"/>
                  <w:vAlign w:val="center"/>
                </w:tcPr>
                <w:p>
                  <w:pPr>
                    <w:pStyle w:val="59"/>
                    <w:ind w:left="0" w:leftChars="0" w:firstLine="0" w:firstLineChars="0"/>
                    <w:jc w:val="center"/>
                    <w:rPr>
                      <w:rFonts w:hint="default" w:eastAsia="宋体"/>
                      <w:color w:val="auto"/>
                      <w:vertAlign w:val="baseline"/>
                      <w:lang w:val="en-US" w:eastAsia="zh-CN"/>
                    </w:rPr>
                  </w:pPr>
                  <w:r>
                    <w:rPr>
                      <w:rFonts w:hint="eastAsia"/>
                      <w:color w:val="auto"/>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空气干燥基水分</w:t>
                  </w:r>
                </w:p>
              </w:tc>
              <w:tc>
                <w:tcPr>
                  <w:tcW w:w="4150" w:type="dxa"/>
                  <w:vAlign w:val="center"/>
                </w:tcPr>
                <w:p>
                  <w:pPr>
                    <w:pStyle w:val="59"/>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highlight w:val="none"/>
                      <w:vertAlign w:val="baseline"/>
                      <w:lang w:eastAsia="zh-CN"/>
                    </w:rPr>
                    <w:t>空气干燥基灰分</w:t>
                  </w:r>
                </w:p>
              </w:tc>
              <w:tc>
                <w:tcPr>
                  <w:tcW w:w="4150" w:type="dxa"/>
                  <w:vAlign w:val="center"/>
                </w:tcPr>
                <w:p>
                  <w:pPr>
                    <w:pStyle w:val="59"/>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空气干燥基挥发分</w:t>
                  </w:r>
                </w:p>
              </w:tc>
              <w:tc>
                <w:tcPr>
                  <w:tcW w:w="4150" w:type="dxa"/>
                  <w:vAlign w:val="center"/>
                </w:tcPr>
                <w:p>
                  <w:pPr>
                    <w:pStyle w:val="59"/>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76.29%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焦渣特性</w:t>
                  </w:r>
                </w:p>
              </w:tc>
              <w:tc>
                <w:tcPr>
                  <w:tcW w:w="4150" w:type="dxa"/>
                  <w:vAlign w:val="center"/>
                </w:tcPr>
                <w:p>
                  <w:pPr>
                    <w:pStyle w:val="59"/>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全硫</w:t>
                  </w:r>
                </w:p>
              </w:tc>
              <w:tc>
                <w:tcPr>
                  <w:tcW w:w="4150" w:type="dxa"/>
                  <w:vAlign w:val="center"/>
                </w:tcPr>
                <w:p>
                  <w:pPr>
                    <w:pStyle w:val="59"/>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固定碳</w:t>
                  </w:r>
                </w:p>
              </w:tc>
              <w:tc>
                <w:tcPr>
                  <w:tcW w:w="4150" w:type="dxa"/>
                  <w:vAlign w:val="center"/>
                </w:tcPr>
                <w:p>
                  <w:pPr>
                    <w:pStyle w:val="59"/>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分析基高位发热量</w:t>
                  </w:r>
                </w:p>
              </w:tc>
              <w:tc>
                <w:tcPr>
                  <w:tcW w:w="4150" w:type="dxa"/>
                  <w:vAlign w:val="center"/>
                </w:tcPr>
                <w:p>
                  <w:pPr>
                    <w:pStyle w:val="59"/>
                    <w:ind w:left="0" w:leftChars="0" w:firstLine="0" w:firstLineChars="0"/>
                    <w:jc w:val="center"/>
                    <w:rPr>
                      <w:rFonts w:hint="default"/>
                      <w:color w:val="auto"/>
                      <w:highlight w:val="none"/>
                      <w:vertAlign w:val="baseline"/>
                      <w:lang w:val="en-US" w:eastAsia="zh-CN"/>
                    </w:rPr>
                  </w:pPr>
                  <w:r>
                    <w:rPr>
                      <w:rFonts w:hint="eastAsia"/>
                      <w:color w:val="auto"/>
                      <w:highlight w:val="none"/>
                      <w:vertAlign w:val="baseline"/>
                      <w:lang w:val="en-US" w:eastAsia="zh-CN"/>
                    </w:rPr>
                    <w:t>4534cal/g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4150" w:type="dxa"/>
                  <w:vAlign w:val="center"/>
                </w:tcPr>
                <w:p>
                  <w:pPr>
                    <w:pStyle w:val="59"/>
                    <w:ind w:left="0" w:leftChars="0" w:firstLine="0" w:firstLineChars="0"/>
                    <w:jc w:val="center"/>
                    <w:rPr>
                      <w:rFonts w:hint="eastAsia"/>
                      <w:color w:val="auto"/>
                      <w:vertAlign w:val="baseline"/>
                      <w:lang w:eastAsia="zh-CN"/>
                    </w:rPr>
                  </w:pPr>
                  <w:r>
                    <w:rPr>
                      <w:rFonts w:hint="eastAsia"/>
                      <w:color w:val="auto"/>
                      <w:vertAlign w:val="baseline"/>
                      <w:lang w:eastAsia="zh-CN"/>
                    </w:rPr>
                    <w:t>收到基低位发热量</w:t>
                  </w:r>
                </w:p>
              </w:tc>
              <w:tc>
                <w:tcPr>
                  <w:tcW w:w="4150" w:type="dxa"/>
                  <w:vAlign w:val="center"/>
                </w:tcPr>
                <w:p>
                  <w:pPr>
                    <w:pStyle w:val="59"/>
                    <w:ind w:left="0" w:leftChars="0" w:firstLine="0" w:firstLineChars="0"/>
                    <w:jc w:val="center"/>
                    <w:rPr>
                      <w:rFonts w:hint="default"/>
                      <w:color w:val="auto"/>
                      <w:highlight w:val="none"/>
                      <w:vertAlign w:val="baseline"/>
                      <w:lang w:val="en-US" w:eastAsia="zh-CN"/>
                    </w:rPr>
                  </w:pPr>
                  <w:r>
                    <w:rPr>
                      <w:rFonts w:hint="eastAsia"/>
                      <w:color w:val="auto"/>
                      <w:highlight w:val="none"/>
                      <w:vertAlign w:val="baseline"/>
                      <w:lang w:val="en-US" w:eastAsia="zh-CN"/>
                    </w:rPr>
                    <w:t>4053cal/g</w:t>
                  </w:r>
                </w:p>
              </w:tc>
            </w:tr>
          </w:tbl>
          <w:p>
            <w:pPr>
              <w:pStyle w:val="6"/>
              <w:spacing w:before="0" w:after="0" w:line="240" w:lineRule="auto"/>
              <w:ind w:right="0"/>
              <w:jc w:val="center"/>
              <w:rPr>
                <w:rFonts w:hint="eastAsia"/>
                <w:b/>
                <w:bCs/>
                <w:color w:val="auto"/>
                <w:sz w:val="21"/>
                <w:szCs w:val="21"/>
              </w:rPr>
            </w:pPr>
          </w:p>
          <w:p>
            <w:pPr>
              <w:spacing w:line="360" w:lineRule="auto"/>
              <w:ind w:firstLine="482" w:firstLineChars="200"/>
              <w:rPr>
                <w:rStyle w:val="24"/>
                <w:rFonts w:hint="default" w:ascii="Times New Roman" w:hAnsi="Times New Roman" w:eastAsia="宋体" w:cs="Times New Roman"/>
                <w:b w:val="0"/>
                <w:bCs/>
                <w:i w:val="0"/>
                <w:iCs w:val="0"/>
                <w:caps w:val="0"/>
                <w:spacing w:val="0"/>
                <w:sz w:val="24"/>
                <w:szCs w:val="24"/>
                <w:shd w:val="clear" w:fill="FFFFFF"/>
                <w:vertAlign w:val="baseline"/>
                <w:lang w:val="en-US" w:eastAsia="zh-CN"/>
              </w:rPr>
            </w:pPr>
            <w:r>
              <w:rPr>
                <w:rFonts w:hint="eastAsia"/>
                <w:b/>
                <w:color w:val="auto"/>
                <w:sz w:val="24"/>
                <w:lang w:val="en-US" w:eastAsia="zh-CN"/>
              </w:rPr>
              <w:t>项目水分蒸发量为767.18t/a，生物质成型颗粒收到基低位发热量为</w:t>
            </w:r>
            <w:r>
              <w:rPr>
                <w:rFonts w:hint="default" w:ascii="Times New Roman" w:hAnsi="Times New Roman" w:cs="Times New Roman"/>
                <w:b w:val="0"/>
                <w:bCs/>
                <w:color w:val="auto"/>
                <w:sz w:val="24"/>
                <w:szCs w:val="24"/>
                <w:lang w:val="en-US" w:eastAsia="zh-CN"/>
              </w:rPr>
              <w:t>4053</w:t>
            </w:r>
            <w:r>
              <w:rPr>
                <w:rFonts w:hint="default" w:ascii="Times New Roman" w:hAnsi="Times New Roman" w:cs="Times New Roman"/>
                <w:b w:val="0"/>
                <w:bCs/>
                <w:color w:val="auto"/>
                <w:sz w:val="24"/>
                <w:szCs w:val="24"/>
                <w:highlight w:val="none"/>
                <w:vertAlign w:val="baseline"/>
                <w:lang w:val="en-US" w:eastAsia="zh-CN"/>
              </w:rPr>
              <w:t>cal/g=16958</w:t>
            </w:r>
            <w:r>
              <w:rPr>
                <w:rStyle w:val="24"/>
                <w:rFonts w:hint="default" w:ascii="Times New Roman" w:hAnsi="Times New Roman" w:eastAsia="Segoe UI" w:cs="Times New Roman"/>
                <w:b w:val="0"/>
                <w:bCs/>
                <w:i w:val="0"/>
                <w:iCs w:val="0"/>
                <w:caps w:val="0"/>
                <w:spacing w:val="0"/>
                <w:sz w:val="24"/>
                <w:szCs w:val="24"/>
                <w:shd w:val="clear" w:fill="FFFFFF"/>
                <w:vertAlign w:val="baseline"/>
              </w:rPr>
              <w:t>kJ/kg</w:t>
            </w:r>
            <w:r>
              <w:rPr>
                <w:rStyle w:val="24"/>
                <w:rFonts w:hint="eastAsia" w:ascii="Times New Roman" w:hAnsi="Times New Roman" w:eastAsia="宋体" w:cs="Times New Roman"/>
                <w:b w:val="0"/>
                <w:bCs/>
                <w:i w:val="0"/>
                <w:iCs w:val="0"/>
                <w:caps w:val="0"/>
                <w:spacing w:val="0"/>
                <w:sz w:val="24"/>
                <w:szCs w:val="24"/>
                <w:shd w:val="clear" w:fill="FFFFFF"/>
                <w:vertAlign w:val="baseline"/>
                <w:lang w:eastAsia="zh-CN"/>
              </w:rPr>
              <w:t>。热风炉热效率为</w:t>
            </w:r>
            <w:r>
              <w:rPr>
                <w:rStyle w:val="24"/>
                <w:rFonts w:hint="eastAsia" w:ascii="Times New Roman" w:hAnsi="Times New Roman" w:eastAsia="宋体" w:cs="Times New Roman"/>
                <w:b w:val="0"/>
                <w:bCs/>
                <w:i w:val="0"/>
                <w:iCs w:val="0"/>
                <w:caps w:val="0"/>
                <w:spacing w:val="0"/>
                <w:sz w:val="24"/>
                <w:szCs w:val="24"/>
                <w:shd w:val="clear" w:fill="FFFFFF"/>
                <w:vertAlign w:val="baseline"/>
                <w:lang w:val="en-US" w:eastAsia="zh-CN"/>
              </w:rPr>
              <w:t>80%。</w:t>
            </w:r>
          </w:p>
          <w:p>
            <w:pPr>
              <w:spacing w:line="360" w:lineRule="auto"/>
              <w:ind w:firstLine="480" w:firstLineChars="200"/>
              <w:rPr>
                <w:rStyle w:val="24"/>
                <w:rFonts w:hint="eastAsia" w:ascii="Times New Roman" w:hAnsi="Times New Roman" w:eastAsia="宋体" w:cs="Times New Roman"/>
                <w:b w:val="0"/>
                <w:bCs/>
                <w:i w:val="0"/>
                <w:iCs w:val="0"/>
                <w:caps w:val="0"/>
                <w:spacing w:val="0"/>
                <w:sz w:val="24"/>
                <w:szCs w:val="24"/>
                <w:shd w:val="clear" w:fill="FFFFFF"/>
                <w:vertAlign w:val="baseline"/>
                <w:lang w:eastAsia="zh-CN"/>
              </w:rPr>
            </w:pPr>
            <w:r>
              <w:rPr>
                <w:rStyle w:val="24"/>
                <w:rFonts w:hint="eastAsia" w:ascii="Times New Roman" w:hAnsi="Times New Roman" w:eastAsia="宋体" w:cs="Times New Roman"/>
                <w:b w:val="0"/>
                <w:bCs/>
                <w:i w:val="0"/>
                <w:iCs w:val="0"/>
                <w:caps w:val="0"/>
                <w:spacing w:val="0"/>
                <w:sz w:val="24"/>
                <w:szCs w:val="24"/>
                <w:shd w:val="clear" w:fill="FFFFFF"/>
                <w:vertAlign w:val="baseline"/>
                <w:lang w:eastAsia="zh-CN"/>
              </w:rPr>
              <w:t>参考尹协镇《粮食烘干过程中不同外部条件对烘干能耗的影响》，每烘干1kg 水能耗取5400kJ/kg。</w:t>
            </w:r>
          </w:p>
          <w:p>
            <w:pPr>
              <w:spacing w:line="360" w:lineRule="auto"/>
              <w:ind w:firstLine="480" w:firstLineChars="200"/>
              <w:rPr>
                <w:rStyle w:val="24"/>
                <w:rFonts w:hint="eastAsia" w:ascii="Times New Roman" w:hAnsi="Times New Roman" w:eastAsia="宋体" w:cs="Times New Roman"/>
                <w:b w:val="0"/>
                <w:bCs/>
                <w:i w:val="0"/>
                <w:iCs w:val="0"/>
                <w:caps w:val="0"/>
                <w:spacing w:val="0"/>
                <w:sz w:val="24"/>
                <w:szCs w:val="24"/>
                <w:shd w:val="clear" w:fill="FFFFFF"/>
                <w:vertAlign w:val="baseline"/>
                <w:lang w:eastAsia="zh-CN"/>
              </w:rPr>
            </w:pPr>
            <w:r>
              <w:rPr>
                <w:rStyle w:val="24"/>
                <w:rFonts w:hint="eastAsia" w:ascii="Times New Roman" w:hAnsi="Times New Roman" w:eastAsia="宋体" w:cs="Times New Roman"/>
                <w:b w:val="0"/>
                <w:bCs/>
                <w:i w:val="0"/>
                <w:iCs w:val="0"/>
                <w:caps w:val="0"/>
                <w:spacing w:val="0"/>
                <w:sz w:val="24"/>
                <w:szCs w:val="24"/>
                <w:shd w:val="clear" w:fill="FFFFFF"/>
                <w:vertAlign w:val="baseline"/>
                <w:lang w:eastAsia="zh-CN"/>
              </w:rPr>
              <w:t>烘干能耗</w:t>
            </w:r>
            <w:r>
              <w:rPr>
                <w:rStyle w:val="24"/>
                <w:rFonts w:hint="eastAsia" w:ascii="Times New Roman" w:hAnsi="Times New Roman" w:eastAsia="宋体" w:cs="Times New Roman"/>
                <w:b w:val="0"/>
                <w:bCs/>
                <w:i w:val="0"/>
                <w:iCs w:val="0"/>
                <w:caps w:val="0"/>
                <w:spacing w:val="0"/>
                <w:sz w:val="24"/>
                <w:szCs w:val="24"/>
                <w:shd w:val="clear" w:fill="FFFFFF"/>
                <w:vertAlign w:val="baseline"/>
                <w:lang w:val="en-US" w:eastAsia="zh-CN"/>
              </w:rPr>
              <w:t>E=W*能耗=767.18*5400=4.143*10</w:t>
            </w:r>
            <w:r>
              <w:rPr>
                <w:rStyle w:val="24"/>
                <w:rFonts w:hint="eastAsia" w:ascii="Times New Roman" w:hAnsi="Times New Roman" w:eastAsia="宋体" w:cs="Times New Roman"/>
                <w:b w:val="0"/>
                <w:bCs/>
                <w:i w:val="0"/>
                <w:iCs w:val="0"/>
                <w:caps w:val="0"/>
                <w:spacing w:val="0"/>
                <w:sz w:val="24"/>
                <w:szCs w:val="24"/>
                <w:shd w:val="clear" w:fill="FFFFFF"/>
                <w:vertAlign w:val="superscript"/>
                <w:lang w:val="en-US" w:eastAsia="zh-CN"/>
              </w:rPr>
              <w:t>9</w:t>
            </w:r>
            <w:r>
              <w:rPr>
                <w:rStyle w:val="24"/>
                <w:rFonts w:hint="eastAsia" w:ascii="Times New Roman" w:hAnsi="Times New Roman" w:eastAsia="宋体" w:cs="Times New Roman"/>
                <w:b w:val="0"/>
                <w:bCs/>
                <w:i w:val="0"/>
                <w:iCs w:val="0"/>
                <w:caps w:val="0"/>
                <w:spacing w:val="0"/>
                <w:sz w:val="24"/>
                <w:szCs w:val="24"/>
                <w:shd w:val="clear" w:fill="FFFFFF"/>
                <w:vertAlign w:val="baseline"/>
                <w:lang w:eastAsia="zh-CN"/>
              </w:rPr>
              <w:t>kJ</w:t>
            </w:r>
          </w:p>
          <w:p>
            <w:pPr>
              <w:spacing w:line="360" w:lineRule="auto"/>
              <w:ind w:firstLine="480" w:firstLineChars="200"/>
              <w:rPr>
                <w:rStyle w:val="24"/>
                <w:rFonts w:hint="default" w:ascii="Times New Roman" w:hAnsi="Times New Roman" w:eastAsia="宋体" w:cs="Times New Roman"/>
                <w:b w:val="0"/>
                <w:bCs/>
                <w:i w:val="0"/>
                <w:iCs w:val="0"/>
                <w:caps w:val="0"/>
                <w:spacing w:val="0"/>
                <w:sz w:val="24"/>
                <w:szCs w:val="24"/>
                <w:shd w:val="clear" w:fill="FFFFFF"/>
                <w:vertAlign w:val="baseline"/>
                <w:lang w:val="en-US" w:eastAsia="zh-CN"/>
              </w:rPr>
            </w:pPr>
            <w:r>
              <w:rPr>
                <w:rStyle w:val="24"/>
                <w:rFonts w:hint="eastAsia" w:ascii="Times New Roman" w:hAnsi="Times New Roman" w:eastAsia="宋体" w:cs="Times New Roman"/>
                <w:b w:val="0"/>
                <w:bCs/>
                <w:i w:val="0"/>
                <w:iCs w:val="0"/>
                <w:caps w:val="0"/>
                <w:spacing w:val="0"/>
                <w:sz w:val="24"/>
                <w:szCs w:val="24"/>
                <w:shd w:val="clear" w:fill="FFFFFF"/>
                <w:vertAlign w:val="baseline"/>
                <w:lang w:val="en-US" w:eastAsia="zh-CN"/>
              </w:rPr>
              <w:t>燃料消耗量=E/（热值*热效率）=4.143*10</w:t>
            </w:r>
            <w:r>
              <w:rPr>
                <w:rStyle w:val="24"/>
                <w:rFonts w:hint="eastAsia" w:ascii="Times New Roman" w:hAnsi="Times New Roman" w:eastAsia="宋体" w:cs="Times New Roman"/>
                <w:b w:val="0"/>
                <w:bCs/>
                <w:i w:val="0"/>
                <w:iCs w:val="0"/>
                <w:caps w:val="0"/>
                <w:spacing w:val="0"/>
                <w:sz w:val="24"/>
                <w:szCs w:val="24"/>
                <w:shd w:val="clear" w:fill="FFFFFF"/>
                <w:vertAlign w:val="superscript"/>
                <w:lang w:val="en-US" w:eastAsia="zh-CN"/>
              </w:rPr>
              <w:t>9</w:t>
            </w:r>
            <w:r>
              <w:rPr>
                <w:rStyle w:val="24"/>
                <w:rFonts w:hint="eastAsia" w:ascii="Times New Roman" w:hAnsi="Times New Roman" w:eastAsia="宋体" w:cs="Times New Roman"/>
                <w:b w:val="0"/>
                <w:bCs/>
                <w:i w:val="0"/>
                <w:iCs w:val="0"/>
                <w:caps w:val="0"/>
                <w:spacing w:val="0"/>
                <w:sz w:val="24"/>
                <w:szCs w:val="24"/>
                <w:shd w:val="clear" w:fill="FFFFFF"/>
                <w:vertAlign w:val="baseline"/>
                <w:lang w:val="en-US" w:eastAsia="zh-CN"/>
              </w:rPr>
              <w:t>/（16958*0.8）=305.37t/a</w:t>
            </w:r>
          </w:p>
          <w:p>
            <w:pPr>
              <w:spacing w:line="360" w:lineRule="auto"/>
              <w:ind w:firstLine="482" w:firstLineChars="200"/>
              <w:rPr>
                <w:b/>
                <w:color w:val="auto"/>
                <w:sz w:val="24"/>
              </w:rPr>
            </w:pPr>
            <w:r>
              <w:rPr>
                <w:rFonts w:hint="eastAsia"/>
                <w:b/>
                <w:color w:val="auto"/>
                <w:sz w:val="24"/>
                <w:lang w:val="en-US" w:eastAsia="zh-CN"/>
              </w:rPr>
              <w:t>6.</w:t>
            </w:r>
            <w:r>
              <w:rPr>
                <w:b/>
                <w:color w:val="auto"/>
                <w:sz w:val="24"/>
              </w:rPr>
              <w:t xml:space="preserve"> 主要生产设备</w:t>
            </w:r>
          </w:p>
          <w:p>
            <w:pPr>
              <w:spacing w:line="360" w:lineRule="auto"/>
              <w:ind w:firstLine="480" w:firstLineChars="200"/>
              <w:rPr>
                <w:bCs/>
                <w:color w:val="auto"/>
                <w:sz w:val="24"/>
              </w:rPr>
            </w:pPr>
            <w:r>
              <w:rPr>
                <w:bCs/>
                <w:color w:val="auto"/>
                <w:sz w:val="24"/>
              </w:rPr>
              <w:t>本项目主要生产设备见下表</w:t>
            </w:r>
          </w:p>
          <w:p>
            <w:pPr>
              <w:ind w:firstLine="422" w:firstLineChars="200"/>
              <w:jc w:val="center"/>
              <w:rPr>
                <w:b/>
                <w:color w:val="auto"/>
                <w:szCs w:val="21"/>
                <w:highlight w:val="none"/>
              </w:rPr>
            </w:pPr>
            <w:r>
              <w:rPr>
                <w:b/>
                <w:color w:val="auto"/>
                <w:szCs w:val="21"/>
                <w:highlight w:val="none"/>
              </w:rPr>
              <w:t>表2-</w:t>
            </w:r>
            <w:r>
              <w:rPr>
                <w:rFonts w:hint="eastAsia"/>
                <w:b/>
                <w:color w:val="auto"/>
                <w:szCs w:val="21"/>
                <w:highlight w:val="none"/>
                <w:lang w:val="en-US" w:eastAsia="zh-CN"/>
              </w:rPr>
              <w:t>7</w:t>
            </w:r>
            <w:r>
              <w:rPr>
                <w:b/>
                <w:color w:val="auto"/>
                <w:szCs w:val="21"/>
                <w:highlight w:val="none"/>
              </w:rPr>
              <w:t xml:space="preserve"> 主要生产设备一览表</w:t>
            </w:r>
          </w:p>
          <w:tbl>
            <w:tblPr>
              <w:tblStyle w:val="28"/>
              <w:tblW w:w="8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932"/>
              <w:gridCol w:w="1998"/>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2371" w:type="dxa"/>
                  <w:vMerge w:val="restart"/>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序号</w:t>
                  </w:r>
                </w:p>
              </w:tc>
              <w:tc>
                <w:tcPr>
                  <w:tcW w:w="1932" w:type="dxa"/>
                  <w:vMerge w:val="restart"/>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设备名称</w:t>
                  </w:r>
                </w:p>
              </w:tc>
              <w:tc>
                <w:tcPr>
                  <w:tcW w:w="1998" w:type="dxa"/>
                  <w:vMerge w:val="restart"/>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型号规格</w:t>
                  </w:r>
                </w:p>
              </w:tc>
              <w:tc>
                <w:tcPr>
                  <w:tcW w:w="1998" w:type="dxa"/>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932"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烘干机</w:t>
                  </w:r>
                </w:p>
              </w:tc>
              <w:tc>
                <w:tcPr>
                  <w:tcW w:w="1998" w:type="dxa"/>
                  <w:vAlign w:val="center"/>
                </w:tcPr>
                <w:p>
                  <w:pPr>
                    <w:jc w:val="center"/>
                    <w:rPr>
                      <w:rFonts w:hint="default" w:ascii="Times New Roman" w:hAnsi="Times New Roman" w:eastAsia="宋体" w:cs="Times New Roman"/>
                      <w:color w:val="auto"/>
                      <w:lang w:val="en-US" w:eastAsia="zh-CN"/>
                    </w:rPr>
                  </w:pPr>
                  <w:r>
                    <w:rPr>
                      <w:rFonts w:hint="eastAsia" w:cs="Times New Roman"/>
                      <w:color w:val="auto"/>
                      <w:szCs w:val="21"/>
                      <w:lang w:val="en-US" w:eastAsia="zh-CN"/>
                    </w:rPr>
                    <w:t>5H-40</w:t>
                  </w:r>
                </w:p>
              </w:tc>
              <w:tc>
                <w:tcPr>
                  <w:tcW w:w="1998"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932"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热风炉</w:t>
                  </w:r>
                </w:p>
              </w:tc>
              <w:tc>
                <w:tcPr>
                  <w:tcW w:w="1998"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45万大卡</w:t>
                  </w:r>
                </w:p>
              </w:tc>
              <w:tc>
                <w:tcPr>
                  <w:tcW w:w="1998"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3</w:t>
                  </w:r>
                </w:p>
              </w:tc>
              <w:tc>
                <w:tcPr>
                  <w:tcW w:w="1932"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清选筛</w:t>
                  </w:r>
                </w:p>
              </w:tc>
              <w:tc>
                <w:tcPr>
                  <w:tcW w:w="1998"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4</w:t>
                  </w:r>
                </w:p>
              </w:tc>
              <w:tc>
                <w:tcPr>
                  <w:tcW w:w="1932"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自卸车</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5</w:t>
                  </w:r>
                </w:p>
              </w:tc>
              <w:tc>
                <w:tcPr>
                  <w:tcW w:w="1932"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铲车</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6</w:t>
                  </w:r>
                </w:p>
              </w:tc>
              <w:tc>
                <w:tcPr>
                  <w:tcW w:w="1932"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输送带</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15m</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71"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7</w:t>
                  </w:r>
                </w:p>
              </w:tc>
              <w:tc>
                <w:tcPr>
                  <w:tcW w:w="1932" w:type="dxa"/>
                  <w:vAlign w:val="center"/>
                </w:tcPr>
                <w:p>
                  <w:pPr>
                    <w:jc w:val="center"/>
                    <w:rPr>
                      <w:rFonts w:hint="eastAsia" w:cs="Times New Roman"/>
                      <w:color w:val="auto"/>
                      <w:szCs w:val="21"/>
                      <w:lang w:val="en-US" w:eastAsia="zh-CN"/>
                    </w:rPr>
                  </w:pPr>
                  <w:r>
                    <w:rPr>
                      <w:rFonts w:hint="eastAsia" w:cs="Times New Roman"/>
                      <w:color w:val="auto"/>
                      <w:szCs w:val="21"/>
                      <w:lang w:val="en-US" w:eastAsia="zh-CN"/>
                    </w:rPr>
                    <w:t>提升机</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w:t>
                  </w:r>
                </w:p>
              </w:tc>
              <w:tc>
                <w:tcPr>
                  <w:tcW w:w="1998" w:type="dxa"/>
                  <w:vAlign w:val="center"/>
                </w:tcPr>
                <w:p>
                  <w:pPr>
                    <w:jc w:val="center"/>
                    <w:rPr>
                      <w:rFonts w:hint="default" w:cs="Times New Roman"/>
                      <w:color w:val="auto"/>
                      <w:szCs w:val="21"/>
                      <w:lang w:val="en-US" w:eastAsia="zh-CN"/>
                    </w:rPr>
                  </w:pPr>
                  <w:r>
                    <w:rPr>
                      <w:rFonts w:hint="eastAsia" w:cs="Times New Roman"/>
                      <w:color w:val="auto"/>
                      <w:szCs w:val="21"/>
                      <w:lang w:val="en-US" w:eastAsia="zh-CN"/>
                    </w:rPr>
                    <w:t>5台</w:t>
                  </w:r>
                </w:p>
              </w:tc>
            </w:tr>
          </w:tbl>
          <w:p>
            <w:pPr>
              <w:ind w:firstLine="422" w:firstLineChars="200"/>
              <w:jc w:val="center"/>
              <w:rPr>
                <w:b/>
                <w:color w:val="auto"/>
                <w:szCs w:val="21"/>
              </w:rPr>
            </w:pPr>
          </w:p>
          <w:p>
            <w:pPr>
              <w:spacing w:line="360" w:lineRule="auto"/>
              <w:ind w:firstLine="482" w:firstLineChars="200"/>
              <w:rPr>
                <w:color w:val="auto"/>
                <w:sz w:val="24"/>
              </w:rPr>
            </w:pPr>
            <w:r>
              <w:rPr>
                <w:rFonts w:hint="eastAsia"/>
                <w:b/>
                <w:bCs/>
                <w:color w:val="auto"/>
                <w:sz w:val="24"/>
                <w:lang w:eastAsia="zh-CN"/>
              </w:rPr>
              <w:t>6.</w:t>
            </w:r>
            <w:r>
              <w:rPr>
                <w:b/>
                <w:bCs/>
                <w:color w:val="auto"/>
                <w:sz w:val="24"/>
              </w:rPr>
              <w:t>劳动定员和工作班制</w:t>
            </w:r>
          </w:p>
          <w:p>
            <w:pPr>
              <w:numPr>
                <w:ilvl w:val="0"/>
                <w:numId w:val="0"/>
              </w:numPr>
              <w:spacing w:line="360" w:lineRule="auto"/>
              <w:ind w:firstLine="480" w:firstLineChars="200"/>
              <w:rPr>
                <w:rFonts w:hint="eastAsia"/>
                <w:color w:val="auto"/>
                <w:sz w:val="24"/>
                <w:highlight w:val="none"/>
                <w:lang w:val="en-US" w:eastAsia="zh-CN"/>
              </w:rPr>
            </w:pPr>
            <w:r>
              <w:rPr>
                <w:color w:val="auto"/>
                <w:sz w:val="24"/>
                <w:highlight w:val="none"/>
              </w:rPr>
              <w:t>本项目劳动定员</w:t>
            </w:r>
            <w:r>
              <w:rPr>
                <w:rFonts w:hint="eastAsia"/>
                <w:color w:val="auto"/>
                <w:sz w:val="24"/>
                <w:highlight w:val="none"/>
                <w:lang w:val="en-US" w:eastAsia="zh-CN"/>
              </w:rPr>
              <w:t>5</w:t>
            </w:r>
            <w:r>
              <w:rPr>
                <w:color w:val="auto"/>
                <w:sz w:val="24"/>
                <w:highlight w:val="none"/>
              </w:rPr>
              <w:t>人，</w:t>
            </w:r>
            <w:r>
              <w:rPr>
                <w:rFonts w:hint="eastAsia"/>
                <w:color w:val="auto"/>
                <w:sz w:val="24"/>
                <w:highlight w:val="none"/>
                <w:lang w:eastAsia="zh-CN"/>
              </w:rPr>
              <w:t>每年</w:t>
            </w:r>
            <w:r>
              <w:rPr>
                <w:rFonts w:hint="eastAsia"/>
                <w:color w:val="auto"/>
                <w:sz w:val="24"/>
                <w:highlight w:val="none"/>
                <w:lang w:val="en-US" w:eastAsia="zh-CN"/>
              </w:rPr>
              <w:t>5月-6月，8月-10月生产，年实际烘干天数150d，烘干期日工作8小时。</w:t>
            </w:r>
          </w:p>
          <w:p>
            <w:pPr>
              <w:numPr>
                <w:ilvl w:val="0"/>
                <w:numId w:val="0"/>
              </w:numPr>
              <w:spacing w:line="360" w:lineRule="auto"/>
              <w:ind w:firstLine="480" w:firstLineChars="200"/>
              <w:rPr>
                <w:rFonts w:hint="eastAsia"/>
                <w:b/>
                <w:color w:val="auto"/>
                <w:sz w:val="24"/>
              </w:rPr>
            </w:pPr>
            <w:r>
              <w:rPr>
                <w:rFonts w:hint="eastAsia"/>
                <w:color w:val="auto"/>
                <w:sz w:val="24"/>
                <w:lang w:val="en-US" w:eastAsia="zh-CN"/>
              </w:rPr>
              <w:t>7.</w:t>
            </w:r>
            <w:r>
              <w:rPr>
                <w:rFonts w:hint="eastAsia"/>
                <w:b/>
                <w:color w:val="auto"/>
                <w:sz w:val="24"/>
              </w:rPr>
              <w:t>水平衡分析</w:t>
            </w:r>
          </w:p>
          <w:p>
            <w:pPr>
              <w:pStyle w:val="38"/>
              <w:ind w:firstLine="480" w:firstLineChars="200"/>
              <w:rPr>
                <w:rFonts w:ascii="Times New Roman"/>
                <w:color w:val="auto"/>
                <w:sz w:val="24"/>
                <w:szCs w:val="24"/>
                <w:highlight w:val="yellow"/>
              </w:rPr>
            </w:pPr>
            <w:r>
              <w:rPr>
                <w:rFonts w:hint="eastAsia" w:ascii="Times New Roman"/>
                <w:bCs/>
                <w:color w:val="auto"/>
                <w:sz w:val="24"/>
                <w:szCs w:val="24"/>
              </w:rPr>
              <w:t>本项目运营期用水环节</w:t>
            </w:r>
            <w:r>
              <w:rPr>
                <w:rFonts w:hint="eastAsia" w:ascii="Times New Roman"/>
                <w:bCs/>
                <w:color w:val="auto"/>
                <w:sz w:val="24"/>
                <w:szCs w:val="24"/>
                <w:lang w:eastAsia="zh-CN"/>
              </w:rPr>
              <w:t>主要为生活用水</w:t>
            </w:r>
            <w:r>
              <w:rPr>
                <w:rFonts w:hint="eastAsia" w:ascii="Times New Roman"/>
                <w:bCs/>
                <w:color w:val="auto"/>
                <w:sz w:val="24"/>
                <w:szCs w:val="24"/>
                <w:highlight w:val="none"/>
                <w:lang w:eastAsia="zh-CN"/>
              </w:rPr>
              <w:t>。</w:t>
            </w:r>
          </w:p>
          <w:p>
            <w:pPr>
              <w:pStyle w:val="20"/>
              <w:spacing w:line="360" w:lineRule="auto"/>
              <w:ind w:left="0" w:firstLine="480" w:firstLineChars="200"/>
              <w:jc w:val="left"/>
              <w:rPr>
                <w:rFonts w:hint="eastAsia"/>
                <w:color w:val="auto"/>
                <w:sz w:val="24"/>
                <w:szCs w:val="24"/>
              </w:rPr>
            </w:pPr>
            <w:r>
              <w:rPr>
                <w:rFonts w:hint="eastAsia"/>
                <w:color w:val="auto"/>
                <w:sz w:val="24"/>
                <w:szCs w:val="24"/>
                <w:lang w:val="en-US" w:eastAsia="zh-CN"/>
              </w:rPr>
              <w:t>（1）</w:t>
            </w:r>
            <w:r>
              <w:rPr>
                <w:rFonts w:hint="eastAsia"/>
                <w:color w:val="auto"/>
                <w:sz w:val="24"/>
                <w:szCs w:val="24"/>
              </w:rPr>
              <w:t>生活用水</w:t>
            </w:r>
          </w:p>
          <w:p>
            <w:pPr>
              <w:pStyle w:val="20"/>
              <w:spacing w:line="360" w:lineRule="auto"/>
              <w:ind w:left="0" w:firstLine="480" w:firstLineChars="200"/>
              <w:jc w:val="left"/>
              <w:rPr>
                <w:rFonts w:hint="eastAsia"/>
                <w:color w:val="auto"/>
                <w:sz w:val="24"/>
                <w:szCs w:val="24"/>
              </w:rPr>
            </w:pPr>
            <w:r>
              <w:rPr>
                <w:rFonts w:hint="eastAsia"/>
                <w:color w:val="auto"/>
                <w:sz w:val="24"/>
                <w:szCs w:val="24"/>
              </w:rPr>
              <w:t>本项目员工为</w:t>
            </w:r>
            <w:r>
              <w:rPr>
                <w:rFonts w:hint="eastAsia"/>
                <w:color w:val="auto"/>
                <w:sz w:val="24"/>
                <w:szCs w:val="24"/>
                <w:lang w:val="en-US" w:eastAsia="zh-CN"/>
              </w:rPr>
              <w:t>5</w:t>
            </w:r>
            <w:r>
              <w:rPr>
                <w:rFonts w:hint="eastAsia"/>
                <w:color w:val="auto"/>
                <w:sz w:val="24"/>
                <w:szCs w:val="24"/>
              </w:rPr>
              <w:t>人，根据《安徽省行业用水定额》</w:t>
            </w:r>
            <w:r>
              <w:rPr>
                <w:color w:val="auto"/>
                <w:sz w:val="24"/>
                <w:szCs w:val="20"/>
                <w:shd w:val="clear" w:color="auto" w:fill="auto"/>
              </w:rPr>
              <w:t>（</w:t>
            </w:r>
            <w:r>
              <w:rPr>
                <w:rFonts w:hint="eastAsia"/>
                <w:color w:val="auto"/>
                <w:sz w:val="24"/>
                <w:szCs w:val="20"/>
                <w:shd w:val="clear" w:color="auto" w:fill="auto"/>
                <w:lang w:eastAsia="zh-CN"/>
              </w:rPr>
              <w:t>DB34/T679-2025</w:t>
            </w:r>
            <w:r>
              <w:rPr>
                <w:color w:val="auto"/>
                <w:sz w:val="24"/>
                <w:szCs w:val="20"/>
                <w:shd w:val="clear" w:color="auto" w:fill="auto"/>
              </w:rPr>
              <w:t>）</w:t>
            </w:r>
            <w:r>
              <w:rPr>
                <w:rFonts w:hint="eastAsia"/>
                <w:color w:val="auto"/>
                <w:sz w:val="24"/>
                <w:szCs w:val="24"/>
              </w:rPr>
              <w:t>，员工用水量按照60L/人·d计，则生活用水量为</w:t>
            </w:r>
            <w:r>
              <w:rPr>
                <w:rFonts w:hint="eastAsia"/>
                <w:color w:val="auto"/>
                <w:sz w:val="24"/>
                <w:szCs w:val="24"/>
                <w:lang w:val="en-US" w:eastAsia="zh-CN"/>
              </w:rPr>
              <w:t>0.3</w:t>
            </w:r>
            <w:r>
              <w:rPr>
                <w:rFonts w:hint="eastAsia"/>
                <w:color w:val="auto"/>
                <w:sz w:val="24"/>
                <w:szCs w:val="24"/>
              </w:rPr>
              <w:t>t/d，</w:t>
            </w:r>
            <w:r>
              <w:rPr>
                <w:rFonts w:hint="eastAsia"/>
                <w:color w:val="auto"/>
                <w:sz w:val="24"/>
                <w:szCs w:val="24"/>
                <w:lang w:val="en-US" w:eastAsia="zh-CN"/>
              </w:rPr>
              <w:t>45</w:t>
            </w:r>
            <w:r>
              <w:rPr>
                <w:rFonts w:hint="eastAsia"/>
                <w:color w:val="auto"/>
                <w:sz w:val="24"/>
                <w:szCs w:val="24"/>
              </w:rPr>
              <w:t>t/a。污水产生量按用水量的80%计算，则生活污水产生量为</w:t>
            </w:r>
            <w:r>
              <w:rPr>
                <w:rFonts w:hint="eastAsia"/>
                <w:color w:val="auto"/>
                <w:sz w:val="24"/>
                <w:szCs w:val="24"/>
                <w:lang w:val="en-US" w:eastAsia="zh-CN"/>
              </w:rPr>
              <w:t>0.24</w:t>
            </w:r>
            <w:r>
              <w:rPr>
                <w:rFonts w:hint="eastAsia"/>
                <w:color w:val="auto"/>
                <w:sz w:val="24"/>
                <w:szCs w:val="24"/>
              </w:rPr>
              <w:t>t/d（</w:t>
            </w:r>
            <w:r>
              <w:rPr>
                <w:rFonts w:hint="eastAsia"/>
                <w:color w:val="auto"/>
                <w:sz w:val="24"/>
                <w:szCs w:val="24"/>
                <w:lang w:val="en-US" w:eastAsia="zh-CN"/>
              </w:rPr>
              <w:t>36</w:t>
            </w:r>
            <w:r>
              <w:rPr>
                <w:rFonts w:hint="eastAsia"/>
                <w:color w:val="auto"/>
                <w:sz w:val="24"/>
                <w:szCs w:val="24"/>
              </w:rPr>
              <w:t>t/a）。</w:t>
            </w:r>
          </w:p>
          <w:p>
            <w:pPr>
              <w:spacing w:line="240" w:lineRule="auto"/>
              <w:ind w:firstLine="2741" w:firstLineChars="1300"/>
              <w:rPr>
                <w:rFonts w:ascii="Times New Roman" w:hAnsi="Times New Roman"/>
                <w:b/>
                <w:bCs w:val="0"/>
                <w:color w:val="auto"/>
                <w:sz w:val="21"/>
                <w:szCs w:val="21"/>
              </w:rPr>
            </w:pPr>
            <w:r>
              <w:rPr>
                <w:rFonts w:ascii="Times New Roman" w:hAnsi="Times New Roman"/>
                <w:b/>
                <w:bCs w:val="0"/>
                <w:color w:val="auto"/>
                <w:sz w:val="21"/>
                <w:szCs w:val="21"/>
              </w:rPr>
              <w:t>表2-</w:t>
            </w:r>
            <w:r>
              <w:rPr>
                <w:rFonts w:hint="eastAsia" w:ascii="Times New Roman" w:hAnsi="Times New Roman"/>
                <w:b/>
                <w:bCs w:val="0"/>
                <w:color w:val="auto"/>
                <w:sz w:val="21"/>
                <w:szCs w:val="21"/>
                <w:lang w:val="en-US" w:eastAsia="zh-CN"/>
              </w:rPr>
              <w:t>8</w:t>
            </w:r>
            <w:r>
              <w:rPr>
                <w:rFonts w:hint="eastAsia" w:ascii="Times New Roman" w:hAnsi="Times New Roman"/>
                <w:b/>
                <w:bCs w:val="0"/>
                <w:color w:val="auto"/>
                <w:sz w:val="21"/>
                <w:szCs w:val="21"/>
              </w:rPr>
              <w:t xml:space="preserve"> </w:t>
            </w:r>
            <w:r>
              <w:rPr>
                <w:rFonts w:ascii="Times New Roman" w:hAnsi="Times New Roman"/>
                <w:b/>
                <w:bCs w:val="0"/>
                <w:color w:val="auto"/>
                <w:sz w:val="21"/>
                <w:szCs w:val="21"/>
              </w:rPr>
              <w:t>本项目废水产生排放一览表</w:t>
            </w:r>
          </w:p>
          <w:tbl>
            <w:tblPr>
              <w:tblStyle w:val="27"/>
              <w:tblW w:w="838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1"/>
              <w:gridCol w:w="1020"/>
              <w:gridCol w:w="981"/>
              <w:gridCol w:w="981"/>
              <w:gridCol w:w="844"/>
              <w:gridCol w:w="779"/>
              <w:gridCol w:w="855"/>
              <w:gridCol w:w="1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81"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用水</w:t>
                  </w:r>
                </w:p>
              </w:tc>
              <w:tc>
                <w:tcPr>
                  <w:tcW w:w="10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53"/>
                      <w:color w:val="auto"/>
                      <w:lang w:val="en-US" w:eastAsia="zh-CN" w:bidi="ar"/>
                    </w:rPr>
                    <w:t>用水量</w:t>
                  </w:r>
                  <w:r>
                    <w:rPr>
                      <w:rStyle w:val="54"/>
                      <w:rFonts w:eastAsia="宋体"/>
                      <w:color w:val="auto"/>
                      <w:lang w:val="en-US" w:eastAsia="zh-CN" w:bidi="ar"/>
                    </w:rPr>
                    <w:t>t/a</w:t>
                  </w:r>
                </w:p>
              </w:tc>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53"/>
                      <w:color w:val="auto"/>
                      <w:lang w:val="en-US" w:eastAsia="zh-CN" w:bidi="ar"/>
                    </w:rPr>
                    <w:t>用水量</w:t>
                  </w:r>
                  <w:r>
                    <w:rPr>
                      <w:rStyle w:val="54"/>
                      <w:rFonts w:eastAsia="宋体"/>
                      <w:color w:val="auto"/>
                      <w:lang w:val="en-US" w:eastAsia="zh-CN" w:bidi="ar"/>
                    </w:rPr>
                    <w:t>t/d</w:t>
                  </w:r>
                </w:p>
              </w:tc>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53"/>
                      <w:color w:val="auto"/>
                      <w:lang w:val="en-US" w:eastAsia="zh-CN" w:bidi="ar"/>
                    </w:rPr>
                    <w:t>消耗量</w:t>
                  </w:r>
                  <w:r>
                    <w:rPr>
                      <w:rStyle w:val="54"/>
                      <w:rFonts w:eastAsia="宋体"/>
                      <w:color w:val="auto"/>
                      <w:lang w:val="en-US" w:eastAsia="zh-CN" w:bidi="ar"/>
                    </w:rPr>
                    <w:t>t/a</w:t>
                  </w:r>
                </w:p>
              </w:tc>
              <w:tc>
                <w:tcPr>
                  <w:tcW w:w="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53"/>
                      <w:color w:val="auto"/>
                      <w:lang w:val="en-US" w:eastAsia="zh-CN" w:bidi="ar"/>
                    </w:rPr>
                    <w:t>消耗量</w:t>
                  </w:r>
                  <w:r>
                    <w:rPr>
                      <w:rStyle w:val="54"/>
                      <w:rFonts w:eastAsia="宋体"/>
                      <w:color w:val="auto"/>
                      <w:lang w:val="en-US" w:eastAsia="zh-CN" w:bidi="ar"/>
                    </w:rPr>
                    <w:t>t/d</w:t>
                  </w:r>
                </w:p>
              </w:tc>
              <w:tc>
                <w:tcPr>
                  <w:tcW w:w="7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53"/>
                      <w:color w:val="auto"/>
                      <w:lang w:val="en-US" w:eastAsia="zh-CN" w:bidi="ar"/>
                    </w:rPr>
                    <w:t>排放量</w:t>
                  </w:r>
                  <w:r>
                    <w:rPr>
                      <w:rStyle w:val="54"/>
                      <w:rFonts w:eastAsia="宋体"/>
                      <w:color w:val="auto"/>
                      <w:lang w:val="en-US" w:eastAsia="zh-CN" w:bidi="ar"/>
                    </w:rPr>
                    <w:t>t/a</w:t>
                  </w:r>
                </w:p>
              </w:tc>
              <w:tc>
                <w:tcPr>
                  <w:tcW w:w="85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53"/>
                      <w:color w:val="auto"/>
                      <w:lang w:val="en-US" w:eastAsia="zh-CN" w:bidi="ar"/>
                    </w:rPr>
                    <w:t>排放量</w:t>
                  </w:r>
                  <w:r>
                    <w:rPr>
                      <w:rStyle w:val="54"/>
                      <w:rFonts w:eastAsia="宋体"/>
                      <w:color w:val="auto"/>
                      <w:lang w:val="en-US" w:eastAsia="zh-CN" w:bidi="ar"/>
                    </w:rPr>
                    <w:t>t/d</w:t>
                  </w:r>
                </w:p>
              </w:tc>
              <w:tc>
                <w:tcPr>
                  <w:tcW w:w="19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废水去向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w:t>
                  </w:r>
                </w:p>
              </w:tc>
              <w:tc>
                <w:tcPr>
                  <w:tcW w:w="10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84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85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9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生活</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45</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0.3</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0.06</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36</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0.24</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default" w:ascii="Times New Roman" w:hAnsi="Times New Roman" w:cs="Times New Roman"/>
                      <w:b w:val="0"/>
                      <w:bCs/>
                      <w:color w:val="auto"/>
                      <w:sz w:val="21"/>
                      <w:szCs w:val="21"/>
                      <w:lang w:eastAsia="zh-CN"/>
                    </w:rPr>
                    <w:t>经化粪池预处理后</w:t>
                  </w:r>
                  <w:r>
                    <w:rPr>
                      <w:rFonts w:hint="eastAsia" w:ascii="Times New Roman" w:hAnsi="Times New Roman" w:cs="Times New Roman"/>
                      <w:b w:val="0"/>
                      <w:bCs/>
                      <w:color w:val="auto"/>
                      <w:sz w:val="21"/>
                      <w:szCs w:val="21"/>
                      <w:lang w:eastAsia="zh-CN"/>
                    </w:rPr>
                    <w:t>再经厂区一体化污水处理设施处理达标后回用于厂区抑尘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45</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0.3</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9</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0.06</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36</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0.24</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r>
          </w:tbl>
          <w:p>
            <w:pPr>
              <w:spacing w:line="240" w:lineRule="auto"/>
              <w:ind w:firstLine="2741" w:firstLineChars="1300"/>
              <w:rPr>
                <w:rFonts w:ascii="Times New Roman" w:hAnsi="Times New Roman"/>
                <w:b/>
                <w:bCs w:val="0"/>
                <w:color w:val="auto"/>
                <w:sz w:val="21"/>
                <w:szCs w:val="21"/>
              </w:rPr>
            </w:pPr>
          </w:p>
          <w:p>
            <w:pPr>
              <w:spacing w:line="240" w:lineRule="auto"/>
              <w:ind w:firstLine="0" w:firstLineChars="0"/>
              <w:jc w:val="center"/>
            </w:pPr>
            <w:r>
              <w:drawing>
                <wp:inline distT="0" distB="0" distL="114300" distR="114300">
                  <wp:extent cx="5326380" cy="655320"/>
                  <wp:effectExtent l="0" t="0" r="762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326380" cy="655320"/>
                          </a:xfrm>
                          <a:prstGeom prst="rect">
                            <a:avLst/>
                          </a:prstGeom>
                          <a:noFill/>
                          <a:ln>
                            <a:noFill/>
                          </a:ln>
                        </pic:spPr>
                      </pic:pic>
                    </a:graphicData>
                  </a:graphic>
                </wp:inline>
              </w:drawing>
            </w:r>
          </w:p>
          <w:p>
            <w:pPr>
              <w:spacing w:line="240" w:lineRule="auto"/>
              <w:ind w:firstLine="0" w:firstLineChars="0"/>
              <w:jc w:val="center"/>
              <w:rPr>
                <w:rFonts w:hint="eastAsia"/>
                <w:color w:val="auto"/>
              </w:rPr>
            </w:pPr>
            <w:r>
              <w:rPr>
                <w:rFonts w:ascii="Times New Roman"/>
                <w:b/>
                <w:color w:val="auto"/>
                <w:sz w:val="21"/>
              </w:rPr>
              <w:t>图2-1 项目水平衡图</w:t>
            </w:r>
            <w:r>
              <w:rPr>
                <w:rFonts w:hint="eastAsia" w:ascii="Times New Roman"/>
                <w:b/>
                <w:color w:val="auto"/>
                <w:sz w:val="21"/>
              </w:rPr>
              <w:t>（t/d）</w:t>
            </w:r>
          </w:p>
          <w:p>
            <w:pPr>
              <w:numPr>
                <w:ilvl w:val="0"/>
                <w:numId w:val="0"/>
              </w:numPr>
              <w:spacing w:line="360" w:lineRule="auto"/>
              <w:ind w:firstLine="482" w:firstLineChars="200"/>
              <w:rPr>
                <w:rFonts w:hint="eastAsia"/>
                <w:b/>
                <w:bCs/>
                <w:color w:val="auto"/>
                <w:sz w:val="24"/>
              </w:rPr>
            </w:pPr>
            <w:r>
              <w:rPr>
                <w:rFonts w:hint="eastAsia"/>
                <w:b/>
                <w:bCs/>
                <w:color w:val="auto"/>
                <w:sz w:val="24"/>
                <w:lang w:val="en-US" w:eastAsia="zh-CN"/>
              </w:rPr>
              <w:t>7.</w:t>
            </w:r>
            <w:r>
              <w:rPr>
                <w:rFonts w:hint="eastAsia"/>
                <w:b/>
                <w:bCs/>
                <w:color w:val="auto"/>
                <w:sz w:val="24"/>
              </w:rPr>
              <w:t>总平面布置</w:t>
            </w:r>
          </w:p>
          <w:p>
            <w:pPr>
              <w:spacing w:line="360" w:lineRule="auto"/>
              <w:ind w:firstLine="480" w:firstLineChars="200"/>
              <w:rPr>
                <w:rFonts w:hint="eastAsia"/>
                <w:color w:val="auto"/>
                <w:sz w:val="24"/>
              </w:rPr>
            </w:pPr>
            <w:r>
              <w:rPr>
                <w:rFonts w:hint="eastAsia"/>
                <w:color w:val="auto"/>
                <w:sz w:val="24"/>
                <w:lang w:eastAsia="zh-CN"/>
              </w:rPr>
              <w:t>本项目位于</w:t>
            </w:r>
            <w:r>
              <w:rPr>
                <w:rFonts w:hint="eastAsia"/>
                <w:color w:val="auto"/>
                <w:sz w:val="24"/>
                <w:szCs w:val="24"/>
                <w:lang w:eastAsia="zh-CN"/>
              </w:rPr>
              <w:t>安徽省淮南市寿县众兴镇新店村金圩组</w:t>
            </w:r>
            <w:r>
              <w:rPr>
                <w:rFonts w:hint="eastAsia"/>
                <w:color w:val="auto"/>
                <w:sz w:val="24"/>
                <w:lang w:eastAsia="zh-CN"/>
              </w:rPr>
              <w:t>，车间内设置原料区、生产区、成品区。</w:t>
            </w:r>
          </w:p>
          <w:p>
            <w:pPr>
              <w:spacing w:line="360" w:lineRule="auto"/>
              <w:ind w:firstLine="480" w:firstLineChars="200"/>
              <w:rPr>
                <w:rFonts w:hint="eastAsia"/>
                <w:color w:val="auto"/>
                <w:sz w:val="24"/>
              </w:rPr>
            </w:pPr>
            <w:r>
              <w:rPr>
                <w:rFonts w:hint="eastAsia"/>
                <w:color w:val="auto"/>
                <w:sz w:val="24"/>
              </w:rPr>
              <w:t>项目厂区功能分区明确，辅助配套设施较全，厂区生产运输工艺简捷、顺畅、</w:t>
            </w:r>
          </w:p>
          <w:p>
            <w:pPr>
              <w:spacing w:line="360" w:lineRule="auto"/>
              <w:ind w:firstLine="0" w:firstLineChars="0"/>
              <w:rPr>
                <w:rFonts w:hint="eastAsia"/>
                <w:color w:val="auto"/>
                <w:sz w:val="24"/>
              </w:rPr>
            </w:pPr>
            <w:r>
              <w:rPr>
                <w:rFonts w:hint="eastAsia"/>
                <w:color w:val="auto"/>
                <w:sz w:val="24"/>
              </w:rPr>
              <w:t>连续、功能分区明确及管理方便，</w:t>
            </w:r>
            <w:r>
              <w:rPr>
                <w:rFonts w:hint="eastAsia"/>
                <w:color w:val="auto"/>
                <w:sz w:val="24"/>
                <w:lang w:eastAsia="zh-CN"/>
              </w:rPr>
              <w:t>厂</w:t>
            </w:r>
            <w:r>
              <w:rPr>
                <w:rFonts w:hint="eastAsia"/>
                <w:color w:val="auto"/>
                <w:sz w:val="24"/>
              </w:rPr>
              <w:t>区生产在车间内进行，废</w:t>
            </w:r>
            <w:r>
              <w:rPr>
                <w:rFonts w:hint="eastAsia"/>
                <w:color w:val="auto"/>
                <w:sz w:val="24"/>
                <w:highlight w:val="none"/>
              </w:rPr>
              <w:t>气</w:t>
            </w:r>
            <w:r>
              <w:rPr>
                <w:rFonts w:hint="eastAsia"/>
                <w:color w:val="auto"/>
                <w:sz w:val="24"/>
                <w:highlight w:val="none"/>
                <w:lang w:eastAsia="zh-CN"/>
              </w:rPr>
              <w:t>达标排放，</w:t>
            </w:r>
            <w:r>
              <w:rPr>
                <w:rFonts w:hint="eastAsia"/>
                <w:color w:val="auto"/>
                <w:sz w:val="24"/>
              </w:rPr>
              <w:t>对周围</w:t>
            </w:r>
            <w:r>
              <w:rPr>
                <w:rFonts w:hint="eastAsia"/>
                <w:color w:val="auto"/>
                <w:sz w:val="24"/>
                <w:lang w:eastAsia="zh-CN"/>
              </w:rPr>
              <w:t>影响</w:t>
            </w:r>
            <w:r>
              <w:rPr>
                <w:rFonts w:hint="eastAsia"/>
                <w:color w:val="auto"/>
                <w:sz w:val="24"/>
              </w:rPr>
              <w:t>较小，高噪声设备远离厂界</w:t>
            </w:r>
            <w:r>
              <w:rPr>
                <w:rFonts w:hint="eastAsia"/>
                <w:color w:val="auto"/>
                <w:sz w:val="24"/>
                <w:lang w:eastAsia="zh-CN"/>
              </w:rPr>
              <w:t>，噪声达标排放</w:t>
            </w:r>
            <w:r>
              <w:rPr>
                <w:rFonts w:hint="eastAsia"/>
                <w:color w:val="auto"/>
                <w:sz w:val="24"/>
              </w:rPr>
              <w:t>，方便生产，路线短捷。</w:t>
            </w:r>
          </w:p>
          <w:p>
            <w:pPr>
              <w:spacing w:line="360" w:lineRule="auto"/>
              <w:ind w:firstLine="480" w:firstLineChars="200"/>
              <w:rPr>
                <w:rFonts w:hint="eastAsia"/>
                <w:color w:val="auto"/>
                <w:sz w:val="24"/>
                <w:highlight w:val="none"/>
              </w:rPr>
            </w:pPr>
            <w:r>
              <w:rPr>
                <w:rFonts w:hint="eastAsia"/>
                <w:color w:val="auto"/>
                <w:sz w:val="24"/>
                <w:highlight w:val="none"/>
              </w:rPr>
              <w:t>总平面布置符合防火、防爆基本要求，满足设计规范及标准的规定。因此，项目平面布置合理。项目总平面布置详见附图2。</w:t>
            </w:r>
          </w:p>
          <w:p>
            <w:pPr>
              <w:numPr>
                <w:ilvl w:val="0"/>
                <w:numId w:val="0"/>
              </w:numPr>
              <w:spacing w:line="360" w:lineRule="auto"/>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15" w:hRule="atLeast"/>
          <w:jc w:val="center"/>
        </w:trPr>
        <w:tc>
          <w:tcPr>
            <w:tcW w:w="450"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艺流程和产排污环节</w:t>
            </w:r>
          </w:p>
        </w:tc>
        <w:tc>
          <w:tcPr>
            <w:tcW w:w="8610" w:type="dxa"/>
            <w:vAlign w:val="top"/>
          </w:tcPr>
          <w:p>
            <w:pPr>
              <w:pStyle w:val="38"/>
              <w:numPr>
                <w:ilvl w:val="0"/>
                <w:numId w:val="3"/>
              </w:numPr>
              <w:ind w:firstLine="560" w:firstLineChars="200"/>
              <w:rPr>
                <w:rFonts w:hint="eastAsia" w:ascii="Times New Roman"/>
                <w:color w:val="auto"/>
              </w:rPr>
            </w:pPr>
            <w:r>
              <w:rPr>
                <w:rFonts w:hint="eastAsia" w:ascii="Times New Roman"/>
                <w:color w:val="auto"/>
              </w:rPr>
              <w:t>运营期生产工艺流程</w:t>
            </w:r>
          </w:p>
          <w:p>
            <w:pPr>
              <w:pStyle w:val="6"/>
              <w:spacing w:before="0" w:after="0" w:line="360" w:lineRule="auto"/>
              <w:ind w:right="0"/>
              <w:jc w:val="center"/>
            </w:pPr>
            <w:r>
              <w:drawing>
                <wp:inline distT="0" distB="0" distL="114300" distR="114300">
                  <wp:extent cx="4467225" cy="43053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4467225" cy="4305300"/>
                          </a:xfrm>
                          <a:prstGeom prst="rect">
                            <a:avLst/>
                          </a:prstGeom>
                          <a:noFill/>
                          <a:ln>
                            <a:noFill/>
                          </a:ln>
                        </pic:spPr>
                      </pic:pic>
                    </a:graphicData>
                  </a:graphic>
                </wp:inline>
              </w:drawing>
            </w:r>
          </w:p>
          <w:p>
            <w:pPr>
              <w:pStyle w:val="6"/>
              <w:spacing w:before="0" w:after="0" w:line="360" w:lineRule="auto"/>
              <w:ind w:right="0"/>
              <w:jc w:val="center"/>
              <w:rPr>
                <w:b/>
                <w:bCs/>
                <w:color w:val="auto"/>
                <w:sz w:val="21"/>
                <w:szCs w:val="21"/>
                <w:highlight w:val="none"/>
              </w:rPr>
            </w:pPr>
            <w:r>
              <w:rPr>
                <w:b/>
                <w:bCs/>
                <w:color w:val="auto"/>
                <w:sz w:val="21"/>
                <w:szCs w:val="21"/>
                <w:highlight w:val="none"/>
              </w:rPr>
              <w:t>图2-</w:t>
            </w:r>
            <w:r>
              <w:rPr>
                <w:rFonts w:hint="eastAsia"/>
                <w:b/>
                <w:bCs/>
                <w:color w:val="auto"/>
                <w:sz w:val="21"/>
                <w:szCs w:val="21"/>
                <w:highlight w:val="none"/>
                <w:lang w:val="en-US" w:eastAsia="zh-CN"/>
              </w:rPr>
              <w:t>2</w:t>
            </w:r>
            <w:r>
              <w:rPr>
                <w:b/>
                <w:bCs/>
                <w:color w:val="auto"/>
                <w:sz w:val="21"/>
                <w:szCs w:val="21"/>
                <w:highlight w:val="none"/>
              </w:rPr>
              <w:t xml:space="preserve"> </w:t>
            </w:r>
            <w:r>
              <w:rPr>
                <w:rFonts w:hint="eastAsia"/>
                <w:b/>
                <w:bCs/>
                <w:color w:val="auto"/>
                <w:sz w:val="21"/>
                <w:szCs w:val="21"/>
                <w:highlight w:val="none"/>
                <w:lang w:eastAsia="zh-CN"/>
              </w:rPr>
              <w:t>项目</w:t>
            </w:r>
            <w:r>
              <w:rPr>
                <w:rFonts w:hint="eastAsia"/>
                <w:b/>
                <w:bCs/>
                <w:color w:val="auto"/>
                <w:sz w:val="21"/>
                <w:szCs w:val="21"/>
                <w:highlight w:val="none"/>
              </w:rPr>
              <w:t>生产</w:t>
            </w:r>
            <w:r>
              <w:rPr>
                <w:b/>
                <w:bCs/>
                <w:color w:val="auto"/>
                <w:sz w:val="21"/>
                <w:szCs w:val="21"/>
                <w:highlight w:val="none"/>
              </w:rPr>
              <w:t>工艺流程以及产污节点图</w:t>
            </w:r>
          </w:p>
          <w:p>
            <w:pPr>
              <w:pStyle w:val="30"/>
              <w:numPr>
                <w:ilvl w:val="0"/>
                <w:numId w:val="0"/>
              </w:numPr>
              <w:spacing w:line="360" w:lineRule="auto"/>
              <w:ind w:leftChars="200"/>
              <w:jc w:val="both"/>
              <w:rPr>
                <w:rFonts w:ascii="宋体" w:hAnsi="宋体" w:cs="宋体"/>
                <w:b w:val="0"/>
                <w:color w:val="auto"/>
                <w:highlight w:val="none"/>
              </w:rPr>
            </w:pPr>
            <w:r>
              <w:rPr>
                <w:rFonts w:hint="eastAsia" w:ascii="宋体" w:hAnsi="宋体" w:cs="宋体"/>
                <w:color w:val="auto"/>
                <w:highlight w:val="none"/>
              </w:rPr>
              <w:t>主要工艺流程说明</w:t>
            </w:r>
            <w:r>
              <w:rPr>
                <w:rFonts w:hint="eastAsia" w:ascii="宋体" w:hAnsi="宋体" w:cs="宋体"/>
                <w:b w:val="0"/>
                <w:color w:val="auto"/>
                <w:highlight w:val="none"/>
              </w:rPr>
              <w:t>：</w:t>
            </w:r>
          </w:p>
          <w:p>
            <w:pPr>
              <w:keepNext w:val="0"/>
              <w:keepLines w:val="0"/>
              <w:widowControl/>
              <w:suppressLineNumbers w:val="0"/>
              <w:spacing w:line="360" w:lineRule="auto"/>
              <w:ind w:firstLine="480" w:firstLineChars="200"/>
              <w:jc w:val="left"/>
              <w:rPr>
                <w:rFonts w:hint="eastAsia" w:ascii="宋体" w:hAnsi="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卸粮：</w:t>
            </w:r>
            <w:r>
              <w:rPr>
                <w:rFonts w:hint="eastAsia" w:ascii="宋体" w:hAnsi="宋体" w:eastAsia="宋体" w:cs="宋体"/>
                <w:color w:val="000000"/>
                <w:kern w:val="0"/>
                <w:sz w:val="24"/>
                <w:szCs w:val="24"/>
                <w:highlight w:val="none"/>
                <w:lang w:val="en-US" w:eastAsia="zh-CN" w:bidi="ar"/>
              </w:rPr>
              <w:t>从农民手中接收的潮湿原粮，原粮暂时堆放于厂区</w:t>
            </w:r>
            <w:r>
              <w:rPr>
                <w:rFonts w:hint="eastAsia" w:ascii="宋体" w:hAnsi="宋体" w:cs="宋体"/>
                <w:color w:val="000000"/>
                <w:kern w:val="0"/>
                <w:sz w:val="24"/>
                <w:szCs w:val="24"/>
                <w:highlight w:val="none"/>
                <w:lang w:val="en-US" w:eastAsia="zh-CN" w:bidi="ar"/>
              </w:rPr>
              <w:t>。该过程产生卸粮粉尘。</w:t>
            </w:r>
          </w:p>
          <w:p>
            <w:pPr>
              <w:keepNext w:val="0"/>
              <w:keepLines w:val="0"/>
              <w:widowControl/>
              <w:suppressLineNumbers w:val="0"/>
              <w:spacing w:line="360" w:lineRule="auto"/>
              <w:ind w:firstLine="480" w:firstLineChars="200"/>
              <w:jc w:val="left"/>
              <w:rPr>
                <w:sz w:val="24"/>
                <w:szCs w:val="24"/>
                <w:highlight w:val="none"/>
              </w:rPr>
            </w:pPr>
            <w:r>
              <w:rPr>
                <w:rFonts w:hint="eastAsia" w:ascii="宋体" w:hAnsi="宋体" w:cs="宋体"/>
                <w:color w:val="000000"/>
                <w:kern w:val="0"/>
                <w:sz w:val="24"/>
                <w:szCs w:val="24"/>
                <w:highlight w:val="none"/>
                <w:lang w:val="en-US" w:eastAsia="zh-CN" w:bidi="ar"/>
              </w:rPr>
              <w:t>提升、筛分：采用提升机将原粮送到</w:t>
            </w:r>
            <w:r>
              <w:rPr>
                <w:rFonts w:hint="eastAsia" w:ascii="宋体" w:hAnsi="宋体" w:eastAsia="宋体" w:cs="宋体"/>
                <w:color w:val="000000"/>
                <w:kern w:val="0"/>
                <w:sz w:val="24"/>
                <w:szCs w:val="24"/>
                <w:highlight w:val="none"/>
                <w:lang w:val="en-US" w:eastAsia="zh-CN" w:bidi="ar"/>
              </w:rPr>
              <w:t>清选筛，清理原粮中的秸秆、麻绳、砖石、泥块等大杂。</w:t>
            </w:r>
            <w:r>
              <w:rPr>
                <w:rFonts w:hint="eastAsia" w:ascii="宋体" w:hAnsi="宋体" w:cs="宋体"/>
                <w:color w:val="000000"/>
                <w:kern w:val="0"/>
                <w:sz w:val="24"/>
                <w:szCs w:val="24"/>
                <w:highlight w:val="none"/>
                <w:lang w:val="en-US" w:eastAsia="zh-CN" w:bidi="ar"/>
              </w:rPr>
              <w:t>该过程产生转运和运输粉尘、筛分粉尘。</w:t>
            </w:r>
          </w:p>
          <w:p>
            <w:pPr>
              <w:keepNext w:val="0"/>
              <w:keepLines w:val="0"/>
              <w:widowControl/>
              <w:suppressLineNumbers w:val="0"/>
              <w:spacing w:line="360" w:lineRule="auto"/>
              <w:ind w:firstLine="480" w:firstLineChars="200"/>
              <w:jc w:val="left"/>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提升、</w:t>
            </w:r>
            <w:r>
              <w:rPr>
                <w:rFonts w:hint="eastAsia" w:ascii="宋体" w:hAnsi="宋体" w:eastAsia="宋体" w:cs="宋体"/>
                <w:color w:val="000000"/>
                <w:kern w:val="0"/>
                <w:sz w:val="24"/>
                <w:szCs w:val="24"/>
                <w:lang w:val="en-US" w:eastAsia="zh-CN" w:bidi="ar"/>
              </w:rPr>
              <w:t>原粮烘干</w:t>
            </w:r>
            <w:r>
              <w:rPr>
                <w:rFonts w:hint="eastAsia" w:ascii="宋体" w:hAnsi="宋体" w:cs="宋体"/>
                <w:color w:val="000000"/>
                <w:kern w:val="0"/>
                <w:sz w:val="24"/>
                <w:szCs w:val="24"/>
                <w:lang w:val="en-US" w:eastAsia="zh-CN" w:bidi="ar"/>
              </w:rPr>
              <w:t>：采用提升机将原粮送至烘干机烘干。</w:t>
            </w:r>
            <w:r>
              <w:rPr>
                <w:rFonts w:hint="eastAsia" w:ascii="宋体" w:hAnsi="宋体" w:eastAsia="宋体" w:cs="宋体"/>
                <w:color w:val="000000"/>
                <w:kern w:val="0"/>
                <w:sz w:val="24"/>
                <w:szCs w:val="24"/>
                <w:lang w:val="en-US" w:eastAsia="zh-CN" w:bidi="ar"/>
              </w:rPr>
              <w:t xml:space="preserve">利用热风对流的形式进行烘干。总共分为四个阶段进行。在预热段，原粮受热升温，其含水率变化小，干燥速度加快；烘干段，在混流热风的作用下，原粮内部水分以气态或液态形式沿毛细管转移到原粮表面，再由表面蒸发到干燥介质中去；缓苏段，主要起到缓解原粮直接接触干燥介质、间歇干燥的作用，热闷一段时间，平衡原粮内外温湿，消除水分梯度，使粮粒内部水分逐渐外移，以免引起爆腰或裂纹；冷却段，将原粮温度降到安全温度不高于环境温度 </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 xml:space="preserve">℃，这时的粮食水分基本不变，降水幅度约为 </w:t>
            </w:r>
            <w:r>
              <w:rPr>
                <w:rFonts w:hint="default" w:ascii="Times New Roman" w:hAnsi="Times New Roman" w:eastAsia="宋体" w:cs="Times New Roman"/>
                <w:color w:val="000000"/>
                <w:kern w:val="0"/>
                <w:sz w:val="24"/>
                <w:szCs w:val="24"/>
                <w:lang w:val="en-US" w:eastAsia="zh-CN" w:bidi="ar"/>
              </w:rPr>
              <w:t>0.5%</w:t>
            </w:r>
            <w:r>
              <w:rPr>
                <w:rFonts w:hint="eastAsia" w:ascii="宋体" w:hAnsi="宋体" w:eastAsia="宋体" w:cs="宋体"/>
                <w:color w:val="000000"/>
                <w:kern w:val="0"/>
                <w:sz w:val="24"/>
                <w:szCs w:val="24"/>
                <w:lang w:val="en-US" w:eastAsia="zh-CN" w:bidi="ar"/>
              </w:rPr>
              <w:t>。烘干后的粮食通过输送带送到成品仓库暂存。</w:t>
            </w:r>
            <w:r>
              <w:rPr>
                <w:rFonts w:hint="eastAsia" w:ascii="宋体" w:hAnsi="宋体" w:cs="宋体"/>
                <w:color w:val="000000"/>
                <w:kern w:val="0"/>
                <w:sz w:val="24"/>
                <w:szCs w:val="24"/>
                <w:lang w:val="en-US" w:eastAsia="zh-CN" w:bidi="ar"/>
              </w:rPr>
              <w:t>烘干过程产生烘干粉尘。</w:t>
            </w:r>
          </w:p>
          <w:p>
            <w:pPr>
              <w:spacing w:line="360" w:lineRule="auto"/>
              <w:ind w:firstLine="480" w:firstLineChars="200"/>
              <w:rPr>
                <w:rFonts w:hint="default" w:ascii="Times New Roman" w:hAnsi="Times New Roman" w:eastAsia="宋体" w:cs="Times New Roman"/>
                <w:sz w:val="24"/>
                <w:lang w:val="en-US" w:eastAsia="zh-CN"/>
              </w:rPr>
            </w:pPr>
            <w:r>
              <w:rPr>
                <w:rFonts w:ascii="Times New Roman" w:hAnsi="Times New Roman" w:eastAsia="宋体" w:cs="Times New Roman"/>
                <w:sz w:val="24"/>
              </w:rPr>
              <w:t>项目烘干</w:t>
            </w:r>
            <w:r>
              <w:rPr>
                <w:rFonts w:hint="eastAsia" w:ascii="Times New Roman" w:hAnsi="Times New Roman" w:eastAsia="宋体" w:cs="Times New Roman"/>
                <w:sz w:val="24"/>
                <w:lang w:eastAsia="zh-CN"/>
              </w:rPr>
              <w:t>机</w:t>
            </w:r>
            <w:r>
              <w:rPr>
                <w:rFonts w:ascii="Times New Roman" w:hAnsi="Times New Roman" w:eastAsia="宋体" w:cs="Times New Roman"/>
                <w:sz w:val="24"/>
              </w:rPr>
              <w:t>供热采用生物质热风炉提供，烘干时，烘干仓内的温度不高于55℃，根据入粮量与粮食湿度不同烘干时长为1.2-2h不等。本项目热风炉燃料为生物质</w:t>
            </w:r>
            <w:r>
              <w:rPr>
                <w:rFonts w:hint="eastAsia" w:ascii="Times New Roman" w:hAnsi="Times New Roman" w:eastAsia="宋体" w:cs="Times New Roman"/>
                <w:sz w:val="24"/>
                <w:lang w:eastAsia="zh-CN"/>
              </w:rPr>
              <w:t>成型燃料</w:t>
            </w:r>
            <w:r>
              <w:rPr>
                <w:rFonts w:ascii="Times New Roman" w:hAnsi="Times New Roman" w:eastAsia="宋体" w:cs="Times New Roman"/>
                <w:sz w:val="24"/>
              </w:rPr>
              <w:t>，</w:t>
            </w:r>
            <w:r>
              <w:rPr>
                <w:rFonts w:hint="eastAsia" w:ascii="Times New Roman" w:hAnsi="Times New Roman" w:eastAsia="宋体" w:cs="Times New Roman"/>
                <w:sz w:val="24"/>
                <w:lang w:eastAsia="zh-CN"/>
              </w:rPr>
              <w:t>每台烘干机配备</w:t>
            </w:r>
            <w:r>
              <w:rPr>
                <w:rFonts w:hint="eastAsia" w:ascii="Times New Roman" w:hAnsi="Times New Roman" w:eastAsia="宋体" w:cs="Times New Roman"/>
                <w:sz w:val="24"/>
                <w:lang w:val="en-US" w:eastAsia="zh-CN"/>
              </w:rPr>
              <w:t>1台热风炉。</w:t>
            </w:r>
          </w:p>
          <w:p>
            <w:pPr>
              <w:widowControl w:val="0"/>
              <w:numPr>
                <w:ilvl w:val="0"/>
                <w:numId w:val="0"/>
              </w:numPr>
              <w:spacing w:line="240" w:lineRule="auto"/>
              <w:ind w:firstLine="0" w:firstLineChars="0"/>
              <w:jc w:val="center"/>
              <w:rPr>
                <w:b/>
                <w:color w:val="auto"/>
                <w:szCs w:val="21"/>
                <w:highlight w:val="none"/>
              </w:rPr>
            </w:pPr>
            <w:r>
              <w:rPr>
                <w:b/>
                <w:color w:val="auto"/>
                <w:szCs w:val="21"/>
                <w:highlight w:val="none"/>
              </w:rPr>
              <w:t>表2</w:t>
            </w:r>
            <w:r>
              <w:rPr>
                <w:rFonts w:hint="eastAsia"/>
                <w:b/>
                <w:color w:val="auto"/>
                <w:szCs w:val="21"/>
                <w:highlight w:val="none"/>
              </w:rPr>
              <w:t>-</w:t>
            </w:r>
            <w:r>
              <w:rPr>
                <w:rFonts w:hint="eastAsia"/>
                <w:b/>
                <w:color w:val="auto"/>
                <w:szCs w:val="21"/>
                <w:highlight w:val="none"/>
                <w:lang w:val="en-US" w:eastAsia="zh-CN"/>
              </w:rPr>
              <w:t>9</w:t>
            </w:r>
            <w:r>
              <w:rPr>
                <w:b/>
                <w:color w:val="auto"/>
                <w:szCs w:val="21"/>
                <w:highlight w:val="none"/>
              </w:rPr>
              <w:t xml:space="preserve"> 污染物产生环节及处置措施一览表</w:t>
            </w:r>
          </w:p>
          <w:tbl>
            <w:tblPr>
              <w:tblStyle w:val="27"/>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50"/>
              <w:gridCol w:w="1590"/>
              <w:gridCol w:w="4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Align w:val="center"/>
                </w:tcPr>
                <w:p>
                  <w:pPr>
                    <w:pStyle w:val="30"/>
                    <w:spacing w:line="240" w:lineRule="auto"/>
                    <w:ind w:firstLine="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类别</w:t>
                  </w:r>
                </w:p>
              </w:tc>
              <w:tc>
                <w:tcPr>
                  <w:tcW w:w="135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产生环节</w:t>
                  </w:r>
                </w:p>
              </w:tc>
              <w:tc>
                <w:tcPr>
                  <w:tcW w:w="159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主要污染物</w:t>
                  </w:r>
                </w:p>
              </w:tc>
              <w:tc>
                <w:tcPr>
                  <w:tcW w:w="467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restart"/>
                  <w:vAlign w:val="center"/>
                </w:tcPr>
                <w:p>
                  <w:pPr>
                    <w:pStyle w:val="30"/>
                    <w:spacing w:line="240" w:lineRule="auto"/>
                    <w:ind w:firstLine="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废气</w:t>
                  </w:r>
                </w:p>
              </w:tc>
              <w:tc>
                <w:tcPr>
                  <w:tcW w:w="1350"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卸粮</w:t>
                  </w:r>
                </w:p>
              </w:tc>
              <w:tc>
                <w:tcPr>
                  <w:tcW w:w="1590"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eastAsia="zh-CN"/>
                    </w:rPr>
                    <w:t>颗粒物</w:t>
                  </w:r>
                </w:p>
              </w:tc>
              <w:tc>
                <w:tcPr>
                  <w:tcW w:w="4670" w:type="dxa"/>
                  <w:vAlign w:val="center"/>
                </w:tcPr>
                <w:p>
                  <w:pPr>
                    <w:jc w:val="center"/>
                    <w:rPr>
                      <w:rFonts w:hint="default" w:ascii="Times New Roman" w:hAnsi="Times New Roman" w:cs="Times New Roman"/>
                      <w:b w:val="0"/>
                      <w:bCs/>
                      <w:color w:val="auto"/>
                      <w:sz w:val="21"/>
                      <w:szCs w:val="21"/>
                      <w:lang w:eastAsia="zh-CN"/>
                    </w:rPr>
                  </w:pPr>
                  <w:r>
                    <w:rPr>
                      <w:rFonts w:hint="eastAsia"/>
                      <w:color w:val="auto"/>
                      <w:sz w:val="21"/>
                      <w:szCs w:val="21"/>
                      <w:highlight w:val="none"/>
                    </w:rPr>
                    <w:t>卸粮时车间封闭、苫布遮盖、降低卸粮高度、定期清扫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p>
              </w:tc>
              <w:tc>
                <w:tcPr>
                  <w:tcW w:w="1350"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提升</w:t>
                  </w:r>
                </w:p>
              </w:tc>
              <w:tc>
                <w:tcPr>
                  <w:tcW w:w="1590"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颗粒物</w:t>
                  </w:r>
                </w:p>
              </w:tc>
              <w:tc>
                <w:tcPr>
                  <w:tcW w:w="4670" w:type="dxa"/>
                  <w:vAlign w:val="center"/>
                </w:tcPr>
                <w:p>
                  <w:pPr>
                    <w:jc w:val="center"/>
                    <w:rPr>
                      <w:rFonts w:hint="default" w:ascii="Times New Roman" w:hAnsi="Times New Roman" w:cs="Times New Roman"/>
                      <w:b w:val="0"/>
                      <w:bCs/>
                      <w:color w:val="auto"/>
                      <w:sz w:val="21"/>
                      <w:szCs w:val="21"/>
                      <w:lang w:eastAsia="zh-CN"/>
                    </w:rPr>
                  </w:pPr>
                  <w:r>
                    <w:rPr>
                      <w:rFonts w:hint="eastAsia"/>
                      <w:color w:val="auto"/>
                      <w:sz w:val="21"/>
                      <w:szCs w:val="21"/>
                      <w:lang w:eastAsia="zh-CN"/>
                    </w:rPr>
                    <w:t>采取在传送带加罩的方式加强密闭性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rPr>
                  </w:pPr>
                </w:p>
              </w:tc>
              <w:tc>
                <w:tcPr>
                  <w:tcW w:w="1350"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筛分</w:t>
                  </w:r>
                </w:p>
              </w:tc>
              <w:tc>
                <w:tcPr>
                  <w:tcW w:w="1590" w:type="dxa"/>
                  <w:vAlign w:val="center"/>
                </w:tcPr>
                <w:p>
                  <w:pPr>
                    <w:pStyle w:val="30"/>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颗粒物</w:t>
                  </w:r>
                </w:p>
              </w:tc>
              <w:tc>
                <w:tcPr>
                  <w:tcW w:w="4670" w:type="dxa"/>
                  <w:vAlign w:val="center"/>
                </w:tcPr>
                <w:p>
                  <w:pPr>
                    <w:jc w:val="center"/>
                    <w:rPr>
                      <w:rFonts w:hint="default" w:ascii="Times New Roman" w:hAnsi="Times New Roman" w:cs="Times New Roman"/>
                      <w:b w:val="0"/>
                      <w:bCs/>
                      <w:color w:val="auto"/>
                      <w:sz w:val="21"/>
                      <w:szCs w:val="21"/>
                      <w:lang w:eastAsia="zh-CN"/>
                    </w:rPr>
                  </w:pPr>
                  <w:r>
                    <w:rPr>
                      <w:rFonts w:hint="eastAsia"/>
                      <w:color w:val="auto"/>
                      <w:sz w:val="21"/>
                      <w:szCs w:val="21"/>
                      <w:lang w:eastAsia="zh-CN"/>
                    </w:rPr>
                    <w:t>设备密闭</w:t>
                  </w:r>
                  <w:r>
                    <w:rPr>
                      <w:rFonts w:hint="eastAsia"/>
                      <w:color w:val="auto"/>
                      <w:sz w:val="21"/>
                      <w:szCs w:val="21"/>
                      <w:lang w:val="en-US" w:eastAsia="zh-CN"/>
                    </w:rPr>
                    <w:t>+自带旋风除尘器+1根15m高排气筒（DA001）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rPr>
                  </w:pPr>
                </w:p>
              </w:tc>
              <w:tc>
                <w:tcPr>
                  <w:tcW w:w="1350" w:type="dxa"/>
                  <w:vAlign w:val="center"/>
                </w:tcPr>
                <w:p>
                  <w:pPr>
                    <w:pStyle w:val="30"/>
                    <w:spacing w:line="240" w:lineRule="auto"/>
                    <w:ind w:firstLine="0" w:firstLine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烘干</w:t>
                  </w:r>
                </w:p>
              </w:tc>
              <w:tc>
                <w:tcPr>
                  <w:tcW w:w="1590" w:type="dxa"/>
                  <w:vAlign w:val="center"/>
                </w:tcPr>
                <w:p>
                  <w:pPr>
                    <w:pStyle w:val="30"/>
                    <w:spacing w:line="240" w:lineRule="auto"/>
                    <w:ind w:firstLine="0" w:firstLine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颗粒物</w:t>
                  </w:r>
                </w:p>
              </w:tc>
              <w:tc>
                <w:tcPr>
                  <w:tcW w:w="4670" w:type="dxa"/>
                  <w:vAlign w:val="center"/>
                </w:tcPr>
                <w:p>
                  <w:pPr>
                    <w:jc w:val="center"/>
                    <w:rPr>
                      <w:rFonts w:hint="eastAsia"/>
                      <w:color w:val="auto"/>
                      <w:sz w:val="21"/>
                      <w:szCs w:val="21"/>
                      <w:lang w:eastAsia="zh-CN"/>
                    </w:rPr>
                  </w:pPr>
                  <w:r>
                    <w:rPr>
                      <w:rFonts w:hint="eastAsia"/>
                      <w:color w:val="auto"/>
                      <w:sz w:val="21"/>
                      <w:szCs w:val="21"/>
                      <w:lang w:eastAsia="zh-CN"/>
                    </w:rPr>
                    <w:t>烘干机机身设置内外腔，内腔的侧壁上开设有连通内腔与外腔的排潮口，</w:t>
                  </w:r>
                </w:p>
                <w:p>
                  <w:pPr>
                    <w:jc w:val="center"/>
                    <w:rPr>
                      <w:rFonts w:hint="default" w:ascii="Times New Roman" w:hAnsi="Times New Roman" w:cs="Times New Roman"/>
                      <w:b w:val="0"/>
                      <w:bCs/>
                      <w:color w:val="auto"/>
                      <w:sz w:val="21"/>
                      <w:szCs w:val="21"/>
                      <w:lang w:eastAsia="zh-CN"/>
                    </w:rPr>
                  </w:pPr>
                  <w:r>
                    <w:rPr>
                      <w:rFonts w:hint="eastAsia"/>
                      <w:color w:val="auto"/>
                      <w:sz w:val="21"/>
                      <w:szCs w:val="21"/>
                      <w:lang w:eastAsia="zh-CN"/>
                    </w:rPr>
                    <w:t>在外腔的侧壁上开设有排潮口，排潮口四周设置防尘罩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rPr>
                  </w:pPr>
                </w:p>
              </w:tc>
              <w:tc>
                <w:tcPr>
                  <w:tcW w:w="1350" w:type="dxa"/>
                  <w:vAlign w:val="center"/>
                </w:tcPr>
                <w:p>
                  <w:pPr>
                    <w:pStyle w:val="30"/>
                    <w:spacing w:line="240" w:lineRule="auto"/>
                    <w:ind w:firstLine="0" w:firstLine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热风炉燃烧</w:t>
                  </w:r>
                </w:p>
              </w:tc>
              <w:tc>
                <w:tcPr>
                  <w:tcW w:w="1590" w:type="dxa"/>
                  <w:vAlign w:val="center"/>
                </w:tcPr>
                <w:p>
                  <w:pPr>
                    <w:pStyle w:val="30"/>
                    <w:spacing w:line="240" w:lineRule="auto"/>
                    <w:ind w:firstLine="0" w:firstLineChars="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颗粒物、二氧化硫、氮氧化物</w:t>
                  </w:r>
                </w:p>
              </w:tc>
              <w:tc>
                <w:tcPr>
                  <w:tcW w:w="4670" w:type="dxa"/>
                  <w:vAlign w:val="center"/>
                </w:tcPr>
                <w:p>
                  <w:pPr>
                    <w:jc w:val="center"/>
                    <w:rPr>
                      <w:rFonts w:hint="default" w:ascii="Times New Roman" w:hAnsi="Times New Roman" w:cs="Times New Roman"/>
                      <w:b w:val="0"/>
                      <w:bCs/>
                      <w:color w:val="auto"/>
                      <w:sz w:val="21"/>
                      <w:szCs w:val="21"/>
                      <w:lang w:eastAsia="zh-CN"/>
                    </w:rPr>
                  </w:pPr>
                  <w:r>
                    <w:rPr>
                      <w:rFonts w:hint="eastAsia"/>
                      <w:color w:val="auto"/>
                      <w:kern w:val="0"/>
                      <w:lang w:eastAsia="zh-CN"/>
                    </w:rPr>
                    <w:t>管道收集</w:t>
                  </w:r>
                  <w:r>
                    <w:rPr>
                      <w:rFonts w:hint="eastAsia"/>
                      <w:color w:val="auto"/>
                      <w:kern w:val="0"/>
                      <w:lang w:val="en-US" w:eastAsia="zh-CN"/>
                    </w:rPr>
                    <w:t>+旋风除尘器+袋式除尘器+1根15m高排气筒（DA002）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废水</w:t>
                  </w:r>
                </w:p>
              </w:tc>
              <w:tc>
                <w:tcPr>
                  <w:tcW w:w="1350" w:type="dxa"/>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员工生活</w:t>
                  </w:r>
                </w:p>
              </w:tc>
              <w:tc>
                <w:tcPr>
                  <w:tcW w:w="1590" w:type="dxa"/>
                  <w:vAlign w:val="center"/>
                </w:tcPr>
                <w:p>
                  <w:pPr>
                    <w:pStyle w:val="30"/>
                    <w:spacing w:line="240" w:lineRule="auto"/>
                    <w:ind w:firstLine="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COD、BOD</w:t>
                  </w:r>
                  <w:r>
                    <w:rPr>
                      <w:rFonts w:hint="default" w:ascii="Times New Roman" w:hAnsi="Times New Roman" w:cs="Times New Roman"/>
                      <w:b w:val="0"/>
                      <w:bCs/>
                      <w:color w:val="auto"/>
                      <w:sz w:val="21"/>
                      <w:szCs w:val="21"/>
                      <w:vertAlign w:val="subscript"/>
                      <w:lang w:val="en-US" w:eastAsia="zh-CN"/>
                    </w:rPr>
                    <w:t>5</w:t>
                  </w:r>
                  <w:r>
                    <w:rPr>
                      <w:rFonts w:hint="default" w:ascii="Times New Roman" w:hAnsi="Times New Roman" w:cs="Times New Roman"/>
                      <w:b w:val="0"/>
                      <w:bCs/>
                      <w:color w:val="auto"/>
                      <w:sz w:val="21"/>
                      <w:szCs w:val="21"/>
                      <w:lang w:val="en-US" w:eastAsia="zh-CN"/>
                    </w:rPr>
                    <w:t>、SS、NH</w:t>
                  </w:r>
                  <w:r>
                    <w:rPr>
                      <w:rFonts w:hint="default" w:ascii="Times New Roman" w:hAnsi="Times New Roman" w:cs="Times New Roman"/>
                      <w:b w:val="0"/>
                      <w:bCs/>
                      <w:color w:val="auto"/>
                      <w:sz w:val="21"/>
                      <w:szCs w:val="21"/>
                      <w:vertAlign w:val="subscript"/>
                      <w:lang w:val="en-US" w:eastAsia="zh-CN"/>
                    </w:rPr>
                    <w:t>3</w:t>
                  </w:r>
                  <w:r>
                    <w:rPr>
                      <w:rFonts w:hint="default" w:ascii="Times New Roman" w:hAnsi="Times New Roman" w:cs="Times New Roman"/>
                      <w:b w:val="0"/>
                      <w:bCs/>
                      <w:color w:val="auto"/>
                      <w:sz w:val="21"/>
                      <w:szCs w:val="21"/>
                      <w:lang w:val="en-US" w:eastAsia="zh-CN"/>
                    </w:rPr>
                    <w:t>-N</w:t>
                  </w:r>
                </w:p>
              </w:tc>
              <w:tc>
                <w:tcPr>
                  <w:tcW w:w="4670" w:type="dxa"/>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经化粪池预处理后</w:t>
                  </w:r>
                  <w:r>
                    <w:rPr>
                      <w:rFonts w:hint="eastAsia" w:ascii="Times New Roman" w:hAnsi="Times New Roman" w:cs="Times New Roman"/>
                      <w:b w:val="0"/>
                      <w:bCs/>
                      <w:color w:val="auto"/>
                      <w:sz w:val="21"/>
                      <w:szCs w:val="21"/>
                      <w:lang w:eastAsia="zh-CN"/>
                    </w:rPr>
                    <w:t>再经厂区一体化污水处理设施处理达标后回用于厂区抑尘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restart"/>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固废</w:t>
                  </w:r>
                </w:p>
              </w:tc>
              <w:tc>
                <w:tcPr>
                  <w:tcW w:w="135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清选</w:t>
                  </w:r>
                </w:p>
              </w:tc>
              <w:tc>
                <w:tcPr>
                  <w:tcW w:w="159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石子等杂质</w:t>
                  </w:r>
                </w:p>
              </w:tc>
              <w:tc>
                <w:tcPr>
                  <w:tcW w:w="4670" w:type="dxa"/>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除尘器</w:t>
                  </w:r>
                </w:p>
              </w:tc>
              <w:tc>
                <w:tcPr>
                  <w:tcW w:w="159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收集的粉尘</w:t>
                  </w:r>
                </w:p>
              </w:tc>
              <w:tc>
                <w:tcPr>
                  <w:tcW w:w="4670" w:type="dxa"/>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热风炉灰渣</w:t>
                  </w:r>
                </w:p>
              </w:tc>
              <w:tc>
                <w:tcPr>
                  <w:tcW w:w="159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灰渣</w:t>
                  </w:r>
                </w:p>
              </w:tc>
              <w:tc>
                <w:tcPr>
                  <w:tcW w:w="4670" w:type="dxa"/>
                  <w:vAlign w:val="center"/>
                </w:tcPr>
                <w:p>
                  <w:pPr>
                    <w:pStyle w:val="30"/>
                    <w:spacing w:line="240" w:lineRule="auto"/>
                    <w:ind w:firstLine="0"/>
                    <w:jc w:val="center"/>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Merge w:val="restart"/>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设备保养</w:t>
                  </w:r>
                </w:p>
              </w:tc>
              <w:tc>
                <w:tcPr>
                  <w:tcW w:w="1590" w:type="dxa"/>
                  <w:vAlign w:val="center"/>
                </w:tcPr>
                <w:p>
                  <w:pPr>
                    <w:jc w:val="center"/>
                    <w:rPr>
                      <w:rFonts w:hint="eastAsia" w:ascii="Times New Roman" w:hAnsi="Times New Roman" w:cs="Times New Roman"/>
                      <w:b w:val="0"/>
                      <w:bCs/>
                      <w:color w:val="auto"/>
                      <w:sz w:val="21"/>
                      <w:szCs w:val="21"/>
                      <w:highlight w:val="none"/>
                      <w:lang w:val="en-US" w:eastAsia="zh-CN"/>
                    </w:rPr>
                  </w:pPr>
                  <w:r>
                    <w:rPr>
                      <w:rFonts w:hint="eastAsia"/>
                      <w:color w:val="auto"/>
                      <w:szCs w:val="21"/>
                    </w:rPr>
                    <w:t>废弃的含油抹布、劳保用品</w:t>
                  </w:r>
                </w:p>
              </w:tc>
              <w:tc>
                <w:tcPr>
                  <w:tcW w:w="4670" w:type="dxa"/>
                  <w:vMerge w:val="restart"/>
                  <w:vAlign w:val="center"/>
                </w:tcPr>
                <w:p>
                  <w:pPr>
                    <w:pStyle w:val="30"/>
                    <w:spacing w:line="240" w:lineRule="auto"/>
                    <w:ind w:firstLine="0"/>
                    <w:jc w:val="center"/>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分类贮存于危废贮存库，定期交有资质单位处理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590" w:type="dxa"/>
                  <w:vAlign w:val="center"/>
                </w:tcPr>
                <w:p>
                  <w:pPr>
                    <w:jc w:val="center"/>
                    <w:rPr>
                      <w:rFonts w:hint="eastAsia" w:ascii="Times New Roman" w:hAnsi="Times New Roman" w:cs="Times New Roman"/>
                      <w:b w:val="0"/>
                      <w:bCs/>
                      <w:color w:val="auto"/>
                      <w:sz w:val="21"/>
                      <w:szCs w:val="21"/>
                      <w:highlight w:val="none"/>
                      <w:lang w:val="en-US" w:eastAsia="zh-CN"/>
                    </w:rPr>
                  </w:pPr>
                  <w:r>
                    <w:rPr>
                      <w:rFonts w:hint="eastAsia"/>
                      <w:color w:val="auto"/>
                      <w:szCs w:val="21"/>
                    </w:rPr>
                    <w:t>废润滑油</w:t>
                  </w:r>
                </w:p>
              </w:tc>
              <w:tc>
                <w:tcPr>
                  <w:tcW w:w="4670" w:type="dxa"/>
                  <w:vMerge w:val="continue"/>
                  <w:vAlign w:val="center"/>
                </w:tcPr>
                <w:p>
                  <w:pPr>
                    <w:pStyle w:val="30"/>
                    <w:spacing w:line="240" w:lineRule="auto"/>
                    <w:ind w:firstLine="0"/>
                    <w:jc w:val="center"/>
                    <w:rPr>
                      <w:rFonts w:hint="eastAsia"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Merge w:val="continue"/>
                  <w:vAlign w:val="center"/>
                </w:tcPr>
                <w:p>
                  <w:pPr>
                    <w:pStyle w:val="30"/>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590" w:type="dxa"/>
                  <w:vAlign w:val="center"/>
                </w:tcPr>
                <w:p>
                  <w:pPr>
                    <w:jc w:val="center"/>
                    <w:rPr>
                      <w:rFonts w:hint="eastAsia" w:ascii="Times New Roman" w:hAnsi="Times New Roman" w:cs="Times New Roman"/>
                      <w:b w:val="0"/>
                      <w:bCs/>
                      <w:color w:val="auto"/>
                      <w:sz w:val="21"/>
                      <w:szCs w:val="21"/>
                      <w:highlight w:val="none"/>
                      <w:lang w:val="en-US" w:eastAsia="zh-CN"/>
                    </w:rPr>
                  </w:pPr>
                  <w:r>
                    <w:rPr>
                      <w:rFonts w:hint="eastAsia"/>
                      <w:color w:val="auto"/>
                      <w:szCs w:val="21"/>
                    </w:rPr>
                    <w:t>废润滑油桶</w:t>
                  </w:r>
                </w:p>
              </w:tc>
              <w:tc>
                <w:tcPr>
                  <w:tcW w:w="4670" w:type="dxa"/>
                  <w:vMerge w:val="continue"/>
                  <w:vAlign w:val="center"/>
                </w:tcPr>
                <w:p>
                  <w:pPr>
                    <w:pStyle w:val="30"/>
                    <w:spacing w:line="240" w:lineRule="auto"/>
                    <w:ind w:firstLine="0"/>
                    <w:jc w:val="center"/>
                    <w:rPr>
                      <w:rFonts w:hint="eastAsia"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Align w:val="center"/>
                </w:tcPr>
                <w:p>
                  <w:pPr>
                    <w:pStyle w:val="30"/>
                    <w:spacing w:line="240" w:lineRule="auto"/>
                    <w:ind w:firstLine="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噪声</w:t>
                  </w:r>
                </w:p>
              </w:tc>
              <w:tc>
                <w:tcPr>
                  <w:tcW w:w="135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设备安装、设备运行</w:t>
                  </w:r>
                </w:p>
              </w:tc>
              <w:tc>
                <w:tcPr>
                  <w:tcW w:w="159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机械噪声N</w:t>
                  </w:r>
                </w:p>
              </w:tc>
              <w:tc>
                <w:tcPr>
                  <w:tcW w:w="4670" w:type="dxa"/>
                  <w:vAlign w:val="center"/>
                </w:tcPr>
                <w:p>
                  <w:pPr>
                    <w:pStyle w:val="30"/>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选取低噪声设备，厂房隔声，基础减振</w:t>
                  </w:r>
                </w:p>
              </w:tc>
            </w:tr>
          </w:tbl>
          <w:p>
            <w:pPr>
              <w:pStyle w:val="21"/>
              <w:jc w:val="center"/>
              <w:rPr>
                <w:rFonts w:hint="eastAsia"/>
                <w:b/>
                <w:bCs/>
                <w:color w:val="auto"/>
                <w:sz w:val="21"/>
                <w:szCs w:val="21"/>
                <w:lang w:val="en-US" w:eastAsia="zh-CN"/>
              </w:rPr>
            </w:pPr>
            <w:r>
              <w:rPr>
                <w:rFonts w:hint="eastAsia"/>
                <w:b/>
                <w:bCs/>
                <w:color w:val="auto"/>
                <w:sz w:val="21"/>
                <w:szCs w:val="21"/>
                <w:lang w:eastAsia="zh-CN"/>
              </w:rPr>
              <w:t>表</w:t>
            </w:r>
            <w:r>
              <w:rPr>
                <w:rFonts w:hint="eastAsia"/>
                <w:b/>
                <w:bCs/>
                <w:color w:val="auto"/>
                <w:sz w:val="21"/>
                <w:szCs w:val="21"/>
                <w:lang w:val="en-US" w:eastAsia="zh-CN"/>
              </w:rPr>
              <w:t>2-10生产工段物料平衡表</w:t>
            </w:r>
          </w:p>
          <w:tbl>
            <w:tblPr>
              <w:tblStyle w:val="27"/>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75"/>
              <w:gridCol w:w="2075"/>
              <w:gridCol w:w="2075"/>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投入</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t/a</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产出</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jc w:val="center"/>
              </w:trPr>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水稻</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4572.169</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水稻</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3968.427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jc w:val="center"/>
              </w:trPr>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小麦</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2032.075</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小麦</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1763.745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jc w:val="center"/>
              </w:trPr>
              <w:tc>
                <w:tcPr>
                  <w:tcW w:w="2075"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合计</w:t>
                  </w:r>
                </w:p>
              </w:tc>
              <w:tc>
                <w:tcPr>
                  <w:tcW w:w="2075"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6604.244</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杂质</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jc w:val="center"/>
              </w:trPr>
              <w:tc>
                <w:tcPr>
                  <w:tcW w:w="2075" w:type="dxa"/>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075" w:type="dxa"/>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粉尘</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jc w:val="center"/>
              </w:trPr>
              <w:tc>
                <w:tcPr>
                  <w:tcW w:w="2075" w:type="dxa"/>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075" w:type="dxa"/>
                  <w:vMerge w:val="continue"/>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蒸发水分</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767.178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2" w:hRule="atLeast"/>
                <w:jc w:val="center"/>
              </w:trPr>
              <w:tc>
                <w:tcPr>
                  <w:tcW w:w="2075"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075" w:type="dxa"/>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075" w:type="dxa"/>
                  <w:shd w:val="clear" w:color="auto" w:fill="auto"/>
                  <w:vAlign w:val="center"/>
                </w:tcPr>
                <w:p>
                  <w:pPr>
                    <w:jc w:val="center"/>
                    <w:rPr>
                      <w:rFonts w:hint="eastAsia" w:ascii="Times New Roman" w:hAnsi="Times New Roman" w:eastAsia="宋体" w:cs="Times New Roman"/>
                      <w:i w:val="0"/>
                      <w:iCs w:val="0"/>
                      <w:color w:val="000000"/>
                      <w:sz w:val="22"/>
                      <w:szCs w:val="22"/>
                      <w:u w:val="none"/>
                      <w:lang w:eastAsia="zh-CN"/>
                    </w:rPr>
                  </w:pPr>
                  <w:r>
                    <w:rPr>
                      <w:rFonts w:hint="eastAsia" w:ascii="Times New Roman" w:hAnsi="Times New Roman" w:eastAsia="宋体" w:cs="Times New Roman"/>
                      <w:i w:val="0"/>
                      <w:iCs w:val="0"/>
                      <w:color w:val="000000"/>
                      <w:sz w:val="22"/>
                      <w:szCs w:val="22"/>
                      <w:u w:val="none"/>
                      <w:lang w:eastAsia="zh-CN"/>
                    </w:rPr>
                    <w:t>合计</w:t>
                  </w:r>
                </w:p>
              </w:tc>
              <w:tc>
                <w:tcPr>
                  <w:tcW w:w="207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6604.244</w:t>
                  </w:r>
                </w:p>
              </w:tc>
            </w:tr>
          </w:tbl>
          <w:p>
            <w:pPr>
              <w:pStyle w:val="21"/>
              <w:jc w:val="center"/>
              <w:rPr>
                <w:rFonts w:hint="default"/>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65" w:hRule="atLeast"/>
          <w:jc w:val="center"/>
        </w:trPr>
        <w:tc>
          <w:tcPr>
            <w:tcW w:w="450" w:type="dxa"/>
            <w:vAlign w:val="center"/>
          </w:tcPr>
          <w:p>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610" w:type="dxa"/>
            <w:vAlign w:val="center"/>
          </w:tcPr>
          <w:p>
            <w:pPr>
              <w:keepNext w:val="0"/>
              <w:keepLines w:val="0"/>
              <w:widowControl/>
              <w:suppressLineNumbers w:val="0"/>
              <w:spacing w:line="360" w:lineRule="auto"/>
              <w:ind w:firstLine="480" w:firstLineChars="200"/>
              <w:jc w:val="left"/>
            </w:pPr>
            <w:r>
              <w:rPr>
                <w:rFonts w:ascii="宋体" w:hAnsi="宋体" w:eastAsia="宋体" w:cs="宋体"/>
                <w:kern w:val="0"/>
                <w:sz w:val="24"/>
                <w:szCs w:val="24"/>
                <w:lang w:val="en-US" w:eastAsia="zh-CN" w:bidi="ar"/>
              </w:rPr>
              <w:t>本项目为新建项目，拟利用厂区内现有空置厂房开展生产活动。该厂房由</w:t>
            </w:r>
            <w:r>
              <w:rPr>
                <w:rFonts w:hint="eastAsia" w:ascii="宋体" w:hAnsi="宋体" w:eastAsia="宋体" w:cs="宋体"/>
                <w:kern w:val="0"/>
                <w:sz w:val="24"/>
                <w:szCs w:val="24"/>
                <w:lang w:val="en-US" w:eastAsia="zh-CN" w:bidi="ar"/>
              </w:rPr>
              <w:t>建设单位</w:t>
            </w:r>
            <w:r>
              <w:rPr>
                <w:rFonts w:ascii="宋体" w:hAnsi="宋体" w:eastAsia="宋体" w:cs="宋体"/>
                <w:kern w:val="0"/>
                <w:sz w:val="24"/>
                <w:szCs w:val="24"/>
                <w:lang w:val="en-US" w:eastAsia="zh-CN" w:bidi="ar"/>
              </w:rPr>
              <w:t>自行建设，于</w:t>
            </w:r>
            <w:r>
              <w:rPr>
                <w:rFonts w:hint="default" w:ascii="Times New Roman" w:hAnsi="Times New Roman" w:eastAsia="宋体" w:cs="Times New Roman"/>
                <w:kern w:val="0"/>
                <w:sz w:val="24"/>
                <w:szCs w:val="24"/>
                <w:lang w:val="en-US" w:eastAsia="zh-CN" w:bidi="ar"/>
              </w:rPr>
              <w:t>2025年</w:t>
            </w:r>
            <w:r>
              <w:rPr>
                <w:rFonts w:hint="eastAsia" w:cs="Times New Roman"/>
                <w:kern w:val="0"/>
                <w:sz w:val="24"/>
                <w:szCs w:val="24"/>
                <w:lang w:val="en-US" w:eastAsia="zh-CN" w:bidi="ar"/>
              </w:rPr>
              <w:t>10</w:t>
            </w:r>
            <w:r>
              <w:rPr>
                <w:rFonts w:ascii="宋体" w:hAnsi="宋体" w:eastAsia="宋体" w:cs="宋体"/>
                <w:kern w:val="0"/>
                <w:sz w:val="24"/>
                <w:szCs w:val="24"/>
                <w:lang w:val="en-US" w:eastAsia="zh-CN" w:bidi="ar"/>
              </w:rPr>
              <w:t>月完成建设并达到交付条件，自建成后未投入任何生产经营活动，一直处于空置状态。经现场勘察及资料核查，该厂房及周边区域无现有工程遗留的环境问题，不存在与本项目相关的原有污染情况</w:t>
            </w:r>
            <w:r>
              <w:rPr>
                <w:rFonts w:hint="eastAsia" w:ascii="宋体" w:hAnsi="宋体" w:eastAsia="宋体" w:cs="宋体"/>
                <w:kern w:val="0"/>
                <w:sz w:val="24"/>
                <w:szCs w:val="24"/>
                <w:lang w:val="en-US" w:eastAsia="zh-CN" w:bidi="ar"/>
              </w:rPr>
              <w:t>。</w:t>
            </w:r>
          </w:p>
          <w:p>
            <w:pPr>
              <w:spacing w:line="360" w:lineRule="auto"/>
              <w:ind w:firstLine="480" w:firstLineChars="200"/>
              <w:rPr>
                <w:rFonts w:hint="eastAsia" w:ascii="Times New Roman"/>
                <w:color w:val="auto"/>
                <w:sz w:val="24"/>
                <w:szCs w:val="24"/>
              </w:rPr>
            </w:pPr>
          </w:p>
          <w:p>
            <w:pPr>
              <w:pStyle w:val="38"/>
              <w:spacing w:line="360" w:lineRule="auto"/>
              <w:ind w:firstLine="0"/>
              <w:rPr>
                <w:rFonts w:ascii="Times New Roman"/>
                <w:color w:val="auto"/>
                <w:sz w:val="24"/>
                <w:szCs w:val="24"/>
              </w:rPr>
            </w:pPr>
          </w:p>
        </w:tc>
      </w:tr>
    </w:tbl>
    <w:p>
      <w:pPr>
        <w:pStyle w:val="22"/>
        <w:jc w:val="center"/>
        <w:outlineLvl w:val="0"/>
        <w:rPr>
          <w:rFonts w:ascii="黑体" w:hAnsi="黑体" w:eastAsia="黑体"/>
          <w:snapToGrid w:val="0"/>
          <w:color w:val="auto"/>
          <w:sz w:val="36"/>
          <w:szCs w:val="36"/>
        </w:rPr>
        <w:sectPr>
          <w:footerReference r:id="rId4" w:type="default"/>
          <w:pgSz w:w="11906" w:h="16838"/>
          <w:pgMar w:top="1701" w:right="1531" w:bottom="1701" w:left="1531" w:header="851" w:footer="851" w:gutter="0"/>
          <w:pgNumType w:start="1"/>
          <w:cols w:space="720" w:num="1"/>
          <w:docGrid w:linePitch="312" w:charSpace="0"/>
        </w:sectPr>
      </w:pPr>
    </w:p>
    <w:p>
      <w:pPr>
        <w:pStyle w:val="2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7"/>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16" w:hRule="atLeast"/>
          <w:jc w:val="center"/>
        </w:trPr>
        <w:tc>
          <w:tcPr>
            <w:tcW w:w="425"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636" w:type="dxa"/>
            <w:vAlign w:val="top"/>
          </w:tcPr>
          <w:p>
            <w:pPr>
              <w:adjustRightInd w:val="0"/>
              <w:snapToGrid w:val="0"/>
              <w:spacing w:line="360" w:lineRule="auto"/>
              <w:rPr>
                <w:rFonts w:hint="eastAsia"/>
                <w:color w:val="auto"/>
                <w:sz w:val="24"/>
              </w:rPr>
            </w:pPr>
            <w:r>
              <w:rPr>
                <w:rFonts w:hint="eastAsia"/>
                <w:color w:val="auto"/>
                <w:sz w:val="24"/>
              </w:rPr>
              <w:t>一、区域环境质量现状</w:t>
            </w:r>
          </w:p>
          <w:p>
            <w:pPr>
              <w:pStyle w:val="30"/>
              <w:ind w:firstLine="480" w:firstLineChars="200"/>
              <w:jc w:val="both"/>
              <w:rPr>
                <w:rFonts w:hint="eastAsia"/>
                <w:color w:val="auto"/>
              </w:rPr>
            </w:pPr>
            <w:r>
              <w:rPr>
                <w:rFonts w:hint="eastAsia"/>
                <w:color w:val="auto"/>
              </w:rPr>
              <w:t>1 大气环境质量现状</w:t>
            </w:r>
          </w:p>
          <w:p>
            <w:pPr>
              <w:pStyle w:val="48"/>
              <w:widowControl w:val="0"/>
              <w:ind w:firstLine="482"/>
              <w:jc w:val="left"/>
              <w:rPr>
                <w:rFonts w:hint="eastAsia"/>
                <w:b/>
                <w:bCs/>
                <w:color w:val="auto"/>
              </w:rPr>
            </w:pPr>
            <w:r>
              <w:rPr>
                <w:rFonts w:hint="eastAsia"/>
                <w:b/>
                <w:bCs/>
                <w:color w:val="auto"/>
              </w:rPr>
              <w:t>（1）区域环境质量现状调查</w:t>
            </w:r>
          </w:p>
          <w:p>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根据淮南市人民政府发布的《</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年淮南市环境质量状况公报》，项目区域空气质量达标判定见下表：</w:t>
            </w:r>
          </w:p>
          <w:p>
            <w:pPr>
              <w:pStyle w:val="48"/>
              <w:widowControl w:val="0"/>
              <w:spacing w:line="240" w:lineRule="auto"/>
              <w:ind w:firstLine="0" w:firstLineChars="0"/>
              <w:jc w:val="center"/>
              <w:rPr>
                <w:rFonts w:hint="eastAsia"/>
                <w:b/>
                <w:bCs/>
                <w:color w:val="auto"/>
                <w:sz w:val="21"/>
                <w:szCs w:val="20"/>
              </w:rPr>
            </w:pPr>
            <w:r>
              <w:rPr>
                <w:rFonts w:hint="eastAsia"/>
                <w:b/>
                <w:bCs/>
                <w:color w:val="auto"/>
                <w:sz w:val="21"/>
                <w:szCs w:val="20"/>
              </w:rPr>
              <w:t>表3-1  区域空气质量现状评价表</w:t>
            </w:r>
          </w:p>
          <w:tbl>
            <w:tblPr>
              <w:tblStyle w:val="27"/>
              <w:tblW w:w="833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3672"/>
              <w:gridCol w:w="1373"/>
              <w:gridCol w:w="1220"/>
              <w:gridCol w:w="11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6" w:hRule="atLeast"/>
                <w:jc w:val="center"/>
              </w:trPr>
              <w:tc>
                <w:tcPr>
                  <w:tcW w:w="893" w:type="dxa"/>
                  <w:vAlign w:val="center"/>
                </w:tcPr>
                <w:p>
                  <w:pPr>
                    <w:pStyle w:val="55"/>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污染物</w:t>
                  </w:r>
                </w:p>
              </w:tc>
              <w:tc>
                <w:tcPr>
                  <w:tcW w:w="3672" w:type="dxa"/>
                  <w:vAlign w:val="center"/>
                </w:tcPr>
                <w:p>
                  <w:pPr>
                    <w:pStyle w:val="55"/>
                    <w:jc w:val="center"/>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pacing w:val="7"/>
                      <w:sz w:val="21"/>
                      <w:szCs w:val="21"/>
                      <w:highlight w:val="none"/>
                      <w:lang w:eastAsia="zh-CN"/>
                    </w:rPr>
                    <w:t>年度</w:t>
                  </w:r>
                  <w:r>
                    <w:rPr>
                      <w:rFonts w:hint="default" w:ascii="Times New Roman" w:hAnsi="Times New Roman" w:eastAsia="宋体" w:cs="Times New Roman"/>
                      <w:b/>
                      <w:bCs/>
                      <w:color w:val="auto"/>
                      <w:spacing w:val="7"/>
                      <w:sz w:val="21"/>
                      <w:szCs w:val="21"/>
                      <w:highlight w:val="none"/>
                    </w:rPr>
                    <w:t>评价指标</w:t>
                  </w:r>
                </w:p>
              </w:tc>
              <w:tc>
                <w:tcPr>
                  <w:tcW w:w="1373" w:type="dxa"/>
                  <w:vAlign w:val="center"/>
                </w:tcPr>
                <w:p>
                  <w:pPr>
                    <w:pStyle w:val="55"/>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现状浓度</w:t>
                  </w:r>
                </w:p>
                <w:p>
                  <w:pPr>
                    <w:pStyle w:val="55"/>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µg/m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220" w:type="dxa"/>
                  <w:vAlign w:val="center"/>
                </w:tcPr>
                <w:p>
                  <w:pPr>
                    <w:pStyle w:val="55"/>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标准值</w:t>
                  </w:r>
                </w:p>
                <w:p>
                  <w:pPr>
                    <w:pStyle w:val="55"/>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µg/m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173" w:type="dxa"/>
                  <w:tcBorders>
                    <w:right w:val="single" w:color="000000" w:sz="8" w:space="0"/>
                  </w:tcBorders>
                  <w:vAlign w:val="center"/>
                </w:tcPr>
                <w:p>
                  <w:pPr>
                    <w:pStyle w:val="55"/>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jc w:val="center"/>
              </w:trPr>
              <w:tc>
                <w:tcPr>
                  <w:tcW w:w="893"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pacing w:val="3"/>
                      <w:position w:val="-1"/>
                      <w:sz w:val="21"/>
                      <w:szCs w:val="21"/>
                      <w:highlight w:val="none"/>
                      <w:vertAlign w:val="subscript"/>
                    </w:rPr>
                    <w:t>2</w:t>
                  </w:r>
                </w:p>
              </w:tc>
              <w:tc>
                <w:tcPr>
                  <w:tcW w:w="3672" w:type="dxa"/>
                  <w:tcBorders>
                    <w:bottom w:val="single" w:color="auto" w:sz="4"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7</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73" w:type="dxa"/>
                  <w:tcBorders>
                    <w:right w:val="single" w:color="000000" w:sz="8"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tcBorders>
                    <w:top w:val="single" w:color="auto" w:sz="4" w:space="0"/>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NO</w:t>
                  </w:r>
                  <w:r>
                    <w:rPr>
                      <w:rFonts w:hint="default" w:ascii="Times New Roman" w:hAnsi="Times New Roman" w:eastAsia="宋体" w:cs="Times New Roman"/>
                      <w:color w:val="auto"/>
                      <w:spacing w:val="3"/>
                      <w:position w:val="-1"/>
                      <w:sz w:val="21"/>
                      <w:szCs w:val="21"/>
                      <w:highlight w:val="none"/>
                      <w:vertAlign w:val="subscript"/>
                    </w:rPr>
                    <w:t>2</w:t>
                  </w:r>
                </w:p>
              </w:tc>
              <w:tc>
                <w:tcPr>
                  <w:tcW w:w="3672" w:type="dxa"/>
                  <w:tcBorders>
                    <w:top w:val="single" w:color="auto" w:sz="4" w:space="0"/>
                    <w:bottom w:val="single" w:color="auto" w:sz="4"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19</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40</w:t>
                  </w:r>
                </w:p>
              </w:tc>
              <w:tc>
                <w:tcPr>
                  <w:tcW w:w="1173" w:type="dxa"/>
                  <w:tcBorders>
                    <w:right w:val="single" w:color="000000" w:sz="8"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3"/>
                      <w:position w:val="-1"/>
                      <w:sz w:val="21"/>
                      <w:szCs w:val="21"/>
                      <w:highlight w:val="none"/>
                      <w:vertAlign w:val="subscript"/>
                    </w:rPr>
                    <w:t>10</w:t>
                  </w:r>
                </w:p>
              </w:tc>
              <w:tc>
                <w:tcPr>
                  <w:tcW w:w="3672" w:type="dxa"/>
                  <w:tcBorders>
                    <w:bottom w:val="single" w:color="auto" w:sz="4"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r>
                    <w:rPr>
                      <w:rFonts w:hint="eastAsia" w:ascii="Times New Roman" w:hAnsi="Times New Roman" w:eastAsia="宋体" w:cs="Times New Roman"/>
                      <w:color w:val="auto"/>
                      <w:sz w:val="21"/>
                      <w:szCs w:val="21"/>
                      <w:highlight w:val="none"/>
                      <w:lang w:val="en-US" w:eastAsia="zh-CN"/>
                    </w:rPr>
                    <w:t>0</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1173" w:type="dxa"/>
                  <w:tcBorders>
                    <w:right w:val="single" w:color="000000" w:sz="8"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3"/>
                      <w:position w:val="-1"/>
                      <w:sz w:val="21"/>
                      <w:szCs w:val="21"/>
                      <w:highlight w:val="none"/>
                      <w:vertAlign w:val="subscript"/>
                    </w:rPr>
                    <w:t>2.5</w:t>
                  </w:r>
                </w:p>
              </w:tc>
              <w:tc>
                <w:tcPr>
                  <w:tcW w:w="3672" w:type="dxa"/>
                  <w:tcBorders>
                    <w:bottom w:val="single" w:color="auto" w:sz="4"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173" w:type="dxa"/>
                  <w:tcBorders>
                    <w:right w:val="single" w:color="000000" w:sz="8" w:space="0"/>
                  </w:tcBorders>
                  <w:vAlign w:val="center"/>
                </w:tcPr>
                <w:p>
                  <w:pPr>
                    <w:pStyle w:val="55"/>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CO</w:t>
                  </w:r>
                </w:p>
              </w:tc>
              <w:tc>
                <w:tcPr>
                  <w:tcW w:w="3672" w:type="dxa"/>
                  <w:vAlign w:val="center"/>
                </w:tcPr>
                <w:p>
                  <w:pPr>
                    <w:pStyle w:val="55"/>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24h平均第95百分位数浓度值</w:t>
                  </w:r>
                </w:p>
              </w:tc>
              <w:tc>
                <w:tcPr>
                  <w:tcW w:w="1373" w:type="dxa"/>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rPr>
                    <w:t>0.</w:t>
                  </w:r>
                  <w:r>
                    <w:rPr>
                      <w:rFonts w:hint="eastAsia" w:ascii="Times New Roman" w:hAnsi="Times New Roman" w:eastAsia="宋体" w:cs="Times New Roman"/>
                      <w:color w:val="auto"/>
                      <w:spacing w:val="5"/>
                      <w:sz w:val="21"/>
                      <w:szCs w:val="21"/>
                      <w:highlight w:val="none"/>
                      <w:lang w:val="en-US" w:eastAsia="zh-CN"/>
                    </w:rPr>
                    <w:t>8</w:t>
                  </w:r>
                </w:p>
              </w:tc>
              <w:tc>
                <w:tcPr>
                  <w:tcW w:w="1220"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1173" w:type="dxa"/>
                  <w:tcBorders>
                    <w:right w:val="single" w:color="000000" w:sz="8" w:space="0"/>
                  </w:tcBorders>
                  <w:vAlign w:val="center"/>
                </w:tcPr>
                <w:p>
                  <w:pPr>
                    <w:pStyle w:val="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O</w:t>
                  </w:r>
                  <w:r>
                    <w:rPr>
                      <w:rFonts w:hint="default" w:ascii="Times New Roman" w:hAnsi="Times New Roman" w:eastAsia="宋体" w:cs="Times New Roman"/>
                      <w:color w:val="auto"/>
                      <w:spacing w:val="3"/>
                      <w:position w:val="-1"/>
                      <w:sz w:val="21"/>
                      <w:szCs w:val="21"/>
                      <w:highlight w:val="none"/>
                      <w:vertAlign w:val="subscript"/>
                    </w:rPr>
                    <w:t>3</w:t>
                  </w:r>
                </w:p>
              </w:tc>
              <w:tc>
                <w:tcPr>
                  <w:tcW w:w="3672" w:type="dxa"/>
                  <w:vAlign w:val="center"/>
                </w:tcPr>
                <w:p>
                  <w:pPr>
                    <w:pStyle w:val="55"/>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日最大8h平均质量浓度第90百分</w:t>
                  </w:r>
                  <w:r>
                    <w:rPr>
                      <w:rFonts w:hint="default" w:ascii="Times New Roman" w:hAnsi="Times New Roman" w:eastAsia="宋体" w:cs="Times New Roman"/>
                      <w:color w:val="auto"/>
                      <w:spacing w:val="4"/>
                      <w:sz w:val="21"/>
                      <w:szCs w:val="21"/>
                      <w:highlight w:val="none"/>
                      <w:lang w:eastAsia="zh-CN"/>
                    </w:rPr>
                    <w:t>位数</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1</w:t>
                  </w:r>
                  <w:r>
                    <w:rPr>
                      <w:rFonts w:hint="eastAsia" w:ascii="Times New Roman" w:hAnsi="Times New Roman" w:eastAsia="宋体" w:cs="Times New Roman"/>
                      <w:color w:val="auto"/>
                      <w:spacing w:val="-3"/>
                      <w:sz w:val="21"/>
                      <w:szCs w:val="21"/>
                      <w:highlight w:val="none"/>
                      <w:lang w:val="en-US" w:eastAsia="zh-CN"/>
                    </w:rPr>
                    <w:t>60</w:t>
                  </w:r>
                </w:p>
              </w:tc>
              <w:tc>
                <w:tcPr>
                  <w:tcW w:w="122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160</w:t>
                  </w:r>
                </w:p>
              </w:tc>
              <w:tc>
                <w:tcPr>
                  <w:tcW w:w="1173" w:type="dxa"/>
                  <w:tcBorders>
                    <w:right w:val="single" w:color="000000" w:sz="8" w:space="0"/>
                  </w:tcBorders>
                  <w:vAlign w:val="center"/>
                </w:tcPr>
                <w:p>
                  <w:pPr>
                    <w:pStyle w:val="55"/>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达标</w:t>
                  </w:r>
                </w:p>
              </w:tc>
            </w:tr>
          </w:tbl>
          <w:p>
            <w:pPr>
              <w:pStyle w:val="48"/>
              <w:widowControl w:val="0"/>
              <w:spacing w:line="240" w:lineRule="auto"/>
              <w:ind w:firstLine="0" w:firstLineChars="0"/>
              <w:jc w:val="center"/>
              <w:rPr>
                <w:rFonts w:hint="eastAsia"/>
                <w:b/>
                <w:bCs/>
                <w:color w:val="auto"/>
                <w:sz w:val="21"/>
                <w:szCs w:val="20"/>
              </w:rPr>
            </w:pPr>
          </w:p>
          <w:p>
            <w:pPr>
              <w:autoSpaceDE w:val="0"/>
              <w:autoSpaceDN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上表可知，2024年淮南空气质量中五项指标均满足《环境空气质量标准》（GB3095-2012）二级标准的要求，细颗粒物（PM2.5）超过《环境空气质量标准》（GB3095-2012）二级标准要求。据此判断项目所在区域属于不达标区域。</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淮南市生态环境局就空气质量不达标提出一系列举措，依据《淮南市大气污染防治行动计划实施方案》等工作文件，淮南市通过集中专项整治</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小散乱污</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pPr>
              <w:pStyle w:val="42"/>
              <w:ind w:firstLine="480"/>
              <w:rPr>
                <w:b/>
                <w:bCs w:val="0"/>
                <w:color w:val="auto"/>
                <w:sz w:val="24"/>
                <w:highlight w:val="none"/>
              </w:rPr>
            </w:pPr>
            <w:r>
              <w:rPr>
                <w:rFonts w:hint="eastAsia"/>
                <w:b/>
                <w:bCs w:val="0"/>
                <w:color w:val="auto"/>
                <w:sz w:val="24"/>
                <w:highlight w:val="none"/>
                <w:lang w:eastAsia="zh-CN"/>
              </w:rPr>
              <w:t>2.</w:t>
            </w:r>
            <w:r>
              <w:rPr>
                <w:b/>
                <w:bCs w:val="0"/>
                <w:color w:val="auto"/>
                <w:sz w:val="24"/>
                <w:highlight w:val="none"/>
              </w:rPr>
              <w:t>地表水环境质量现状</w:t>
            </w:r>
          </w:p>
          <w:p>
            <w:pPr>
              <w:pStyle w:val="22"/>
              <w:kinsoku/>
              <w:autoSpaceDE/>
              <w:autoSpaceDN/>
              <w:adjustRightInd/>
              <w:snapToGrid/>
              <w:spacing w:before="0" w:beforeAutospacing="0" w:after="0" w:afterAutospacing="0" w:line="360" w:lineRule="auto"/>
              <w:ind w:firstLine="480" w:firstLineChars="200"/>
              <w:jc w:val="both"/>
              <w:textAlignment w:val="auto"/>
              <w:rPr>
                <w:rFonts w:ascii="Times New Roman" w:hAnsi="Times New Roman" w:eastAsia="宋体"/>
                <w:bCs/>
                <w:color w:val="auto"/>
                <w:szCs w:val="24"/>
                <w:highlight w:val="none"/>
              </w:rPr>
            </w:pPr>
            <w:r>
              <w:rPr>
                <w:color w:val="auto"/>
                <w:sz w:val="24"/>
                <w:highlight w:val="none"/>
              </w:rPr>
              <w:t>项目区域地表水水体为</w:t>
            </w:r>
            <w:r>
              <w:rPr>
                <w:rFonts w:hint="eastAsia"/>
                <w:b/>
                <w:bCs/>
                <w:color w:val="auto"/>
                <w:sz w:val="24"/>
                <w:highlight w:val="none"/>
                <w:lang w:eastAsia="zh-CN"/>
              </w:rPr>
              <w:t>瓦西干渠</w:t>
            </w:r>
            <w:r>
              <w:rPr>
                <w:rFonts w:hint="eastAsia"/>
                <w:color w:val="auto"/>
                <w:sz w:val="24"/>
                <w:highlight w:val="none"/>
                <w:lang w:eastAsia="zh-CN"/>
              </w:rPr>
              <w:t>。</w:t>
            </w:r>
            <w:r>
              <w:rPr>
                <w:rFonts w:hint="default" w:ascii="Times New Roman" w:hAnsi="Times New Roman" w:eastAsia="宋体" w:cs="Times New Roman"/>
                <w:color w:val="auto"/>
                <w:sz w:val="24"/>
                <w:szCs w:val="24"/>
                <w:highlight w:val="none"/>
                <w:lang w:eastAsia="zh-CN"/>
              </w:rPr>
              <w:t>2024年，全市地表水24个监测断面中优良水质比例为91.7%，比上年下降了4.1个百分点，Ⅳ类水质比例8.3%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bCs/>
                <w:color w:val="auto"/>
                <w:szCs w:val="24"/>
                <w:highlight w:val="none"/>
              </w:rPr>
              <w:t>8个国控断面中优良水质比例为87.5%，Ⅳ类水质比例12.5%，水质总体状况良好；11个省控断面中优良水质比例为90.9%，水质总体状况优</w:t>
            </w:r>
            <w:r>
              <w:rPr>
                <w:rFonts w:ascii="Times New Roman" w:hAnsi="Times New Roman" w:eastAsia="宋体"/>
                <w:bCs/>
                <w:color w:val="auto"/>
                <w:szCs w:val="24"/>
                <w:highlight w:val="none"/>
              </w:rPr>
              <w:t>。</w:t>
            </w:r>
          </w:p>
          <w:p>
            <w:pPr>
              <w:pStyle w:val="22"/>
              <w:kinsoku/>
              <w:autoSpaceDE/>
              <w:autoSpaceDN/>
              <w:adjustRightInd/>
              <w:snapToGrid/>
              <w:spacing w:before="0" w:beforeAutospacing="0" w:after="0" w:afterAutospacing="0" w:line="360" w:lineRule="auto"/>
              <w:ind w:firstLine="480" w:firstLineChars="200"/>
              <w:jc w:val="both"/>
              <w:textAlignment w:val="auto"/>
              <w:rPr>
                <w:rFonts w:ascii="Times New Roman" w:hAnsi="Times New Roman" w:eastAsia="宋体"/>
                <w:bCs/>
                <w:color w:val="auto"/>
                <w:szCs w:val="24"/>
                <w:highlight w:val="none"/>
              </w:rPr>
            </w:pPr>
            <w:r>
              <w:rPr>
                <w:rFonts w:hint="eastAsia" w:ascii="Times New Roman" w:hAnsi="Times New Roman" w:eastAsia="宋体"/>
                <w:bCs/>
                <w:color w:val="auto"/>
                <w:szCs w:val="24"/>
                <w:highlight w:val="none"/>
              </w:rPr>
              <w:t>全市辖区内</w:t>
            </w:r>
            <w:r>
              <w:rPr>
                <w:rFonts w:hint="eastAsia" w:ascii="Times New Roman" w:hAnsi="Times New Roman" w:eastAsia="宋体"/>
                <w:b w:val="0"/>
                <w:bCs/>
                <w:color w:val="auto"/>
                <w:szCs w:val="24"/>
                <w:highlight w:val="none"/>
              </w:rPr>
              <w:t>淮河</w:t>
            </w:r>
            <w:r>
              <w:rPr>
                <w:rFonts w:hint="eastAsia" w:ascii="Times New Roman" w:hAnsi="Times New Roman" w:eastAsia="宋体"/>
                <w:bCs/>
                <w:color w:val="auto"/>
                <w:szCs w:val="24"/>
                <w:highlight w:val="none"/>
              </w:rPr>
              <w:t>干流水质状况为优，永幸河和丁家沟水质状况为优，西淝河、</w:t>
            </w:r>
            <w:r>
              <w:rPr>
                <w:rFonts w:hint="eastAsia" w:ascii="Times New Roman" w:hAnsi="Times New Roman" w:eastAsia="宋体"/>
                <w:b w:val="0"/>
                <w:bCs/>
                <w:color w:val="auto"/>
                <w:szCs w:val="24"/>
                <w:highlight w:val="none"/>
              </w:rPr>
              <w:t>东淝河、</w:t>
            </w:r>
            <w:r>
              <w:rPr>
                <w:rFonts w:hint="eastAsia" w:ascii="Times New Roman" w:hAnsi="Times New Roman" w:eastAsia="宋体"/>
                <w:bCs/>
                <w:color w:val="auto"/>
                <w:szCs w:val="24"/>
                <w:highlight w:val="none"/>
              </w:rPr>
              <w:t>架河、泥河、万小河、</w:t>
            </w:r>
            <w:r>
              <w:rPr>
                <w:rFonts w:hint="eastAsia" w:ascii="Times New Roman" w:hAnsi="Times New Roman" w:eastAsia="宋体"/>
                <w:b/>
                <w:bCs w:val="0"/>
                <w:color w:val="auto"/>
                <w:szCs w:val="24"/>
                <w:highlight w:val="none"/>
              </w:rPr>
              <w:t>瓦西干渠</w:t>
            </w:r>
            <w:r>
              <w:rPr>
                <w:rFonts w:hint="eastAsia" w:ascii="Times New Roman" w:hAnsi="Times New Roman" w:eastAsia="宋体"/>
                <w:bCs/>
                <w:color w:val="auto"/>
                <w:szCs w:val="24"/>
                <w:highlight w:val="none"/>
              </w:rPr>
              <w:t>、陡涧河和便民沟水质状况为良好。20个监测断面中优良水质比例为100%，与去年持平。</w:t>
            </w:r>
          </w:p>
          <w:p>
            <w:pPr>
              <w:spacing w:line="360" w:lineRule="auto"/>
              <w:ind w:firstLine="482" w:firstLineChars="200"/>
              <w:rPr>
                <w:b/>
                <w:bCs/>
                <w:color w:val="auto"/>
                <w:sz w:val="24"/>
              </w:rPr>
            </w:pPr>
            <w:r>
              <w:rPr>
                <w:rFonts w:hint="eastAsia"/>
                <w:b/>
                <w:bCs/>
                <w:color w:val="auto"/>
                <w:sz w:val="24"/>
                <w:lang w:eastAsia="zh-CN"/>
              </w:rPr>
              <w:t>3.</w:t>
            </w:r>
            <w:r>
              <w:rPr>
                <w:rFonts w:hint="eastAsia"/>
                <w:b/>
                <w:bCs/>
                <w:color w:val="auto"/>
                <w:sz w:val="24"/>
              </w:rPr>
              <w:t>声环境</w:t>
            </w:r>
          </w:p>
          <w:p>
            <w:pPr>
              <w:pStyle w:val="10"/>
              <w:spacing w:line="360" w:lineRule="auto"/>
              <w:ind w:firstLine="480" w:firstLineChars="200"/>
              <w:rPr>
                <w:color w:val="auto"/>
                <w:sz w:val="24"/>
              </w:rPr>
            </w:pPr>
            <w:r>
              <w:rPr>
                <w:color w:val="auto"/>
                <w:sz w:val="24"/>
              </w:rPr>
              <w:t>建设</w:t>
            </w:r>
            <w:r>
              <w:rPr>
                <w:rFonts w:hint="eastAsia"/>
                <w:color w:val="auto"/>
                <w:sz w:val="24"/>
              </w:rPr>
              <w:t>项目周围50m范围内无环境敏感点。因此不进行声环境现状监测。</w:t>
            </w:r>
          </w:p>
          <w:p>
            <w:pPr>
              <w:spacing w:line="360" w:lineRule="auto"/>
              <w:ind w:firstLine="482" w:firstLineChars="200"/>
              <w:rPr>
                <w:b/>
                <w:bCs/>
                <w:color w:val="auto"/>
                <w:sz w:val="24"/>
              </w:rPr>
            </w:pPr>
            <w:r>
              <w:rPr>
                <w:rFonts w:hint="eastAsia"/>
                <w:b/>
                <w:bCs/>
                <w:color w:val="auto"/>
                <w:sz w:val="24"/>
                <w:lang w:eastAsia="zh-CN"/>
              </w:rPr>
              <w:t>4.</w:t>
            </w:r>
            <w:r>
              <w:rPr>
                <w:rFonts w:hint="eastAsia"/>
                <w:b/>
                <w:bCs/>
                <w:color w:val="auto"/>
                <w:sz w:val="24"/>
              </w:rPr>
              <w:t>地下水环境</w:t>
            </w:r>
          </w:p>
          <w:p>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根据《关于印发《建设项目环境影响报告表》内容、格式及编制技术指南的通知》环办环评〔</w:t>
            </w:r>
            <w:r>
              <w:rPr>
                <w:rFonts w:hint="default" w:ascii="Times New Roman" w:hAnsi="Times New Roman" w:eastAsia="宋体" w:cs="Times New Roman"/>
                <w:color w:val="auto"/>
                <w:kern w:val="0"/>
                <w:sz w:val="24"/>
                <w:szCs w:val="24"/>
                <w:lang w:val="en-US" w:eastAsia="zh-CN" w:bidi="ar"/>
              </w:rPr>
              <w:t>2020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33 </w:t>
            </w:r>
            <w:r>
              <w:rPr>
                <w:rFonts w:hint="eastAsia" w:ascii="宋体" w:hAnsi="宋体" w:eastAsia="宋体" w:cs="宋体"/>
                <w:color w:val="auto"/>
                <w:kern w:val="0"/>
                <w:sz w:val="24"/>
                <w:szCs w:val="24"/>
                <w:lang w:val="en-US" w:eastAsia="zh-CN" w:bidi="ar"/>
              </w:rPr>
              <w:t>号文，本项目做分区防渗措施，不存在地下水和土壤污染途径，故不开展土壤及地下水环境调查。</w:t>
            </w:r>
          </w:p>
          <w:p>
            <w:pPr>
              <w:spacing w:line="360" w:lineRule="auto"/>
              <w:ind w:firstLine="482" w:firstLineChars="200"/>
              <w:rPr>
                <w:b/>
                <w:bCs/>
                <w:color w:val="auto"/>
                <w:sz w:val="24"/>
              </w:rPr>
            </w:pPr>
            <w:r>
              <w:rPr>
                <w:rFonts w:hint="eastAsia"/>
                <w:b/>
                <w:bCs/>
                <w:color w:val="auto"/>
                <w:sz w:val="24"/>
                <w:lang w:eastAsia="zh-CN"/>
              </w:rPr>
              <w:t>5.</w:t>
            </w:r>
            <w:r>
              <w:rPr>
                <w:rFonts w:hint="eastAsia"/>
                <w:b/>
                <w:bCs/>
                <w:color w:val="auto"/>
                <w:sz w:val="24"/>
              </w:rPr>
              <w:t>生态环境</w:t>
            </w:r>
          </w:p>
          <w:p>
            <w:pPr>
              <w:pStyle w:val="10"/>
              <w:spacing w:line="360" w:lineRule="auto"/>
              <w:ind w:firstLine="480" w:firstLineChars="200"/>
              <w:rPr>
                <w:color w:val="auto"/>
              </w:rPr>
            </w:pPr>
            <w:r>
              <w:rPr>
                <w:rFonts w:hint="eastAsia"/>
                <w:color w:val="auto"/>
              </w:rPr>
              <w:t>项目选址位于</w:t>
            </w:r>
            <w:r>
              <w:rPr>
                <w:rFonts w:hint="eastAsia"/>
                <w:color w:val="auto"/>
                <w:lang w:eastAsia="zh-CN"/>
              </w:rPr>
              <w:t>安徽省淮南市寿县众兴镇新店村金圩组境内</w:t>
            </w:r>
            <w:r>
              <w:rPr>
                <w:rFonts w:hint="eastAsia"/>
                <w:color w:val="auto"/>
              </w:rPr>
              <w:t>，厂区所在位置用地类型为</w:t>
            </w:r>
            <w:r>
              <w:rPr>
                <w:rFonts w:hint="eastAsia"/>
                <w:color w:val="auto"/>
                <w:sz w:val="24"/>
                <w:highlight w:val="none"/>
                <w:lang w:eastAsia="zh-CN"/>
              </w:rPr>
              <w:t>设施农用地</w:t>
            </w:r>
            <w:r>
              <w:rPr>
                <w:rFonts w:hint="eastAsia"/>
                <w:color w:val="auto"/>
              </w:rPr>
              <w:t>，项目用地范围内无生态环境保护目标。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5"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636" w:type="dxa"/>
            <w:vAlign w:val="top"/>
          </w:tcPr>
          <w:p>
            <w:pPr>
              <w:adjustRightInd w:val="0"/>
              <w:snapToGrid w:val="0"/>
              <w:spacing w:line="360" w:lineRule="auto"/>
              <w:ind w:firstLine="482" w:firstLineChars="200"/>
              <w:rPr>
                <w:b/>
                <w:bCs/>
                <w:color w:val="auto"/>
                <w:sz w:val="24"/>
              </w:rPr>
            </w:pPr>
            <w:r>
              <w:rPr>
                <w:b/>
                <w:bCs/>
                <w:color w:val="auto"/>
                <w:sz w:val="24"/>
              </w:rPr>
              <w:t>本项目主要环境保护目标如下</w:t>
            </w:r>
          </w:p>
          <w:p>
            <w:pPr>
              <w:jc w:val="center"/>
              <w:rPr>
                <w:color w:val="auto"/>
              </w:rPr>
            </w:pPr>
            <w:r>
              <w:rPr>
                <w:b/>
                <w:bCs/>
                <w:color w:val="auto"/>
                <w:szCs w:val="21"/>
              </w:rPr>
              <w:t>表3-</w:t>
            </w:r>
            <w:r>
              <w:rPr>
                <w:rFonts w:hint="eastAsia"/>
                <w:b/>
                <w:bCs/>
                <w:color w:val="auto"/>
                <w:szCs w:val="21"/>
                <w:lang w:val="en-US" w:eastAsia="zh-CN"/>
              </w:rPr>
              <w:t>2</w:t>
            </w:r>
            <w:r>
              <w:rPr>
                <w:b/>
                <w:bCs/>
                <w:color w:val="auto"/>
                <w:szCs w:val="21"/>
              </w:rPr>
              <w:t xml:space="preserve">  环境保护目标一览表</w:t>
            </w:r>
          </w:p>
          <w:tbl>
            <w:tblPr>
              <w:tblStyle w:val="27"/>
              <w:tblW w:w="84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79"/>
              <w:gridCol w:w="1214"/>
              <w:gridCol w:w="1109"/>
              <w:gridCol w:w="688"/>
              <w:gridCol w:w="930"/>
              <w:gridCol w:w="1666"/>
              <w:gridCol w:w="659"/>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类别</w:t>
                  </w:r>
                </w:p>
              </w:tc>
              <w:tc>
                <w:tcPr>
                  <w:tcW w:w="679"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名称</w:t>
                  </w:r>
                </w:p>
              </w:tc>
              <w:tc>
                <w:tcPr>
                  <w:tcW w:w="2323" w:type="dxa"/>
                  <w:gridSpan w:val="2"/>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坐标</w:t>
                  </w:r>
                </w:p>
              </w:tc>
              <w:tc>
                <w:tcPr>
                  <w:tcW w:w="688"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保护</w:t>
                  </w:r>
                </w:p>
                <w:p>
                  <w:pPr>
                    <w:pStyle w:val="38"/>
                    <w:spacing w:line="240" w:lineRule="auto"/>
                    <w:ind w:firstLine="0"/>
                    <w:jc w:val="center"/>
                    <w:rPr>
                      <w:rFonts w:ascii="Times New Roman"/>
                      <w:color w:val="auto"/>
                      <w:sz w:val="21"/>
                      <w:szCs w:val="21"/>
                    </w:rPr>
                  </w:pPr>
                  <w:r>
                    <w:rPr>
                      <w:rFonts w:ascii="Times New Roman"/>
                      <w:color w:val="auto"/>
                      <w:sz w:val="21"/>
                      <w:szCs w:val="21"/>
                    </w:rPr>
                    <w:t>对象</w:t>
                  </w:r>
                </w:p>
              </w:tc>
              <w:tc>
                <w:tcPr>
                  <w:tcW w:w="930"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保护</w:t>
                  </w:r>
                </w:p>
                <w:p>
                  <w:pPr>
                    <w:pStyle w:val="38"/>
                    <w:spacing w:line="240" w:lineRule="auto"/>
                    <w:ind w:firstLine="0"/>
                    <w:jc w:val="center"/>
                    <w:rPr>
                      <w:rFonts w:ascii="Times New Roman"/>
                      <w:color w:val="auto"/>
                      <w:sz w:val="21"/>
                      <w:szCs w:val="21"/>
                    </w:rPr>
                  </w:pPr>
                  <w:r>
                    <w:rPr>
                      <w:rFonts w:ascii="Times New Roman"/>
                      <w:color w:val="auto"/>
                      <w:sz w:val="21"/>
                      <w:szCs w:val="21"/>
                    </w:rPr>
                    <w:t>内容</w:t>
                  </w:r>
                </w:p>
              </w:tc>
              <w:tc>
                <w:tcPr>
                  <w:tcW w:w="1666"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环境功能</w:t>
                  </w:r>
                </w:p>
              </w:tc>
              <w:tc>
                <w:tcPr>
                  <w:tcW w:w="659"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相对厂址方位</w:t>
                  </w:r>
                </w:p>
              </w:tc>
              <w:tc>
                <w:tcPr>
                  <w:tcW w:w="814"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相对厂界</w:t>
                  </w:r>
                  <w:r>
                    <w:rPr>
                      <w:rFonts w:hint="eastAsia" w:ascii="Times New Roman"/>
                      <w:color w:val="auto"/>
                      <w:sz w:val="21"/>
                      <w:szCs w:val="21"/>
                      <w:highlight w:val="none"/>
                      <w:lang w:val="en-US" w:eastAsia="zh-CN"/>
                    </w:rPr>
                    <w:t>最近</w:t>
                  </w:r>
                  <w:r>
                    <w:rPr>
                      <w:rFonts w:ascii="Times New Roman"/>
                      <w:color w:val="auto"/>
                      <w:sz w:val="21"/>
                      <w:szCs w:val="21"/>
                      <w:highlight w:val="none"/>
                    </w:rPr>
                    <w:t>距离</w:t>
                  </w:r>
                  <w:r>
                    <w:rPr>
                      <w:rFonts w:ascii="Times New Roman"/>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Merge w:val="continue"/>
                  <w:vAlign w:val="center"/>
                </w:tcPr>
                <w:p>
                  <w:pPr>
                    <w:pStyle w:val="38"/>
                    <w:spacing w:line="240" w:lineRule="auto"/>
                    <w:ind w:firstLine="0"/>
                    <w:jc w:val="center"/>
                    <w:rPr>
                      <w:rFonts w:ascii="Times New Roman"/>
                      <w:color w:val="auto"/>
                      <w:sz w:val="21"/>
                      <w:szCs w:val="21"/>
                    </w:rPr>
                  </w:pPr>
                </w:p>
              </w:tc>
              <w:tc>
                <w:tcPr>
                  <w:tcW w:w="679" w:type="dxa"/>
                  <w:vMerge w:val="continue"/>
                  <w:vAlign w:val="center"/>
                </w:tcPr>
                <w:p>
                  <w:pPr>
                    <w:pStyle w:val="38"/>
                    <w:spacing w:line="240" w:lineRule="auto"/>
                    <w:ind w:firstLine="0"/>
                    <w:jc w:val="center"/>
                    <w:rPr>
                      <w:rFonts w:ascii="Times New Roman"/>
                      <w:color w:val="auto"/>
                      <w:sz w:val="21"/>
                      <w:szCs w:val="21"/>
                    </w:rPr>
                  </w:pPr>
                </w:p>
              </w:tc>
              <w:tc>
                <w:tcPr>
                  <w:tcW w:w="1214"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经度</w:t>
                  </w:r>
                </w:p>
              </w:tc>
              <w:tc>
                <w:tcPr>
                  <w:tcW w:w="1109"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纬度</w:t>
                  </w:r>
                </w:p>
              </w:tc>
              <w:tc>
                <w:tcPr>
                  <w:tcW w:w="688" w:type="dxa"/>
                  <w:vMerge w:val="continue"/>
                  <w:vAlign w:val="center"/>
                </w:tcPr>
                <w:p>
                  <w:pPr>
                    <w:pStyle w:val="38"/>
                    <w:spacing w:line="240" w:lineRule="auto"/>
                    <w:ind w:firstLine="0"/>
                    <w:jc w:val="center"/>
                    <w:rPr>
                      <w:rFonts w:ascii="Times New Roman"/>
                      <w:color w:val="auto"/>
                      <w:sz w:val="21"/>
                      <w:szCs w:val="21"/>
                    </w:rPr>
                  </w:pPr>
                </w:p>
              </w:tc>
              <w:tc>
                <w:tcPr>
                  <w:tcW w:w="930" w:type="dxa"/>
                  <w:vMerge w:val="continue"/>
                  <w:vAlign w:val="center"/>
                </w:tcPr>
                <w:p>
                  <w:pPr>
                    <w:pStyle w:val="38"/>
                    <w:spacing w:line="240" w:lineRule="auto"/>
                    <w:ind w:firstLine="0"/>
                    <w:jc w:val="center"/>
                    <w:rPr>
                      <w:rFonts w:ascii="Times New Roman"/>
                      <w:color w:val="auto"/>
                      <w:sz w:val="21"/>
                      <w:szCs w:val="21"/>
                    </w:rPr>
                  </w:pPr>
                </w:p>
              </w:tc>
              <w:tc>
                <w:tcPr>
                  <w:tcW w:w="1666" w:type="dxa"/>
                  <w:vMerge w:val="continue"/>
                  <w:vAlign w:val="center"/>
                </w:tcPr>
                <w:p>
                  <w:pPr>
                    <w:pStyle w:val="38"/>
                    <w:spacing w:line="240" w:lineRule="auto"/>
                    <w:ind w:firstLine="0"/>
                    <w:jc w:val="center"/>
                    <w:rPr>
                      <w:rFonts w:ascii="Times New Roman"/>
                      <w:color w:val="auto"/>
                      <w:sz w:val="21"/>
                      <w:szCs w:val="21"/>
                    </w:rPr>
                  </w:pPr>
                </w:p>
              </w:tc>
              <w:tc>
                <w:tcPr>
                  <w:tcW w:w="659" w:type="dxa"/>
                  <w:vMerge w:val="continue"/>
                  <w:vAlign w:val="center"/>
                </w:tcPr>
                <w:p>
                  <w:pPr>
                    <w:pStyle w:val="38"/>
                    <w:spacing w:line="240" w:lineRule="auto"/>
                    <w:ind w:firstLine="0"/>
                    <w:jc w:val="center"/>
                    <w:rPr>
                      <w:rFonts w:ascii="Times New Roman"/>
                      <w:color w:val="auto"/>
                      <w:sz w:val="21"/>
                      <w:szCs w:val="21"/>
                    </w:rPr>
                  </w:pPr>
                </w:p>
              </w:tc>
              <w:tc>
                <w:tcPr>
                  <w:tcW w:w="814" w:type="dxa"/>
                  <w:vMerge w:val="continue"/>
                  <w:vAlign w:val="center"/>
                </w:tcPr>
                <w:p>
                  <w:pPr>
                    <w:pStyle w:val="38"/>
                    <w:spacing w:line="240" w:lineRule="auto"/>
                    <w:ind w:firstLine="0"/>
                    <w:jc w:val="center"/>
                    <w:rPr>
                      <w:rFonts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Merge w:val="restart"/>
                  <w:vAlign w:val="center"/>
                </w:tcPr>
                <w:p>
                  <w:pPr>
                    <w:pStyle w:val="38"/>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679" w:type="dxa"/>
                  <w:vAlign w:val="center"/>
                </w:tcPr>
                <w:p>
                  <w:pPr>
                    <w:pStyle w:val="38"/>
                    <w:spacing w:line="240" w:lineRule="auto"/>
                    <w:ind w:firstLine="0"/>
                    <w:jc w:val="center"/>
                    <w:rPr>
                      <w:rFonts w:hint="default"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甄郢</w:t>
                  </w:r>
                </w:p>
              </w:tc>
              <w:tc>
                <w:tcPr>
                  <w:tcW w:w="1214" w:type="dxa"/>
                  <w:vAlign w:val="center"/>
                </w:tcPr>
                <w:p>
                  <w:pPr>
                    <w:pStyle w:val="38"/>
                    <w:spacing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116.618480</w:t>
                  </w:r>
                </w:p>
              </w:tc>
              <w:tc>
                <w:tcPr>
                  <w:tcW w:w="1109" w:type="dxa"/>
                  <w:vAlign w:val="center"/>
                </w:tcPr>
                <w:p>
                  <w:pPr>
                    <w:pStyle w:val="38"/>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32.026244</w:t>
                  </w:r>
                </w:p>
              </w:tc>
              <w:tc>
                <w:tcPr>
                  <w:tcW w:w="688" w:type="dxa"/>
                  <w:vAlign w:val="center"/>
                </w:tcPr>
                <w:p>
                  <w:pPr>
                    <w:pStyle w:val="38"/>
                    <w:spacing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居民</w:t>
                  </w:r>
                </w:p>
              </w:tc>
              <w:tc>
                <w:tcPr>
                  <w:tcW w:w="930" w:type="dxa"/>
                  <w:vAlign w:val="center"/>
                </w:tcPr>
                <w:p>
                  <w:pPr>
                    <w:pStyle w:val="38"/>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约60人</w:t>
                  </w:r>
                </w:p>
              </w:tc>
              <w:tc>
                <w:tcPr>
                  <w:tcW w:w="1666" w:type="dxa"/>
                  <w:vMerge w:val="restart"/>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《环境空气质量标准》</w:t>
                  </w:r>
                  <w:r>
                    <w:rPr>
                      <w:rFonts w:hint="eastAsia" w:ascii="Times New Roman"/>
                      <w:color w:val="auto"/>
                      <w:sz w:val="21"/>
                      <w:szCs w:val="21"/>
                      <w:lang w:eastAsia="zh-CN"/>
                    </w:rPr>
                    <w:t>（</w:t>
                  </w:r>
                  <w:r>
                    <w:rPr>
                      <w:rFonts w:ascii="Times New Roman"/>
                      <w:color w:val="auto"/>
                      <w:sz w:val="21"/>
                      <w:szCs w:val="21"/>
                    </w:rPr>
                    <w:t>GB3095-20</w:t>
                  </w:r>
                  <w:r>
                    <w:rPr>
                      <w:rFonts w:hint="eastAsia" w:ascii="Times New Roman"/>
                      <w:color w:val="auto"/>
                      <w:sz w:val="21"/>
                      <w:szCs w:val="21"/>
                      <w:lang w:val="en-US" w:eastAsia="zh-CN"/>
                    </w:rPr>
                    <w:t>26</w:t>
                  </w:r>
                  <w:r>
                    <w:rPr>
                      <w:rFonts w:hint="eastAsia" w:ascii="Times New Roman"/>
                      <w:color w:val="auto"/>
                      <w:sz w:val="21"/>
                      <w:szCs w:val="21"/>
                      <w:lang w:eastAsia="zh-CN"/>
                    </w:rPr>
                    <w:t>）</w:t>
                  </w:r>
                  <w:r>
                    <w:rPr>
                      <w:rFonts w:ascii="Times New Roman"/>
                      <w:color w:val="auto"/>
                      <w:sz w:val="21"/>
                      <w:szCs w:val="21"/>
                    </w:rPr>
                    <w:t>二级标准</w:t>
                  </w:r>
                </w:p>
              </w:tc>
              <w:tc>
                <w:tcPr>
                  <w:tcW w:w="659"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南侧</w:t>
                  </w:r>
                </w:p>
              </w:tc>
              <w:tc>
                <w:tcPr>
                  <w:tcW w:w="814"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Merge w:val="continue"/>
                  <w:vAlign w:val="center"/>
                </w:tcPr>
                <w:p>
                  <w:pPr>
                    <w:pStyle w:val="38"/>
                    <w:spacing w:line="240" w:lineRule="auto"/>
                    <w:ind w:firstLine="0"/>
                    <w:jc w:val="center"/>
                    <w:rPr>
                      <w:rFonts w:hint="default" w:ascii="Times New Roman" w:hAnsi="Times New Roman" w:cs="Times New Roman"/>
                      <w:color w:val="auto"/>
                      <w:sz w:val="21"/>
                      <w:szCs w:val="21"/>
                    </w:rPr>
                  </w:pPr>
                </w:p>
              </w:tc>
              <w:tc>
                <w:tcPr>
                  <w:tcW w:w="679" w:type="dxa"/>
                  <w:vAlign w:val="center"/>
                </w:tcPr>
                <w:p>
                  <w:pPr>
                    <w:pStyle w:val="38"/>
                    <w:spacing w:line="240" w:lineRule="auto"/>
                    <w:ind w:firstLine="0"/>
                    <w:jc w:val="center"/>
                    <w:rPr>
                      <w:rFonts w:hint="default" w:ascii="Times New Roman" w:hAnsi="Times New Roman" w:cs="Times New Roman"/>
                      <w:color w:val="auto"/>
                      <w:sz w:val="21"/>
                      <w:szCs w:val="21"/>
                      <w:lang w:eastAsia="zh-CN"/>
                    </w:rPr>
                  </w:pPr>
                  <w:r>
                    <w:rPr>
                      <w:rFonts w:hint="eastAsia" w:ascii="Times New Roman" w:cs="Times New Roman"/>
                      <w:color w:val="auto"/>
                      <w:sz w:val="21"/>
                      <w:szCs w:val="21"/>
                      <w:lang w:eastAsia="zh-CN"/>
                    </w:rPr>
                    <w:t>楼东</w:t>
                  </w:r>
                </w:p>
              </w:tc>
              <w:tc>
                <w:tcPr>
                  <w:tcW w:w="1214" w:type="dxa"/>
                  <w:vAlign w:val="center"/>
                </w:tcPr>
                <w:p>
                  <w:pPr>
                    <w:pStyle w:val="38"/>
                    <w:spacing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116.620218</w:t>
                  </w:r>
                </w:p>
              </w:tc>
              <w:tc>
                <w:tcPr>
                  <w:tcW w:w="1109" w:type="dxa"/>
                  <w:vAlign w:val="center"/>
                </w:tcPr>
                <w:p>
                  <w:pPr>
                    <w:pStyle w:val="38"/>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32.030027</w:t>
                  </w:r>
                </w:p>
              </w:tc>
              <w:tc>
                <w:tcPr>
                  <w:tcW w:w="688" w:type="dxa"/>
                  <w:vAlign w:val="center"/>
                </w:tcPr>
                <w:p>
                  <w:pPr>
                    <w:pStyle w:val="38"/>
                    <w:spacing w:line="240" w:lineRule="auto"/>
                    <w:ind w:firstLine="0"/>
                    <w:jc w:val="center"/>
                    <w:rPr>
                      <w:rFonts w:hint="default" w:ascii="Times New Roman" w:hAns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居民</w:t>
                  </w:r>
                </w:p>
              </w:tc>
              <w:tc>
                <w:tcPr>
                  <w:tcW w:w="930" w:type="dxa"/>
                  <w:vAlign w:val="center"/>
                </w:tcPr>
                <w:p>
                  <w:pPr>
                    <w:pStyle w:val="38"/>
                    <w:spacing w:line="240" w:lineRule="auto"/>
                    <w:ind w:firstLine="0"/>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约90人</w:t>
                  </w:r>
                </w:p>
              </w:tc>
              <w:tc>
                <w:tcPr>
                  <w:tcW w:w="1666" w:type="dxa"/>
                  <w:vMerge w:val="continue"/>
                  <w:vAlign w:val="center"/>
                </w:tcPr>
                <w:p>
                  <w:pPr>
                    <w:pStyle w:val="38"/>
                    <w:spacing w:line="240" w:lineRule="auto"/>
                    <w:ind w:firstLine="0"/>
                    <w:jc w:val="center"/>
                    <w:rPr>
                      <w:rFonts w:ascii="Times New Roman"/>
                      <w:color w:val="auto"/>
                      <w:sz w:val="21"/>
                      <w:szCs w:val="21"/>
                    </w:rPr>
                  </w:pPr>
                </w:p>
              </w:tc>
              <w:tc>
                <w:tcPr>
                  <w:tcW w:w="659"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东北</w:t>
                  </w:r>
                </w:p>
              </w:tc>
              <w:tc>
                <w:tcPr>
                  <w:tcW w:w="814"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Merge w:val="continue"/>
                  <w:vAlign w:val="center"/>
                </w:tcPr>
                <w:p>
                  <w:pPr>
                    <w:pStyle w:val="38"/>
                    <w:spacing w:line="240" w:lineRule="auto"/>
                    <w:ind w:firstLine="0"/>
                    <w:jc w:val="center"/>
                    <w:rPr>
                      <w:rFonts w:hint="default" w:ascii="Times New Roman" w:hAnsi="Times New Roman" w:cs="Times New Roman"/>
                      <w:color w:val="auto"/>
                      <w:sz w:val="21"/>
                      <w:szCs w:val="21"/>
                    </w:rPr>
                  </w:pPr>
                </w:p>
              </w:tc>
              <w:tc>
                <w:tcPr>
                  <w:tcW w:w="679" w:type="dxa"/>
                  <w:vAlign w:val="center"/>
                </w:tcPr>
                <w:p>
                  <w:pPr>
                    <w:pStyle w:val="38"/>
                    <w:spacing w:line="240" w:lineRule="auto"/>
                    <w:ind w:firstLine="0"/>
                    <w:jc w:val="center"/>
                    <w:rPr>
                      <w:rFonts w:hint="default" w:ascii="Times New Roman" w:hAnsi="Times New Roman" w:eastAsia="宋体" w:cs="Times New Roman"/>
                      <w:color w:val="auto"/>
                      <w:sz w:val="21"/>
                      <w:szCs w:val="21"/>
                      <w:lang w:eastAsia="zh-CN"/>
                    </w:rPr>
                  </w:pPr>
                  <w:r>
                    <w:rPr>
                      <w:rFonts w:hint="eastAsia" w:ascii="Times New Roman" w:cs="Times New Roman"/>
                      <w:b w:val="0"/>
                      <w:bCs w:val="0"/>
                      <w:snapToGrid w:val="0"/>
                      <w:color w:val="auto"/>
                      <w:kern w:val="0"/>
                      <w:sz w:val="21"/>
                      <w:lang w:eastAsia="zh-CN"/>
                    </w:rPr>
                    <w:t>金家楼台</w:t>
                  </w:r>
                </w:p>
              </w:tc>
              <w:tc>
                <w:tcPr>
                  <w:tcW w:w="1214" w:type="dxa"/>
                  <w:vAlign w:val="center"/>
                </w:tcPr>
                <w:p>
                  <w:pPr>
                    <w:pStyle w:val="38"/>
                    <w:spacing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116.618802</w:t>
                  </w:r>
                </w:p>
              </w:tc>
              <w:tc>
                <w:tcPr>
                  <w:tcW w:w="1109" w:type="dxa"/>
                  <w:vAlign w:val="center"/>
                </w:tcPr>
                <w:p>
                  <w:pPr>
                    <w:pStyle w:val="38"/>
                    <w:spacing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32.031101</w:t>
                  </w:r>
                </w:p>
              </w:tc>
              <w:tc>
                <w:tcPr>
                  <w:tcW w:w="688" w:type="dxa"/>
                  <w:vAlign w:val="center"/>
                </w:tcPr>
                <w:p>
                  <w:pPr>
                    <w:pStyle w:val="38"/>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p>
              </w:tc>
              <w:tc>
                <w:tcPr>
                  <w:tcW w:w="930" w:type="dxa"/>
                  <w:vAlign w:val="center"/>
                </w:tcPr>
                <w:p>
                  <w:pPr>
                    <w:pStyle w:val="38"/>
                    <w:spacing w:line="240" w:lineRule="auto"/>
                    <w:ind w:firstLine="0"/>
                    <w:jc w:val="center"/>
                    <w:rPr>
                      <w:rFonts w:hint="default" w:ascii="Times New Roman" w:hAnsi="Times New Roman" w:cs="Times New Roman"/>
                      <w:b w:val="0"/>
                      <w:bCs w:val="0"/>
                      <w:color w:val="auto"/>
                      <w:sz w:val="18"/>
                      <w:szCs w:val="18"/>
                    </w:rPr>
                  </w:pPr>
                  <w:r>
                    <w:rPr>
                      <w:rFonts w:hint="default" w:ascii="Times New Roman" w:hAnsi="Times New Roman" w:cs="Times New Roman"/>
                      <w:color w:val="auto"/>
                      <w:sz w:val="21"/>
                      <w:szCs w:val="21"/>
                    </w:rPr>
                    <w:t>约</w:t>
                  </w:r>
                  <w:r>
                    <w:rPr>
                      <w:rFonts w:hint="eastAsia" w:ascii="Times New Roman" w:cs="Times New Roman"/>
                      <w:color w:val="auto"/>
                      <w:sz w:val="21"/>
                      <w:szCs w:val="21"/>
                      <w:lang w:val="en-US" w:eastAsia="zh-CN"/>
                    </w:rPr>
                    <w:t>50</w:t>
                  </w:r>
                  <w:r>
                    <w:rPr>
                      <w:rFonts w:hint="default" w:ascii="Times New Roman" w:hAnsi="Times New Roman" w:cs="Times New Roman"/>
                      <w:color w:val="auto"/>
                      <w:sz w:val="21"/>
                      <w:szCs w:val="21"/>
                    </w:rPr>
                    <w:t>人</w:t>
                  </w:r>
                </w:p>
              </w:tc>
              <w:tc>
                <w:tcPr>
                  <w:tcW w:w="1666" w:type="dxa"/>
                  <w:vMerge w:val="continue"/>
                  <w:vAlign w:val="center"/>
                </w:tcPr>
                <w:p>
                  <w:pPr>
                    <w:pStyle w:val="38"/>
                    <w:spacing w:line="240" w:lineRule="auto"/>
                    <w:ind w:firstLine="0"/>
                    <w:jc w:val="center"/>
                    <w:rPr>
                      <w:rFonts w:ascii="Times New Roman"/>
                      <w:color w:val="auto"/>
                      <w:sz w:val="21"/>
                      <w:szCs w:val="21"/>
                    </w:rPr>
                  </w:pPr>
                </w:p>
              </w:tc>
              <w:tc>
                <w:tcPr>
                  <w:tcW w:w="659"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西北</w:t>
                  </w:r>
                </w:p>
              </w:tc>
              <w:tc>
                <w:tcPr>
                  <w:tcW w:w="814"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声环境</w:t>
                  </w:r>
                </w:p>
              </w:tc>
              <w:tc>
                <w:tcPr>
                  <w:tcW w:w="4620" w:type="dxa"/>
                  <w:gridSpan w:val="5"/>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50m范围内无声环境保护目标</w:t>
                  </w:r>
                </w:p>
              </w:tc>
              <w:tc>
                <w:tcPr>
                  <w:tcW w:w="1666"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《声环境质量标准》（GB3096-2008）</w:t>
                  </w:r>
                  <w:r>
                    <w:rPr>
                      <w:rFonts w:hint="eastAsia" w:ascii="Times New Roman"/>
                      <w:color w:val="auto"/>
                      <w:sz w:val="21"/>
                      <w:szCs w:val="21"/>
                      <w:lang w:val="en-US" w:eastAsia="zh-CN"/>
                    </w:rPr>
                    <w:t>1</w:t>
                  </w:r>
                  <w:r>
                    <w:rPr>
                      <w:rFonts w:ascii="Times New Roman"/>
                      <w:color w:val="auto"/>
                      <w:sz w:val="21"/>
                      <w:szCs w:val="21"/>
                    </w:rPr>
                    <w:t>类标准。</w:t>
                  </w:r>
                </w:p>
              </w:tc>
              <w:tc>
                <w:tcPr>
                  <w:tcW w:w="659"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w:t>
                  </w:r>
                </w:p>
              </w:tc>
              <w:tc>
                <w:tcPr>
                  <w:tcW w:w="814"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地下水 环境</w:t>
                  </w:r>
                </w:p>
              </w:tc>
              <w:tc>
                <w:tcPr>
                  <w:tcW w:w="7759" w:type="dxa"/>
                  <w:gridSpan w:val="8"/>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本项目厂界500米范围内无地下水集中式饮用水水源和热水、矿泉水、温泉等特殊地下水资源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46"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生态环境</w:t>
                  </w:r>
                </w:p>
              </w:tc>
              <w:tc>
                <w:tcPr>
                  <w:tcW w:w="7759" w:type="dxa"/>
                  <w:gridSpan w:val="8"/>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本项目位于</w:t>
                  </w:r>
                  <w:r>
                    <w:rPr>
                      <w:rFonts w:hint="eastAsia" w:ascii="Times New Roman"/>
                      <w:color w:val="auto"/>
                      <w:sz w:val="21"/>
                      <w:szCs w:val="21"/>
                      <w:lang w:eastAsia="zh-CN"/>
                    </w:rPr>
                    <w:t>安徽省淮南市寿县众兴镇新店村金圩组</w:t>
                  </w:r>
                  <w:r>
                    <w:rPr>
                      <w:rFonts w:ascii="Times New Roman"/>
                      <w:color w:val="auto"/>
                      <w:sz w:val="21"/>
                      <w:szCs w:val="21"/>
                    </w:rPr>
                    <w:t>，无生态环境保护目标。</w:t>
                  </w:r>
                </w:p>
              </w:tc>
            </w:tr>
          </w:tbl>
          <w:p>
            <w:pPr>
              <w:pStyle w:val="38"/>
              <w:ind w:firstLine="0"/>
              <w:rPr>
                <w:rFonts w:ascii="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25" w:type="dxa"/>
            <w:tcMar>
              <w:left w:w="28" w:type="dxa"/>
              <w:right w:w="28" w:type="dxa"/>
            </w:tcMar>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636" w:type="dxa"/>
            <w:vAlign w:val="top"/>
          </w:tcPr>
          <w:p>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eastAsia="zh-CN"/>
              </w:rPr>
              <w:t>1.</w:t>
            </w:r>
            <w:r>
              <w:rPr>
                <w:b/>
                <w:bCs/>
                <w:color w:val="auto"/>
                <w:kern w:val="0"/>
                <w:sz w:val="24"/>
                <w:highlight w:val="none"/>
              </w:rPr>
              <w:t>水污染物排放标准</w:t>
            </w:r>
          </w:p>
          <w:p>
            <w:pPr>
              <w:spacing w:line="360" w:lineRule="auto"/>
              <w:ind w:firstLine="480" w:firstLineChars="200"/>
              <w:rPr>
                <w:rFonts w:hint="eastAsia" w:ascii="Times New Roman" w:hAnsi="Times New Roman" w:eastAsia="宋体" w:cs="Times New Roman"/>
                <w:b w:val="0"/>
                <w:bCs w:val="0"/>
                <w:i w:val="0"/>
                <w:iCs w:val="0"/>
                <w:caps w:val="0"/>
                <w:color w:val="auto"/>
                <w:spacing w:val="0"/>
                <w:sz w:val="24"/>
                <w:szCs w:val="24"/>
                <w:shd w:val="clear" w:fill="FFFFFF"/>
                <w:lang w:eastAsia="zh-CN"/>
              </w:rPr>
            </w:pPr>
            <w:r>
              <w:rPr>
                <w:color w:val="auto"/>
                <w:kern w:val="0"/>
                <w:sz w:val="24"/>
                <w:highlight w:val="none"/>
              </w:rPr>
              <w:t>本项目主要废水为生活污水，</w:t>
            </w:r>
            <w:r>
              <w:rPr>
                <w:rFonts w:hint="eastAsia"/>
                <w:color w:val="auto"/>
                <w:kern w:val="0"/>
                <w:sz w:val="24"/>
                <w:highlight w:val="none"/>
                <w:lang w:eastAsia="zh-CN"/>
              </w:rPr>
              <w:t>经化粪池预处理后经厂区</w:t>
            </w:r>
            <w:r>
              <w:rPr>
                <w:rFonts w:ascii="Segoe UI" w:hAnsi="Segoe UI" w:eastAsia="Segoe UI" w:cs="Segoe UI"/>
                <w:i w:val="0"/>
                <w:iCs w:val="0"/>
                <w:caps w:val="0"/>
                <w:spacing w:val="0"/>
                <w:sz w:val="24"/>
                <w:szCs w:val="24"/>
                <w:shd w:val="clear" w:fill="FFFFFF"/>
              </w:rPr>
              <w:t>一体化污水处理设备</w:t>
            </w:r>
            <w:r>
              <w:rPr>
                <w:rFonts w:hint="eastAsia" w:ascii="Segoe UI" w:hAnsi="Segoe UI" w:eastAsia="宋体" w:cs="Segoe UI"/>
                <w:i w:val="0"/>
                <w:iCs w:val="0"/>
                <w:caps w:val="0"/>
                <w:spacing w:val="0"/>
                <w:sz w:val="24"/>
                <w:szCs w:val="24"/>
                <w:shd w:val="clear" w:fill="FFFFFF"/>
                <w:lang w:eastAsia="zh-CN"/>
              </w:rPr>
              <w:t>处理达到</w:t>
            </w:r>
            <w:r>
              <w:rPr>
                <w:rFonts w:hint="default" w:ascii="Times New Roman" w:hAnsi="Times New Roman" w:eastAsia="Segoe UI" w:cs="Times New Roman"/>
                <w:b w:val="0"/>
                <w:bCs w:val="0"/>
                <w:i w:val="0"/>
                <w:iCs w:val="0"/>
                <w:caps w:val="0"/>
                <w:color w:val="auto"/>
                <w:spacing w:val="0"/>
                <w:sz w:val="24"/>
                <w:szCs w:val="24"/>
                <w:shd w:val="clear" w:fill="FFFFFF"/>
              </w:rPr>
              <w:t>《城市污水再生利用 城市杂用水水质》（GB/T 18920-2020）中</w:t>
            </w:r>
            <w:r>
              <w:rPr>
                <w:rFonts w:hint="eastAsia" w:ascii="Times New Roman" w:hAnsi="Times New Roman" w:eastAsia="宋体" w:cs="Times New Roman"/>
                <w:b w:val="0"/>
                <w:bCs w:val="0"/>
                <w:i w:val="0"/>
                <w:iCs w:val="0"/>
                <w:caps w:val="0"/>
                <w:color w:val="auto"/>
                <w:spacing w:val="0"/>
                <w:sz w:val="24"/>
                <w:szCs w:val="24"/>
                <w:shd w:val="clear" w:fill="FFFFFF"/>
                <w:lang w:eastAsia="zh-CN"/>
              </w:rPr>
              <w:t>“</w:t>
            </w:r>
            <w:r>
              <w:rPr>
                <w:rFonts w:hint="default" w:ascii="Times New Roman" w:hAnsi="Times New Roman" w:eastAsia="Segoe UI" w:cs="Times New Roman"/>
                <w:b w:val="0"/>
                <w:bCs w:val="0"/>
                <w:i w:val="0"/>
                <w:iCs w:val="0"/>
                <w:caps w:val="0"/>
                <w:color w:val="auto"/>
                <w:spacing w:val="0"/>
                <w:sz w:val="24"/>
                <w:szCs w:val="24"/>
                <w:shd w:val="clear" w:fill="FFFFFF"/>
              </w:rPr>
              <w:t>道路清扫、消防</w:t>
            </w:r>
            <w:r>
              <w:rPr>
                <w:rFonts w:hint="eastAsia" w:ascii="Times New Roman" w:hAnsi="Times New Roman" w:eastAsia="宋体" w:cs="Times New Roman"/>
                <w:b w:val="0"/>
                <w:bCs w:val="0"/>
                <w:i w:val="0"/>
                <w:iCs w:val="0"/>
                <w:caps w:val="0"/>
                <w:color w:val="auto"/>
                <w:spacing w:val="0"/>
                <w:sz w:val="24"/>
                <w:szCs w:val="24"/>
                <w:shd w:val="clear" w:fill="FFFFFF"/>
                <w:lang w:eastAsia="zh-CN"/>
              </w:rPr>
              <w:t>”</w:t>
            </w:r>
            <w:r>
              <w:rPr>
                <w:rFonts w:hint="default" w:ascii="Times New Roman" w:hAnsi="Times New Roman" w:eastAsia="Segoe UI" w:cs="Times New Roman"/>
                <w:b w:val="0"/>
                <w:bCs w:val="0"/>
                <w:i w:val="0"/>
                <w:iCs w:val="0"/>
                <w:caps w:val="0"/>
                <w:color w:val="auto"/>
                <w:spacing w:val="0"/>
                <w:sz w:val="24"/>
                <w:szCs w:val="24"/>
                <w:shd w:val="clear" w:fill="FFFFFF"/>
              </w:rPr>
              <w:t>标准</w:t>
            </w:r>
            <w:r>
              <w:rPr>
                <w:rFonts w:hint="eastAsia" w:ascii="Times New Roman" w:hAnsi="Times New Roman" w:eastAsia="宋体" w:cs="Times New Roman"/>
                <w:b w:val="0"/>
                <w:bCs w:val="0"/>
                <w:i w:val="0"/>
                <w:iCs w:val="0"/>
                <w:caps w:val="0"/>
                <w:color w:val="auto"/>
                <w:spacing w:val="0"/>
                <w:sz w:val="24"/>
                <w:szCs w:val="24"/>
                <w:shd w:val="clear" w:fill="FFFFFF"/>
                <w:lang w:eastAsia="zh-CN"/>
              </w:rPr>
              <w:t>（浊度≤10 NTU、BOD₅≤10 mg/L、氨氮≤8 mg/L）后回用于厂区抑尘处理。</w:t>
            </w:r>
          </w:p>
          <w:p>
            <w:pPr>
              <w:spacing w:line="360" w:lineRule="auto"/>
              <w:ind w:firstLine="482" w:firstLineChars="200"/>
              <w:rPr>
                <w:b/>
                <w:bCs/>
                <w:color w:val="auto"/>
                <w:sz w:val="24"/>
              </w:rPr>
            </w:pPr>
            <w:r>
              <w:rPr>
                <w:rFonts w:hint="eastAsia"/>
                <w:b/>
                <w:bCs/>
                <w:color w:val="auto"/>
                <w:sz w:val="24"/>
                <w:lang w:eastAsia="zh-CN"/>
              </w:rPr>
              <w:t>2.</w:t>
            </w:r>
            <w:r>
              <w:rPr>
                <w:b/>
                <w:bCs/>
                <w:color w:val="auto"/>
                <w:sz w:val="24"/>
              </w:rPr>
              <w:t>大气污染物排放标准</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本项目颗粒物排放执行《大气污染物综合排放标准》（GB16297-1996）表2中的二级标准及无组织排放监控浓度限值，</w:t>
            </w:r>
            <w:r>
              <w:rPr>
                <w:rFonts w:ascii="Times New Roman" w:hAnsi="Times New Roman" w:eastAsia="宋体" w:cs="Times New Roman"/>
                <w:sz w:val="24"/>
              </w:rPr>
              <w:t>具体见</w:t>
            </w:r>
            <w:r>
              <w:rPr>
                <w:rFonts w:hint="eastAsia" w:ascii="Times New Roman" w:hAnsi="Times New Roman" w:eastAsia="宋体" w:cs="Times New Roman"/>
                <w:sz w:val="24"/>
                <w:lang w:eastAsia="zh-CN"/>
              </w:rPr>
              <w:t>下表</w:t>
            </w:r>
            <w:r>
              <w:rPr>
                <w:rFonts w:ascii="Times New Roman" w:hAnsi="Times New Roman" w:eastAsia="宋体" w:cs="Times New Roman"/>
                <w:color w:val="000000"/>
                <w:sz w:val="24"/>
              </w:rPr>
              <w:t>。</w:t>
            </w:r>
          </w:p>
          <w:p>
            <w:pPr>
              <w:pStyle w:val="60"/>
              <w:rPr>
                <w:rFonts w:eastAsia="宋体"/>
                <w:bCs/>
                <w:szCs w:val="21"/>
                <w:lang w:val="en-US" w:eastAsia="zh-CN"/>
              </w:rPr>
            </w:pPr>
            <w:r>
              <w:rPr>
                <w:rFonts w:eastAsia="宋体"/>
                <w:lang w:val="en-US" w:eastAsia="zh-CN"/>
              </w:rPr>
              <w:t>表3-</w:t>
            </w:r>
            <w:r>
              <w:rPr>
                <w:rFonts w:hint="eastAsia"/>
                <w:lang w:val="en-US" w:eastAsia="zh-CN"/>
              </w:rPr>
              <w:t>3</w:t>
            </w:r>
            <w:r>
              <w:rPr>
                <w:rFonts w:eastAsia="宋体"/>
                <w:lang w:val="en-US" w:eastAsia="zh-CN"/>
              </w:rPr>
              <w:t xml:space="preserve"> 废气污染物排放标准</w:t>
            </w:r>
          </w:p>
          <w:tbl>
            <w:tblPr>
              <w:tblStyle w:val="27"/>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368"/>
              <w:gridCol w:w="1112"/>
              <w:gridCol w:w="978"/>
              <w:gridCol w:w="1016"/>
              <w:gridCol w:w="926"/>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4"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tc>
              <w:tc>
                <w:tcPr>
                  <w:tcW w:w="1368"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最高允许排放浓度限值</w:t>
                  </w:r>
                </w:p>
                <w:p>
                  <w:pPr>
                    <w:adjustRightInd w:val="0"/>
                    <w:snapToGrid w:val="0"/>
                    <w:jc w:val="center"/>
                    <w:rPr>
                      <w:rFonts w:ascii="Times New Roman" w:hAnsi="Times New Roman" w:cs="Times New Roman"/>
                      <w:szCs w:val="21"/>
                    </w:rPr>
                  </w:pPr>
                  <w:r>
                    <w:rPr>
                      <w:rFonts w:ascii="Times New Roman" w:hAnsi="Times New Roman" w:cs="Times New Roman"/>
                      <w:szCs w:val="21"/>
                    </w:rPr>
                    <w:t>（mg/m</w:t>
                  </w:r>
                  <w:r>
                    <w:rPr>
                      <w:rFonts w:ascii="Times New Roman" w:hAnsi="Times New Roman" w:cs="Times New Roman"/>
                      <w:szCs w:val="21"/>
                      <w:vertAlign w:val="superscript"/>
                    </w:rPr>
                    <w:t>3</w:t>
                  </w:r>
                  <w:r>
                    <w:rPr>
                      <w:rFonts w:ascii="Times New Roman" w:hAnsi="Times New Roman" w:cs="Times New Roman"/>
                      <w:szCs w:val="21"/>
                    </w:rPr>
                    <w:t>）</w:t>
                  </w:r>
                </w:p>
              </w:tc>
              <w:tc>
                <w:tcPr>
                  <w:tcW w:w="2090"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最高允许排放速率</w:t>
                  </w:r>
                </w:p>
              </w:tc>
              <w:tc>
                <w:tcPr>
                  <w:tcW w:w="1942"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无组织排放监控浓度限值</w:t>
                  </w:r>
                </w:p>
              </w:tc>
              <w:tc>
                <w:tcPr>
                  <w:tcW w:w="2022" w:type="dxa"/>
                  <w:vMerge w:val="restart"/>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04" w:type="dxa"/>
                  <w:vMerge w:val="continue"/>
                  <w:vAlign w:val="center"/>
                </w:tcPr>
                <w:p>
                  <w:pPr>
                    <w:snapToGrid w:val="0"/>
                    <w:jc w:val="center"/>
                    <w:rPr>
                      <w:rFonts w:ascii="Times New Roman" w:hAnsi="Times New Roman" w:eastAsia="宋体" w:cs="Times New Roman"/>
                      <w:bCs/>
                      <w:szCs w:val="21"/>
                    </w:rPr>
                  </w:pPr>
                </w:p>
              </w:tc>
              <w:tc>
                <w:tcPr>
                  <w:tcW w:w="1368" w:type="dxa"/>
                  <w:vMerge w:val="continue"/>
                  <w:vAlign w:val="center"/>
                </w:tcPr>
                <w:p>
                  <w:pPr>
                    <w:snapToGrid w:val="0"/>
                    <w:jc w:val="center"/>
                    <w:rPr>
                      <w:rFonts w:ascii="Times New Roman" w:hAnsi="Times New Roman" w:eastAsia="宋体" w:cs="Times New Roman"/>
                      <w:bCs/>
                      <w:szCs w:val="21"/>
                    </w:rPr>
                  </w:pPr>
                </w:p>
              </w:tc>
              <w:tc>
                <w:tcPr>
                  <w:tcW w:w="111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排气筒高度（m）</w:t>
                  </w:r>
                </w:p>
              </w:tc>
              <w:tc>
                <w:tcPr>
                  <w:tcW w:w="978"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速率（kg/h）</w:t>
                  </w:r>
                </w:p>
              </w:tc>
              <w:tc>
                <w:tcPr>
                  <w:tcW w:w="101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监控点</w:t>
                  </w:r>
                </w:p>
              </w:tc>
              <w:tc>
                <w:tcPr>
                  <w:tcW w:w="92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浓度mg/m</w:t>
                  </w:r>
                  <w:r>
                    <w:rPr>
                      <w:rFonts w:ascii="Times New Roman" w:hAnsi="Times New Roman" w:cs="Times New Roman"/>
                      <w:szCs w:val="21"/>
                      <w:vertAlign w:val="superscript"/>
                    </w:rPr>
                    <w:t>3</w:t>
                  </w:r>
                </w:p>
              </w:tc>
              <w:tc>
                <w:tcPr>
                  <w:tcW w:w="2022" w:type="dxa"/>
                  <w:vMerge w:val="continue"/>
                  <w:vAlign w:val="center"/>
                </w:tcPr>
                <w:p>
                  <w:pPr>
                    <w:snapToGrid w:val="0"/>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04" w:type="dxa"/>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颗粒物</w:t>
                  </w:r>
                </w:p>
              </w:tc>
              <w:tc>
                <w:tcPr>
                  <w:tcW w:w="1368"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120</w:t>
                  </w:r>
                </w:p>
              </w:tc>
              <w:tc>
                <w:tcPr>
                  <w:tcW w:w="1112"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15</w:t>
                  </w:r>
                </w:p>
              </w:tc>
              <w:tc>
                <w:tcPr>
                  <w:tcW w:w="978"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3.5</w:t>
                  </w:r>
                </w:p>
              </w:tc>
              <w:tc>
                <w:tcPr>
                  <w:tcW w:w="1016"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在厂界外设置监控点</w:t>
                  </w:r>
                </w:p>
              </w:tc>
              <w:tc>
                <w:tcPr>
                  <w:tcW w:w="926"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1.0</w:t>
                  </w:r>
                </w:p>
              </w:tc>
              <w:tc>
                <w:tcPr>
                  <w:tcW w:w="2022" w:type="dxa"/>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w:t>
                  </w:r>
                </w:p>
              </w:tc>
            </w:tr>
          </w:tbl>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color w:val="000000"/>
                <w:sz w:val="24"/>
              </w:rPr>
              <w:t>本项目</w:t>
            </w:r>
            <w:r>
              <w:rPr>
                <w:rFonts w:ascii="Times New Roman" w:hAnsi="Times New Roman" w:eastAsia="宋体" w:cs="Times New Roman"/>
                <w:sz w:val="24"/>
              </w:rPr>
              <w:t>生物质热风炉燃烧废气排放执行《工业窑炉大气污染综合治理方案》（环大气</w:t>
            </w:r>
            <w:r>
              <w:rPr>
                <w:rFonts w:hint="eastAsia" w:cs="Times New Roman"/>
                <w:sz w:val="24"/>
                <w:lang w:eastAsia="zh-CN"/>
              </w:rPr>
              <w:t>〔2019〕56号</w:t>
            </w:r>
            <w:r>
              <w:rPr>
                <w:rFonts w:ascii="Times New Roman" w:hAnsi="Times New Roman" w:eastAsia="宋体" w:cs="Times New Roman"/>
                <w:sz w:val="24"/>
              </w:rPr>
              <w:t>）中大气污染物特别排放限值中废气特别排放标准</w:t>
            </w:r>
            <w:r>
              <w:rPr>
                <w:rFonts w:ascii="Times New Roman" w:hAnsi="Times New Roman" w:eastAsia="宋体" w:cs="Times New Roman"/>
                <w:color w:val="000000"/>
                <w:sz w:val="24"/>
              </w:rPr>
              <w:t>，</w:t>
            </w:r>
            <w:r>
              <w:rPr>
                <w:rFonts w:ascii="Times New Roman" w:hAnsi="Times New Roman" w:eastAsia="宋体" w:cs="Times New Roman"/>
                <w:sz w:val="24"/>
              </w:rPr>
              <w:t>具体见</w:t>
            </w:r>
            <w:r>
              <w:rPr>
                <w:rFonts w:hint="eastAsia" w:ascii="Times New Roman" w:hAnsi="Times New Roman" w:eastAsia="宋体" w:cs="Times New Roman"/>
                <w:sz w:val="24"/>
                <w:lang w:eastAsia="zh-CN"/>
              </w:rPr>
              <w:t>下表</w:t>
            </w:r>
            <w:r>
              <w:rPr>
                <w:rFonts w:ascii="Times New Roman" w:hAnsi="Times New Roman" w:eastAsia="宋体" w:cs="Times New Roman"/>
                <w:sz w:val="24"/>
              </w:rPr>
              <w:t>。</w:t>
            </w:r>
          </w:p>
          <w:p>
            <w:pPr>
              <w:pStyle w:val="60"/>
              <w:rPr>
                <w:rFonts w:eastAsia="宋体"/>
                <w:bCs/>
                <w:szCs w:val="21"/>
                <w:lang w:val="en-US" w:eastAsia="zh-CN"/>
              </w:rPr>
            </w:pPr>
            <w:r>
              <w:rPr>
                <w:rFonts w:eastAsia="宋体"/>
                <w:lang w:val="en-US" w:eastAsia="zh-CN"/>
              </w:rPr>
              <w:t>表3-</w:t>
            </w:r>
            <w:r>
              <w:rPr>
                <w:rFonts w:hint="eastAsia"/>
                <w:lang w:val="en-US" w:eastAsia="zh-CN"/>
              </w:rPr>
              <w:t>4</w:t>
            </w:r>
            <w:r>
              <w:rPr>
                <w:rFonts w:eastAsia="宋体"/>
                <w:lang w:val="en-US" w:eastAsia="zh-CN"/>
              </w:rPr>
              <w:t xml:space="preserve"> 《工业窑炉大气污染综合治理方案》（环大气</w:t>
            </w:r>
            <w:r>
              <w:rPr>
                <w:rFonts w:hint="eastAsia"/>
                <w:lang w:val="en-US" w:eastAsia="zh-CN"/>
              </w:rPr>
              <w:t>〔2019〕56号</w:t>
            </w:r>
            <w:r>
              <w:rPr>
                <w:rFonts w:eastAsia="宋体"/>
                <w:lang w:val="en-US" w:eastAsia="zh-CN"/>
              </w:rPr>
              <w:t>）</w:t>
            </w:r>
          </w:p>
          <w:tbl>
            <w:tblPr>
              <w:tblStyle w:val="27"/>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125"/>
              <w:gridCol w:w="3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 w:hRule="atLeast"/>
              </w:trPr>
              <w:tc>
                <w:tcPr>
                  <w:tcW w:w="1701"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color w:val="000000"/>
                      <w:sz w:val="21"/>
                      <w:szCs w:val="21"/>
                      <w:lang w:val="en-US" w:eastAsia="zh-CN"/>
                    </w:rPr>
                    <w:t>炉窑类别</w:t>
                  </w:r>
                </w:p>
              </w:tc>
              <w:tc>
                <w:tcPr>
                  <w:tcW w:w="3125"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污染物类别</w:t>
                  </w:r>
                </w:p>
              </w:tc>
              <w:tc>
                <w:tcPr>
                  <w:tcW w:w="3581"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color w:val="000000"/>
                      <w:sz w:val="21"/>
                      <w:szCs w:val="21"/>
                      <w:lang w:val="en-US" w:eastAsia="zh-CN"/>
                    </w:rPr>
                    <w:t>排放限值mg/m</w:t>
                  </w:r>
                  <w:r>
                    <w:rPr>
                      <w:rFonts w:eastAsia="宋体"/>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 w:hRule="atLeast"/>
              </w:trPr>
              <w:tc>
                <w:tcPr>
                  <w:tcW w:w="1701" w:type="dxa"/>
                  <w:vMerge w:val="restart"/>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干燥炉、窑</w:t>
                  </w:r>
                </w:p>
              </w:tc>
              <w:tc>
                <w:tcPr>
                  <w:tcW w:w="3125"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烟尘</w:t>
                  </w:r>
                </w:p>
              </w:tc>
              <w:tc>
                <w:tcPr>
                  <w:tcW w:w="3581"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 w:hRule="atLeast"/>
              </w:trPr>
              <w:tc>
                <w:tcPr>
                  <w:tcW w:w="1701" w:type="dxa"/>
                  <w:vMerge w:val="continue"/>
                  <w:vAlign w:val="center"/>
                </w:tcPr>
                <w:p>
                  <w:pPr>
                    <w:pStyle w:val="13"/>
                    <w:spacing w:after="0" w:line="240" w:lineRule="atLeast"/>
                    <w:ind w:left="0" w:leftChars="0" w:firstLine="0"/>
                    <w:jc w:val="center"/>
                    <w:rPr>
                      <w:rFonts w:eastAsia="宋体"/>
                      <w:snapToGrid w:val="0"/>
                      <w:color w:val="000000"/>
                      <w:sz w:val="21"/>
                      <w:szCs w:val="21"/>
                      <w:lang w:val="en-US" w:eastAsia="zh-CN"/>
                    </w:rPr>
                  </w:pPr>
                </w:p>
              </w:tc>
              <w:tc>
                <w:tcPr>
                  <w:tcW w:w="3125"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SO</w:t>
                  </w:r>
                  <w:r>
                    <w:rPr>
                      <w:rFonts w:eastAsia="宋体"/>
                      <w:snapToGrid w:val="0"/>
                      <w:color w:val="000000"/>
                      <w:sz w:val="21"/>
                      <w:szCs w:val="21"/>
                      <w:vertAlign w:val="subscript"/>
                      <w:lang w:val="en-US" w:eastAsia="zh-CN"/>
                    </w:rPr>
                    <w:t>2</w:t>
                  </w:r>
                </w:p>
              </w:tc>
              <w:tc>
                <w:tcPr>
                  <w:tcW w:w="3581"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 w:hRule="atLeast"/>
              </w:trPr>
              <w:tc>
                <w:tcPr>
                  <w:tcW w:w="1701" w:type="dxa"/>
                  <w:vMerge w:val="continue"/>
                  <w:vAlign w:val="center"/>
                </w:tcPr>
                <w:p>
                  <w:pPr>
                    <w:pStyle w:val="13"/>
                    <w:spacing w:after="0" w:line="240" w:lineRule="atLeast"/>
                    <w:ind w:left="0" w:leftChars="0" w:firstLine="0"/>
                    <w:jc w:val="center"/>
                    <w:rPr>
                      <w:rFonts w:eastAsia="宋体"/>
                      <w:snapToGrid w:val="0"/>
                      <w:color w:val="000000"/>
                      <w:sz w:val="21"/>
                      <w:szCs w:val="21"/>
                      <w:lang w:val="en-US" w:eastAsia="zh-CN"/>
                    </w:rPr>
                  </w:pPr>
                </w:p>
              </w:tc>
              <w:tc>
                <w:tcPr>
                  <w:tcW w:w="3125"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NO</w:t>
                  </w:r>
                  <w:r>
                    <w:rPr>
                      <w:rFonts w:eastAsia="宋体"/>
                      <w:snapToGrid w:val="0"/>
                      <w:color w:val="000000"/>
                      <w:sz w:val="21"/>
                      <w:szCs w:val="21"/>
                      <w:vertAlign w:val="subscript"/>
                      <w:lang w:val="en-US" w:eastAsia="zh-CN"/>
                    </w:rPr>
                    <w:t>X</w:t>
                  </w:r>
                </w:p>
              </w:tc>
              <w:tc>
                <w:tcPr>
                  <w:tcW w:w="3581" w:type="dxa"/>
                  <w:vAlign w:val="center"/>
                </w:tcPr>
                <w:p>
                  <w:pPr>
                    <w:pStyle w:val="13"/>
                    <w:spacing w:after="0" w:line="240" w:lineRule="atLeast"/>
                    <w:ind w:left="0" w:leftChars="0" w:firstLine="0" w:firstLineChars="0"/>
                    <w:jc w:val="center"/>
                    <w:rPr>
                      <w:rFonts w:eastAsia="宋体"/>
                      <w:snapToGrid w:val="0"/>
                      <w:color w:val="000000"/>
                      <w:sz w:val="21"/>
                      <w:szCs w:val="21"/>
                      <w:lang w:val="en-US" w:eastAsia="zh-CN"/>
                    </w:rPr>
                  </w:pPr>
                  <w:r>
                    <w:rPr>
                      <w:rFonts w:eastAsia="宋体"/>
                      <w:snapToGrid w:val="0"/>
                      <w:color w:val="000000"/>
                      <w:sz w:val="21"/>
                      <w:szCs w:val="21"/>
                      <w:lang w:val="en-US" w:eastAsia="zh-CN"/>
                    </w:rPr>
                    <w:t>300</w:t>
                  </w:r>
                </w:p>
              </w:tc>
            </w:tr>
          </w:tbl>
          <w:p>
            <w:pPr>
              <w:autoSpaceDE w:val="0"/>
              <w:autoSpaceDN w:val="0"/>
              <w:adjustRightInd w:val="0"/>
              <w:ind w:firstLine="422" w:firstLineChars="200"/>
              <w:jc w:val="center"/>
              <w:rPr>
                <w:b/>
                <w:color w:val="auto"/>
                <w:kern w:val="0"/>
                <w:szCs w:val="21"/>
              </w:rPr>
            </w:pPr>
          </w:p>
          <w:p>
            <w:pPr>
              <w:spacing w:line="360" w:lineRule="auto"/>
              <w:ind w:firstLine="482" w:firstLineChars="200"/>
              <w:rPr>
                <w:b/>
                <w:bCs/>
                <w:color w:val="auto"/>
                <w:sz w:val="24"/>
              </w:rPr>
            </w:pPr>
            <w:r>
              <w:rPr>
                <w:rFonts w:hint="eastAsia"/>
                <w:b/>
                <w:bCs/>
                <w:color w:val="auto"/>
                <w:sz w:val="24"/>
                <w:lang w:eastAsia="zh-CN"/>
              </w:rPr>
              <w:t>3.</w:t>
            </w:r>
            <w:r>
              <w:rPr>
                <w:b/>
                <w:bCs/>
                <w:color w:val="auto"/>
                <w:sz w:val="24"/>
              </w:rPr>
              <w:t>噪声排放标准</w:t>
            </w:r>
          </w:p>
          <w:p>
            <w:pPr>
              <w:spacing w:line="360" w:lineRule="auto"/>
              <w:ind w:firstLine="480" w:firstLineChars="200"/>
              <w:rPr>
                <w:rFonts w:hint="eastAsia" w:eastAsia="宋体"/>
                <w:color w:val="auto"/>
                <w:sz w:val="24"/>
                <w:lang w:eastAsia="zh-CN"/>
              </w:rPr>
            </w:pPr>
            <w:r>
              <w:rPr>
                <w:color w:val="auto"/>
                <w:sz w:val="24"/>
              </w:rPr>
              <w:t>运营期</w:t>
            </w:r>
            <w:r>
              <w:rPr>
                <w:rFonts w:hint="eastAsia"/>
                <w:color w:val="auto"/>
                <w:sz w:val="24"/>
                <w:lang w:eastAsia="zh-CN"/>
              </w:rPr>
              <w:t>厂界北侧、南侧、西侧</w:t>
            </w:r>
            <w:r>
              <w:rPr>
                <w:color w:val="auto"/>
                <w:sz w:val="24"/>
              </w:rPr>
              <w:t>噪声排放执行《工业企业厂界环境噪声排放标准》（GB12348-2008）中</w:t>
            </w:r>
            <w:r>
              <w:rPr>
                <w:rFonts w:hint="eastAsia"/>
                <w:color w:val="auto"/>
                <w:sz w:val="24"/>
                <w:lang w:val="en-US" w:eastAsia="zh-CN"/>
              </w:rPr>
              <w:t>2</w:t>
            </w:r>
            <w:r>
              <w:rPr>
                <w:color w:val="auto"/>
                <w:sz w:val="24"/>
              </w:rPr>
              <w:t>类标准</w:t>
            </w:r>
            <w:r>
              <w:rPr>
                <w:rFonts w:hint="eastAsia"/>
                <w:color w:val="auto"/>
                <w:sz w:val="24"/>
                <w:lang w:eastAsia="zh-CN"/>
              </w:rPr>
              <w:t>，厂界东侧临近主干道，噪声</w:t>
            </w:r>
            <w:r>
              <w:rPr>
                <w:color w:val="auto"/>
                <w:sz w:val="24"/>
              </w:rPr>
              <w:t>排放执行《工业企业厂界环境噪声排放标准》（GB12348-2008）中</w:t>
            </w:r>
            <w:r>
              <w:rPr>
                <w:rFonts w:hint="eastAsia"/>
                <w:color w:val="auto"/>
                <w:sz w:val="24"/>
                <w:lang w:val="en-US" w:eastAsia="zh-CN"/>
              </w:rPr>
              <w:t>4</w:t>
            </w:r>
            <w:r>
              <w:rPr>
                <w:color w:val="auto"/>
                <w:sz w:val="24"/>
              </w:rPr>
              <w:t>类标准。其标准限值详见下表：</w:t>
            </w:r>
          </w:p>
          <w:p>
            <w:pPr>
              <w:autoSpaceDE w:val="0"/>
              <w:autoSpaceDN w:val="0"/>
              <w:adjustRightInd w:val="0"/>
              <w:jc w:val="center"/>
              <w:rPr>
                <w:b/>
                <w:color w:val="auto"/>
                <w:kern w:val="0"/>
                <w:szCs w:val="21"/>
              </w:rPr>
            </w:pPr>
            <w:r>
              <w:rPr>
                <w:b/>
                <w:color w:val="auto"/>
                <w:kern w:val="0"/>
                <w:szCs w:val="21"/>
              </w:rPr>
              <w:t>表3-</w:t>
            </w:r>
            <w:r>
              <w:rPr>
                <w:rFonts w:hint="eastAsia"/>
                <w:b/>
                <w:color w:val="auto"/>
                <w:kern w:val="0"/>
                <w:szCs w:val="21"/>
                <w:lang w:val="en-US" w:eastAsia="zh-CN"/>
              </w:rPr>
              <w:t>5</w:t>
            </w:r>
            <w:r>
              <w:rPr>
                <w:b/>
                <w:color w:val="auto"/>
                <w:kern w:val="0"/>
                <w:szCs w:val="21"/>
              </w:rPr>
              <w:t xml:space="preserve">  厂界噪声排放限值 单位dB（A）</w:t>
            </w:r>
          </w:p>
          <w:tbl>
            <w:tblPr>
              <w:tblStyle w:val="27"/>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4"/>
              <w:gridCol w:w="1797"/>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vAlign w:val="center"/>
                </w:tcPr>
                <w:p>
                  <w:pPr>
                    <w:pStyle w:val="30"/>
                    <w:numPr>
                      <w:ilvl w:val="0"/>
                      <w:numId w:val="0"/>
                    </w:numPr>
                    <w:jc w:val="center"/>
                    <w:rPr>
                      <w:rFonts w:ascii="Times New Roman" w:hAnsi="Times New Roman"/>
                      <w:b/>
                      <w:bCs/>
                      <w:color w:val="auto"/>
                      <w:sz w:val="21"/>
                      <w:szCs w:val="21"/>
                    </w:rPr>
                  </w:pPr>
                  <w:r>
                    <w:rPr>
                      <w:rFonts w:ascii="Times New Roman" w:hAnsi="Times New Roman"/>
                      <w:b/>
                      <w:bCs/>
                      <w:color w:val="auto"/>
                      <w:sz w:val="21"/>
                      <w:szCs w:val="21"/>
                    </w:rPr>
                    <w:t>标准</w:t>
                  </w:r>
                </w:p>
              </w:tc>
              <w:tc>
                <w:tcPr>
                  <w:tcW w:w="1797" w:type="dxa"/>
                  <w:vAlign w:val="center"/>
                </w:tcPr>
                <w:p>
                  <w:pPr>
                    <w:pStyle w:val="30"/>
                    <w:numPr>
                      <w:ilvl w:val="0"/>
                      <w:numId w:val="0"/>
                    </w:numPr>
                    <w:jc w:val="center"/>
                    <w:rPr>
                      <w:rFonts w:ascii="Times New Roman" w:hAnsi="Times New Roman"/>
                      <w:b/>
                      <w:bCs/>
                      <w:color w:val="auto"/>
                      <w:sz w:val="21"/>
                      <w:szCs w:val="21"/>
                    </w:rPr>
                  </w:pPr>
                  <w:r>
                    <w:rPr>
                      <w:rFonts w:hint="eastAsia" w:ascii="Times New Roman" w:hAnsi="Times New Roman"/>
                      <w:b/>
                      <w:bCs/>
                      <w:color w:val="auto"/>
                      <w:kern w:val="0"/>
                      <w:sz w:val="21"/>
                      <w:szCs w:val="21"/>
                      <w:lang w:eastAsia="zh-CN"/>
                    </w:rPr>
                    <w:t>昼</w:t>
                  </w:r>
                  <w:r>
                    <w:rPr>
                      <w:rFonts w:ascii="Times New Roman" w:hAnsi="Times New Roman"/>
                      <w:b/>
                      <w:bCs/>
                      <w:color w:val="auto"/>
                      <w:kern w:val="0"/>
                      <w:sz w:val="21"/>
                      <w:szCs w:val="21"/>
                    </w:rPr>
                    <w:t>间</w:t>
                  </w:r>
                </w:p>
              </w:tc>
              <w:tc>
                <w:tcPr>
                  <w:tcW w:w="2775" w:type="dxa"/>
                  <w:vAlign w:val="center"/>
                </w:tcPr>
                <w:p>
                  <w:pPr>
                    <w:pStyle w:val="30"/>
                    <w:numPr>
                      <w:ilvl w:val="0"/>
                      <w:numId w:val="0"/>
                    </w:numPr>
                    <w:jc w:val="center"/>
                    <w:rPr>
                      <w:rFonts w:ascii="Times New Roman" w:hAnsi="Times New Roman"/>
                      <w:b/>
                      <w:bCs/>
                      <w:color w:val="auto"/>
                      <w:sz w:val="21"/>
                      <w:szCs w:val="21"/>
                    </w:rPr>
                  </w:pPr>
                  <w:r>
                    <w:rPr>
                      <w:rFonts w:ascii="Times New Roman" w:hAnsi="Times New Roman"/>
                      <w:b/>
                      <w:bCs/>
                      <w:color w:val="auto"/>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vAlign w:val="center"/>
                </w:tcPr>
                <w:p>
                  <w:pPr>
                    <w:pStyle w:val="30"/>
                    <w:numPr>
                      <w:ilvl w:val="0"/>
                      <w:numId w:val="0"/>
                    </w:numPr>
                    <w:jc w:val="center"/>
                    <w:rPr>
                      <w:rFonts w:ascii="Times New Roman" w:hAnsi="Times New Roman"/>
                      <w:color w:val="auto"/>
                      <w:sz w:val="21"/>
                      <w:szCs w:val="21"/>
                    </w:rPr>
                  </w:pPr>
                  <w:r>
                    <w:rPr>
                      <w:rFonts w:ascii="Times New Roman" w:hAnsi="Times New Roman"/>
                      <w:color w:val="auto"/>
                      <w:kern w:val="0"/>
                      <w:sz w:val="21"/>
                      <w:szCs w:val="21"/>
                    </w:rPr>
                    <w:t>（GB12348-2008）</w:t>
                  </w:r>
                  <w:r>
                    <w:rPr>
                      <w:rFonts w:hint="eastAsia" w:ascii="Times New Roman" w:hAnsi="Times New Roman"/>
                      <w:color w:val="auto"/>
                      <w:kern w:val="0"/>
                      <w:sz w:val="21"/>
                      <w:szCs w:val="21"/>
                      <w:lang w:val="en-US" w:eastAsia="zh-CN"/>
                    </w:rPr>
                    <w:t>2</w:t>
                  </w:r>
                  <w:r>
                    <w:rPr>
                      <w:rFonts w:ascii="Times New Roman" w:hAnsi="Times New Roman"/>
                      <w:color w:val="auto"/>
                      <w:kern w:val="0"/>
                      <w:sz w:val="21"/>
                      <w:szCs w:val="21"/>
                    </w:rPr>
                    <w:t>类功能区排放标准</w:t>
                  </w:r>
                </w:p>
              </w:tc>
              <w:tc>
                <w:tcPr>
                  <w:tcW w:w="1797" w:type="dxa"/>
                  <w:vAlign w:val="center"/>
                </w:tcPr>
                <w:p>
                  <w:pPr>
                    <w:pStyle w:val="30"/>
                    <w:numPr>
                      <w:ilvl w:val="0"/>
                      <w:numId w:val="0"/>
                    </w:num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c>
                <w:tcPr>
                  <w:tcW w:w="2775" w:type="dxa"/>
                  <w:vAlign w:val="center"/>
                </w:tcPr>
                <w:p>
                  <w:pPr>
                    <w:pStyle w:val="30"/>
                    <w:numPr>
                      <w:ilvl w:val="0"/>
                      <w:numId w:val="0"/>
                    </w:num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vAlign w:val="center"/>
                </w:tcPr>
                <w:p>
                  <w:pPr>
                    <w:pStyle w:val="30"/>
                    <w:numPr>
                      <w:ilvl w:val="0"/>
                      <w:numId w:val="0"/>
                    </w:numPr>
                    <w:jc w:val="center"/>
                    <w:rPr>
                      <w:rFonts w:ascii="Times New Roman" w:hAnsi="Times New Roman"/>
                      <w:color w:val="auto"/>
                      <w:kern w:val="0"/>
                      <w:sz w:val="21"/>
                      <w:szCs w:val="21"/>
                    </w:rPr>
                  </w:pPr>
                  <w:r>
                    <w:rPr>
                      <w:rFonts w:ascii="Times New Roman" w:hAnsi="Times New Roman"/>
                      <w:color w:val="auto"/>
                      <w:kern w:val="0"/>
                      <w:sz w:val="21"/>
                      <w:szCs w:val="21"/>
                    </w:rPr>
                    <w:t>（GB12348-2008）</w:t>
                  </w:r>
                  <w:r>
                    <w:rPr>
                      <w:rFonts w:hint="eastAsia" w:ascii="Times New Roman" w:hAnsi="Times New Roman"/>
                      <w:color w:val="auto"/>
                      <w:kern w:val="0"/>
                      <w:sz w:val="21"/>
                      <w:szCs w:val="21"/>
                      <w:lang w:val="en-US" w:eastAsia="zh-CN"/>
                    </w:rPr>
                    <w:t>4</w:t>
                  </w:r>
                  <w:r>
                    <w:rPr>
                      <w:rFonts w:ascii="Times New Roman" w:hAnsi="Times New Roman"/>
                      <w:color w:val="auto"/>
                      <w:kern w:val="0"/>
                      <w:sz w:val="21"/>
                      <w:szCs w:val="21"/>
                    </w:rPr>
                    <w:t>类功能区排放标准</w:t>
                  </w:r>
                </w:p>
              </w:tc>
              <w:tc>
                <w:tcPr>
                  <w:tcW w:w="1797" w:type="dxa"/>
                  <w:vAlign w:val="center"/>
                </w:tcPr>
                <w:p>
                  <w:pPr>
                    <w:pStyle w:val="30"/>
                    <w:numPr>
                      <w:ilvl w:val="0"/>
                      <w:numId w:val="0"/>
                    </w:num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70</w:t>
                  </w:r>
                </w:p>
              </w:tc>
              <w:tc>
                <w:tcPr>
                  <w:tcW w:w="2775" w:type="dxa"/>
                  <w:vAlign w:val="center"/>
                </w:tcPr>
                <w:p>
                  <w:pPr>
                    <w:pStyle w:val="30"/>
                    <w:numPr>
                      <w:ilvl w:val="0"/>
                      <w:numId w:val="0"/>
                    </w:num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55</w:t>
                  </w:r>
                </w:p>
              </w:tc>
            </w:tr>
          </w:tbl>
          <w:p>
            <w:pPr>
              <w:autoSpaceDE w:val="0"/>
              <w:autoSpaceDN w:val="0"/>
              <w:adjustRightInd w:val="0"/>
              <w:jc w:val="center"/>
              <w:rPr>
                <w:b/>
                <w:color w:val="auto"/>
                <w:kern w:val="0"/>
                <w:szCs w:val="21"/>
              </w:rPr>
            </w:pPr>
          </w:p>
          <w:p>
            <w:pPr>
              <w:spacing w:line="360" w:lineRule="auto"/>
              <w:ind w:firstLine="482" w:firstLineChars="200"/>
              <w:textAlignment w:val="baseline"/>
              <w:rPr>
                <w:color w:val="auto"/>
                <w:sz w:val="24"/>
              </w:rPr>
            </w:pPr>
            <w:r>
              <w:rPr>
                <w:rFonts w:hint="eastAsia"/>
                <w:b/>
                <w:bCs/>
                <w:color w:val="auto"/>
                <w:sz w:val="24"/>
                <w:lang w:eastAsia="zh-CN"/>
              </w:rPr>
              <w:t>4.</w:t>
            </w:r>
            <w:r>
              <w:rPr>
                <w:b/>
                <w:bCs/>
                <w:color w:val="auto"/>
                <w:sz w:val="24"/>
              </w:rPr>
              <w:t>固体废物排放标准</w:t>
            </w:r>
          </w:p>
          <w:p>
            <w:pPr>
              <w:spacing w:line="360" w:lineRule="auto"/>
              <w:ind w:firstLine="480" w:firstLineChars="200"/>
              <w:rPr>
                <w:color w:val="auto"/>
                <w:kern w:val="0"/>
                <w:sz w:val="24"/>
              </w:rPr>
            </w:pPr>
            <w:r>
              <w:rPr>
                <w:color w:val="auto"/>
                <w:sz w:val="24"/>
              </w:rPr>
              <w:t>一般工业固体废物贮存执行《一般工业固体废物贮存和填埋污染控制标准》（GB 18599-2020）。危险废物贮存执行《危险废物贮存污染控制标准》 （GB18597-2023）。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25" w:hRule="atLeast"/>
          <w:jc w:val="center"/>
        </w:trPr>
        <w:tc>
          <w:tcPr>
            <w:tcW w:w="425"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636" w:type="dxa"/>
            <w:vAlign w:val="top"/>
          </w:tcPr>
          <w:p>
            <w:pPr>
              <w:pStyle w:val="30"/>
              <w:numPr>
                <w:ilvl w:val="1"/>
                <w:numId w:val="0"/>
              </w:numPr>
              <w:spacing w:line="360" w:lineRule="auto"/>
              <w:ind w:firstLine="480" w:firstLineChars="200"/>
              <w:rPr>
                <w:rFonts w:hint="eastAsia" w:ascii="Times New Roman" w:hAnsi="Times New Roman"/>
                <w:b w:val="0"/>
                <w:bCs/>
                <w:color w:val="auto"/>
                <w:highlight w:val="none"/>
              </w:rPr>
            </w:pPr>
            <w:r>
              <w:rPr>
                <w:rFonts w:hint="eastAsia" w:ascii="Times New Roman" w:hAnsi="Times New Roman"/>
                <w:b w:val="0"/>
                <w:bCs/>
                <w:color w:val="auto"/>
                <w:highlight w:val="none"/>
              </w:rPr>
              <w:t>根据《国务院关于印发</w:t>
            </w:r>
            <w:r>
              <w:rPr>
                <w:rFonts w:hint="eastAsia" w:ascii="Times New Roman" w:hAnsi="Times New Roman"/>
                <w:b w:val="0"/>
                <w:bCs/>
                <w:color w:val="auto"/>
                <w:highlight w:val="none"/>
                <w:lang w:eastAsia="zh-CN"/>
              </w:rPr>
              <w:t>〈</w:t>
            </w:r>
            <w:r>
              <w:rPr>
                <w:rFonts w:hint="eastAsia" w:ascii="Times New Roman" w:hAnsi="Times New Roman"/>
                <w:b w:val="0"/>
                <w:bCs/>
                <w:color w:val="auto"/>
                <w:highlight w:val="none"/>
              </w:rPr>
              <w:t>“十四五”节能减排综合性工作方案</w:t>
            </w:r>
            <w:r>
              <w:rPr>
                <w:rFonts w:hint="eastAsia" w:ascii="Times New Roman" w:hAnsi="Times New Roman"/>
                <w:b w:val="0"/>
                <w:bCs/>
                <w:color w:val="auto"/>
                <w:highlight w:val="none"/>
                <w:lang w:eastAsia="zh-CN"/>
              </w:rPr>
              <w:t>〉的通知》</w:t>
            </w:r>
            <w:r>
              <w:rPr>
                <w:rFonts w:hint="eastAsia" w:ascii="Times New Roman" w:hAnsi="Times New Roman"/>
                <w:b w:val="0"/>
                <w:bCs/>
                <w:color w:val="auto"/>
                <w:highlight w:val="none"/>
              </w:rPr>
              <w:t>（国发</w:t>
            </w:r>
            <w:r>
              <w:rPr>
                <w:rFonts w:hint="eastAsia" w:ascii="Times New Roman" w:hAnsi="Times New Roman"/>
                <w:b w:val="0"/>
                <w:bCs/>
                <w:color w:val="auto"/>
                <w:highlight w:val="none"/>
                <w:lang w:eastAsia="zh-CN"/>
              </w:rPr>
              <w:t>〔2021〕</w:t>
            </w:r>
            <w:r>
              <w:rPr>
                <w:rFonts w:hint="eastAsia" w:ascii="Times New Roman" w:hAnsi="Times New Roman"/>
                <w:b w:val="0"/>
                <w:bCs/>
                <w:color w:val="auto"/>
                <w:highlight w:val="none"/>
              </w:rPr>
              <w:t>33 号）、《关于印发大气污染防治行动计划的通知》（国发〔2013〕37 号），目前国家对化学需氧量（COD）、氨氮（NH</w:t>
            </w:r>
            <w:r>
              <w:rPr>
                <w:rFonts w:hint="eastAsia" w:ascii="Times New Roman" w:hAnsi="Times New Roman"/>
                <w:b w:val="0"/>
                <w:bCs/>
                <w:color w:val="auto"/>
                <w:highlight w:val="none"/>
                <w:vertAlign w:val="subscript"/>
              </w:rPr>
              <w:t>3</w:t>
            </w:r>
            <w:r>
              <w:rPr>
                <w:rFonts w:hint="eastAsia" w:ascii="Times New Roman" w:hAnsi="Times New Roman"/>
                <w:b w:val="0"/>
                <w:bCs/>
                <w:color w:val="auto"/>
                <w:highlight w:val="none"/>
              </w:rPr>
              <w:t>-N）、二氧化硫（SO</w:t>
            </w:r>
            <w:r>
              <w:rPr>
                <w:rFonts w:hint="eastAsia" w:ascii="Times New Roman" w:hAnsi="Times New Roman"/>
                <w:b w:val="0"/>
                <w:bCs/>
                <w:color w:val="auto"/>
                <w:highlight w:val="none"/>
                <w:vertAlign w:val="subscript"/>
              </w:rPr>
              <w:t>2</w:t>
            </w:r>
            <w:r>
              <w:rPr>
                <w:rFonts w:hint="eastAsia" w:ascii="Times New Roman" w:hAnsi="Times New Roman"/>
                <w:b w:val="0"/>
                <w:bCs/>
                <w:color w:val="auto"/>
                <w:highlight w:val="none"/>
              </w:rPr>
              <w:t>）、氮氧化物（NOx）、颗粒物、有机废气（VOCs）等主要污染物实行排放总量控制计划管理。</w:t>
            </w:r>
          </w:p>
          <w:p>
            <w:pPr>
              <w:pStyle w:val="30"/>
              <w:numPr>
                <w:ilvl w:val="1"/>
                <w:numId w:val="0"/>
              </w:numPr>
              <w:spacing w:line="360" w:lineRule="auto"/>
              <w:ind w:leftChars="200"/>
              <w:rPr>
                <w:rFonts w:hint="eastAsia" w:ascii="Times New Roman" w:hAnsi="Times New Roman"/>
                <w:b w:val="0"/>
                <w:bCs/>
                <w:color w:val="auto"/>
                <w:highlight w:val="none"/>
              </w:rPr>
            </w:pPr>
            <w:r>
              <w:rPr>
                <w:rFonts w:hint="eastAsia" w:ascii="Times New Roman" w:hAnsi="Times New Roman"/>
                <w:b w:val="0"/>
                <w:bCs/>
                <w:color w:val="auto"/>
                <w:highlight w:val="none"/>
              </w:rPr>
              <w:t>（1）项目废水污染物总量分析如下：</w:t>
            </w:r>
          </w:p>
          <w:p>
            <w:pPr>
              <w:pStyle w:val="30"/>
              <w:numPr>
                <w:ilvl w:val="1"/>
                <w:numId w:val="0"/>
              </w:numPr>
              <w:spacing w:line="360" w:lineRule="auto"/>
              <w:ind w:leftChars="200"/>
              <w:rPr>
                <w:rFonts w:hint="eastAsia" w:ascii="Times New Roman" w:hAnsi="Times New Roman"/>
                <w:b w:val="0"/>
                <w:bCs/>
                <w:color w:val="auto"/>
                <w:highlight w:val="none"/>
              </w:rPr>
            </w:pPr>
            <w:r>
              <w:rPr>
                <w:rFonts w:hint="eastAsia" w:ascii="Times New Roman" w:hAnsi="Times New Roman"/>
                <w:b w:val="0"/>
                <w:bCs/>
                <w:color w:val="auto"/>
                <w:highlight w:val="none"/>
              </w:rPr>
              <w:t>本项目</w:t>
            </w:r>
            <w:r>
              <w:rPr>
                <w:rFonts w:hint="eastAsia" w:ascii="Times New Roman" w:hAnsi="Times New Roman"/>
                <w:b w:val="0"/>
                <w:bCs/>
                <w:color w:val="auto"/>
                <w:highlight w:val="none"/>
                <w:lang w:val="en-US" w:eastAsia="zh-CN"/>
              </w:rPr>
              <w:t>无</w:t>
            </w:r>
            <w:r>
              <w:rPr>
                <w:rFonts w:hint="eastAsia" w:ascii="Times New Roman" w:hAnsi="Times New Roman"/>
                <w:b w:val="0"/>
                <w:bCs/>
                <w:color w:val="auto"/>
                <w:highlight w:val="none"/>
              </w:rPr>
              <w:t>外排废水。</w:t>
            </w:r>
          </w:p>
          <w:p>
            <w:pPr>
              <w:pStyle w:val="30"/>
              <w:numPr>
                <w:ilvl w:val="1"/>
                <w:numId w:val="0"/>
              </w:numPr>
              <w:spacing w:line="360" w:lineRule="auto"/>
              <w:ind w:leftChars="200"/>
              <w:rPr>
                <w:rFonts w:hint="eastAsia" w:ascii="Times New Roman" w:hAnsi="Times New Roman"/>
                <w:b/>
                <w:color w:val="auto"/>
                <w:highlight w:val="none"/>
              </w:rPr>
            </w:pPr>
            <w:r>
              <w:rPr>
                <w:rFonts w:hint="eastAsia" w:ascii="Times New Roman" w:hAnsi="Times New Roman"/>
                <w:b/>
                <w:color w:val="auto"/>
                <w:highlight w:val="none"/>
              </w:rPr>
              <w:t>（2）项目废气污染物总量分析如下：</w:t>
            </w:r>
          </w:p>
          <w:p>
            <w:pPr>
              <w:pStyle w:val="30"/>
              <w:numPr>
                <w:ilvl w:val="1"/>
                <w:numId w:val="0"/>
              </w:numPr>
              <w:spacing w:line="360" w:lineRule="auto"/>
              <w:ind w:firstLine="480" w:firstLineChars="200"/>
              <w:rPr>
                <w:rFonts w:hint="eastAsia" w:ascii="Times New Roman" w:eastAsia="宋体"/>
                <w:color w:val="auto"/>
                <w:lang w:val="en-US" w:eastAsia="zh-CN"/>
              </w:rPr>
            </w:pPr>
            <w:r>
              <w:rPr>
                <w:rFonts w:hint="eastAsia" w:ascii="Times New Roman" w:hAnsi="Times New Roman"/>
                <w:b w:val="0"/>
                <w:bCs/>
                <w:color w:val="auto"/>
                <w:highlight w:val="none"/>
              </w:rPr>
              <w:t>项目废气污染物总量申请有组织排放量。根据源强核算结果，本项目有组织排放的颗粒物为</w:t>
            </w:r>
            <w:r>
              <w:rPr>
                <w:rFonts w:hint="eastAsia" w:ascii="Times New Roman" w:hAnsi="Times New Roman"/>
                <w:b w:val="0"/>
                <w:bCs/>
                <w:color w:val="auto"/>
                <w:highlight w:val="none"/>
                <w:lang w:val="en-US" w:eastAsia="zh-CN"/>
              </w:rPr>
              <w:t>0.826</w:t>
            </w:r>
            <w:r>
              <w:rPr>
                <w:rFonts w:hint="eastAsia" w:ascii="Times New Roman" w:hAnsi="Times New Roman"/>
                <w:b w:val="0"/>
                <w:bCs/>
                <w:color w:val="auto"/>
                <w:highlight w:val="none"/>
              </w:rPr>
              <w:t>t/a</w:t>
            </w:r>
            <w:r>
              <w:rPr>
                <w:rFonts w:hint="eastAsia" w:ascii="Times New Roman" w:hAnsi="Times New Roman"/>
                <w:b w:val="0"/>
                <w:bCs/>
                <w:color w:val="auto"/>
                <w:highlight w:val="none"/>
                <w:lang w:eastAsia="zh-CN"/>
              </w:rPr>
              <w:t>、二氧化硫</w:t>
            </w:r>
            <w:r>
              <w:rPr>
                <w:rFonts w:hint="eastAsia" w:ascii="Times New Roman" w:hAnsi="Times New Roman"/>
                <w:b w:val="0"/>
                <w:bCs/>
                <w:color w:val="auto"/>
                <w:highlight w:val="none"/>
                <w:lang w:val="en-US" w:eastAsia="zh-CN"/>
              </w:rPr>
              <w:t>0.208t/a、氮氧化物0.311t/a</w:t>
            </w:r>
            <w:r>
              <w:rPr>
                <w:rFonts w:hint="eastAsia" w:ascii="Times New Roman" w:hAnsi="Times New Roman"/>
                <w:b w:val="0"/>
                <w:bCs/>
                <w:color w:val="auto"/>
                <w:highlight w:val="none"/>
              </w:rPr>
              <w:t>。因此需要申请颗粒物为</w:t>
            </w:r>
            <w:r>
              <w:rPr>
                <w:rFonts w:hint="eastAsia" w:ascii="Times New Roman" w:hAnsi="Times New Roman"/>
                <w:b w:val="0"/>
                <w:bCs/>
                <w:color w:val="auto"/>
                <w:highlight w:val="none"/>
                <w:lang w:val="en-US" w:eastAsia="zh-CN"/>
              </w:rPr>
              <w:t>0.826</w:t>
            </w:r>
            <w:r>
              <w:rPr>
                <w:rFonts w:hint="eastAsia" w:ascii="Times New Roman" w:hAnsi="Times New Roman"/>
                <w:b w:val="0"/>
                <w:bCs/>
                <w:color w:val="auto"/>
                <w:highlight w:val="none"/>
              </w:rPr>
              <w:t>t/a</w:t>
            </w:r>
            <w:r>
              <w:rPr>
                <w:rFonts w:hint="eastAsia" w:ascii="Times New Roman" w:hAnsi="Times New Roman"/>
                <w:b w:val="0"/>
                <w:bCs/>
                <w:color w:val="auto"/>
                <w:highlight w:val="none"/>
                <w:lang w:eastAsia="zh-CN"/>
              </w:rPr>
              <w:t>、二氧化硫</w:t>
            </w:r>
            <w:r>
              <w:rPr>
                <w:rFonts w:hint="eastAsia" w:ascii="Times New Roman" w:hAnsi="Times New Roman"/>
                <w:b w:val="0"/>
                <w:bCs/>
                <w:color w:val="auto"/>
                <w:highlight w:val="none"/>
                <w:lang w:val="en-US" w:eastAsia="zh-CN"/>
              </w:rPr>
              <w:t>0.208t/a、氮氧化物0.311t/a。</w:t>
            </w:r>
          </w:p>
        </w:tc>
      </w:tr>
    </w:tbl>
    <w:p>
      <w:pPr>
        <w:pStyle w:val="22"/>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7"/>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3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97" w:hRule="atLeast"/>
          <w:jc w:val="center"/>
        </w:trPr>
        <w:tc>
          <w:tcPr>
            <w:tcW w:w="637" w:type="dxa"/>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pPr>
              <w:pStyle w:val="22"/>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pPr>
              <w:pStyle w:val="22"/>
              <w:adjustRightInd w:val="0"/>
              <w:snapToGrid w:val="0"/>
              <w:spacing w:before="0" w:beforeAutospacing="0" w:after="0" w:afterAutospacing="0"/>
              <w:jc w:val="center"/>
              <w:rPr>
                <w:rFonts w:ascii="Times New Roman" w:hAnsi="Times New Roman"/>
                <w:bCs/>
                <w:color w:val="auto"/>
                <w:kern w:val="2"/>
                <w:sz w:val="21"/>
                <w:szCs w:val="21"/>
                <w:highlight w:val="yellow"/>
              </w:rPr>
            </w:pPr>
            <w:r>
              <w:rPr>
                <w:rFonts w:ascii="Times New Roman" w:hAnsi="Times New Roman"/>
                <w:color w:val="auto"/>
                <w:kern w:val="2"/>
                <w:sz w:val="21"/>
                <w:szCs w:val="21"/>
              </w:rPr>
              <w:t>施</w:t>
            </w:r>
          </w:p>
        </w:tc>
        <w:tc>
          <w:tcPr>
            <w:tcW w:w="8344" w:type="dxa"/>
            <w:vAlign w:val="top"/>
          </w:tcPr>
          <w:p>
            <w:pPr>
              <w:wordWrap w:val="0"/>
              <w:topLinePunct/>
              <w:spacing w:line="360" w:lineRule="auto"/>
              <w:contextualSpacing/>
              <w:textAlignment w:val="center"/>
              <w:rPr>
                <w:b/>
                <w:kern w:val="0"/>
                <w:sz w:val="28"/>
                <w:szCs w:val="28"/>
              </w:rPr>
            </w:pPr>
            <w:r>
              <w:rPr>
                <w:b/>
                <w:kern w:val="0"/>
                <w:sz w:val="28"/>
                <w:szCs w:val="28"/>
              </w:rPr>
              <w:t>施工期环境影响分析</w:t>
            </w:r>
          </w:p>
          <w:p>
            <w:pPr>
              <w:spacing w:line="360" w:lineRule="auto"/>
              <w:ind w:firstLine="480" w:firstLineChars="200"/>
              <w:rPr>
                <w:color w:val="auto"/>
                <w:sz w:val="24"/>
                <w:highlight w:val="yellow"/>
              </w:rPr>
            </w:pPr>
            <w:r>
              <w:rPr>
                <w:rFonts w:hint="eastAsia"/>
                <w:sz w:val="24"/>
              </w:rPr>
              <w:t>寿县玖鸿谷物种植专业合作社粮食加工项目利用现有</w:t>
            </w:r>
            <w:r>
              <w:rPr>
                <w:rFonts w:hint="eastAsia"/>
                <w:sz w:val="24"/>
                <w:lang w:eastAsia="zh-CN"/>
              </w:rPr>
              <w:t>空置</w:t>
            </w:r>
            <w:r>
              <w:rPr>
                <w:rFonts w:hint="eastAsia"/>
                <w:sz w:val="24"/>
              </w:rPr>
              <w:t>厂房进行本项目的建设，其</w:t>
            </w:r>
            <w:r>
              <w:rPr>
                <w:sz w:val="24"/>
              </w:rPr>
              <w:t>施工期主要是对设备进行</w:t>
            </w:r>
            <w:r>
              <w:rPr>
                <w:rFonts w:hint="eastAsia"/>
                <w:sz w:val="24"/>
              </w:rPr>
              <w:t>搬运、</w:t>
            </w:r>
            <w:r>
              <w:rPr>
                <w:sz w:val="24"/>
              </w:rPr>
              <w:t>安装，</w:t>
            </w:r>
            <w:r>
              <w:rPr>
                <w:rFonts w:hint="eastAsia"/>
                <w:sz w:val="24"/>
              </w:rPr>
              <w:t>会产生少量固废、粉尘及噪声污染。其中固废统一收集处理；设备搬运安装都是在白天进行，且在室内；电钻切割开槽等工序产生的粉尘，采取洒水抑尘等措施，项目施工期对周边环境影响较小，属于局部、短期、可恢复性的。故本次环评不对项目施工期环境影响做详细分析。</w:t>
            </w:r>
          </w:p>
        </w:tc>
      </w:tr>
    </w:tbl>
    <w:p>
      <w:pPr>
        <w:pStyle w:val="38"/>
        <w:rPr>
          <w:bCs/>
          <w:color w:val="auto"/>
          <w:szCs w:val="21"/>
        </w:rPr>
        <w:sectPr>
          <w:pgSz w:w="11905" w:h="16838"/>
          <w:pgMar w:top="1701" w:right="1531" w:bottom="2126" w:left="1531" w:header="851" w:footer="850" w:gutter="0"/>
          <w:cols w:space="720" w:num="1"/>
          <w:docGrid w:linePitch="312" w:charSpace="0"/>
        </w:sectPr>
      </w:pPr>
    </w:p>
    <w:tbl>
      <w:tblPr>
        <w:tblStyle w:val="27"/>
        <w:tblW w:w="13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7" w:hRule="atLeast"/>
          <w:jc w:val="center"/>
        </w:trPr>
        <w:tc>
          <w:tcPr>
            <w:tcW w:w="415" w:type="dxa"/>
            <w:vAlign w:val="center"/>
          </w:tcPr>
          <w:p>
            <w:pPr>
              <w:pStyle w:val="22"/>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运营</w:t>
            </w:r>
          </w:p>
          <w:p>
            <w:pPr>
              <w:pStyle w:val="22"/>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期环</w:t>
            </w:r>
          </w:p>
          <w:p>
            <w:pPr>
              <w:pStyle w:val="22"/>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境影</w:t>
            </w:r>
          </w:p>
          <w:p>
            <w:pPr>
              <w:pStyle w:val="22"/>
              <w:spacing w:before="0" w:beforeAutospacing="0" w:after="0" w:afterAutospacing="0"/>
              <w:jc w:val="center"/>
              <w:rPr>
                <w:rFonts w:hint="eastAsia" w:ascii="黑体" w:hAnsi="黑体" w:eastAsia="黑体"/>
                <w:snapToGrid w:val="0"/>
                <w:color w:val="auto"/>
                <w:szCs w:val="24"/>
              </w:rPr>
            </w:pPr>
            <w:r>
              <w:rPr>
                <w:rFonts w:ascii="Times New Roman" w:hAnsi="Times New Roman"/>
                <w:b/>
                <w:bCs/>
                <w:color w:val="auto"/>
                <w:kern w:val="2"/>
                <w:szCs w:val="24"/>
              </w:rPr>
              <w:t>响和保护措施</w:t>
            </w:r>
          </w:p>
        </w:tc>
        <w:tc>
          <w:tcPr>
            <w:tcW w:w="12812" w:type="dxa"/>
            <w:vAlign w:val="center"/>
          </w:tcPr>
          <w:p>
            <w:pPr>
              <w:pStyle w:val="30"/>
              <w:numPr>
                <w:ilvl w:val="1"/>
                <w:numId w:val="0"/>
              </w:numPr>
              <w:spacing w:line="360" w:lineRule="auto"/>
              <w:ind w:leftChars="200"/>
              <w:rPr>
                <w:rFonts w:ascii="Times New Roman" w:hAnsi="Times New Roman"/>
                <w:color w:val="auto"/>
              </w:rPr>
            </w:pPr>
            <w:r>
              <w:rPr>
                <w:rFonts w:hint="eastAsia" w:ascii="Times New Roman" w:hAnsi="Times New Roman"/>
                <w:color w:val="auto"/>
                <w:lang w:eastAsia="zh-CN"/>
              </w:rPr>
              <w:t>1.</w:t>
            </w:r>
            <w:r>
              <w:rPr>
                <w:rFonts w:hint="eastAsia" w:ascii="Times New Roman" w:hAnsi="Times New Roman"/>
                <w:color w:val="auto"/>
              </w:rPr>
              <w:t>废气</w:t>
            </w:r>
          </w:p>
          <w:p>
            <w:pPr>
              <w:pStyle w:val="30"/>
              <w:numPr>
                <w:ilvl w:val="1"/>
                <w:numId w:val="0"/>
              </w:numPr>
              <w:spacing w:line="360" w:lineRule="auto"/>
              <w:ind w:leftChars="200"/>
              <w:rPr>
                <w:rFonts w:ascii="Times New Roman" w:hAnsi="Times New Roman"/>
                <w:color w:val="auto"/>
              </w:rPr>
            </w:pPr>
            <w:r>
              <w:rPr>
                <w:rFonts w:ascii="Times New Roman" w:hAnsi="Times New Roman"/>
                <w:color w:val="auto"/>
              </w:rPr>
              <w:t>1.1污染工序及源强分析</w:t>
            </w:r>
          </w:p>
          <w:p>
            <w:pPr>
              <w:pStyle w:val="30"/>
              <w:numPr>
                <w:ilvl w:val="1"/>
                <w:numId w:val="0"/>
              </w:numPr>
              <w:spacing w:line="360" w:lineRule="auto"/>
              <w:ind w:firstLine="480" w:firstLineChars="200"/>
              <w:rPr>
                <w:rFonts w:hint="eastAsia" w:ascii="宋体" w:hAnsi="宋体" w:cs="宋体"/>
                <w:b w:val="0"/>
                <w:bCs/>
                <w:color w:val="auto"/>
                <w:highlight w:val="none"/>
              </w:rPr>
            </w:pPr>
            <w:r>
              <w:rPr>
                <w:rFonts w:hint="eastAsia" w:ascii="Times New Roman" w:hAnsi="Times New Roman"/>
                <w:b w:val="0"/>
                <w:bCs/>
                <w:color w:val="auto"/>
                <w:highlight w:val="none"/>
              </w:rPr>
              <w:t>项目运营过程中</w:t>
            </w:r>
            <w:r>
              <w:rPr>
                <w:rFonts w:hint="eastAsia" w:ascii="宋体" w:hAnsi="宋体" w:cs="宋体"/>
                <w:b w:val="0"/>
                <w:bCs/>
                <w:color w:val="auto"/>
                <w:highlight w:val="none"/>
              </w:rPr>
              <w:t>废气源强及排放口信息汇总具体见下表。</w:t>
            </w:r>
          </w:p>
          <w:p>
            <w:pPr>
              <w:pStyle w:val="4"/>
              <w:jc w:val="center"/>
              <w:rPr>
                <w:b/>
                <w:bCs/>
                <w:color w:val="auto"/>
                <w:szCs w:val="21"/>
                <w:highlight w:val="none"/>
              </w:rPr>
            </w:pPr>
            <w:r>
              <w:rPr>
                <w:b/>
                <w:bCs/>
                <w:color w:val="auto"/>
                <w:szCs w:val="21"/>
                <w:highlight w:val="none"/>
              </w:rPr>
              <w:t>表</w:t>
            </w:r>
            <w:r>
              <w:rPr>
                <w:rFonts w:hint="eastAsia"/>
                <w:b/>
                <w:bCs/>
                <w:color w:val="auto"/>
                <w:szCs w:val="21"/>
                <w:highlight w:val="none"/>
              </w:rPr>
              <w:t>4-</w:t>
            </w:r>
            <w:r>
              <w:rPr>
                <w:rFonts w:hint="eastAsia"/>
                <w:b/>
                <w:bCs/>
                <w:color w:val="auto"/>
                <w:szCs w:val="21"/>
                <w:highlight w:val="none"/>
                <w:lang w:val="en-US" w:eastAsia="zh-CN"/>
              </w:rPr>
              <w:t>1</w:t>
            </w:r>
            <w:r>
              <w:rPr>
                <w:rFonts w:hint="eastAsia"/>
                <w:b/>
                <w:bCs/>
                <w:color w:val="auto"/>
                <w:szCs w:val="21"/>
                <w:highlight w:val="none"/>
              </w:rPr>
              <w:t>项目</w:t>
            </w:r>
            <w:r>
              <w:rPr>
                <w:rFonts w:hint="eastAsia"/>
                <w:b/>
                <w:bCs/>
                <w:color w:val="auto"/>
                <w:szCs w:val="21"/>
                <w:highlight w:val="none"/>
                <w:lang w:eastAsia="zh-CN"/>
              </w:rPr>
              <w:t>有组织</w:t>
            </w:r>
            <w:r>
              <w:rPr>
                <w:b/>
                <w:bCs/>
                <w:color w:val="auto"/>
                <w:szCs w:val="21"/>
                <w:highlight w:val="none"/>
              </w:rPr>
              <w:t>废气污染源正常排放汇总表</w:t>
            </w:r>
          </w:p>
          <w:tbl>
            <w:tblPr>
              <w:tblStyle w:val="27"/>
              <w:tblW w:w="125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3"/>
              <w:gridCol w:w="373"/>
              <w:gridCol w:w="373"/>
              <w:gridCol w:w="803"/>
              <w:gridCol w:w="646"/>
              <w:gridCol w:w="646"/>
              <w:gridCol w:w="646"/>
              <w:gridCol w:w="581"/>
              <w:gridCol w:w="503"/>
              <w:gridCol w:w="373"/>
              <w:gridCol w:w="373"/>
              <w:gridCol w:w="724"/>
              <w:gridCol w:w="568"/>
              <w:gridCol w:w="568"/>
              <w:gridCol w:w="677"/>
              <w:gridCol w:w="373"/>
              <w:gridCol w:w="412"/>
              <w:gridCol w:w="373"/>
              <w:gridCol w:w="373"/>
              <w:gridCol w:w="1656"/>
              <w:gridCol w:w="649"/>
              <w:gridCol w:w="5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jc w:val="center"/>
              </w:trPr>
              <w:tc>
                <w:tcPr>
                  <w:tcW w:w="373" w:type="dxa"/>
                  <w:vMerge w:val="restart"/>
                  <w:vAlign w:val="center"/>
                </w:tcPr>
                <w:p>
                  <w:pPr>
                    <w:pStyle w:val="4"/>
                    <w:jc w:val="center"/>
                    <w:rPr>
                      <w:b/>
                      <w:bCs/>
                      <w:color w:val="auto"/>
                      <w:szCs w:val="21"/>
                      <w:highlight w:val="none"/>
                    </w:rPr>
                  </w:pPr>
                  <w:r>
                    <w:rPr>
                      <w:b/>
                      <w:bCs/>
                      <w:color w:val="auto"/>
                      <w:szCs w:val="21"/>
                      <w:highlight w:val="none"/>
                    </w:rPr>
                    <w:t>产排污环节</w:t>
                  </w:r>
                </w:p>
              </w:tc>
              <w:tc>
                <w:tcPr>
                  <w:tcW w:w="373" w:type="dxa"/>
                  <w:vMerge w:val="restart"/>
                  <w:vAlign w:val="center"/>
                </w:tcPr>
                <w:p>
                  <w:pPr>
                    <w:pStyle w:val="4"/>
                    <w:jc w:val="center"/>
                    <w:rPr>
                      <w:b/>
                      <w:bCs/>
                      <w:color w:val="auto"/>
                      <w:szCs w:val="21"/>
                      <w:highlight w:val="none"/>
                    </w:rPr>
                  </w:pPr>
                  <w:r>
                    <w:rPr>
                      <w:b/>
                      <w:bCs/>
                      <w:color w:val="auto"/>
                      <w:szCs w:val="21"/>
                      <w:highlight w:val="none"/>
                    </w:rPr>
                    <w:t>排放形式</w:t>
                  </w:r>
                </w:p>
              </w:tc>
              <w:tc>
                <w:tcPr>
                  <w:tcW w:w="373" w:type="dxa"/>
                  <w:vMerge w:val="restart"/>
                  <w:vAlign w:val="center"/>
                </w:tcPr>
                <w:p>
                  <w:pPr>
                    <w:pStyle w:val="4"/>
                    <w:jc w:val="center"/>
                    <w:rPr>
                      <w:b/>
                      <w:bCs/>
                      <w:color w:val="auto"/>
                      <w:szCs w:val="21"/>
                      <w:highlight w:val="none"/>
                    </w:rPr>
                  </w:pPr>
                  <w:r>
                    <w:rPr>
                      <w:b/>
                      <w:bCs/>
                      <w:color w:val="auto"/>
                      <w:szCs w:val="21"/>
                      <w:highlight w:val="none"/>
                    </w:rPr>
                    <w:t>污染物</w:t>
                  </w:r>
                </w:p>
                <w:p>
                  <w:pPr>
                    <w:pStyle w:val="4"/>
                    <w:jc w:val="center"/>
                    <w:rPr>
                      <w:b/>
                      <w:bCs/>
                      <w:color w:val="auto"/>
                      <w:szCs w:val="21"/>
                      <w:highlight w:val="none"/>
                    </w:rPr>
                  </w:pPr>
                  <w:r>
                    <w:rPr>
                      <w:b/>
                      <w:bCs/>
                      <w:color w:val="auto"/>
                      <w:szCs w:val="21"/>
                      <w:highlight w:val="none"/>
                    </w:rPr>
                    <w:t>种类</w:t>
                  </w:r>
                </w:p>
              </w:tc>
              <w:tc>
                <w:tcPr>
                  <w:tcW w:w="2095" w:type="dxa"/>
                  <w:gridSpan w:val="3"/>
                  <w:vAlign w:val="center"/>
                </w:tcPr>
                <w:p>
                  <w:pPr>
                    <w:pStyle w:val="4"/>
                    <w:jc w:val="center"/>
                    <w:rPr>
                      <w:rFonts w:hint="eastAsia"/>
                      <w:b/>
                      <w:bCs/>
                      <w:color w:val="auto"/>
                      <w:szCs w:val="21"/>
                      <w:highlight w:val="none"/>
                    </w:rPr>
                  </w:pPr>
                  <w:r>
                    <w:rPr>
                      <w:b/>
                      <w:bCs/>
                      <w:color w:val="auto"/>
                      <w:szCs w:val="21"/>
                      <w:highlight w:val="none"/>
                    </w:rPr>
                    <w:t>污染物产生</w:t>
                  </w:r>
                  <w:r>
                    <w:rPr>
                      <w:rFonts w:hint="eastAsia"/>
                      <w:b/>
                      <w:bCs/>
                      <w:color w:val="auto"/>
                      <w:szCs w:val="21"/>
                      <w:highlight w:val="none"/>
                    </w:rPr>
                    <w:t>情况</w:t>
                  </w:r>
                </w:p>
              </w:tc>
              <w:tc>
                <w:tcPr>
                  <w:tcW w:w="2476" w:type="dxa"/>
                  <w:gridSpan w:val="5"/>
                  <w:vAlign w:val="center"/>
                </w:tcPr>
                <w:p>
                  <w:pPr>
                    <w:pStyle w:val="4"/>
                    <w:jc w:val="center"/>
                    <w:rPr>
                      <w:b/>
                      <w:bCs/>
                      <w:color w:val="auto"/>
                      <w:szCs w:val="21"/>
                      <w:highlight w:val="none"/>
                    </w:rPr>
                  </w:pPr>
                  <w:r>
                    <w:rPr>
                      <w:b/>
                      <w:bCs/>
                      <w:color w:val="auto"/>
                      <w:szCs w:val="21"/>
                      <w:highlight w:val="none"/>
                    </w:rPr>
                    <w:t>污染治理设施</w:t>
                  </w:r>
                </w:p>
              </w:tc>
              <w:tc>
                <w:tcPr>
                  <w:tcW w:w="1860" w:type="dxa"/>
                  <w:gridSpan w:val="3"/>
                  <w:vAlign w:val="center"/>
                </w:tcPr>
                <w:p>
                  <w:pPr>
                    <w:pStyle w:val="4"/>
                    <w:jc w:val="center"/>
                    <w:rPr>
                      <w:rFonts w:hint="eastAsia"/>
                      <w:b/>
                      <w:bCs/>
                      <w:color w:val="auto"/>
                      <w:szCs w:val="21"/>
                      <w:highlight w:val="none"/>
                    </w:rPr>
                  </w:pPr>
                  <w:r>
                    <w:rPr>
                      <w:b/>
                      <w:bCs/>
                      <w:color w:val="auto"/>
                      <w:szCs w:val="21"/>
                      <w:highlight w:val="none"/>
                    </w:rPr>
                    <w:t>污染物排放</w:t>
                  </w:r>
                  <w:r>
                    <w:rPr>
                      <w:rFonts w:hint="eastAsia"/>
                      <w:b/>
                      <w:bCs/>
                      <w:color w:val="auto"/>
                      <w:szCs w:val="21"/>
                      <w:highlight w:val="none"/>
                    </w:rPr>
                    <w:t>情况</w:t>
                  </w:r>
                </w:p>
              </w:tc>
              <w:tc>
                <w:tcPr>
                  <w:tcW w:w="3864" w:type="dxa"/>
                  <w:gridSpan w:val="6"/>
                  <w:vAlign w:val="center"/>
                </w:tcPr>
                <w:p>
                  <w:pPr>
                    <w:pStyle w:val="4"/>
                    <w:jc w:val="center"/>
                    <w:rPr>
                      <w:b/>
                      <w:bCs/>
                      <w:color w:val="auto"/>
                      <w:szCs w:val="21"/>
                      <w:highlight w:val="none"/>
                    </w:rPr>
                  </w:pPr>
                  <w:r>
                    <w:rPr>
                      <w:b/>
                      <w:bCs/>
                      <w:color w:val="auto"/>
                      <w:szCs w:val="21"/>
                      <w:highlight w:val="none"/>
                    </w:rPr>
                    <w:t>排放口基本情况</w:t>
                  </w:r>
                </w:p>
              </w:tc>
              <w:tc>
                <w:tcPr>
                  <w:tcW w:w="1162" w:type="dxa"/>
                  <w:gridSpan w:val="2"/>
                  <w:vAlign w:val="center"/>
                </w:tcPr>
                <w:p>
                  <w:pPr>
                    <w:pStyle w:val="4"/>
                    <w:jc w:val="center"/>
                    <w:rPr>
                      <w:b/>
                      <w:bCs/>
                      <w:color w:val="auto"/>
                      <w:szCs w:val="21"/>
                      <w:highlight w:val="none"/>
                    </w:rPr>
                  </w:pPr>
                  <w:r>
                    <w:rPr>
                      <w:b/>
                      <w:bCs/>
                      <w:color w:val="auto"/>
                      <w:szCs w:val="21"/>
                      <w:highlight w:val="none"/>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3" w:type="dxa"/>
                  <w:vMerge w:val="continue"/>
                  <w:vAlign w:val="center"/>
                </w:tcPr>
                <w:p>
                  <w:pPr>
                    <w:pStyle w:val="4"/>
                    <w:jc w:val="center"/>
                    <w:rPr>
                      <w:b/>
                      <w:bCs/>
                      <w:color w:val="auto"/>
                      <w:szCs w:val="21"/>
                      <w:highlight w:val="none"/>
                    </w:rPr>
                  </w:pPr>
                </w:p>
              </w:tc>
              <w:tc>
                <w:tcPr>
                  <w:tcW w:w="373" w:type="dxa"/>
                  <w:vMerge w:val="continue"/>
                  <w:vAlign w:val="center"/>
                </w:tcPr>
                <w:p>
                  <w:pPr>
                    <w:pStyle w:val="4"/>
                    <w:jc w:val="center"/>
                    <w:rPr>
                      <w:b/>
                      <w:bCs/>
                      <w:color w:val="auto"/>
                      <w:szCs w:val="21"/>
                      <w:highlight w:val="none"/>
                    </w:rPr>
                  </w:pPr>
                </w:p>
              </w:tc>
              <w:tc>
                <w:tcPr>
                  <w:tcW w:w="373" w:type="dxa"/>
                  <w:vMerge w:val="continue"/>
                  <w:vAlign w:val="center"/>
                </w:tcPr>
                <w:p>
                  <w:pPr>
                    <w:pStyle w:val="4"/>
                    <w:jc w:val="center"/>
                    <w:rPr>
                      <w:b/>
                      <w:bCs/>
                      <w:color w:val="auto"/>
                      <w:szCs w:val="21"/>
                      <w:highlight w:val="none"/>
                    </w:rPr>
                  </w:pPr>
                </w:p>
              </w:tc>
              <w:tc>
                <w:tcPr>
                  <w:tcW w:w="803" w:type="dxa"/>
                  <w:vAlign w:val="center"/>
                </w:tcPr>
                <w:p>
                  <w:pPr>
                    <w:pStyle w:val="4"/>
                    <w:jc w:val="center"/>
                    <w:rPr>
                      <w:b/>
                      <w:bCs/>
                      <w:color w:val="auto"/>
                      <w:szCs w:val="21"/>
                      <w:highlight w:val="none"/>
                    </w:rPr>
                  </w:pPr>
                  <w:r>
                    <w:rPr>
                      <w:b/>
                      <w:bCs/>
                      <w:color w:val="auto"/>
                      <w:szCs w:val="21"/>
                      <w:highlight w:val="none"/>
                    </w:rPr>
                    <w:t>产生浓度</w:t>
                  </w:r>
                </w:p>
              </w:tc>
              <w:tc>
                <w:tcPr>
                  <w:tcW w:w="646" w:type="dxa"/>
                  <w:vAlign w:val="center"/>
                </w:tcPr>
                <w:p>
                  <w:pPr>
                    <w:pStyle w:val="4"/>
                    <w:jc w:val="center"/>
                    <w:rPr>
                      <w:rFonts w:hint="eastAsia"/>
                      <w:b/>
                      <w:bCs/>
                      <w:color w:val="auto"/>
                      <w:szCs w:val="21"/>
                      <w:highlight w:val="none"/>
                    </w:rPr>
                  </w:pPr>
                  <w:r>
                    <w:rPr>
                      <w:b/>
                      <w:bCs/>
                      <w:color w:val="auto"/>
                      <w:szCs w:val="21"/>
                      <w:highlight w:val="none"/>
                    </w:rPr>
                    <w:t>产生</w:t>
                  </w:r>
                  <w:r>
                    <w:rPr>
                      <w:rFonts w:hint="eastAsia"/>
                      <w:b/>
                      <w:bCs/>
                      <w:color w:val="auto"/>
                      <w:szCs w:val="21"/>
                      <w:highlight w:val="none"/>
                    </w:rPr>
                    <w:t>速率</w:t>
                  </w:r>
                </w:p>
              </w:tc>
              <w:tc>
                <w:tcPr>
                  <w:tcW w:w="646" w:type="dxa"/>
                  <w:vAlign w:val="center"/>
                </w:tcPr>
                <w:p>
                  <w:pPr>
                    <w:pStyle w:val="4"/>
                    <w:jc w:val="center"/>
                    <w:rPr>
                      <w:b/>
                      <w:bCs/>
                      <w:color w:val="auto"/>
                      <w:szCs w:val="21"/>
                      <w:highlight w:val="none"/>
                    </w:rPr>
                  </w:pPr>
                  <w:r>
                    <w:rPr>
                      <w:b/>
                      <w:bCs/>
                      <w:color w:val="auto"/>
                      <w:szCs w:val="21"/>
                      <w:highlight w:val="none"/>
                    </w:rPr>
                    <w:t>产生量</w:t>
                  </w:r>
                </w:p>
              </w:tc>
              <w:tc>
                <w:tcPr>
                  <w:tcW w:w="646" w:type="dxa"/>
                  <w:vAlign w:val="center"/>
                </w:tcPr>
                <w:p>
                  <w:pPr>
                    <w:pStyle w:val="4"/>
                    <w:jc w:val="center"/>
                    <w:rPr>
                      <w:b/>
                      <w:bCs/>
                      <w:color w:val="auto"/>
                      <w:szCs w:val="21"/>
                      <w:highlight w:val="none"/>
                    </w:rPr>
                  </w:pPr>
                  <w:r>
                    <w:rPr>
                      <w:b/>
                      <w:bCs/>
                      <w:color w:val="auto"/>
                      <w:szCs w:val="21"/>
                      <w:highlight w:val="none"/>
                    </w:rPr>
                    <w:t>处理能力</w:t>
                  </w:r>
                </w:p>
              </w:tc>
              <w:tc>
                <w:tcPr>
                  <w:tcW w:w="581" w:type="dxa"/>
                  <w:vMerge w:val="restart"/>
                  <w:vAlign w:val="center"/>
                </w:tcPr>
                <w:p>
                  <w:pPr>
                    <w:pStyle w:val="4"/>
                    <w:jc w:val="center"/>
                    <w:rPr>
                      <w:b/>
                      <w:bCs/>
                      <w:color w:val="auto"/>
                      <w:szCs w:val="21"/>
                      <w:highlight w:val="none"/>
                    </w:rPr>
                  </w:pPr>
                  <w:r>
                    <w:rPr>
                      <w:b/>
                      <w:bCs/>
                      <w:color w:val="auto"/>
                      <w:szCs w:val="21"/>
                      <w:highlight w:val="none"/>
                    </w:rPr>
                    <w:t>收集效率</w:t>
                  </w:r>
                </w:p>
              </w:tc>
              <w:tc>
                <w:tcPr>
                  <w:tcW w:w="503" w:type="dxa"/>
                  <w:vMerge w:val="restart"/>
                  <w:vAlign w:val="center"/>
                </w:tcPr>
                <w:p>
                  <w:pPr>
                    <w:pStyle w:val="4"/>
                    <w:jc w:val="center"/>
                    <w:rPr>
                      <w:b/>
                      <w:bCs/>
                      <w:color w:val="auto"/>
                      <w:szCs w:val="21"/>
                      <w:highlight w:val="none"/>
                    </w:rPr>
                  </w:pPr>
                  <w:r>
                    <w:rPr>
                      <w:b/>
                      <w:bCs/>
                      <w:color w:val="auto"/>
                      <w:szCs w:val="21"/>
                      <w:highlight w:val="none"/>
                    </w:rPr>
                    <w:t>去除效率</w:t>
                  </w:r>
                </w:p>
              </w:tc>
              <w:tc>
                <w:tcPr>
                  <w:tcW w:w="373" w:type="dxa"/>
                  <w:vMerge w:val="restart"/>
                  <w:vAlign w:val="center"/>
                </w:tcPr>
                <w:p>
                  <w:pPr>
                    <w:pStyle w:val="4"/>
                    <w:jc w:val="center"/>
                    <w:rPr>
                      <w:b/>
                      <w:bCs/>
                      <w:color w:val="auto"/>
                      <w:szCs w:val="21"/>
                      <w:highlight w:val="none"/>
                    </w:rPr>
                  </w:pPr>
                  <w:r>
                    <w:rPr>
                      <w:b/>
                      <w:bCs/>
                      <w:color w:val="auto"/>
                      <w:szCs w:val="21"/>
                      <w:highlight w:val="none"/>
                    </w:rPr>
                    <w:t>是否可行技术</w:t>
                  </w:r>
                </w:p>
              </w:tc>
              <w:tc>
                <w:tcPr>
                  <w:tcW w:w="373" w:type="dxa"/>
                  <w:vMerge w:val="restart"/>
                  <w:vAlign w:val="center"/>
                </w:tcPr>
                <w:p>
                  <w:pPr>
                    <w:pStyle w:val="4"/>
                    <w:jc w:val="center"/>
                    <w:rPr>
                      <w:rFonts w:hint="eastAsia"/>
                      <w:b/>
                      <w:bCs/>
                      <w:color w:val="auto"/>
                      <w:szCs w:val="21"/>
                      <w:highlight w:val="none"/>
                    </w:rPr>
                  </w:pPr>
                  <w:r>
                    <w:rPr>
                      <w:rFonts w:hint="eastAsia"/>
                      <w:b/>
                      <w:bCs/>
                      <w:color w:val="auto"/>
                      <w:szCs w:val="21"/>
                      <w:highlight w:val="none"/>
                    </w:rPr>
                    <w:t>处理工艺</w:t>
                  </w:r>
                </w:p>
              </w:tc>
              <w:tc>
                <w:tcPr>
                  <w:tcW w:w="724" w:type="dxa"/>
                  <w:vAlign w:val="center"/>
                </w:tcPr>
                <w:p>
                  <w:pPr>
                    <w:pStyle w:val="4"/>
                    <w:jc w:val="center"/>
                    <w:rPr>
                      <w:b/>
                      <w:bCs/>
                      <w:color w:val="auto"/>
                      <w:szCs w:val="21"/>
                      <w:highlight w:val="none"/>
                    </w:rPr>
                  </w:pPr>
                  <w:r>
                    <w:rPr>
                      <w:b/>
                      <w:bCs/>
                      <w:color w:val="auto"/>
                      <w:szCs w:val="21"/>
                      <w:highlight w:val="none"/>
                    </w:rPr>
                    <w:t>排放浓度</w:t>
                  </w:r>
                </w:p>
              </w:tc>
              <w:tc>
                <w:tcPr>
                  <w:tcW w:w="568" w:type="dxa"/>
                  <w:vAlign w:val="center"/>
                </w:tcPr>
                <w:p>
                  <w:pPr>
                    <w:pStyle w:val="4"/>
                    <w:jc w:val="center"/>
                    <w:rPr>
                      <w:b/>
                      <w:bCs/>
                      <w:color w:val="auto"/>
                      <w:szCs w:val="21"/>
                      <w:highlight w:val="none"/>
                    </w:rPr>
                  </w:pPr>
                  <w:r>
                    <w:rPr>
                      <w:rFonts w:hint="eastAsia"/>
                      <w:b/>
                      <w:bCs/>
                      <w:color w:val="auto"/>
                      <w:szCs w:val="21"/>
                      <w:highlight w:val="none"/>
                    </w:rPr>
                    <w:t>排放速率</w:t>
                  </w:r>
                </w:p>
              </w:tc>
              <w:tc>
                <w:tcPr>
                  <w:tcW w:w="568" w:type="dxa"/>
                  <w:vAlign w:val="center"/>
                </w:tcPr>
                <w:p>
                  <w:pPr>
                    <w:pStyle w:val="4"/>
                    <w:jc w:val="center"/>
                    <w:rPr>
                      <w:b/>
                      <w:bCs/>
                      <w:color w:val="auto"/>
                      <w:szCs w:val="21"/>
                      <w:highlight w:val="none"/>
                    </w:rPr>
                  </w:pPr>
                  <w:r>
                    <w:rPr>
                      <w:b/>
                      <w:bCs/>
                      <w:color w:val="auto"/>
                      <w:szCs w:val="21"/>
                      <w:highlight w:val="none"/>
                    </w:rPr>
                    <w:t>排放量</w:t>
                  </w:r>
                </w:p>
              </w:tc>
              <w:tc>
                <w:tcPr>
                  <w:tcW w:w="677" w:type="dxa"/>
                  <w:vAlign w:val="center"/>
                </w:tcPr>
                <w:p>
                  <w:pPr>
                    <w:pStyle w:val="4"/>
                    <w:jc w:val="center"/>
                    <w:rPr>
                      <w:b/>
                      <w:bCs/>
                      <w:color w:val="auto"/>
                      <w:szCs w:val="21"/>
                      <w:highlight w:val="none"/>
                    </w:rPr>
                  </w:pPr>
                  <w:r>
                    <w:rPr>
                      <w:b/>
                      <w:bCs/>
                      <w:color w:val="auto"/>
                      <w:szCs w:val="21"/>
                      <w:highlight w:val="none"/>
                    </w:rPr>
                    <w:t>编号及名称</w:t>
                  </w:r>
                </w:p>
              </w:tc>
              <w:tc>
                <w:tcPr>
                  <w:tcW w:w="373" w:type="dxa"/>
                  <w:vAlign w:val="center"/>
                </w:tcPr>
                <w:p>
                  <w:pPr>
                    <w:pStyle w:val="4"/>
                    <w:jc w:val="center"/>
                    <w:rPr>
                      <w:b/>
                      <w:bCs/>
                      <w:color w:val="auto"/>
                      <w:szCs w:val="21"/>
                      <w:highlight w:val="none"/>
                    </w:rPr>
                  </w:pPr>
                  <w:r>
                    <w:rPr>
                      <w:b/>
                      <w:bCs/>
                      <w:color w:val="auto"/>
                      <w:szCs w:val="21"/>
                      <w:highlight w:val="none"/>
                    </w:rPr>
                    <w:t>高度</w:t>
                  </w:r>
                </w:p>
              </w:tc>
              <w:tc>
                <w:tcPr>
                  <w:tcW w:w="412" w:type="dxa"/>
                  <w:vAlign w:val="center"/>
                </w:tcPr>
                <w:p>
                  <w:pPr>
                    <w:pStyle w:val="4"/>
                    <w:jc w:val="center"/>
                    <w:rPr>
                      <w:b/>
                      <w:bCs/>
                      <w:color w:val="auto"/>
                      <w:szCs w:val="21"/>
                      <w:highlight w:val="none"/>
                    </w:rPr>
                  </w:pPr>
                  <w:r>
                    <w:rPr>
                      <w:b/>
                      <w:bCs/>
                      <w:color w:val="auto"/>
                      <w:szCs w:val="21"/>
                      <w:highlight w:val="none"/>
                    </w:rPr>
                    <w:t>内径</w:t>
                  </w:r>
                </w:p>
              </w:tc>
              <w:tc>
                <w:tcPr>
                  <w:tcW w:w="373" w:type="dxa"/>
                  <w:vAlign w:val="center"/>
                </w:tcPr>
                <w:p>
                  <w:pPr>
                    <w:pStyle w:val="4"/>
                    <w:jc w:val="center"/>
                    <w:rPr>
                      <w:b/>
                      <w:bCs/>
                      <w:color w:val="auto"/>
                      <w:szCs w:val="21"/>
                      <w:highlight w:val="none"/>
                    </w:rPr>
                  </w:pPr>
                  <w:r>
                    <w:rPr>
                      <w:b/>
                      <w:bCs/>
                      <w:color w:val="auto"/>
                      <w:szCs w:val="21"/>
                      <w:highlight w:val="none"/>
                    </w:rPr>
                    <w:t>温度</w:t>
                  </w:r>
                </w:p>
              </w:tc>
              <w:tc>
                <w:tcPr>
                  <w:tcW w:w="373" w:type="dxa"/>
                  <w:vAlign w:val="center"/>
                </w:tcPr>
                <w:p>
                  <w:pPr>
                    <w:pStyle w:val="4"/>
                    <w:jc w:val="center"/>
                    <w:rPr>
                      <w:b/>
                      <w:bCs/>
                      <w:color w:val="auto"/>
                      <w:szCs w:val="21"/>
                      <w:highlight w:val="none"/>
                    </w:rPr>
                  </w:pPr>
                  <w:r>
                    <w:rPr>
                      <w:b/>
                      <w:bCs/>
                      <w:color w:val="auto"/>
                      <w:szCs w:val="21"/>
                      <w:highlight w:val="none"/>
                    </w:rPr>
                    <w:t>类型</w:t>
                  </w:r>
                </w:p>
              </w:tc>
              <w:tc>
                <w:tcPr>
                  <w:tcW w:w="1656" w:type="dxa"/>
                  <w:vAlign w:val="center"/>
                </w:tcPr>
                <w:p>
                  <w:pPr>
                    <w:pStyle w:val="4"/>
                    <w:jc w:val="center"/>
                    <w:rPr>
                      <w:b/>
                      <w:bCs/>
                      <w:color w:val="auto"/>
                      <w:szCs w:val="21"/>
                      <w:highlight w:val="none"/>
                    </w:rPr>
                  </w:pPr>
                  <w:r>
                    <w:rPr>
                      <w:b/>
                      <w:bCs/>
                      <w:color w:val="auto"/>
                      <w:szCs w:val="21"/>
                      <w:highlight w:val="none"/>
                    </w:rPr>
                    <w:t>地理</w:t>
                  </w:r>
                </w:p>
                <w:p>
                  <w:pPr>
                    <w:pStyle w:val="4"/>
                    <w:jc w:val="center"/>
                    <w:rPr>
                      <w:b/>
                      <w:bCs/>
                      <w:color w:val="auto"/>
                      <w:szCs w:val="21"/>
                      <w:highlight w:val="none"/>
                    </w:rPr>
                  </w:pPr>
                  <w:r>
                    <w:rPr>
                      <w:b/>
                      <w:bCs/>
                      <w:color w:val="auto"/>
                      <w:szCs w:val="21"/>
                      <w:highlight w:val="none"/>
                    </w:rPr>
                    <w:t>坐标</w:t>
                  </w:r>
                </w:p>
              </w:tc>
              <w:tc>
                <w:tcPr>
                  <w:tcW w:w="649" w:type="dxa"/>
                  <w:vMerge w:val="restart"/>
                  <w:vAlign w:val="center"/>
                </w:tcPr>
                <w:p>
                  <w:pPr>
                    <w:pStyle w:val="4"/>
                    <w:jc w:val="center"/>
                    <w:rPr>
                      <w:b/>
                      <w:bCs/>
                      <w:color w:val="auto"/>
                      <w:szCs w:val="21"/>
                      <w:highlight w:val="none"/>
                    </w:rPr>
                  </w:pPr>
                  <w:r>
                    <w:rPr>
                      <w:b/>
                      <w:bCs/>
                      <w:color w:val="auto"/>
                      <w:szCs w:val="21"/>
                      <w:highlight w:val="none"/>
                    </w:rPr>
                    <w:t>浓度</w:t>
                  </w:r>
                </w:p>
                <w:p>
                  <w:pPr>
                    <w:pStyle w:val="4"/>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513" w:type="dxa"/>
                  <w:vMerge w:val="restart"/>
                  <w:vAlign w:val="center"/>
                </w:tcPr>
                <w:p>
                  <w:pPr>
                    <w:pStyle w:val="4"/>
                    <w:jc w:val="center"/>
                    <w:rPr>
                      <w:b/>
                      <w:bCs/>
                      <w:color w:val="auto"/>
                      <w:szCs w:val="21"/>
                      <w:highlight w:val="none"/>
                    </w:rPr>
                  </w:pPr>
                  <w:r>
                    <w:rPr>
                      <w:b/>
                      <w:bCs/>
                      <w:color w:val="auto"/>
                      <w:szCs w:val="21"/>
                      <w:highlight w:val="none"/>
                    </w:rPr>
                    <w:t>速率</w:t>
                  </w:r>
                </w:p>
                <w:p>
                  <w:pPr>
                    <w:pStyle w:val="4"/>
                    <w:jc w:val="center"/>
                    <w:rPr>
                      <w:b/>
                      <w:bCs/>
                      <w:color w:val="auto"/>
                      <w:szCs w:val="21"/>
                      <w:highlight w:val="none"/>
                    </w:rPr>
                  </w:pPr>
                  <w:r>
                    <w:rPr>
                      <w:b/>
                      <w:bCs/>
                      <w:color w:val="auto"/>
                      <w:szCs w:val="21"/>
                      <w:highlight w:val="none"/>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3" w:type="dxa"/>
                  <w:vMerge w:val="continue"/>
                  <w:vAlign w:val="center"/>
                </w:tcPr>
                <w:p>
                  <w:pPr>
                    <w:pStyle w:val="4"/>
                    <w:jc w:val="center"/>
                    <w:rPr>
                      <w:b/>
                      <w:bCs/>
                      <w:color w:val="auto"/>
                      <w:szCs w:val="21"/>
                      <w:highlight w:val="none"/>
                    </w:rPr>
                  </w:pPr>
                </w:p>
              </w:tc>
              <w:tc>
                <w:tcPr>
                  <w:tcW w:w="373" w:type="dxa"/>
                  <w:vMerge w:val="continue"/>
                  <w:vAlign w:val="center"/>
                </w:tcPr>
                <w:p>
                  <w:pPr>
                    <w:pStyle w:val="4"/>
                    <w:jc w:val="center"/>
                    <w:rPr>
                      <w:b/>
                      <w:bCs/>
                      <w:color w:val="auto"/>
                      <w:szCs w:val="21"/>
                      <w:highlight w:val="none"/>
                    </w:rPr>
                  </w:pPr>
                </w:p>
              </w:tc>
              <w:tc>
                <w:tcPr>
                  <w:tcW w:w="373" w:type="dxa"/>
                  <w:vMerge w:val="continue"/>
                  <w:vAlign w:val="center"/>
                </w:tcPr>
                <w:p>
                  <w:pPr>
                    <w:pStyle w:val="4"/>
                    <w:jc w:val="center"/>
                    <w:rPr>
                      <w:b/>
                      <w:bCs/>
                      <w:color w:val="auto"/>
                      <w:szCs w:val="21"/>
                      <w:highlight w:val="none"/>
                    </w:rPr>
                  </w:pPr>
                </w:p>
              </w:tc>
              <w:tc>
                <w:tcPr>
                  <w:tcW w:w="803" w:type="dxa"/>
                  <w:vAlign w:val="center"/>
                </w:tcPr>
                <w:p>
                  <w:pPr>
                    <w:pStyle w:val="4"/>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646" w:type="dxa"/>
                  <w:vAlign w:val="center"/>
                </w:tcPr>
                <w:p>
                  <w:pPr>
                    <w:pStyle w:val="4"/>
                    <w:jc w:val="center"/>
                    <w:rPr>
                      <w:b/>
                      <w:bCs/>
                      <w:color w:val="auto"/>
                      <w:szCs w:val="21"/>
                      <w:highlight w:val="none"/>
                    </w:rPr>
                  </w:pPr>
                  <w:r>
                    <w:rPr>
                      <w:b/>
                      <w:bCs/>
                      <w:color w:val="auto"/>
                      <w:szCs w:val="21"/>
                      <w:highlight w:val="none"/>
                    </w:rPr>
                    <w:t>kg/h</w:t>
                  </w:r>
                </w:p>
              </w:tc>
              <w:tc>
                <w:tcPr>
                  <w:tcW w:w="646" w:type="dxa"/>
                  <w:vAlign w:val="center"/>
                </w:tcPr>
                <w:p>
                  <w:pPr>
                    <w:pStyle w:val="4"/>
                    <w:jc w:val="center"/>
                    <w:rPr>
                      <w:b/>
                      <w:bCs/>
                      <w:color w:val="auto"/>
                      <w:szCs w:val="21"/>
                      <w:highlight w:val="none"/>
                    </w:rPr>
                  </w:pPr>
                  <w:r>
                    <w:rPr>
                      <w:rFonts w:hint="eastAsia"/>
                      <w:b/>
                      <w:bCs/>
                      <w:color w:val="auto"/>
                      <w:szCs w:val="21"/>
                      <w:highlight w:val="none"/>
                    </w:rPr>
                    <w:t>t</w:t>
                  </w:r>
                  <w:r>
                    <w:rPr>
                      <w:b/>
                      <w:bCs/>
                      <w:color w:val="auto"/>
                      <w:szCs w:val="21"/>
                      <w:highlight w:val="none"/>
                    </w:rPr>
                    <w:t>/a</w:t>
                  </w:r>
                </w:p>
              </w:tc>
              <w:tc>
                <w:tcPr>
                  <w:tcW w:w="646" w:type="dxa"/>
                  <w:vAlign w:val="center"/>
                </w:tcPr>
                <w:p>
                  <w:pPr>
                    <w:pStyle w:val="4"/>
                    <w:jc w:val="center"/>
                    <w:rPr>
                      <w:b/>
                      <w:bCs/>
                      <w:color w:val="auto"/>
                      <w:szCs w:val="21"/>
                      <w:highlight w:val="none"/>
                    </w:rPr>
                  </w:pPr>
                  <w:r>
                    <w:rPr>
                      <w:b/>
                      <w:bCs/>
                      <w:color w:val="auto"/>
                      <w:szCs w:val="21"/>
                      <w:highlight w:val="none"/>
                    </w:rPr>
                    <w:t>m</w:t>
                  </w:r>
                  <w:r>
                    <w:rPr>
                      <w:b/>
                      <w:bCs/>
                      <w:color w:val="auto"/>
                      <w:szCs w:val="21"/>
                      <w:highlight w:val="none"/>
                      <w:vertAlign w:val="superscript"/>
                    </w:rPr>
                    <w:t>3</w:t>
                  </w:r>
                  <w:r>
                    <w:rPr>
                      <w:b/>
                      <w:bCs/>
                      <w:color w:val="auto"/>
                      <w:szCs w:val="21"/>
                      <w:highlight w:val="none"/>
                    </w:rPr>
                    <w:t>/h</w:t>
                  </w:r>
                </w:p>
              </w:tc>
              <w:tc>
                <w:tcPr>
                  <w:tcW w:w="581" w:type="dxa"/>
                  <w:vMerge w:val="continue"/>
                  <w:vAlign w:val="center"/>
                </w:tcPr>
                <w:p>
                  <w:pPr>
                    <w:pStyle w:val="4"/>
                    <w:rPr>
                      <w:b/>
                      <w:bCs/>
                      <w:color w:val="auto"/>
                      <w:szCs w:val="21"/>
                      <w:highlight w:val="none"/>
                    </w:rPr>
                  </w:pPr>
                </w:p>
              </w:tc>
              <w:tc>
                <w:tcPr>
                  <w:tcW w:w="503" w:type="dxa"/>
                  <w:vMerge w:val="continue"/>
                  <w:vAlign w:val="center"/>
                </w:tcPr>
                <w:p>
                  <w:pPr>
                    <w:pStyle w:val="4"/>
                    <w:rPr>
                      <w:b/>
                      <w:bCs/>
                      <w:color w:val="auto"/>
                      <w:szCs w:val="21"/>
                      <w:highlight w:val="none"/>
                    </w:rPr>
                  </w:pPr>
                </w:p>
              </w:tc>
              <w:tc>
                <w:tcPr>
                  <w:tcW w:w="373" w:type="dxa"/>
                  <w:vMerge w:val="continue"/>
                  <w:vAlign w:val="center"/>
                </w:tcPr>
                <w:p>
                  <w:pPr>
                    <w:pStyle w:val="4"/>
                    <w:jc w:val="center"/>
                    <w:rPr>
                      <w:b/>
                      <w:bCs/>
                      <w:color w:val="auto"/>
                      <w:szCs w:val="21"/>
                      <w:highlight w:val="none"/>
                    </w:rPr>
                  </w:pPr>
                </w:p>
              </w:tc>
              <w:tc>
                <w:tcPr>
                  <w:tcW w:w="373" w:type="dxa"/>
                  <w:vMerge w:val="continue"/>
                  <w:vAlign w:val="center"/>
                </w:tcPr>
                <w:p>
                  <w:pPr>
                    <w:pStyle w:val="4"/>
                    <w:jc w:val="center"/>
                    <w:rPr>
                      <w:b/>
                      <w:bCs/>
                      <w:color w:val="auto"/>
                      <w:szCs w:val="21"/>
                      <w:highlight w:val="none"/>
                    </w:rPr>
                  </w:pPr>
                </w:p>
              </w:tc>
              <w:tc>
                <w:tcPr>
                  <w:tcW w:w="724" w:type="dxa"/>
                  <w:vAlign w:val="center"/>
                </w:tcPr>
                <w:p>
                  <w:pPr>
                    <w:pStyle w:val="4"/>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568" w:type="dxa"/>
                  <w:vAlign w:val="center"/>
                </w:tcPr>
                <w:p>
                  <w:pPr>
                    <w:pStyle w:val="4"/>
                    <w:jc w:val="center"/>
                    <w:rPr>
                      <w:b/>
                      <w:bCs/>
                      <w:color w:val="auto"/>
                      <w:szCs w:val="21"/>
                      <w:highlight w:val="none"/>
                    </w:rPr>
                  </w:pPr>
                  <w:r>
                    <w:rPr>
                      <w:b/>
                      <w:bCs/>
                      <w:color w:val="auto"/>
                      <w:szCs w:val="21"/>
                      <w:highlight w:val="none"/>
                    </w:rPr>
                    <w:t>kg/h</w:t>
                  </w:r>
                </w:p>
              </w:tc>
              <w:tc>
                <w:tcPr>
                  <w:tcW w:w="568" w:type="dxa"/>
                  <w:vAlign w:val="center"/>
                </w:tcPr>
                <w:p>
                  <w:pPr>
                    <w:pStyle w:val="4"/>
                    <w:jc w:val="center"/>
                    <w:rPr>
                      <w:b/>
                      <w:bCs/>
                      <w:color w:val="auto"/>
                      <w:szCs w:val="21"/>
                      <w:highlight w:val="none"/>
                    </w:rPr>
                  </w:pPr>
                  <w:r>
                    <w:rPr>
                      <w:rFonts w:hint="eastAsia"/>
                      <w:b/>
                      <w:bCs/>
                      <w:color w:val="auto"/>
                      <w:szCs w:val="21"/>
                      <w:highlight w:val="none"/>
                    </w:rPr>
                    <w:t>t</w:t>
                  </w:r>
                  <w:r>
                    <w:rPr>
                      <w:b/>
                      <w:bCs/>
                      <w:color w:val="auto"/>
                      <w:szCs w:val="21"/>
                      <w:highlight w:val="none"/>
                    </w:rPr>
                    <w:t>/a</w:t>
                  </w:r>
                </w:p>
              </w:tc>
              <w:tc>
                <w:tcPr>
                  <w:tcW w:w="677" w:type="dxa"/>
                  <w:vAlign w:val="center"/>
                </w:tcPr>
                <w:p>
                  <w:pPr>
                    <w:pStyle w:val="4"/>
                    <w:jc w:val="center"/>
                    <w:rPr>
                      <w:b/>
                      <w:bCs/>
                      <w:color w:val="auto"/>
                      <w:szCs w:val="21"/>
                      <w:highlight w:val="none"/>
                    </w:rPr>
                  </w:pPr>
                  <w:r>
                    <w:rPr>
                      <w:b/>
                      <w:bCs/>
                      <w:color w:val="auto"/>
                      <w:szCs w:val="21"/>
                      <w:highlight w:val="none"/>
                    </w:rPr>
                    <w:t>/</w:t>
                  </w:r>
                </w:p>
              </w:tc>
              <w:tc>
                <w:tcPr>
                  <w:tcW w:w="373" w:type="dxa"/>
                  <w:vAlign w:val="center"/>
                </w:tcPr>
                <w:p>
                  <w:pPr>
                    <w:pStyle w:val="4"/>
                    <w:jc w:val="center"/>
                    <w:rPr>
                      <w:b/>
                      <w:bCs/>
                      <w:color w:val="auto"/>
                      <w:szCs w:val="21"/>
                      <w:highlight w:val="none"/>
                    </w:rPr>
                  </w:pPr>
                  <w:r>
                    <w:rPr>
                      <w:b/>
                      <w:bCs/>
                      <w:color w:val="auto"/>
                      <w:szCs w:val="21"/>
                      <w:highlight w:val="none"/>
                    </w:rPr>
                    <w:t>m</w:t>
                  </w:r>
                </w:p>
              </w:tc>
              <w:tc>
                <w:tcPr>
                  <w:tcW w:w="412" w:type="dxa"/>
                  <w:vAlign w:val="center"/>
                </w:tcPr>
                <w:p>
                  <w:pPr>
                    <w:pStyle w:val="4"/>
                    <w:jc w:val="center"/>
                    <w:rPr>
                      <w:b/>
                      <w:bCs/>
                      <w:color w:val="auto"/>
                      <w:szCs w:val="21"/>
                      <w:highlight w:val="none"/>
                    </w:rPr>
                  </w:pPr>
                  <w:r>
                    <w:rPr>
                      <w:b/>
                      <w:bCs/>
                      <w:color w:val="auto"/>
                      <w:szCs w:val="21"/>
                      <w:highlight w:val="none"/>
                    </w:rPr>
                    <w:t>m</w:t>
                  </w:r>
                </w:p>
              </w:tc>
              <w:tc>
                <w:tcPr>
                  <w:tcW w:w="373" w:type="dxa"/>
                  <w:vAlign w:val="center"/>
                </w:tcPr>
                <w:p>
                  <w:pPr>
                    <w:pStyle w:val="4"/>
                    <w:jc w:val="center"/>
                    <w:rPr>
                      <w:b/>
                      <w:bCs/>
                      <w:color w:val="auto"/>
                      <w:szCs w:val="21"/>
                      <w:highlight w:val="none"/>
                    </w:rPr>
                  </w:pPr>
                  <w:r>
                    <w:rPr>
                      <w:b/>
                      <w:bCs/>
                      <w:color w:val="auto"/>
                      <w:szCs w:val="21"/>
                      <w:highlight w:val="none"/>
                    </w:rPr>
                    <w:t>℃</w:t>
                  </w:r>
                </w:p>
              </w:tc>
              <w:tc>
                <w:tcPr>
                  <w:tcW w:w="373" w:type="dxa"/>
                  <w:vAlign w:val="center"/>
                </w:tcPr>
                <w:p>
                  <w:pPr>
                    <w:pStyle w:val="4"/>
                    <w:jc w:val="center"/>
                    <w:rPr>
                      <w:b/>
                      <w:bCs/>
                      <w:color w:val="auto"/>
                      <w:szCs w:val="21"/>
                      <w:highlight w:val="none"/>
                    </w:rPr>
                  </w:pPr>
                  <w:r>
                    <w:rPr>
                      <w:b/>
                      <w:bCs/>
                      <w:color w:val="auto"/>
                      <w:szCs w:val="21"/>
                      <w:highlight w:val="none"/>
                    </w:rPr>
                    <w:t>/</w:t>
                  </w:r>
                </w:p>
              </w:tc>
              <w:tc>
                <w:tcPr>
                  <w:tcW w:w="1656" w:type="dxa"/>
                  <w:vAlign w:val="center"/>
                </w:tcPr>
                <w:p>
                  <w:pPr>
                    <w:pStyle w:val="4"/>
                    <w:jc w:val="center"/>
                    <w:rPr>
                      <w:b/>
                      <w:bCs/>
                      <w:color w:val="auto"/>
                      <w:szCs w:val="21"/>
                      <w:highlight w:val="none"/>
                    </w:rPr>
                  </w:pPr>
                  <w:r>
                    <w:rPr>
                      <w:b/>
                      <w:bCs/>
                      <w:color w:val="auto"/>
                      <w:szCs w:val="21"/>
                      <w:highlight w:val="none"/>
                    </w:rPr>
                    <w:t>/</w:t>
                  </w:r>
                </w:p>
              </w:tc>
              <w:tc>
                <w:tcPr>
                  <w:tcW w:w="649" w:type="dxa"/>
                  <w:vMerge w:val="continue"/>
                  <w:vAlign w:val="center"/>
                </w:tcPr>
                <w:p>
                  <w:pPr>
                    <w:pStyle w:val="4"/>
                    <w:jc w:val="center"/>
                    <w:rPr>
                      <w:b/>
                      <w:bCs/>
                      <w:color w:val="auto"/>
                      <w:szCs w:val="21"/>
                      <w:highlight w:val="none"/>
                    </w:rPr>
                  </w:pPr>
                </w:p>
              </w:tc>
              <w:tc>
                <w:tcPr>
                  <w:tcW w:w="513" w:type="dxa"/>
                  <w:vMerge w:val="continue"/>
                  <w:vAlign w:val="center"/>
                </w:tcPr>
                <w:p>
                  <w:pPr>
                    <w:pStyle w:val="4"/>
                    <w:jc w:val="center"/>
                    <w:rPr>
                      <w:b/>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3" w:type="dxa"/>
                  <w:vAlign w:val="center"/>
                </w:tcPr>
                <w:p>
                  <w:pPr>
                    <w:pStyle w:val="4"/>
                    <w:jc w:val="center"/>
                    <w:rPr>
                      <w:rFonts w:hint="eastAsia"/>
                      <w:color w:val="auto"/>
                      <w:szCs w:val="21"/>
                      <w:lang w:eastAsia="zh-CN"/>
                    </w:rPr>
                  </w:pPr>
                  <w:r>
                    <w:rPr>
                      <w:rFonts w:hint="eastAsia"/>
                      <w:color w:val="auto"/>
                      <w:szCs w:val="21"/>
                      <w:lang w:eastAsia="zh-CN"/>
                    </w:rPr>
                    <w:t>清选粉尘</w:t>
                  </w:r>
                </w:p>
              </w:tc>
              <w:tc>
                <w:tcPr>
                  <w:tcW w:w="373"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有组织</w:t>
                  </w:r>
                </w:p>
              </w:tc>
              <w:tc>
                <w:tcPr>
                  <w:tcW w:w="373"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颗粒物</w:t>
                  </w:r>
                </w:p>
              </w:tc>
              <w:tc>
                <w:tcPr>
                  <w:tcW w:w="803" w:type="dxa"/>
                  <w:vAlign w:val="center"/>
                </w:tcPr>
                <w:p>
                  <w:pPr>
                    <w:jc w:val="center"/>
                    <w:rPr>
                      <w:rFonts w:hint="default"/>
                      <w:color w:val="auto"/>
                      <w:szCs w:val="21"/>
                      <w:lang w:val="en-US" w:eastAsia="zh-CN"/>
                    </w:rPr>
                  </w:pPr>
                  <w:r>
                    <w:rPr>
                      <w:rFonts w:hint="eastAsia"/>
                      <w:color w:val="auto"/>
                      <w:szCs w:val="21"/>
                      <w:lang w:val="en-US" w:eastAsia="zh-CN"/>
                    </w:rPr>
                    <w:t>1714.167</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13.713</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16.465</w:t>
                  </w:r>
                </w:p>
              </w:tc>
              <w:tc>
                <w:tcPr>
                  <w:tcW w:w="646" w:type="dxa"/>
                  <w:vAlign w:val="center"/>
                </w:tcPr>
                <w:p>
                  <w:pPr>
                    <w:spacing w:line="340" w:lineRule="exact"/>
                    <w:ind w:left="-105" w:leftChars="-50" w:right="-105" w:rightChars="-50"/>
                    <w:jc w:val="center"/>
                    <w:rPr>
                      <w:rFonts w:hint="default"/>
                      <w:color w:val="auto"/>
                      <w:szCs w:val="21"/>
                      <w:lang w:val="en-US" w:eastAsia="zh-CN"/>
                    </w:rPr>
                  </w:pPr>
                  <w:r>
                    <w:rPr>
                      <w:rFonts w:hint="eastAsia"/>
                      <w:color w:val="auto"/>
                      <w:szCs w:val="21"/>
                      <w:lang w:val="en-US" w:eastAsia="zh-CN"/>
                    </w:rPr>
                    <w:t>8000</w:t>
                  </w:r>
                </w:p>
              </w:tc>
              <w:tc>
                <w:tcPr>
                  <w:tcW w:w="581"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100%</w:t>
                  </w:r>
                </w:p>
              </w:tc>
              <w:tc>
                <w:tcPr>
                  <w:tcW w:w="503"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95%</w:t>
                  </w:r>
                </w:p>
              </w:tc>
              <w:tc>
                <w:tcPr>
                  <w:tcW w:w="373" w:type="dxa"/>
                  <w:vAlign w:val="center"/>
                </w:tcPr>
                <w:p>
                  <w:pPr>
                    <w:pStyle w:val="4"/>
                    <w:ind w:left="0" w:leftChars="0" w:firstLine="0" w:firstLineChars="0"/>
                    <w:jc w:val="center"/>
                    <w:rPr>
                      <w:rFonts w:hint="eastAsia"/>
                      <w:color w:val="auto"/>
                      <w:szCs w:val="21"/>
                    </w:rPr>
                  </w:pPr>
                  <w:r>
                    <w:rPr>
                      <w:rFonts w:hint="eastAsia"/>
                      <w:color w:val="auto"/>
                      <w:szCs w:val="21"/>
                    </w:rPr>
                    <w:t>可行</w:t>
                  </w:r>
                </w:p>
              </w:tc>
              <w:tc>
                <w:tcPr>
                  <w:tcW w:w="373"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旋风除尘器</w:t>
                  </w:r>
                </w:p>
              </w:tc>
              <w:tc>
                <w:tcPr>
                  <w:tcW w:w="724" w:type="dxa"/>
                  <w:vAlign w:val="center"/>
                </w:tcPr>
                <w:p>
                  <w:pPr>
                    <w:jc w:val="center"/>
                    <w:rPr>
                      <w:rFonts w:hint="default"/>
                      <w:color w:val="auto"/>
                      <w:szCs w:val="21"/>
                      <w:lang w:val="en-US" w:eastAsia="zh-CN"/>
                    </w:rPr>
                  </w:pPr>
                  <w:r>
                    <w:rPr>
                      <w:rFonts w:hint="eastAsia"/>
                      <w:color w:val="auto"/>
                      <w:szCs w:val="21"/>
                      <w:lang w:val="en-US" w:eastAsia="zh-CN"/>
                    </w:rPr>
                    <w:t>85.708</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0.686</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0.823</w:t>
                  </w:r>
                </w:p>
              </w:tc>
              <w:tc>
                <w:tcPr>
                  <w:tcW w:w="677"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排气筒DA00</w:t>
                  </w:r>
                  <w:r>
                    <w:rPr>
                      <w:rFonts w:hint="eastAsia"/>
                      <w:color w:val="auto"/>
                      <w:szCs w:val="21"/>
                      <w:lang w:val="en-US" w:eastAsia="zh-CN"/>
                    </w:rPr>
                    <w:t>1</w:t>
                  </w:r>
                </w:p>
              </w:tc>
              <w:tc>
                <w:tcPr>
                  <w:tcW w:w="373"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15</w:t>
                  </w:r>
                </w:p>
              </w:tc>
              <w:tc>
                <w:tcPr>
                  <w:tcW w:w="412"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0.5</w:t>
                  </w:r>
                </w:p>
              </w:tc>
              <w:tc>
                <w:tcPr>
                  <w:tcW w:w="373"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25</w:t>
                  </w:r>
                </w:p>
              </w:tc>
              <w:tc>
                <w:tcPr>
                  <w:tcW w:w="373"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一般排放口</w:t>
                  </w:r>
                </w:p>
              </w:tc>
              <w:tc>
                <w:tcPr>
                  <w:tcW w:w="1656" w:type="dxa"/>
                  <w:vAlign w:val="center"/>
                </w:tcPr>
                <w:p>
                  <w:pPr>
                    <w:pStyle w:val="4"/>
                    <w:ind w:left="0" w:lef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116.618707,32.027742</w:t>
                  </w:r>
                </w:p>
              </w:tc>
              <w:tc>
                <w:tcPr>
                  <w:tcW w:w="649"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120</w:t>
                  </w:r>
                </w:p>
              </w:tc>
              <w:tc>
                <w:tcPr>
                  <w:tcW w:w="513" w:type="dxa"/>
                  <w:vAlign w:val="center"/>
                </w:tcPr>
                <w:p>
                  <w:pPr>
                    <w:pStyle w:val="4"/>
                    <w:jc w:val="center"/>
                    <w:rPr>
                      <w:rFonts w:hint="default"/>
                      <w:color w:val="auto"/>
                      <w:szCs w:val="21"/>
                      <w:lang w:val="en-US" w:eastAsia="zh-CN"/>
                    </w:rPr>
                  </w:pPr>
                  <w:r>
                    <w:rPr>
                      <w:rFonts w:hint="eastAsia"/>
                      <w:color w:val="auto"/>
                      <w:szCs w:val="21"/>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3" w:type="dxa"/>
                  <w:vMerge w:val="restart"/>
                  <w:vAlign w:val="center"/>
                </w:tcPr>
                <w:p>
                  <w:pPr>
                    <w:pStyle w:val="4"/>
                    <w:jc w:val="center"/>
                    <w:rPr>
                      <w:rFonts w:hint="eastAsia"/>
                      <w:color w:val="auto"/>
                      <w:szCs w:val="21"/>
                      <w:lang w:eastAsia="zh-CN"/>
                    </w:rPr>
                  </w:pPr>
                  <w:r>
                    <w:rPr>
                      <w:rFonts w:hint="eastAsia"/>
                      <w:color w:val="auto"/>
                      <w:szCs w:val="21"/>
                      <w:lang w:eastAsia="zh-CN"/>
                    </w:rPr>
                    <w:t>热风炉燃烧废气</w:t>
                  </w:r>
                </w:p>
              </w:tc>
              <w:tc>
                <w:tcPr>
                  <w:tcW w:w="373" w:type="dxa"/>
                  <w:vMerge w:val="restart"/>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有组织</w:t>
                  </w:r>
                </w:p>
              </w:tc>
              <w:tc>
                <w:tcPr>
                  <w:tcW w:w="373"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颗粒物</w:t>
                  </w:r>
                </w:p>
              </w:tc>
              <w:tc>
                <w:tcPr>
                  <w:tcW w:w="803" w:type="dxa"/>
                  <w:vAlign w:val="center"/>
                </w:tcPr>
                <w:p>
                  <w:pPr>
                    <w:jc w:val="center"/>
                    <w:rPr>
                      <w:rFonts w:hint="default"/>
                      <w:color w:val="auto"/>
                      <w:szCs w:val="21"/>
                      <w:lang w:val="en-US" w:eastAsia="zh-CN"/>
                    </w:rPr>
                  </w:pPr>
                  <w:r>
                    <w:rPr>
                      <w:rFonts w:hint="eastAsia"/>
                      <w:color w:val="auto"/>
                      <w:szCs w:val="21"/>
                      <w:lang w:val="en-US" w:eastAsia="zh-CN"/>
                    </w:rPr>
                    <w:t>80.128</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0.127</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0.153</w:t>
                  </w:r>
                </w:p>
              </w:tc>
              <w:tc>
                <w:tcPr>
                  <w:tcW w:w="646" w:type="dxa"/>
                  <w:vMerge w:val="restart"/>
                  <w:vAlign w:val="center"/>
                </w:tcPr>
                <w:p>
                  <w:pPr>
                    <w:spacing w:line="340" w:lineRule="exact"/>
                    <w:ind w:left="-105" w:leftChars="-50" w:right="-105" w:rightChars="-50"/>
                    <w:jc w:val="center"/>
                    <w:rPr>
                      <w:rFonts w:hint="default"/>
                      <w:color w:val="auto"/>
                      <w:szCs w:val="21"/>
                      <w:lang w:val="en-US" w:eastAsia="zh-CN"/>
                    </w:rPr>
                  </w:pPr>
                  <w:r>
                    <w:rPr>
                      <w:rFonts w:hint="eastAsia"/>
                      <w:color w:val="auto"/>
                      <w:szCs w:val="21"/>
                      <w:lang w:val="en-US" w:eastAsia="zh-CN"/>
                    </w:rPr>
                    <w:t>1587.924</w:t>
                  </w:r>
                </w:p>
              </w:tc>
              <w:tc>
                <w:tcPr>
                  <w:tcW w:w="581" w:type="dxa"/>
                  <w:vMerge w:val="restart"/>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100%</w:t>
                  </w:r>
                </w:p>
              </w:tc>
              <w:tc>
                <w:tcPr>
                  <w:tcW w:w="503"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98%</w:t>
                  </w:r>
                </w:p>
              </w:tc>
              <w:tc>
                <w:tcPr>
                  <w:tcW w:w="373" w:type="dxa"/>
                  <w:vAlign w:val="center"/>
                </w:tcPr>
                <w:p>
                  <w:pPr>
                    <w:pStyle w:val="4"/>
                    <w:ind w:left="0" w:leftChars="0" w:firstLine="0" w:firstLineChars="0"/>
                    <w:jc w:val="center"/>
                    <w:rPr>
                      <w:rFonts w:hint="eastAsia" w:eastAsia="宋体"/>
                      <w:color w:val="auto"/>
                      <w:szCs w:val="21"/>
                      <w:lang w:eastAsia="zh-CN"/>
                    </w:rPr>
                  </w:pPr>
                  <w:r>
                    <w:rPr>
                      <w:rFonts w:hint="eastAsia"/>
                      <w:color w:val="auto"/>
                      <w:szCs w:val="21"/>
                      <w:lang w:eastAsia="zh-CN"/>
                    </w:rPr>
                    <w:t>可行</w:t>
                  </w:r>
                </w:p>
              </w:tc>
              <w:tc>
                <w:tcPr>
                  <w:tcW w:w="373" w:type="dxa"/>
                  <w:vMerge w:val="restart"/>
                  <w:vAlign w:val="center"/>
                </w:tcPr>
                <w:p>
                  <w:pPr>
                    <w:pStyle w:val="4"/>
                    <w:ind w:left="0" w:leftChars="0" w:firstLine="0" w:firstLineChars="0"/>
                    <w:jc w:val="center"/>
                    <w:rPr>
                      <w:rFonts w:hint="default"/>
                      <w:color w:val="auto"/>
                      <w:szCs w:val="21"/>
                      <w:lang w:val="en-US" w:eastAsia="zh-CN"/>
                    </w:rPr>
                  </w:pPr>
                  <w:r>
                    <w:rPr>
                      <w:rFonts w:hint="eastAsia"/>
                      <w:color w:val="auto"/>
                      <w:szCs w:val="21"/>
                      <w:lang w:eastAsia="zh-CN"/>
                    </w:rPr>
                    <w:t>旋风除尘器</w:t>
                  </w:r>
                  <w:r>
                    <w:rPr>
                      <w:rFonts w:hint="eastAsia"/>
                      <w:color w:val="auto"/>
                      <w:szCs w:val="21"/>
                      <w:lang w:val="en-US" w:eastAsia="zh-CN"/>
                    </w:rPr>
                    <w:t>+布袋除尘器</w:t>
                  </w:r>
                </w:p>
              </w:tc>
              <w:tc>
                <w:tcPr>
                  <w:tcW w:w="724" w:type="dxa"/>
                  <w:vAlign w:val="center"/>
                </w:tcPr>
                <w:p>
                  <w:pPr>
                    <w:jc w:val="center"/>
                    <w:rPr>
                      <w:rFonts w:hint="default"/>
                      <w:color w:val="auto"/>
                      <w:szCs w:val="21"/>
                      <w:lang w:val="en-US" w:eastAsia="zh-CN"/>
                    </w:rPr>
                  </w:pPr>
                  <w:r>
                    <w:rPr>
                      <w:rFonts w:hint="eastAsia"/>
                      <w:color w:val="auto"/>
                      <w:szCs w:val="21"/>
                      <w:lang w:val="en-US" w:eastAsia="zh-CN"/>
                    </w:rPr>
                    <w:t>1.603</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0.003</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0.003</w:t>
                  </w:r>
                </w:p>
              </w:tc>
              <w:tc>
                <w:tcPr>
                  <w:tcW w:w="677" w:type="dxa"/>
                  <w:vMerge w:val="restart"/>
                  <w:vAlign w:val="center"/>
                </w:tcPr>
                <w:p>
                  <w:pPr>
                    <w:pStyle w:val="4"/>
                    <w:ind w:left="0" w:leftChars="0" w:firstLine="0" w:firstLineChars="0"/>
                    <w:jc w:val="center"/>
                    <w:rPr>
                      <w:rFonts w:hint="default" w:eastAsia="宋体"/>
                      <w:color w:val="auto"/>
                      <w:szCs w:val="21"/>
                      <w:lang w:val="en-US" w:eastAsia="zh-CN"/>
                    </w:rPr>
                  </w:pPr>
                  <w:r>
                    <w:rPr>
                      <w:rFonts w:hint="eastAsia"/>
                      <w:color w:val="auto"/>
                      <w:szCs w:val="21"/>
                      <w:lang w:eastAsia="zh-CN"/>
                    </w:rPr>
                    <w:t>排气筒</w:t>
                  </w:r>
                  <w:r>
                    <w:rPr>
                      <w:rFonts w:hint="eastAsia"/>
                      <w:color w:val="auto"/>
                      <w:szCs w:val="21"/>
                      <w:lang w:val="en-US" w:eastAsia="zh-CN"/>
                    </w:rPr>
                    <w:t>DA002</w:t>
                  </w:r>
                </w:p>
              </w:tc>
              <w:tc>
                <w:tcPr>
                  <w:tcW w:w="373" w:type="dxa"/>
                  <w:vMerge w:val="restart"/>
                  <w:vAlign w:val="center"/>
                </w:tcPr>
                <w:p>
                  <w:pPr>
                    <w:pStyle w:val="4"/>
                    <w:ind w:left="0" w:leftChars="0" w:firstLine="0" w:firstLineChars="0"/>
                    <w:jc w:val="center"/>
                    <w:rPr>
                      <w:rFonts w:hint="default" w:eastAsia="宋体"/>
                      <w:color w:val="auto"/>
                      <w:szCs w:val="21"/>
                      <w:lang w:val="en-US" w:eastAsia="zh-CN"/>
                    </w:rPr>
                  </w:pPr>
                  <w:r>
                    <w:rPr>
                      <w:rFonts w:hint="eastAsia"/>
                      <w:color w:val="auto"/>
                      <w:szCs w:val="21"/>
                      <w:lang w:val="en-US" w:eastAsia="zh-CN"/>
                    </w:rPr>
                    <w:t>15</w:t>
                  </w:r>
                </w:p>
              </w:tc>
              <w:tc>
                <w:tcPr>
                  <w:tcW w:w="412" w:type="dxa"/>
                  <w:vMerge w:val="restart"/>
                  <w:vAlign w:val="center"/>
                </w:tcPr>
                <w:p>
                  <w:pPr>
                    <w:pStyle w:val="4"/>
                    <w:ind w:left="0" w:leftChars="0" w:firstLine="0" w:firstLineChars="0"/>
                    <w:jc w:val="center"/>
                    <w:rPr>
                      <w:rFonts w:hint="default" w:eastAsia="宋体"/>
                      <w:color w:val="auto"/>
                      <w:szCs w:val="21"/>
                      <w:lang w:val="en-US" w:eastAsia="zh-CN"/>
                    </w:rPr>
                  </w:pPr>
                  <w:r>
                    <w:rPr>
                      <w:rFonts w:hint="eastAsia"/>
                      <w:color w:val="auto"/>
                      <w:szCs w:val="21"/>
                      <w:lang w:val="en-US" w:eastAsia="zh-CN"/>
                    </w:rPr>
                    <w:t>0.5</w:t>
                  </w:r>
                </w:p>
              </w:tc>
              <w:tc>
                <w:tcPr>
                  <w:tcW w:w="373" w:type="dxa"/>
                  <w:vMerge w:val="restart"/>
                  <w:vAlign w:val="center"/>
                </w:tcPr>
                <w:p>
                  <w:pPr>
                    <w:pStyle w:val="4"/>
                    <w:ind w:left="0" w:leftChars="0" w:firstLine="0" w:firstLineChars="0"/>
                    <w:jc w:val="center"/>
                    <w:rPr>
                      <w:rFonts w:hint="default" w:eastAsia="宋体"/>
                      <w:color w:val="auto"/>
                      <w:szCs w:val="21"/>
                      <w:lang w:val="en-US" w:eastAsia="zh-CN"/>
                    </w:rPr>
                  </w:pPr>
                  <w:r>
                    <w:rPr>
                      <w:rFonts w:hint="eastAsia"/>
                      <w:color w:val="auto"/>
                      <w:szCs w:val="21"/>
                      <w:lang w:val="en-US" w:eastAsia="zh-CN"/>
                    </w:rPr>
                    <w:t>40</w:t>
                  </w:r>
                </w:p>
              </w:tc>
              <w:tc>
                <w:tcPr>
                  <w:tcW w:w="373" w:type="dxa"/>
                  <w:vMerge w:val="restart"/>
                  <w:vAlign w:val="center"/>
                </w:tcPr>
                <w:p>
                  <w:pPr>
                    <w:pStyle w:val="4"/>
                    <w:ind w:left="0" w:leftChars="0" w:firstLine="0" w:firstLineChars="0"/>
                    <w:jc w:val="center"/>
                    <w:rPr>
                      <w:rFonts w:hint="eastAsia" w:eastAsia="宋体"/>
                      <w:color w:val="auto"/>
                      <w:szCs w:val="21"/>
                      <w:lang w:eastAsia="zh-CN"/>
                    </w:rPr>
                  </w:pPr>
                  <w:r>
                    <w:rPr>
                      <w:rFonts w:hint="eastAsia"/>
                      <w:color w:val="auto"/>
                      <w:szCs w:val="21"/>
                      <w:lang w:eastAsia="zh-CN"/>
                    </w:rPr>
                    <w:t>一般排放口</w:t>
                  </w:r>
                </w:p>
              </w:tc>
              <w:tc>
                <w:tcPr>
                  <w:tcW w:w="1656" w:type="dxa"/>
                  <w:vMerge w:val="restart"/>
                  <w:vAlign w:val="center"/>
                </w:tcPr>
                <w:p>
                  <w:pPr>
                    <w:pStyle w:val="4"/>
                    <w:ind w:left="0" w:leftChars="0" w:firstLine="0" w:firstLineChars="0"/>
                    <w:jc w:val="center"/>
                    <w:rPr>
                      <w:rFonts w:hint="default"/>
                      <w:color w:val="auto"/>
                      <w:szCs w:val="21"/>
                      <w:highlight w:val="yellow"/>
                      <w:lang w:val="en-US" w:eastAsia="zh-CN"/>
                    </w:rPr>
                  </w:pPr>
                  <w:r>
                    <w:rPr>
                      <w:rFonts w:hint="eastAsia"/>
                      <w:color w:val="auto"/>
                      <w:szCs w:val="21"/>
                      <w:highlight w:val="none"/>
                      <w:lang w:val="en-US" w:eastAsia="zh-CN"/>
                    </w:rPr>
                    <w:t>116.619112,32.028373</w:t>
                  </w:r>
                </w:p>
              </w:tc>
              <w:tc>
                <w:tcPr>
                  <w:tcW w:w="649"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30</w:t>
                  </w:r>
                </w:p>
              </w:tc>
              <w:tc>
                <w:tcPr>
                  <w:tcW w:w="513" w:type="dxa"/>
                  <w:vAlign w:val="center"/>
                </w:tcPr>
                <w:p>
                  <w:pPr>
                    <w:pStyle w:val="4"/>
                    <w:jc w:val="center"/>
                    <w:rPr>
                      <w:rFonts w:hint="default"/>
                      <w:color w:val="auto"/>
                      <w:szCs w:val="21"/>
                      <w:lang w:val="en-US"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3" w:type="dxa"/>
                  <w:vMerge w:val="continue"/>
                  <w:vAlign w:val="center"/>
                </w:tcPr>
                <w:p>
                  <w:pPr>
                    <w:pStyle w:val="4"/>
                    <w:jc w:val="center"/>
                    <w:rPr>
                      <w:rFonts w:hint="eastAsia"/>
                      <w:color w:val="auto"/>
                      <w:szCs w:val="21"/>
                      <w:lang w:eastAsia="zh-CN"/>
                    </w:rPr>
                  </w:pPr>
                </w:p>
              </w:tc>
              <w:tc>
                <w:tcPr>
                  <w:tcW w:w="373" w:type="dxa"/>
                  <w:vMerge w:val="continue"/>
                  <w:vAlign w:val="center"/>
                </w:tcPr>
                <w:p>
                  <w:pPr>
                    <w:pStyle w:val="4"/>
                    <w:ind w:left="0" w:leftChars="0" w:firstLine="0" w:firstLineChars="0"/>
                    <w:jc w:val="center"/>
                    <w:rPr>
                      <w:rFonts w:hint="eastAsia"/>
                      <w:color w:val="auto"/>
                      <w:szCs w:val="21"/>
                      <w:lang w:eastAsia="zh-CN"/>
                    </w:rPr>
                  </w:pPr>
                </w:p>
              </w:tc>
              <w:tc>
                <w:tcPr>
                  <w:tcW w:w="373"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二氧化硫</w:t>
                  </w:r>
                </w:p>
              </w:tc>
              <w:tc>
                <w:tcPr>
                  <w:tcW w:w="803" w:type="dxa"/>
                  <w:vAlign w:val="center"/>
                </w:tcPr>
                <w:p>
                  <w:pPr>
                    <w:jc w:val="center"/>
                    <w:rPr>
                      <w:rFonts w:hint="default"/>
                      <w:color w:val="auto"/>
                      <w:szCs w:val="21"/>
                      <w:lang w:val="en-US" w:eastAsia="zh-CN"/>
                    </w:rPr>
                  </w:pPr>
                  <w:r>
                    <w:rPr>
                      <w:rFonts w:hint="eastAsia"/>
                      <w:color w:val="auto"/>
                      <w:szCs w:val="21"/>
                      <w:lang w:val="en-US" w:eastAsia="zh-CN"/>
                    </w:rPr>
                    <w:t>108.974</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0.173</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0.208</w:t>
                  </w:r>
                </w:p>
              </w:tc>
              <w:tc>
                <w:tcPr>
                  <w:tcW w:w="646" w:type="dxa"/>
                  <w:vMerge w:val="continue"/>
                  <w:vAlign w:val="center"/>
                </w:tcPr>
                <w:p>
                  <w:pPr>
                    <w:spacing w:line="340" w:lineRule="exact"/>
                    <w:ind w:left="-105" w:leftChars="-50" w:right="-105" w:rightChars="-50"/>
                    <w:jc w:val="center"/>
                    <w:rPr>
                      <w:rFonts w:hint="eastAsia"/>
                      <w:color w:val="auto"/>
                      <w:szCs w:val="21"/>
                      <w:lang w:val="en-US" w:eastAsia="zh-CN"/>
                    </w:rPr>
                  </w:pPr>
                </w:p>
              </w:tc>
              <w:tc>
                <w:tcPr>
                  <w:tcW w:w="581" w:type="dxa"/>
                  <w:vMerge w:val="continue"/>
                  <w:vAlign w:val="center"/>
                </w:tcPr>
                <w:p>
                  <w:pPr>
                    <w:pStyle w:val="4"/>
                    <w:ind w:left="0" w:leftChars="0" w:firstLine="0" w:firstLineChars="0"/>
                    <w:jc w:val="center"/>
                    <w:rPr>
                      <w:rFonts w:hint="eastAsia"/>
                      <w:color w:val="auto"/>
                      <w:szCs w:val="21"/>
                      <w:lang w:val="en-US" w:eastAsia="zh-CN"/>
                    </w:rPr>
                  </w:pPr>
                </w:p>
              </w:tc>
              <w:tc>
                <w:tcPr>
                  <w:tcW w:w="503"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0</w:t>
                  </w:r>
                </w:p>
              </w:tc>
              <w:tc>
                <w:tcPr>
                  <w:tcW w:w="373" w:type="dxa"/>
                  <w:vAlign w:val="center"/>
                </w:tcPr>
                <w:p>
                  <w:pPr>
                    <w:pStyle w:val="4"/>
                    <w:ind w:left="0" w:leftChars="0" w:firstLine="0" w:firstLineChars="0"/>
                    <w:jc w:val="center"/>
                    <w:rPr>
                      <w:rFonts w:hint="eastAsia" w:eastAsia="宋体"/>
                      <w:color w:val="auto"/>
                      <w:szCs w:val="21"/>
                      <w:lang w:val="en-US" w:eastAsia="zh-CN"/>
                    </w:rPr>
                  </w:pPr>
                  <w:r>
                    <w:rPr>
                      <w:rFonts w:hint="eastAsia"/>
                      <w:color w:val="auto"/>
                      <w:szCs w:val="21"/>
                      <w:lang w:val="en-US" w:eastAsia="zh-CN"/>
                    </w:rPr>
                    <w:t>/</w:t>
                  </w:r>
                </w:p>
              </w:tc>
              <w:tc>
                <w:tcPr>
                  <w:tcW w:w="373" w:type="dxa"/>
                  <w:vMerge w:val="continue"/>
                  <w:vAlign w:val="center"/>
                </w:tcPr>
                <w:p>
                  <w:pPr>
                    <w:pStyle w:val="4"/>
                    <w:ind w:left="0" w:leftChars="0" w:firstLine="0" w:firstLineChars="0"/>
                    <w:jc w:val="center"/>
                    <w:rPr>
                      <w:rFonts w:hint="default"/>
                      <w:color w:val="auto"/>
                      <w:szCs w:val="21"/>
                      <w:lang w:val="en-US" w:eastAsia="zh-CN"/>
                    </w:rPr>
                  </w:pPr>
                </w:p>
              </w:tc>
              <w:tc>
                <w:tcPr>
                  <w:tcW w:w="724" w:type="dxa"/>
                  <w:vAlign w:val="center"/>
                </w:tcPr>
                <w:p>
                  <w:pPr>
                    <w:jc w:val="center"/>
                    <w:rPr>
                      <w:rFonts w:hint="default"/>
                      <w:color w:val="auto"/>
                      <w:szCs w:val="21"/>
                      <w:lang w:val="en-US" w:eastAsia="zh-CN"/>
                    </w:rPr>
                  </w:pPr>
                  <w:r>
                    <w:rPr>
                      <w:rFonts w:hint="eastAsia"/>
                      <w:color w:val="auto"/>
                      <w:szCs w:val="21"/>
                      <w:lang w:val="en-US" w:eastAsia="zh-CN"/>
                    </w:rPr>
                    <w:t>108.974</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0.173</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0.208</w:t>
                  </w:r>
                </w:p>
              </w:tc>
              <w:tc>
                <w:tcPr>
                  <w:tcW w:w="677" w:type="dxa"/>
                  <w:vMerge w:val="continue"/>
                  <w:vAlign w:val="center"/>
                </w:tcPr>
                <w:p>
                  <w:pPr>
                    <w:pStyle w:val="4"/>
                    <w:ind w:left="0" w:leftChars="0" w:firstLine="0" w:firstLineChars="0"/>
                    <w:jc w:val="center"/>
                    <w:rPr>
                      <w:rFonts w:hint="eastAsia"/>
                      <w:color w:val="auto"/>
                      <w:szCs w:val="21"/>
                    </w:rPr>
                  </w:pPr>
                </w:p>
              </w:tc>
              <w:tc>
                <w:tcPr>
                  <w:tcW w:w="373" w:type="dxa"/>
                  <w:vMerge w:val="continue"/>
                  <w:vAlign w:val="center"/>
                </w:tcPr>
                <w:p>
                  <w:pPr>
                    <w:pStyle w:val="4"/>
                    <w:ind w:left="0" w:leftChars="0" w:firstLine="0" w:firstLineChars="0"/>
                    <w:jc w:val="center"/>
                    <w:rPr>
                      <w:rFonts w:hint="eastAsia"/>
                      <w:color w:val="auto"/>
                      <w:szCs w:val="21"/>
                    </w:rPr>
                  </w:pPr>
                </w:p>
              </w:tc>
              <w:tc>
                <w:tcPr>
                  <w:tcW w:w="412" w:type="dxa"/>
                  <w:vMerge w:val="continue"/>
                  <w:vAlign w:val="center"/>
                </w:tcPr>
                <w:p>
                  <w:pPr>
                    <w:pStyle w:val="4"/>
                    <w:ind w:left="0" w:leftChars="0" w:firstLine="0" w:firstLineChars="0"/>
                    <w:jc w:val="center"/>
                    <w:rPr>
                      <w:rFonts w:hint="eastAsia"/>
                      <w:color w:val="auto"/>
                      <w:szCs w:val="21"/>
                    </w:rPr>
                  </w:pPr>
                </w:p>
              </w:tc>
              <w:tc>
                <w:tcPr>
                  <w:tcW w:w="373" w:type="dxa"/>
                  <w:vMerge w:val="continue"/>
                  <w:vAlign w:val="center"/>
                </w:tcPr>
                <w:p>
                  <w:pPr>
                    <w:pStyle w:val="4"/>
                    <w:ind w:left="0" w:leftChars="0" w:firstLine="0" w:firstLineChars="0"/>
                    <w:jc w:val="center"/>
                    <w:rPr>
                      <w:rFonts w:hint="eastAsia"/>
                      <w:color w:val="auto"/>
                      <w:szCs w:val="21"/>
                    </w:rPr>
                  </w:pPr>
                </w:p>
              </w:tc>
              <w:tc>
                <w:tcPr>
                  <w:tcW w:w="373" w:type="dxa"/>
                  <w:vMerge w:val="continue"/>
                  <w:vAlign w:val="center"/>
                </w:tcPr>
                <w:p>
                  <w:pPr>
                    <w:pStyle w:val="4"/>
                    <w:ind w:left="0" w:leftChars="0" w:firstLine="0" w:firstLineChars="0"/>
                    <w:jc w:val="center"/>
                    <w:rPr>
                      <w:rFonts w:hint="eastAsia"/>
                      <w:color w:val="auto"/>
                      <w:szCs w:val="21"/>
                    </w:rPr>
                  </w:pPr>
                </w:p>
              </w:tc>
              <w:tc>
                <w:tcPr>
                  <w:tcW w:w="1656" w:type="dxa"/>
                  <w:vMerge w:val="continue"/>
                  <w:vAlign w:val="center"/>
                </w:tcPr>
                <w:p>
                  <w:pPr>
                    <w:pStyle w:val="4"/>
                    <w:ind w:left="0" w:leftChars="0" w:firstLine="0" w:firstLineChars="0"/>
                    <w:jc w:val="center"/>
                    <w:rPr>
                      <w:rFonts w:hint="eastAsia"/>
                      <w:color w:val="auto"/>
                      <w:szCs w:val="21"/>
                      <w:highlight w:val="yellow"/>
                      <w:lang w:val="en-US" w:eastAsia="zh-CN"/>
                    </w:rPr>
                  </w:pPr>
                </w:p>
              </w:tc>
              <w:tc>
                <w:tcPr>
                  <w:tcW w:w="649"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200</w:t>
                  </w:r>
                </w:p>
              </w:tc>
              <w:tc>
                <w:tcPr>
                  <w:tcW w:w="513" w:type="dxa"/>
                  <w:vAlign w:val="center"/>
                </w:tcPr>
                <w:p>
                  <w:pPr>
                    <w:pStyle w:val="4"/>
                    <w:jc w:val="center"/>
                    <w:rPr>
                      <w:rFonts w:hint="default"/>
                      <w:color w:val="auto"/>
                      <w:szCs w:val="21"/>
                      <w:lang w:val="en-US"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3" w:type="dxa"/>
                  <w:vMerge w:val="continue"/>
                  <w:vAlign w:val="center"/>
                </w:tcPr>
                <w:p>
                  <w:pPr>
                    <w:pStyle w:val="4"/>
                    <w:jc w:val="center"/>
                    <w:rPr>
                      <w:rFonts w:hint="eastAsia"/>
                      <w:color w:val="auto"/>
                      <w:szCs w:val="21"/>
                      <w:lang w:eastAsia="zh-CN"/>
                    </w:rPr>
                  </w:pPr>
                </w:p>
              </w:tc>
              <w:tc>
                <w:tcPr>
                  <w:tcW w:w="373" w:type="dxa"/>
                  <w:vMerge w:val="continue"/>
                  <w:vAlign w:val="center"/>
                </w:tcPr>
                <w:p>
                  <w:pPr>
                    <w:pStyle w:val="4"/>
                    <w:ind w:left="0" w:leftChars="0" w:firstLine="0" w:firstLineChars="0"/>
                    <w:jc w:val="center"/>
                    <w:rPr>
                      <w:rFonts w:hint="eastAsia"/>
                      <w:color w:val="auto"/>
                      <w:szCs w:val="21"/>
                      <w:lang w:eastAsia="zh-CN"/>
                    </w:rPr>
                  </w:pPr>
                </w:p>
              </w:tc>
              <w:tc>
                <w:tcPr>
                  <w:tcW w:w="373"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氮氧化物</w:t>
                  </w:r>
                </w:p>
              </w:tc>
              <w:tc>
                <w:tcPr>
                  <w:tcW w:w="803" w:type="dxa"/>
                  <w:vAlign w:val="center"/>
                </w:tcPr>
                <w:p>
                  <w:pPr>
                    <w:jc w:val="center"/>
                    <w:rPr>
                      <w:rFonts w:hint="default"/>
                      <w:color w:val="auto"/>
                      <w:szCs w:val="21"/>
                      <w:lang w:val="en-US" w:eastAsia="zh-CN"/>
                    </w:rPr>
                  </w:pPr>
                  <w:r>
                    <w:rPr>
                      <w:rFonts w:hint="eastAsia"/>
                      <w:color w:val="auto"/>
                      <w:szCs w:val="21"/>
                      <w:lang w:val="en-US" w:eastAsia="zh-CN"/>
                    </w:rPr>
                    <w:t>163.462</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0.26</w:t>
                  </w:r>
                </w:p>
              </w:tc>
              <w:tc>
                <w:tcPr>
                  <w:tcW w:w="646" w:type="dxa"/>
                  <w:vAlign w:val="center"/>
                </w:tcPr>
                <w:p>
                  <w:pPr>
                    <w:jc w:val="center"/>
                    <w:rPr>
                      <w:rFonts w:hint="default"/>
                      <w:color w:val="auto"/>
                      <w:szCs w:val="21"/>
                      <w:lang w:val="en-US" w:eastAsia="zh-CN"/>
                    </w:rPr>
                  </w:pPr>
                  <w:r>
                    <w:rPr>
                      <w:rFonts w:hint="eastAsia"/>
                      <w:color w:val="auto"/>
                      <w:szCs w:val="21"/>
                      <w:lang w:val="en-US" w:eastAsia="zh-CN"/>
                    </w:rPr>
                    <w:t>0.311</w:t>
                  </w:r>
                </w:p>
              </w:tc>
              <w:tc>
                <w:tcPr>
                  <w:tcW w:w="646" w:type="dxa"/>
                  <w:vMerge w:val="continue"/>
                  <w:vAlign w:val="center"/>
                </w:tcPr>
                <w:p>
                  <w:pPr>
                    <w:spacing w:line="340" w:lineRule="exact"/>
                    <w:ind w:left="-105" w:leftChars="-50" w:right="-105" w:rightChars="-50"/>
                    <w:jc w:val="center"/>
                    <w:rPr>
                      <w:rFonts w:hint="eastAsia"/>
                      <w:color w:val="auto"/>
                      <w:szCs w:val="21"/>
                      <w:lang w:val="en-US" w:eastAsia="zh-CN"/>
                    </w:rPr>
                  </w:pPr>
                </w:p>
              </w:tc>
              <w:tc>
                <w:tcPr>
                  <w:tcW w:w="581" w:type="dxa"/>
                  <w:vMerge w:val="continue"/>
                  <w:vAlign w:val="center"/>
                </w:tcPr>
                <w:p>
                  <w:pPr>
                    <w:pStyle w:val="4"/>
                    <w:ind w:left="0" w:leftChars="0" w:firstLine="0" w:firstLineChars="0"/>
                    <w:jc w:val="center"/>
                    <w:rPr>
                      <w:rFonts w:hint="eastAsia"/>
                      <w:color w:val="auto"/>
                      <w:szCs w:val="21"/>
                      <w:lang w:val="en-US" w:eastAsia="zh-CN"/>
                    </w:rPr>
                  </w:pPr>
                </w:p>
              </w:tc>
              <w:tc>
                <w:tcPr>
                  <w:tcW w:w="503"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0</w:t>
                  </w:r>
                </w:p>
              </w:tc>
              <w:tc>
                <w:tcPr>
                  <w:tcW w:w="373" w:type="dxa"/>
                  <w:vAlign w:val="center"/>
                </w:tcPr>
                <w:p>
                  <w:pPr>
                    <w:pStyle w:val="4"/>
                    <w:ind w:left="0" w:leftChars="0" w:firstLine="0" w:firstLineChars="0"/>
                    <w:jc w:val="center"/>
                    <w:rPr>
                      <w:rFonts w:hint="eastAsia" w:eastAsia="宋体"/>
                      <w:color w:val="auto"/>
                      <w:szCs w:val="21"/>
                      <w:lang w:val="en-US" w:eastAsia="zh-CN"/>
                    </w:rPr>
                  </w:pPr>
                  <w:r>
                    <w:rPr>
                      <w:rFonts w:hint="eastAsia"/>
                      <w:color w:val="auto"/>
                      <w:szCs w:val="21"/>
                      <w:lang w:val="en-US" w:eastAsia="zh-CN"/>
                    </w:rPr>
                    <w:t>/</w:t>
                  </w:r>
                </w:p>
              </w:tc>
              <w:tc>
                <w:tcPr>
                  <w:tcW w:w="373" w:type="dxa"/>
                  <w:vMerge w:val="continue"/>
                  <w:vAlign w:val="center"/>
                </w:tcPr>
                <w:p>
                  <w:pPr>
                    <w:pStyle w:val="4"/>
                    <w:ind w:left="0" w:leftChars="0" w:firstLine="0" w:firstLineChars="0"/>
                    <w:jc w:val="center"/>
                    <w:rPr>
                      <w:rFonts w:hint="default"/>
                      <w:color w:val="auto"/>
                      <w:szCs w:val="21"/>
                      <w:lang w:val="en-US" w:eastAsia="zh-CN"/>
                    </w:rPr>
                  </w:pPr>
                </w:p>
              </w:tc>
              <w:tc>
                <w:tcPr>
                  <w:tcW w:w="724" w:type="dxa"/>
                  <w:vAlign w:val="center"/>
                </w:tcPr>
                <w:p>
                  <w:pPr>
                    <w:jc w:val="center"/>
                    <w:rPr>
                      <w:rFonts w:hint="default"/>
                      <w:color w:val="auto"/>
                      <w:szCs w:val="21"/>
                      <w:lang w:val="en-US" w:eastAsia="zh-CN"/>
                    </w:rPr>
                  </w:pPr>
                  <w:r>
                    <w:rPr>
                      <w:rFonts w:hint="eastAsia"/>
                      <w:color w:val="auto"/>
                      <w:szCs w:val="21"/>
                      <w:lang w:val="en-US" w:eastAsia="zh-CN"/>
                    </w:rPr>
                    <w:t>163.462</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0.26</w:t>
                  </w:r>
                </w:p>
              </w:tc>
              <w:tc>
                <w:tcPr>
                  <w:tcW w:w="568" w:type="dxa"/>
                  <w:vAlign w:val="center"/>
                </w:tcPr>
                <w:p>
                  <w:pPr>
                    <w:jc w:val="center"/>
                    <w:rPr>
                      <w:rFonts w:hint="default"/>
                      <w:color w:val="auto"/>
                      <w:szCs w:val="21"/>
                      <w:lang w:val="en-US" w:eastAsia="zh-CN"/>
                    </w:rPr>
                  </w:pPr>
                  <w:r>
                    <w:rPr>
                      <w:rFonts w:hint="eastAsia"/>
                      <w:color w:val="auto"/>
                      <w:szCs w:val="21"/>
                      <w:lang w:val="en-US" w:eastAsia="zh-CN"/>
                    </w:rPr>
                    <w:t>0.311</w:t>
                  </w:r>
                </w:p>
              </w:tc>
              <w:tc>
                <w:tcPr>
                  <w:tcW w:w="677" w:type="dxa"/>
                  <w:vMerge w:val="continue"/>
                  <w:vAlign w:val="center"/>
                </w:tcPr>
                <w:p>
                  <w:pPr>
                    <w:pStyle w:val="4"/>
                    <w:ind w:left="0" w:leftChars="0" w:firstLine="0" w:firstLineChars="0"/>
                    <w:jc w:val="center"/>
                    <w:rPr>
                      <w:rFonts w:hint="eastAsia"/>
                      <w:color w:val="auto"/>
                      <w:szCs w:val="21"/>
                    </w:rPr>
                  </w:pPr>
                </w:p>
              </w:tc>
              <w:tc>
                <w:tcPr>
                  <w:tcW w:w="373" w:type="dxa"/>
                  <w:vMerge w:val="continue"/>
                  <w:vAlign w:val="center"/>
                </w:tcPr>
                <w:p>
                  <w:pPr>
                    <w:pStyle w:val="4"/>
                    <w:ind w:left="0" w:leftChars="0" w:firstLine="0" w:firstLineChars="0"/>
                    <w:jc w:val="center"/>
                    <w:rPr>
                      <w:rFonts w:hint="eastAsia"/>
                      <w:color w:val="auto"/>
                      <w:szCs w:val="21"/>
                    </w:rPr>
                  </w:pPr>
                </w:p>
              </w:tc>
              <w:tc>
                <w:tcPr>
                  <w:tcW w:w="412" w:type="dxa"/>
                  <w:vMerge w:val="continue"/>
                  <w:vAlign w:val="center"/>
                </w:tcPr>
                <w:p>
                  <w:pPr>
                    <w:pStyle w:val="4"/>
                    <w:ind w:left="0" w:leftChars="0" w:firstLine="0" w:firstLineChars="0"/>
                    <w:jc w:val="center"/>
                    <w:rPr>
                      <w:rFonts w:hint="eastAsia"/>
                      <w:color w:val="auto"/>
                      <w:szCs w:val="21"/>
                    </w:rPr>
                  </w:pPr>
                </w:p>
              </w:tc>
              <w:tc>
                <w:tcPr>
                  <w:tcW w:w="373" w:type="dxa"/>
                  <w:vMerge w:val="continue"/>
                  <w:vAlign w:val="center"/>
                </w:tcPr>
                <w:p>
                  <w:pPr>
                    <w:pStyle w:val="4"/>
                    <w:ind w:left="0" w:leftChars="0" w:firstLine="0" w:firstLineChars="0"/>
                    <w:jc w:val="center"/>
                    <w:rPr>
                      <w:rFonts w:hint="eastAsia"/>
                      <w:color w:val="auto"/>
                      <w:szCs w:val="21"/>
                    </w:rPr>
                  </w:pPr>
                </w:p>
              </w:tc>
              <w:tc>
                <w:tcPr>
                  <w:tcW w:w="373" w:type="dxa"/>
                  <w:vMerge w:val="continue"/>
                  <w:vAlign w:val="center"/>
                </w:tcPr>
                <w:p>
                  <w:pPr>
                    <w:pStyle w:val="4"/>
                    <w:ind w:left="0" w:leftChars="0" w:firstLine="0" w:firstLineChars="0"/>
                    <w:jc w:val="center"/>
                    <w:rPr>
                      <w:rFonts w:hint="eastAsia"/>
                      <w:color w:val="auto"/>
                      <w:szCs w:val="21"/>
                    </w:rPr>
                  </w:pPr>
                </w:p>
              </w:tc>
              <w:tc>
                <w:tcPr>
                  <w:tcW w:w="1656" w:type="dxa"/>
                  <w:vMerge w:val="continue"/>
                  <w:vAlign w:val="center"/>
                </w:tcPr>
                <w:p>
                  <w:pPr>
                    <w:pStyle w:val="4"/>
                    <w:ind w:left="0" w:leftChars="0" w:firstLine="0" w:firstLineChars="0"/>
                    <w:jc w:val="center"/>
                    <w:rPr>
                      <w:rFonts w:hint="eastAsia"/>
                      <w:color w:val="auto"/>
                      <w:szCs w:val="21"/>
                      <w:highlight w:val="yellow"/>
                      <w:lang w:val="en-US" w:eastAsia="zh-CN"/>
                    </w:rPr>
                  </w:pPr>
                </w:p>
              </w:tc>
              <w:tc>
                <w:tcPr>
                  <w:tcW w:w="649"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300</w:t>
                  </w:r>
                </w:p>
              </w:tc>
              <w:tc>
                <w:tcPr>
                  <w:tcW w:w="513" w:type="dxa"/>
                  <w:vAlign w:val="center"/>
                </w:tcPr>
                <w:p>
                  <w:pPr>
                    <w:pStyle w:val="4"/>
                    <w:jc w:val="center"/>
                    <w:rPr>
                      <w:rFonts w:hint="default"/>
                      <w:color w:val="auto"/>
                      <w:szCs w:val="21"/>
                      <w:lang w:val="en-US" w:eastAsia="zh-CN"/>
                    </w:rPr>
                  </w:pPr>
                  <w:r>
                    <w:rPr>
                      <w:rFonts w:hint="eastAsia"/>
                      <w:color w:val="auto"/>
                      <w:szCs w:val="21"/>
                      <w:lang w:val="en-US" w:eastAsia="zh-CN"/>
                    </w:rPr>
                    <w:t>--</w:t>
                  </w:r>
                </w:p>
              </w:tc>
            </w:tr>
          </w:tbl>
          <w:p>
            <w:pPr>
              <w:pStyle w:val="30"/>
              <w:numPr>
                <w:ilvl w:val="1"/>
                <w:numId w:val="0"/>
              </w:numPr>
              <w:spacing w:line="240" w:lineRule="auto"/>
              <w:ind w:leftChars="200"/>
              <w:jc w:val="both"/>
              <w:rPr>
                <w:rFonts w:hint="eastAsia" w:ascii="Times New Roman" w:hAnsi="Times New Roman"/>
                <w:color w:val="auto"/>
                <w:sz w:val="21"/>
                <w:szCs w:val="21"/>
              </w:rPr>
            </w:pPr>
          </w:p>
          <w:p>
            <w:pPr>
              <w:rPr>
                <w:rFonts w:hint="eastAsia"/>
              </w:rPr>
            </w:pPr>
          </w:p>
          <w:p>
            <w:pPr>
              <w:rPr>
                <w:rFonts w:hint="eastAsia"/>
              </w:rPr>
            </w:pPr>
          </w:p>
          <w:p>
            <w:pPr>
              <w:pStyle w:val="30"/>
              <w:numPr>
                <w:ilvl w:val="0"/>
                <w:numId w:val="0"/>
              </w:numPr>
              <w:ind w:leftChars="200"/>
              <w:jc w:val="center"/>
              <w:rPr>
                <w:rFonts w:ascii="Times New Roman" w:hAnsi="Times New Roman"/>
                <w:b/>
                <w:color w:val="auto"/>
                <w:sz w:val="21"/>
                <w:szCs w:val="21"/>
              </w:rPr>
            </w:pPr>
            <w:r>
              <w:rPr>
                <w:rFonts w:hint="eastAsia" w:ascii="Times New Roman" w:hAnsi="Times New Roman"/>
                <w:b/>
                <w:color w:val="auto"/>
                <w:sz w:val="21"/>
                <w:szCs w:val="21"/>
              </w:rPr>
              <w:t>表4-</w:t>
            </w:r>
            <w:r>
              <w:rPr>
                <w:rFonts w:hint="eastAsia" w:ascii="Times New Roman" w:hAnsi="Times New Roman"/>
                <w:b/>
                <w:color w:val="auto"/>
                <w:sz w:val="21"/>
                <w:szCs w:val="21"/>
                <w:lang w:val="en-US" w:eastAsia="zh-CN"/>
              </w:rPr>
              <w:t>2</w:t>
            </w:r>
            <w:r>
              <w:rPr>
                <w:rFonts w:hint="eastAsia" w:ascii="Times New Roman" w:hAnsi="Times New Roman"/>
                <w:b/>
                <w:color w:val="auto"/>
                <w:sz w:val="21"/>
                <w:szCs w:val="21"/>
              </w:rPr>
              <w:t xml:space="preserve"> 本项目无组织废气产生与排放一览表</w:t>
            </w:r>
          </w:p>
          <w:tbl>
            <w:tblPr>
              <w:tblStyle w:val="27"/>
              <w:tblW w:w="12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170"/>
              <w:gridCol w:w="976"/>
              <w:gridCol w:w="4450"/>
              <w:gridCol w:w="1515"/>
              <w:gridCol w:w="1104"/>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885" w:type="dxa"/>
                  <w:vAlign w:val="center"/>
                </w:tcPr>
                <w:p>
                  <w:pPr>
                    <w:jc w:val="center"/>
                    <w:rPr>
                      <w:rFonts w:hint="eastAsia"/>
                      <w:color w:val="auto"/>
                      <w:sz w:val="21"/>
                      <w:szCs w:val="21"/>
                    </w:rPr>
                  </w:pPr>
                  <w:r>
                    <w:rPr>
                      <w:rFonts w:hint="eastAsia"/>
                      <w:color w:val="auto"/>
                      <w:sz w:val="21"/>
                      <w:szCs w:val="21"/>
                    </w:rPr>
                    <w:t>工序</w:t>
                  </w:r>
                </w:p>
              </w:tc>
              <w:tc>
                <w:tcPr>
                  <w:tcW w:w="1170" w:type="dxa"/>
                  <w:vAlign w:val="center"/>
                </w:tcPr>
                <w:p>
                  <w:pPr>
                    <w:jc w:val="center"/>
                    <w:rPr>
                      <w:color w:val="auto"/>
                      <w:sz w:val="21"/>
                      <w:szCs w:val="21"/>
                    </w:rPr>
                  </w:pPr>
                  <w:r>
                    <w:rPr>
                      <w:color w:val="auto"/>
                      <w:sz w:val="21"/>
                      <w:szCs w:val="21"/>
                    </w:rPr>
                    <w:t>污染物</w:t>
                  </w:r>
                </w:p>
              </w:tc>
              <w:tc>
                <w:tcPr>
                  <w:tcW w:w="976" w:type="dxa"/>
                  <w:vAlign w:val="center"/>
                </w:tcPr>
                <w:p>
                  <w:pPr>
                    <w:jc w:val="center"/>
                    <w:rPr>
                      <w:rFonts w:hint="eastAsia"/>
                      <w:color w:val="auto"/>
                      <w:sz w:val="21"/>
                      <w:szCs w:val="21"/>
                    </w:rPr>
                  </w:pPr>
                  <w:r>
                    <w:rPr>
                      <w:rFonts w:hint="eastAsia"/>
                      <w:color w:val="auto"/>
                      <w:sz w:val="21"/>
                      <w:szCs w:val="21"/>
                    </w:rPr>
                    <w:t>产生量</w:t>
                  </w:r>
                </w:p>
              </w:tc>
              <w:tc>
                <w:tcPr>
                  <w:tcW w:w="4450" w:type="dxa"/>
                  <w:vAlign w:val="center"/>
                </w:tcPr>
                <w:p>
                  <w:pPr>
                    <w:jc w:val="center"/>
                    <w:rPr>
                      <w:color w:val="auto"/>
                      <w:sz w:val="21"/>
                      <w:szCs w:val="21"/>
                    </w:rPr>
                  </w:pPr>
                  <w:r>
                    <w:rPr>
                      <w:rFonts w:hint="eastAsia"/>
                      <w:color w:val="auto"/>
                      <w:sz w:val="21"/>
                      <w:szCs w:val="21"/>
                    </w:rPr>
                    <w:t>治理措施</w:t>
                  </w:r>
                </w:p>
              </w:tc>
              <w:tc>
                <w:tcPr>
                  <w:tcW w:w="1515" w:type="dxa"/>
                  <w:vAlign w:val="center"/>
                </w:tcPr>
                <w:p>
                  <w:pPr>
                    <w:jc w:val="center"/>
                    <w:rPr>
                      <w:color w:val="auto"/>
                      <w:sz w:val="21"/>
                      <w:szCs w:val="21"/>
                    </w:rPr>
                  </w:pPr>
                  <w:r>
                    <w:rPr>
                      <w:rFonts w:hint="eastAsia"/>
                      <w:color w:val="auto"/>
                      <w:sz w:val="21"/>
                      <w:szCs w:val="21"/>
                    </w:rPr>
                    <w:t>去除效率</w:t>
                  </w:r>
                </w:p>
              </w:tc>
              <w:tc>
                <w:tcPr>
                  <w:tcW w:w="1104" w:type="dxa"/>
                  <w:vAlign w:val="center"/>
                </w:tcPr>
                <w:p>
                  <w:pPr>
                    <w:jc w:val="center"/>
                    <w:rPr>
                      <w:color w:val="auto"/>
                      <w:sz w:val="21"/>
                      <w:szCs w:val="21"/>
                    </w:rPr>
                  </w:pPr>
                  <w:r>
                    <w:rPr>
                      <w:color w:val="auto"/>
                      <w:sz w:val="21"/>
                      <w:szCs w:val="21"/>
                    </w:rPr>
                    <w:t>排放量t/a</w:t>
                  </w:r>
                </w:p>
              </w:tc>
              <w:tc>
                <w:tcPr>
                  <w:tcW w:w="1212" w:type="dxa"/>
                  <w:vAlign w:val="center"/>
                </w:tcPr>
                <w:p>
                  <w:pPr>
                    <w:jc w:val="center"/>
                    <w:rPr>
                      <w:rFonts w:hint="eastAsia"/>
                      <w:color w:val="auto"/>
                      <w:sz w:val="21"/>
                      <w:szCs w:val="21"/>
                    </w:rPr>
                  </w:pPr>
                  <w:r>
                    <w:rPr>
                      <w:rFonts w:hint="eastAsia"/>
                      <w:color w:val="auto"/>
                      <w:sz w:val="21"/>
                      <w:szCs w:val="21"/>
                    </w:rPr>
                    <w:t>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885" w:type="dxa"/>
                  <w:vAlign w:val="center"/>
                </w:tcPr>
                <w:p>
                  <w:pPr>
                    <w:jc w:val="center"/>
                    <w:rPr>
                      <w:rFonts w:hint="eastAsia"/>
                      <w:b w:val="0"/>
                      <w:bCs/>
                      <w:color w:val="auto"/>
                      <w:sz w:val="21"/>
                      <w:szCs w:val="21"/>
                      <w:highlight w:val="none"/>
                    </w:rPr>
                  </w:pPr>
                  <w:r>
                    <w:rPr>
                      <w:rFonts w:hint="eastAsia" w:ascii="宋体" w:hAnsi="宋体" w:cs="宋体"/>
                      <w:b w:val="0"/>
                      <w:bCs/>
                      <w:color w:val="auto"/>
                      <w:sz w:val="21"/>
                      <w:szCs w:val="21"/>
                      <w:lang w:eastAsia="zh-CN"/>
                    </w:rPr>
                    <w:t>卸粮粉尘</w:t>
                  </w:r>
                </w:p>
              </w:tc>
              <w:tc>
                <w:tcPr>
                  <w:tcW w:w="1170" w:type="dxa"/>
                  <w:vAlign w:val="center"/>
                </w:tcPr>
                <w:p>
                  <w:pPr>
                    <w:jc w:val="center"/>
                    <w:rPr>
                      <w:rFonts w:hint="eastAsia"/>
                      <w:color w:val="auto"/>
                      <w:sz w:val="21"/>
                      <w:szCs w:val="21"/>
                    </w:rPr>
                  </w:pPr>
                  <w:r>
                    <w:rPr>
                      <w:rFonts w:hint="eastAsia"/>
                      <w:color w:val="auto"/>
                      <w:sz w:val="21"/>
                      <w:szCs w:val="21"/>
                    </w:rPr>
                    <w:t>颗粒物</w:t>
                  </w:r>
                </w:p>
              </w:tc>
              <w:tc>
                <w:tcPr>
                  <w:tcW w:w="976"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1.981</w:t>
                  </w:r>
                </w:p>
              </w:tc>
              <w:tc>
                <w:tcPr>
                  <w:tcW w:w="4450" w:type="dxa"/>
                  <w:vAlign w:val="center"/>
                </w:tcPr>
                <w:p>
                  <w:pPr>
                    <w:jc w:val="center"/>
                    <w:rPr>
                      <w:rFonts w:hint="eastAsia"/>
                      <w:color w:val="auto"/>
                      <w:sz w:val="21"/>
                      <w:szCs w:val="21"/>
                    </w:rPr>
                  </w:pPr>
                  <w:r>
                    <w:rPr>
                      <w:rFonts w:hint="eastAsia"/>
                      <w:color w:val="auto"/>
                      <w:sz w:val="21"/>
                      <w:szCs w:val="21"/>
                    </w:rPr>
                    <w:t>采取卸粮时车间封闭、苫布遮盖、降低卸粮高度、定期清扫等措施</w:t>
                  </w:r>
                </w:p>
              </w:tc>
              <w:tc>
                <w:tcPr>
                  <w:tcW w:w="1515" w:type="dxa"/>
                  <w:vAlign w:val="center"/>
                </w:tcPr>
                <w:p>
                  <w:pPr>
                    <w:jc w:val="center"/>
                    <w:rPr>
                      <w:rFonts w:hint="eastAsia"/>
                      <w:color w:val="auto"/>
                      <w:sz w:val="21"/>
                      <w:szCs w:val="21"/>
                    </w:rPr>
                  </w:pPr>
                  <w:r>
                    <w:rPr>
                      <w:rFonts w:hint="eastAsia"/>
                      <w:color w:val="auto"/>
                      <w:sz w:val="21"/>
                      <w:szCs w:val="21"/>
                      <w:lang w:val="en-US" w:eastAsia="zh-CN"/>
                    </w:rPr>
                    <w:t>7</w:t>
                  </w:r>
                  <w:r>
                    <w:rPr>
                      <w:rFonts w:hint="eastAsia"/>
                      <w:color w:val="auto"/>
                      <w:sz w:val="21"/>
                      <w:szCs w:val="21"/>
                    </w:rPr>
                    <w:t>0%</w:t>
                  </w:r>
                </w:p>
              </w:tc>
              <w:tc>
                <w:tcPr>
                  <w:tcW w:w="1104"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0.594</w:t>
                  </w:r>
                </w:p>
              </w:tc>
              <w:tc>
                <w:tcPr>
                  <w:tcW w:w="1212" w:type="dxa"/>
                  <w:vAlign w:val="center"/>
                </w:tcPr>
                <w:p>
                  <w:pPr>
                    <w:widowControl/>
                    <w:jc w:val="center"/>
                    <w:textAlignment w:val="center"/>
                    <w:rPr>
                      <w:rFonts w:hint="eastAsia" w:eastAsia="宋体"/>
                      <w:color w:val="auto"/>
                      <w:sz w:val="21"/>
                      <w:szCs w:val="21"/>
                      <w:lang w:eastAsia="zh-CN"/>
                    </w:rPr>
                  </w:pPr>
                  <w:r>
                    <w:rPr>
                      <w:rFonts w:hint="eastAsia"/>
                      <w:color w:val="auto"/>
                      <w:sz w:val="21"/>
                      <w:szCs w:val="21"/>
                      <w:lang w:eastAsia="zh-CN"/>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885" w:type="dxa"/>
                  <w:vAlign w:val="center"/>
                </w:tcPr>
                <w:p>
                  <w:pPr>
                    <w:jc w:val="center"/>
                    <w:rPr>
                      <w:rFonts w:hint="eastAsia" w:ascii="宋体" w:hAnsi="宋体" w:cs="宋体"/>
                      <w:b w:val="0"/>
                      <w:bCs/>
                      <w:color w:val="auto"/>
                      <w:sz w:val="21"/>
                      <w:szCs w:val="21"/>
                      <w:lang w:eastAsia="zh-CN"/>
                    </w:rPr>
                  </w:pPr>
                  <w:r>
                    <w:rPr>
                      <w:rFonts w:hint="eastAsia" w:ascii="宋体" w:hAnsi="宋体" w:cs="宋体"/>
                      <w:b w:val="0"/>
                      <w:bCs/>
                      <w:color w:val="auto"/>
                      <w:sz w:val="21"/>
                      <w:szCs w:val="21"/>
                      <w:lang w:eastAsia="zh-CN"/>
                    </w:rPr>
                    <w:t>转运和运输粉尘</w:t>
                  </w:r>
                </w:p>
              </w:tc>
              <w:tc>
                <w:tcPr>
                  <w:tcW w:w="1170" w:type="dxa"/>
                  <w:vAlign w:val="center"/>
                </w:tcPr>
                <w:p>
                  <w:pPr>
                    <w:jc w:val="center"/>
                    <w:rPr>
                      <w:rFonts w:hint="eastAsia" w:eastAsia="宋体"/>
                      <w:color w:val="auto"/>
                      <w:sz w:val="21"/>
                      <w:szCs w:val="21"/>
                      <w:lang w:eastAsia="zh-CN"/>
                    </w:rPr>
                  </w:pPr>
                  <w:r>
                    <w:rPr>
                      <w:rFonts w:hint="eastAsia"/>
                      <w:color w:val="auto"/>
                      <w:sz w:val="21"/>
                      <w:szCs w:val="21"/>
                      <w:lang w:eastAsia="zh-CN"/>
                    </w:rPr>
                    <w:t>颗粒物</w:t>
                  </w:r>
                </w:p>
              </w:tc>
              <w:tc>
                <w:tcPr>
                  <w:tcW w:w="976" w:type="dxa"/>
                  <w:vAlign w:val="center"/>
                </w:tcPr>
                <w:p>
                  <w:pPr>
                    <w:jc w:val="center"/>
                    <w:rPr>
                      <w:rFonts w:hint="default"/>
                      <w:color w:val="auto"/>
                      <w:sz w:val="21"/>
                      <w:szCs w:val="21"/>
                      <w:lang w:val="en-US" w:eastAsia="zh-CN"/>
                    </w:rPr>
                  </w:pPr>
                  <w:r>
                    <w:rPr>
                      <w:rFonts w:hint="eastAsia"/>
                      <w:color w:val="auto"/>
                      <w:sz w:val="21"/>
                      <w:szCs w:val="21"/>
                      <w:lang w:val="en-US" w:eastAsia="zh-CN"/>
                    </w:rPr>
                    <w:t>19.807</w:t>
                  </w:r>
                </w:p>
              </w:tc>
              <w:tc>
                <w:tcPr>
                  <w:tcW w:w="4450" w:type="dxa"/>
                  <w:vAlign w:val="center"/>
                </w:tcPr>
                <w:p>
                  <w:pPr>
                    <w:jc w:val="center"/>
                    <w:rPr>
                      <w:rFonts w:hint="eastAsia" w:eastAsia="宋体"/>
                      <w:color w:val="auto"/>
                      <w:sz w:val="21"/>
                      <w:szCs w:val="21"/>
                      <w:lang w:eastAsia="zh-CN"/>
                    </w:rPr>
                  </w:pPr>
                  <w:r>
                    <w:rPr>
                      <w:rFonts w:hint="eastAsia" w:eastAsia="宋体"/>
                      <w:color w:val="auto"/>
                      <w:sz w:val="21"/>
                      <w:szCs w:val="21"/>
                      <w:lang w:eastAsia="zh-CN"/>
                    </w:rPr>
                    <w:t>采取在传送带加罩的方式加强密闭性</w:t>
                  </w:r>
                </w:p>
              </w:tc>
              <w:tc>
                <w:tcPr>
                  <w:tcW w:w="1515"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1104" w:type="dxa"/>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1.981</w:t>
                  </w:r>
                </w:p>
              </w:tc>
              <w:tc>
                <w:tcPr>
                  <w:tcW w:w="1212" w:type="dxa"/>
                  <w:vAlign w:val="center"/>
                </w:tcPr>
                <w:p>
                  <w:pPr>
                    <w:widowControl/>
                    <w:jc w:val="center"/>
                    <w:textAlignment w:val="center"/>
                    <w:rPr>
                      <w:rFonts w:hint="eastAsia"/>
                      <w:color w:val="auto"/>
                      <w:sz w:val="21"/>
                      <w:szCs w:val="21"/>
                      <w:lang w:eastAsia="zh-CN"/>
                    </w:rPr>
                  </w:pPr>
                  <w:r>
                    <w:rPr>
                      <w:rFonts w:hint="eastAsia"/>
                      <w:color w:val="auto"/>
                      <w:sz w:val="21"/>
                      <w:szCs w:val="21"/>
                      <w:lang w:eastAsia="zh-CN"/>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885" w:type="dxa"/>
                  <w:vAlign w:val="center"/>
                </w:tcPr>
                <w:p>
                  <w:pPr>
                    <w:jc w:val="center"/>
                    <w:rPr>
                      <w:rFonts w:hint="eastAsia"/>
                      <w:b w:val="0"/>
                      <w:bCs/>
                      <w:color w:val="auto"/>
                      <w:sz w:val="21"/>
                      <w:szCs w:val="21"/>
                      <w:highlight w:val="none"/>
                      <w:lang w:eastAsia="zh-CN"/>
                    </w:rPr>
                  </w:pPr>
                  <w:r>
                    <w:rPr>
                      <w:rFonts w:hint="eastAsia" w:cs="Times New Roman"/>
                      <w:b w:val="0"/>
                      <w:bCs/>
                      <w:color w:val="auto"/>
                      <w:sz w:val="21"/>
                      <w:szCs w:val="21"/>
                      <w:highlight w:val="none"/>
                      <w:lang w:eastAsia="zh-CN"/>
                    </w:rPr>
                    <w:t>烘干粉尘</w:t>
                  </w:r>
                </w:p>
              </w:tc>
              <w:tc>
                <w:tcPr>
                  <w:tcW w:w="1170" w:type="dxa"/>
                  <w:vAlign w:val="center"/>
                </w:tcPr>
                <w:p>
                  <w:pPr>
                    <w:jc w:val="center"/>
                    <w:rPr>
                      <w:rFonts w:hint="eastAsia" w:eastAsia="宋体"/>
                      <w:color w:val="auto"/>
                      <w:sz w:val="21"/>
                      <w:szCs w:val="21"/>
                      <w:lang w:eastAsia="zh-CN"/>
                    </w:rPr>
                  </w:pPr>
                  <w:r>
                    <w:rPr>
                      <w:rFonts w:hint="eastAsia"/>
                      <w:color w:val="auto"/>
                      <w:sz w:val="21"/>
                      <w:szCs w:val="21"/>
                      <w:lang w:eastAsia="zh-CN"/>
                    </w:rPr>
                    <w:t>颗粒物</w:t>
                  </w:r>
                </w:p>
              </w:tc>
              <w:tc>
                <w:tcPr>
                  <w:tcW w:w="976" w:type="dxa"/>
                  <w:vAlign w:val="center"/>
                </w:tcPr>
                <w:p>
                  <w:pPr>
                    <w:jc w:val="center"/>
                    <w:rPr>
                      <w:rFonts w:hint="default"/>
                      <w:color w:val="auto"/>
                      <w:sz w:val="21"/>
                      <w:szCs w:val="21"/>
                      <w:lang w:val="en-US" w:eastAsia="zh-CN"/>
                    </w:rPr>
                  </w:pPr>
                  <w:r>
                    <w:rPr>
                      <w:rFonts w:hint="eastAsia"/>
                      <w:color w:val="auto"/>
                      <w:sz w:val="21"/>
                      <w:szCs w:val="21"/>
                      <w:lang w:val="en-US" w:eastAsia="zh-CN"/>
                    </w:rPr>
                    <w:t>0.65</w:t>
                  </w:r>
                </w:p>
              </w:tc>
              <w:tc>
                <w:tcPr>
                  <w:tcW w:w="4450" w:type="dxa"/>
                  <w:vAlign w:val="center"/>
                </w:tcPr>
                <w:p>
                  <w:pPr>
                    <w:jc w:val="center"/>
                    <w:rPr>
                      <w:rFonts w:hint="eastAsia"/>
                      <w:color w:val="auto"/>
                      <w:sz w:val="21"/>
                      <w:szCs w:val="21"/>
                      <w:lang w:eastAsia="zh-CN"/>
                    </w:rPr>
                  </w:pPr>
                  <w:r>
                    <w:rPr>
                      <w:rFonts w:hint="eastAsia"/>
                      <w:color w:val="auto"/>
                      <w:sz w:val="21"/>
                      <w:szCs w:val="21"/>
                      <w:lang w:eastAsia="zh-CN"/>
                    </w:rPr>
                    <w:t>烘干机机身设置内外腔，内腔的侧壁上开设有连通内腔与外腔的排潮口，</w:t>
                  </w:r>
                </w:p>
                <w:p>
                  <w:pPr>
                    <w:jc w:val="center"/>
                    <w:rPr>
                      <w:rFonts w:hint="eastAsia"/>
                      <w:color w:val="auto"/>
                      <w:sz w:val="21"/>
                      <w:szCs w:val="21"/>
                      <w:lang w:eastAsia="zh-CN"/>
                    </w:rPr>
                  </w:pPr>
                  <w:r>
                    <w:rPr>
                      <w:rFonts w:hint="eastAsia"/>
                      <w:color w:val="auto"/>
                      <w:sz w:val="21"/>
                      <w:szCs w:val="21"/>
                      <w:lang w:eastAsia="zh-CN"/>
                    </w:rPr>
                    <w:t>在外腔的侧壁上开设有排潮口，排潮口四周设置防尘罩</w:t>
                  </w:r>
                </w:p>
              </w:tc>
              <w:tc>
                <w:tcPr>
                  <w:tcW w:w="1515" w:type="dxa"/>
                  <w:vAlign w:val="center"/>
                </w:tcPr>
                <w:p>
                  <w:pPr>
                    <w:jc w:val="center"/>
                    <w:rPr>
                      <w:rFonts w:hint="eastAsia"/>
                      <w:color w:val="auto"/>
                      <w:sz w:val="21"/>
                      <w:szCs w:val="21"/>
                    </w:rPr>
                  </w:pPr>
                  <w:r>
                    <w:rPr>
                      <w:rFonts w:hint="eastAsia"/>
                      <w:color w:val="auto"/>
                      <w:sz w:val="21"/>
                      <w:szCs w:val="21"/>
                    </w:rPr>
                    <w:t>90%</w:t>
                  </w:r>
                </w:p>
              </w:tc>
              <w:tc>
                <w:tcPr>
                  <w:tcW w:w="1104" w:type="dxa"/>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0.065</w:t>
                  </w:r>
                </w:p>
              </w:tc>
              <w:tc>
                <w:tcPr>
                  <w:tcW w:w="1212" w:type="dxa"/>
                  <w:vAlign w:val="center"/>
                </w:tcPr>
                <w:p>
                  <w:pPr>
                    <w:widowControl/>
                    <w:jc w:val="center"/>
                    <w:textAlignment w:val="center"/>
                    <w:rPr>
                      <w:rFonts w:hint="eastAsia"/>
                      <w:color w:val="auto"/>
                      <w:sz w:val="21"/>
                      <w:szCs w:val="21"/>
                    </w:rPr>
                  </w:pPr>
                  <w:r>
                    <w:rPr>
                      <w:rFonts w:hint="eastAsia"/>
                      <w:color w:val="auto"/>
                      <w:sz w:val="21"/>
                      <w:szCs w:val="21"/>
                      <w:lang w:eastAsia="zh-CN"/>
                    </w:rPr>
                    <w:t>生产厂房</w:t>
                  </w:r>
                </w:p>
              </w:tc>
            </w:tr>
          </w:tbl>
          <w:p>
            <w:pPr>
              <w:spacing w:line="360" w:lineRule="auto"/>
              <w:outlineLvl w:val="0"/>
              <w:rPr>
                <w:rFonts w:hint="eastAsia" w:ascii="黑体" w:hAnsi="黑体" w:eastAsia="黑体"/>
                <w:snapToGrid w:val="0"/>
                <w:color w:val="auto"/>
                <w:sz w:val="30"/>
                <w:szCs w:val="30"/>
              </w:rPr>
            </w:pPr>
          </w:p>
        </w:tc>
      </w:tr>
    </w:tbl>
    <w:p>
      <w:pPr>
        <w:pStyle w:val="38"/>
        <w:rPr>
          <w:bCs/>
          <w:color w:val="auto"/>
          <w:szCs w:val="21"/>
        </w:rPr>
        <w:sectPr>
          <w:pgSz w:w="16838" w:h="11905" w:orient="landscape"/>
          <w:pgMar w:top="1531" w:right="1701" w:bottom="1531" w:left="2126" w:header="851" w:footer="850" w:gutter="0"/>
          <w:cols w:space="720" w:num="1"/>
          <w:docGrid w:linePitch="312" w:charSpace="0"/>
        </w:sectPr>
      </w:pPr>
    </w:p>
    <w:tbl>
      <w:tblPr>
        <w:tblStyle w:val="27"/>
        <w:tblW w:w="948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2"/>
        <w:gridCol w:w="89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83" w:hRule="atLeast"/>
          <w:jc w:val="center"/>
        </w:trPr>
        <w:tc>
          <w:tcPr>
            <w:tcW w:w="572"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910" w:type="dxa"/>
            <w:vAlign w:val="top"/>
          </w:tcPr>
          <w:p>
            <w:pPr>
              <w:pStyle w:val="30"/>
              <w:numPr>
                <w:ilvl w:val="1"/>
                <w:numId w:val="0"/>
              </w:numPr>
              <w:spacing w:line="360" w:lineRule="auto"/>
              <w:ind w:firstLine="480" w:firstLineChars="200"/>
              <w:rPr>
                <w:rFonts w:hint="eastAsia" w:ascii="Times New Roman" w:hAnsi="Times New Roman"/>
                <w:color w:val="auto"/>
              </w:rPr>
            </w:pPr>
            <w:r>
              <w:rPr>
                <w:rFonts w:hint="eastAsia" w:ascii="Times New Roman" w:hAnsi="Times New Roman"/>
                <w:color w:val="auto"/>
              </w:rPr>
              <w:t>1.2源强核算</w:t>
            </w:r>
          </w:p>
          <w:p>
            <w:pPr>
              <w:pStyle w:val="30"/>
              <w:numPr>
                <w:ilvl w:val="1"/>
                <w:numId w:val="0"/>
              </w:numPr>
              <w:spacing w:line="360" w:lineRule="auto"/>
              <w:ind w:firstLine="482" w:firstLineChars="200"/>
              <w:rPr>
                <w:rFonts w:ascii="宋体" w:hAnsi="宋体" w:cs="宋体"/>
                <w:b/>
                <w:bCs w:val="0"/>
                <w:color w:val="auto"/>
              </w:rPr>
            </w:pPr>
            <w:r>
              <w:rPr>
                <w:rFonts w:hint="eastAsia" w:ascii="宋体" w:hAnsi="宋体" w:cs="宋体"/>
                <w:b/>
                <w:bCs w:val="0"/>
                <w:color w:val="auto"/>
                <w:lang w:eastAsia="zh-CN"/>
              </w:rPr>
              <w:t>（</w:t>
            </w:r>
            <w:r>
              <w:rPr>
                <w:rFonts w:hint="eastAsia" w:ascii="宋体" w:hAnsi="宋体" w:cs="宋体"/>
                <w:b/>
                <w:bCs w:val="0"/>
                <w:color w:val="auto"/>
                <w:lang w:val="en-US" w:eastAsia="zh-CN"/>
              </w:rPr>
              <w:t>1</w:t>
            </w:r>
            <w:r>
              <w:rPr>
                <w:rFonts w:hint="eastAsia" w:ascii="宋体" w:hAnsi="宋体" w:cs="宋体"/>
                <w:b/>
                <w:bCs w:val="0"/>
                <w:color w:val="auto"/>
                <w:lang w:eastAsia="zh-CN"/>
              </w:rPr>
              <w:t>）卸粮粉尘</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原料收购后由卡车运输进入厂区，卸料于卸料处，此过程会产生粉尘，其起尘量与卸车高度、粮食含水率等有关。根据《逸散性工业粉尘控制技术》谷物贮仓中卡车卸料产污系数，颗粒物产污系数取0.3kg/t-卸料，本项目汽车卸料量以</w:t>
            </w:r>
            <w:r>
              <w:rPr>
                <w:rFonts w:hint="eastAsia" w:cs="Times New Roman"/>
                <w:sz w:val="24"/>
                <w:szCs w:val="24"/>
                <w:lang w:val="en-US" w:eastAsia="zh-CN"/>
              </w:rPr>
              <w:t>6604.244</w:t>
            </w:r>
            <w:r>
              <w:rPr>
                <w:rFonts w:ascii="Times New Roman" w:hAnsi="Times New Roman" w:eastAsia="宋体" w:cs="Times New Roman"/>
                <w:sz w:val="24"/>
                <w:szCs w:val="24"/>
              </w:rPr>
              <w:t>t/a计，则卸料粉尘产生量为</w:t>
            </w:r>
            <w:r>
              <w:rPr>
                <w:rFonts w:hint="eastAsia" w:ascii="Times New Roman" w:hAnsi="Times New Roman" w:eastAsia="宋体" w:cs="Times New Roman"/>
                <w:sz w:val="24"/>
                <w:szCs w:val="24"/>
                <w:lang w:val="en-US" w:eastAsia="zh-CN"/>
              </w:rPr>
              <w:t>1.9</w:t>
            </w:r>
            <w:r>
              <w:rPr>
                <w:rFonts w:hint="eastAsia" w:cs="Times New Roman"/>
                <w:sz w:val="24"/>
                <w:szCs w:val="24"/>
                <w:lang w:val="en-US" w:eastAsia="zh-CN"/>
              </w:rPr>
              <w:t>81</w:t>
            </w:r>
            <w:r>
              <w:rPr>
                <w:rFonts w:ascii="Times New Roman" w:hAnsi="Times New Roman" w:eastAsia="宋体" w:cs="Times New Roman"/>
                <w:sz w:val="24"/>
                <w:szCs w:val="24"/>
              </w:rPr>
              <w:t>t/a，通过采取卸粮时车间封闭、苫布遮盖、降低卸粮高度、定期清扫等措施，可减少70%无组织粉尘对周围大气环境的影响，故本项目卸料粉尘排放量约为</w:t>
            </w:r>
            <w:r>
              <w:rPr>
                <w:rFonts w:hint="eastAsia" w:cs="Times New Roman"/>
                <w:sz w:val="24"/>
                <w:szCs w:val="24"/>
                <w:lang w:val="en-US" w:eastAsia="zh-CN"/>
              </w:rPr>
              <w:t>0.594</w:t>
            </w:r>
            <w:r>
              <w:rPr>
                <w:rFonts w:ascii="Times New Roman" w:hAnsi="Times New Roman" w:eastAsia="宋体" w:cs="Times New Roman"/>
                <w:sz w:val="24"/>
                <w:szCs w:val="24"/>
              </w:rPr>
              <w:t>t/a，</w:t>
            </w:r>
            <w:r>
              <w:rPr>
                <w:rFonts w:hint="eastAsia" w:ascii="Times New Roman" w:hAnsi="Times New Roman" w:eastAsia="宋体" w:cs="Times New Roman"/>
                <w:sz w:val="24"/>
                <w:szCs w:val="24"/>
                <w:lang w:eastAsia="zh-CN"/>
              </w:rPr>
              <w:t>卸料工序按照年运行</w:t>
            </w:r>
            <w:r>
              <w:rPr>
                <w:rFonts w:hint="eastAsia" w:ascii="Times New Roman" w:hAnsi="Times New Roman" w:eastAsia="宋体" w:cs="Times New Roman"/>
                <w:sz w:val="24"/>
                <w:szCs w:val="24"/>
                <w:lang w:val="en-US" w:eastAsia="zh-CN"/>
              </w:rPr>
              <w:t>300h计，则</w:t>
            </w:r>
            <w:r>
              <w:rPr>
                <w:rFonts w:ascii="Times New Roman" w:hAnsi="Times New Roman" w:eastAsia="宋体" w:cs="Times New Roman"/>
                <w:sz w:val="24"/>
                <w:szCs w:val="24"/>
              </w:rPr>
              <w:t>排放速率为</w:t>
            </w:r>
            <w:r>
              <w:rPr>
                <w:rFonts w:hint="eastAsia" w:cs="Times New Roman"/>
                <w:sz w:val="24"/>
                <w:szCs w:val="24"/>
                <w:lang w:val="en-US" w:eastAsia="zh-CN"/>
              </w:rPr>
              <w:t>1.981</w:t>
            </w:r>
            <w:r>
              <w:rPr>
                <w:rFonts w:ascii="Times New Roman" w:hAnsi="Times New Roman" w:eastAsia="宋体" w:cs="Times New Roman"/>
                <w:sz w:val="24"/>
                <w:szCs w:val="24"/>
              </w:rPr>
              <w:t>kg/h。</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ascii="Times New Roman" w:hAnsi="Times New Roman" w:eastAsia="宋体" w:cs="Times New Roman"/>
                <w:sz w:val="24"/>
                <w:szCs w:val="24"/>
              </w:rPr>
              <w:t>）转运和运输粉尘</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本项目转运和运输粉尘包括转运输送至</w:t>
            </w:r>
            <w:r>
              <w:rPr>
                <w:rFonts w:ascii="Times New Roman" w:hAnsi="Times New Roman" w:eastAsia="宋体" w:cs="Times New Roman"/>
                <w:sz w:val="24"/>
              </w:rPr>
              <w:t>清选筛、</w:t>
            </w:r>
            <w:r>
              <w:rPr>
                <w:rFonts w:ascii="Times New Roman" w:hAnsi="Times New Roman" w:eastAsia="宋体" w:cs="Times New Roman"/>
                <w:sz w:val="24"/>
                <w:szCs w:val="24"/>
              </w:rPr>
              <w:t>烘干</w:t>
            </w:r>
            <w:r>
              <w:rPr>
                <w:rFonts w:hint="eastAsia" w:ascii="Times New Roman" w:hAnsi="Times New Roman" w:eastAsia="宋体" w:cs="Times New Roman"/>
                <w:sz w:val="24"/>
                <w:szCs w:val="24"/>
                <w:lang w:eastAsia="zh-CN"/>
              </w:rPr>
              <w:t>机</w:t>
            </w:r>
            <w:r>
              <w:rPr>
                <w:rFonts w:ascii="Times New Roman" w:hAnsi="Times New Roman" w:eastAsia="宋体" w:cs="Times New Roman"/>
                <w:sz w:val="24"/>
                <w:szCs w:val="24"/>
              </w:rPr>
              <w:t>等生产全过程全部转运和输送产生的粉尘。根据《逸散性工业粉尘控制技术》谷物贮仓中转运和运输产污系数，颗粒物产污系数取</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kg/t-运料，本项目运料量以</w:t>
            </w:r>
            <w:r>
              <w:rPr>
                <w:rFonts w:hint="eastAsia" w:cs="Times New Roman"/>
                <w:sz w:val="24"/>
                <w:szCs w:val="24"/>
                <w:lang w:val="en-US" w:eastAsia="zh-CN"/>
              </w:rPr>
              <w:t>6602.263</w:t>
            </w:r>
            <w:r>
              <w:rPr>
                <w:rFonts w:ascii="Times New Roman" w:hAnsi="Times New Roman" w:eastAsia="宋体" w:cs="Times New Roman"/>
                <w:sz w:val="24"/>
                <w:szCs w:val="24"/>
              </w:rPr>
              <w:t>t/a计，则转运和运输粉尘产生量为</w:t>
            </w:r>
            <w:r>
              <w:rPr>
                <w:rFonts w:hint="eastAsia" w:ascii="Times New Roman" w:hAnsi="Times New Roman" w:eastAsia="宋体" w:cs="Times New Roman"/>
                <w:sz w:val="24"/>
                <w:szCs w:val="24"/>
                <w:lang w:val="en-US" w:eastAsia="zh-CN"/>
              </w:rPr>
              <w:t>19.</w:t>
            </w:r>
            <w:r>
              <w:rPr>
                <w:rFonts w:hint="eastAsia" w:cs="Times New Roman"/>
                <w:sz w:val="24"/>
                <w:szCs w:val="24"/>
                <w:lang w:val="en-US" w:eastAsia="zh-CN"/>
              </w:rPr>
              <w:t>807</w:t>
            </w:r>
            <w:r>
              <w:rPr>
                <w:rFonts w:ascii="Times New Roman" w:hAnsi="Times New Roman" w:eastAsia="宋体" w:cs="Times New Roman"/>
                <w:sz w:val="24"/>
                <w:szCs w:val="24"/>
              </w:rPr>
              <w:t>t/a，通过在传送带加罩的方式，加强密闭性，可有效抑制粉尘约</w:t>
            </w:r>
            <w:r>
              <w:rPr>
                <w:rFonts w:hint="eastAsia" w:cs="Times New Roman"/>
                <w:sz w:val="24"/>
                <w:szCs w:val="24"/>
                <w:lang w:val="en-US" w:eastAsia="zh-CN"/>
              </w:rPr>
              <w:t>9</w:t>
            </w:r>
            <w:r>
              <w:rPr>
                <w:rFonts w:ascii="Times New Roman" w:hAnsi="Times New Roman" w:eastAsia="宋体" w:cs="Times New Roman"/>
                <w:sz w:val="24"/>
                <w:szCs w:val="24"/>
              </w:rPr>
              <w:t>0%，故本项目转运和运输粉尘排放量约为</w:t>
            </w:r>
            <w:r>
              <w:rPr>
                <w:rFonts w:hint="eastAsia" w:ascii="Times New Roman" w:hAnsi="Times New Roman" w:eastAsia="宋体" w:cs="Times New Roman"/>
                <w:sz w:val="24"/>
                <w:szCs w:val="24"/>
                <w:lang w:val="en-US" w:eastAsia="zh-CN"/>
              </w:rPr>
              <w:t>1.9</w:t>
            </w:r>
            <w:r>
              <w:rPr>
                <w:rFonts w:hint="eastAsia" w:cs="Times New Roman"/>
                <w:sz w:val="24"/>
                <w:szCs w:val="24"/>
                <w:lang w:val="en-US" w:eastAsia="zh-CN"/>
              </w:rPr>
              <w:t>81</w:t>
            </w:r>
            <w:r>
              <w:rPr>
                <w:rFonts w:ascii="Times New Roman" w:hAnsi="Times New Roman" w:eastAsia="宋体" w:cs="Times New Roman"/>
                <w:sz w:val="24"/>
                <w:szCs w:val="24"/>
              </w:rPr>
              <w:t>t/a，转运和运输</w:t>
            </w:r>
            <w:r>
              <w:rPr>
                <w:rFonts w:hint="eastAsia" w:ascii="Times New Roman" w:hAnsi="Times New Roman" w:eastAsia="宋体" w:cs="Times New Roman"/>
                <w:sz w:val="24"/>
                <w:szCs w:val="24"/>
                <w:lang w:eastAsia="zh-CN"/>
              </w:rPr>
              <w:t>按照年运行</w:t>
            </w:r>
            <w:r>
              <w:rPr>
                <w:rFonts w:hint="eastAsia" w:ascii="Times New Roman" w:hAnsi="Times New Roman" w:eastAsia="宋体" w:cs="Times New Roman"/>
                <w:sz w:val="24"/>
                <w:szCs w:val="24"/>
                <w:lang w:val="en-US" w:eastAsia="zh-CN"/>
              </w:rPr>
              <w:t>1200h计，则</w:t>
            </w:r>
            <w:r>
              <w:rPr>
                <w:rFonts w:ascii="Times New Roman" w:hAnsi="Times New Roman" w:eastAsia="宋体" w:cs="Times New Roman"/>
                <w:sz w:val="24"/>
                <w:szCs w:val="24"/>
              </w:rPr>
              <w:t>排放速率为</w:t>
            </w:r>
            <w:r>
              <w:rPr>
                <w:rFonts w:hint="eastAsia" w:cs="Times New Roman"/>
                <w:sz w:val="24"/>
                <w:szCs w:val="24"/>
                <w:lang w:val="en-US" w:eastAsia="zh-CN"/>
              </w:rPr>
              <w:t>1.651</w:t>
            </w:r>
            <w:r>
              <w:rPr>
                <w:rFonts w:ascii="Times New Roman" w:hAnsi="Times New Roman" w:eastAsia="宋体" w:cs="Times New Roman"/>
                <w:sz w:val="24"/>
                <w:szCs w:val="24"/>
              </w:rPr>
              <w:t>kg/h。</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3</w:t>
            </w:r>
            <w:r>
              <w:rPr>
                <w:rFonts w:ascii="Times New Roman" w:hAnsi="Times New Roman" w:eastAsia="宋体" w:cs="Times New Roman"/>
                <w:sz w:val="24"/>
                <w:szCs w:val="24"/>
              </w:rPr>
              <w:t>）清选粉尘</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ascii="Times New Roman" w:hAnsi="Times New Roman" w:eastAsia="宋体" w:cs="Times New Roman"/>
                <w:sz w:val="24"/>
              </w:rPr>
              <w:t>采用清选筛</w:t>
            </w:r>
            <w:r>
              <w:rPr>
                <w:rFonts w:ascii="Times New Roman" w:hAnsi="Times New Roman" w:eastAsia="宋体" w:cs="Times New Roman"/>
                <w:bCs/>
                <w:sz w:val="24"/>
                <w:szCs w:val="24"/>
              </w:rPr>
              <w:t>进行原粮清选</w:t>
            </w:r>
            <w:r>
              <w:rPr>
                <w:rFonts w:ascii="Times New Roman" w:hAnsi="Times New Roman" w:eastAsia="宋体" w:cs="Times New Roman"/>
                <w:sz w:val="24"/>
                <w:szCs w:val="24"/>
              </w:rPr>
              <w:t>，此过程会产生清选粉尘。根据《逸散性工业粉尘控制技术》谷物贮仓中过筛和清理产污系数，颗粒物产污系数取</w:t>
            </w:r>
            <w:r>
              <w:rPr>
                <w:rFonts w:hint="eastAsia" w:ascii="Times New Roman" w:hAnsi="Times New Roman" w:eastAsia="宋体" w:cs="Times New Roman"/>
                <w:sz w:val="24"/>
                <w:szCs w:val="24"/>
              </w:rPr>
              <w:t>2.5</w:t>
            </w:r>
            <w:r>
              <w:rPr>
                <w:rFonts w:ascii="Times New Roman" w:hAnsi="Times New Roman" w:eastAsia="宋体" w:cs="Times New Roman"/>
                <w:sz w:val="24"/>
                <w:szCs w:val="24"/>
              </w:rPr>
              <w:t>kg/t-过筛和清理料，</w:t>
            </w:r>
            <w:r>
              <w:rPr>
                <w:rFonts w:hint="eastAsia" w:ascii="Times New Roman" w:hAnsi="Times New Roman" w:eastAsia="宋体" w:cs="Times New Roman"/>
                <w:sz w:val="24"/>
                <w:szCs w:val="24"/>
              </w:rPr>
              <w:t>根据物料平衡，</w:t>
            </w:r>
            <w:r>
              <w:rPr>
                <w:rFonts w:ascii="Times New Roman" w:hAnsi="Times New Roman" w:eastAsia="宋体" w:cs="Times New Roman"/>
                <w:sz w:val="24"/>
                <w:szCs w:val="24"/>
              </w:rPr>
              <w:t>本项目</w:t>
            </w:r>
            <w:r>
              <w:rPr>
                <w:rFonts w:ascii="Times New Roman" w:hAnsi="Times New Roman" w:eastAsia="宋体" w:cs="Times New Roman"/>
                <w:sz w:val="24"/>
              </w:rPr>
              <w:t>清选</w:t>
            </w:r>
            <w:r>
              <w:rPr>
                <w:rFonts w:ascii="Times New Roman" w:hAnsi="Times New Roman" w:eastAsia="宋体" w:cs="Times New Roman"/>
                <w:sz w:val="24"/>
                <w:szCs w:val="24"/>
              </w:rPr>
              <w:t>量以</w:t>
            </w:r>
            <w:r>
              <w:rPr>
                <w:rFonts w:hint="eastAsia" w:cs="Times New Roman"/>
                <w:sz w:val="24"/>
                <w:szCs w:val="24"/>
                <w:lang w:val="en-US" w:eastAsia="zh-CN"/>
              </w:rPr>
              <w:t>6582.456</w:t>
            </w:r>
            <w:r>
              <w:rPr>
                <w:rFonts w:ascii="Times New Roman" w:hAnsi="Times New Roman" w:eastAsia="宋体" w:cs="Times New Roman"/>
                <w:sz w:val="24"/>
                <w:szCs w:val="24"/>
              </w:rPr>
              <w:t>t/a计，则清选粉尘产生量为</w:t>
            </w:r>
            <w:r>
              <w:rPr>
                <w:rFonts w:hint="eastAsia" w:ascii="Times New Roman" w:hAnsi="Times New Roman" w:eastAsia="宋体" w:cs="Times New Roman"/>
                <w:sz w:val="24"/>
                <w:szCs w:val="24"/>
                <w:lang w:val="en-US" w:eastAsia="zh-CN"/>
              </w:rPr>
              <w:t>16.</w:t>
            </w:r>
            <w:r>
              <w:rPr>
                <w:rFonts w:hint="eastAsia" w:cs="Times New Roman"/>
                <w:sz w:val="24"/>
                <w:szCs w:val="24"/>
                <w:lang w:val="en-US" w:eastAsia="zh-CN"/>
              </w:rPr>
              <w:t>456</w:t>
            </w:r>
            <w:r>
              <w:rPr>
                <w:rFonts w:ascii="Times New Roman" w:hAnsi="Times New Roman" w:eastAsia="宋体" w:cs="Times New Roman"/>
                <w:sz w:val="24"/>
                <w:szCs w:val="24"/>
              </w:rPr>
              <w:t>t/a，</w:t>
            </w:r>
            <w:r>
              <w:rPr>
                <w:rFonts w:ascii="Times New Roman" w:hAnsi="Times New Roman" w:eastAsia="宋体" w:cs="Times New Roman"/>
                <w:sz w:val="24"/>
              </w:rPr>
              <w:t>通过采用封闭</w:t>
            </w:r>
            <w:r>
              <w:rPr>
                <w:rFonts w:ascii="Times New Roman" w:hAnsi="Times New Roman" w:eastAsia="宋体" w:cs="Times New Roman"/>
                <w:sz w:val="24"/>
                <w:szCs w:val="24"/>
              </w:rPr>
              <w:t>清选</w:t>
            </w:r>
            <w:r>
              <w:rPr>
                <w:rFonts w:ascii="Times New Roman" w:hAnsi="Times New Roman" w:eastAsia="宋体" w:cs="Times New Roman"/>
                <w:sz w:val="24"/>
              </w:rPr>
              <w:t>筛，且</w:t>
            </w:r>
            <w:r>
              <w:rPr>
                <w:rFonts w:ascii="Times New Roman" w:hAnsi="Times New Roman" w:eastAsia="宋体" w:cs="Times New Roman"/>
                <w:sz w:val="24"/>
                <w:szCs w:val="24"/>
              </w:rPr>
              <w:t>清选</w:t>
            </w:r>
            <w:r>
              <w:rPr>
                <w:rFonts w:ascii="Times New Roman" w:hAnsi="Times New Roman" w:eastAsia="宋体" w:cs="Times New Roman"/>
                <w:sz w:val="24"/>
              </w:rPr>
              <w:t>筛自带旋风除尘器</w:t>
            </w:r>
            <w:r>
              <w:rPr>
                <w:rFonts w:hint="eastAsia" w:ascii="Times New Roman" w:hAnsi="Times New Roman" w:eastAsia="宋体" w:cs="Times New Roman"/>
                <w:sz w:val="24"/>
              </w:rPr>
              <w:t>（TA001）</w:t>
            </w:r>
            <w:r>
              <w:rPr>
                <w:rFonts w:ascii="Times New Roman" w:hAnsi="Times New Roman" w:eastAsia="宋体" w:cs="Times New Roman"/>
                <w:sz w:val="24"/>
              </w:rPr>
              <w:t>，可有效抑制粉尘约9</w:t>
            </w:r>
            <w:r>
              <w:rPr>
                <w:rFonts w:hint="eastAsia" w:ascii="Times New Roman" w:hAnsi="Times New Roman" w:eastAsia="宋体" w:cs="Times New Roman"/>
                <w:sz w:val="24"/>
                <w:lang w:val="en-US" w:eastAsia="zh-CN"/>
              </w:rPr>
              <w:t>5</w:t>
            </w:r>
            <w:r>
              <w:rPr>
                <w:rFonts w:ascii="Times New Roman" w:hAnsi="Times New Roman" w:eastAsia="宋体" w:cs="Times New Roman"/>
                <w:sz w:val="24"/>
              </w:rPr>
              <w:t>%，</w:t>
            </w:r>
            <w:r>
              <w:rPr>
                <w:rFonts w:hint="eastAsia" w:ascii="Times New Roman" w:hAnsi="Times New Roman" w:eastAsia="宋体" w:cs="Times New Roman"/>
                <w:sz w:val="24"/>
              </w:rPr>
              <w:t>处理后的废气通过1根15m高排气筒（DA001）排放。</w:t>
            </w:r>
            <w:r>
              <w:rPr>
                <w:rFonts w:ascii="Times New Roman" w:hAnsi="Times New Roman" w:eastAsia="宋体" w:cs="Times New Roman"/>
                <w:sz w:val="24"/>
              </w:rPr>
              <w:t>根据企业提供的</w:t>
            </w:r>
            <w:r>
              <w:rPr>
                <w:rFonts w:hint="eastAsia" w:ascii="Times New Roman" w:hAnsi="Times New Roman" w:eastAsia="宋体" w:cs="Times New Roman"/>
                <w:sz w:val="24"/>
              </w:rPr>
              <w:t>设备资料，</w:t>
            </w:r>
            <w:r>
              <w:rPr>
                <w:rFonts w:ascii="Times New Roman" w:hAnsi="Times New Roman" w:eastAsia="宋体" w:cs="Times New Roman"/>
                <w:sz w:val="24"/>
                <w:szCs w:val="24"/>
              </w:rPr>
              <w:t>清选</w:t>
            </w:r>
            <w:r>
              <w:rPr>
                <w:rFonts w:ascii="Times New Roman" w:hAnsi="Times New Roman" w:eastAsia="宋体" w:cs="Times New Roman"/>
                <w:sz w:val="24"/>
              </w:rPr>
              <w:t>筛自带旋风除尘器</w:t>
            </w:r>
            <w:r>
              <w:rPr>
                <w:rFonts w:hint="eastAsia" w:ascii="Times New Roman" w:hAnsi="Times New Roman" w:eastAsia="宋体" w:cs="Times New Roman"/>
                <w:sz w:val="24"/>
              </w:rPr>
              <w:t>收集风量为</w:t>
            </w:r>
            <w:r>
              <w:rPr>
                <w:rFonts w:hint="eastAsia" w:ascii="Times New Roman" w:hAnsi="Times New Roman" w:eastAsia="宋体" w:cs="Times New Roman"/>
                <w:sz w:val="24"/>
                <w:lang w:val="en-US" w:eastAsia="zh-CN"/>
              </w:rPr>
              <w:t>8</w:t>
            </w:r>
            <w:r>
              <w:rPr>
                <w:rFonts w:hint="eastAsia" w:ascii="Times New Roman" w:hAnsi="Times New Roman" w:eastAsia="宋体" w:cs="Times New Roman"/>
                <w:sz w:val="24"/>
              </w:rPr>
              <w:t>000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/h</w:t>
            </w:r>
            <w:r>
              <w:rPr>
                <w:rFonts w:hint="eastAsia" w:ascii="Times New Roman" w:hAnsi="Times New Roman" w:eastAsia="宋体" w:cs="Times New Roman"/>
                <w:sz w:val="24"/>
              </w:rPr>
              <w:t>。</w:t>
            </w:r>
            <w:r>
              <w:rPr>
                <w:rFonts w:ascii="Times New Roman" w:hAnsi="Times New Roman" w:eastAsia="宋体" w:cs="Times New Roman"/>
                <w:sz w:val="24"/>
              </w:rPr>
              <w:t>故</w:t>
            </w:r>
            <w:r>
              <w:rPr>
                <w:rFonts w:hint="eastAsia" w:ascii="Times New Roman" w:hAnsi="Times New Roman" w:eastAsia="宋体" w:cs="Times New Roman"/>
                <w:sz w:val="24"/>
              </w:rPr>
              <w:t>处理后的颗粒物</w:t>
            </w:r>
            <w:r>
              <w:rPr>
                <w:rFonts w:ascii="Times New Roman" w:hAnsi="Times New Roman" w:eastAsia="宋体" w:cs="Times New Roman"/>
                <w:sz w:val="24"/>
              </w:rPr>
              <w:t>排放量为</w:t>
            </w:r>
            <w:r>
              <w:rPr>
                <w:rFonts w:hint="eastAsia" w:ascii="Times New Roman" w:hAnsi="Times New Roman" w:eastAsia="宋体" w:cs="Times New Roman"/>
                <w:sz w:val="24"/>
                <w:lang w:val="en-US" w:eastAsia="zh-CN"/>
              </w:rPr>
              <w:t>0.8</w:t>
            </w:r>
            <w:r>
              <w:rPr>
                <w:rFonts w:hint="eastAsia" w:cs="Times New Roman"/>
                <w:sz w:val="24"/>
                <w:lang w:val="en-US" w:eastAsia="zh-CN"/>
              </w:rPr>
              <w:t>23</w:t>
            </w:r>
            <w:r>
              <w:rPr>
                <w:rFonts w:ascii="Times New Roman" w:hAnsi="Times New Roman" w:eastAsia="宋体" w:cs="Times New Roman"/>
                <w:sz w:val="24"/>
              </w:rPr>
              <w:t>t/a，</w:t>
            </w:r>
            <w:r>
              <w:rPr>
                <w:rFonts w:ascii="Times New Roman" w:hAnsi="Times New Roman" w:eastAsia="宋体" w:cs="Times New Roman"/>
                <w:sz w:val="24"/>
                <w:szCs w:val="24"/>
              </w:rPr>
              <w:t>排放速率为</w:t>
            </w:r>
            <w:r>
              <w:rPr>
                <w:rFonts w:hint="eastAsia" w:cs="Times New Roman"/>
                <w:sz w:val="24"/>
                <w:lang w:val="en-US" w:eastAsia="zh-CN"/>
              </w:rPr>
              <w:t>0.686</w:t>
            </w:r>
            <w:r>
              <w:rPr>
                <w:rFonts w:ascii="Times New Roman" w:hAnsi="Times New Roman" w:eastAsia="宋体" w:cs="Times New Roman"/>
                <w:sz w:val="24"/>
              </w:rPr>
              <w:t>kg/h</w:t>
            </w:r>
            <w:r>
              <w:rPr>
                <w:rFonts w:hint="eastAsia" w:ascii="Times New Roman" w:hAnsi="Times New Roman" w:eastAsia="宋体" w:cs="Times New Roman"/>
                <w:sz w:val="24"/>
              </w:rPr>
              <w:t>，排放浓</w:t>
            </w:r>
            <w:r>
              <w:rPr>
                <w:rFonts w:hint="eastAsia" w:ascii="Times New Roman" w:hAnsi="Times New Roman" w:eastAsia="宋体" w:cs="Times New Roman"/>
                <w:color w:val="auto"/>
                <w:sz w:val="24"/>
              </w:rPr>
              <w:t>度为</w:t>
            </w:r>
            <w:r>
              <w:rPr>
                <w:rFonts w:hint="eastAsia" w:cs="Times New Roman"/>
                <w:color w:val="auto"/>
                <w:sz w:val="24"/>
                <w:lang w:val="en-US" w:eastAsia="zh-CN"/>
              </w:rPr>
              <w:t>85.708</w:t>
            </w:r>
            <w:r>
              <w:rPr>
                <w:rFonts w:ascii="Times New Roman" w:hAnsi="Times New Roman" w:eastAsia="宋体" w:cs="Times New Roman"/>
                <w:color w:val="auto"/>
                <w:sz w:val="24"/>
                <w:szCs w:val="24"/>
              </w:rPr>
              <w:t>mg/m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）烘干粉尘</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本项目烘干过程中会产生一定量的粉尘。</w:t>
            </w:r>
            <w:r>
              <w:rPr>
                <w:rFonts w:ascii="Times New Roman" w:hAnsi="Times New Roman" w:eastAsia="宋体" w:cs="Times New Roman"/>
                <w:sz w:val="24"/>
                <w:szCs w:val="24"/>
              </w:rPr>
              <w:t>根据《逸散性工业粉尘控制技术》谷物贮仓中干燥产污系数，</w:t>
            </w:r>
            <w:r>
              <w:rPr>
                <w:rFonts w:ascii="Times New Roman" w:hAnsi="Times New Roman" w:eastAsia="宋体" w:cs="Times New Roman"/>
                <w:sz w:val="24"/>
              </w:rPr>
              <w:t>柱式烘干塔粉尘产生系数为0.1kg/t-干燥料。</w:t>
            </w:r>
            <w:r>
              <w:rPr>
                <w:rFonts w:ascii="Times New Roman" w:hAnsi="Times New Roman" w:eastAsia="宋体" w:cs="Times New Roman"/>
                <w:sz w:val="24"/>
                <w:szCs w:val="24"/>
              </w:rPr>
              <w:t>本项目</w:t>
            </w:r>
            <w:r>
              <w:rPr>
                <w:rFonts w:ascii="Times New Roman" w:hAnsi="Times New Roman" w:eastAsia="宋体" w:cs="Times New Roman"/>
                <w:sz w:val="24"/>
              </w:rPr>
              <w:t>烘干</w:t>
            </w:r>
            <w:r>
              <w:rPr>
                <w:rFonts w:ascii="Times New Roman" w:hAnsi="Times New Roman" w:eastAsia="宋体" w:cs="Times New Roman"/>
                <w:sz w:val="24"/>
                <w:szCs w:val="24"/>
              </w:rPr>
              <w:t>量以</w:t>
            </w:r>
            <w:r>
              <w:rPr>
                <w:rFonts w:hint="eastAsia" w:ascii="Times New Roman" w:hAnsi="Times New Roman" w:eastAsia="宋体" w:cs="Times New Roman"/>
                <w:sz w:val="24"/>
                <w:szCs w:val="24"/>
                <w:lang w:val="en-US" w:eastAsia="zh-CN"/>
              </w:rPr>
              <w:t>6500</w:t>
            </w:r>
            <w:r>
              <w:rPr>
                <w:rFonts w:ascii="Times New Roman" w:hAnsi="Times New Roman" w:eastAsia="宋体" w:cs="Times New Roman"/>
                <w:sz w:val="24"/>
                <w:szCs w:val="24"/>
              </w:rPr>
              <w:t>t/a计，</w:t>
            </w:r>
            <w:r>
              <w:rPr>
                <w:rFonts w:ascii="Times New Roman" w:hAnsi="Times New Roman" w:eastAsia="宋体" w:cs="Times New Roman"/>
                <w:sz w:val="24"/>
              </w:rPr>
              <w:t>则</w:t>
            </w:r>
            <w:r>
              <w:rPr>
                <w:rFonts w:ascii="Times New Roman" w:hAnsi="Times New Roman" w:eastAsia="宋体" w:cs="Times New Roman"/>
                <w:sz w:val="24"/>
                <w:szCs w:val="24"/>
              </w:rPr>
              <w:t>烘干粉尘</w:t>
            </w:r>
            <w:r>
              <w:rPr>
                <w:rFonts w:ascii="Times New Roman" w:hAnsi="Times New Roman" w:eastAsia="宋体" w:cs="Times New Roman"/>
                <w:sz w:val="24"/>
              </w:rPr>
              <w:t>产生量为</w:t>
            </w:r>
            <w:r>
              <w:rPr>
                <w:rFonts w:hint="eastAsia" w:ascii="Times New Roman" w:hAnsi="Times New Roman" w:eastAsia="宋体" w:cs="Times New Roman"/>
                <w:sz w:val="24"/>
                <w:lang w:val="en-US" w:eastAsia="zh-CN"/>
              </w:rPr>
              <w:t>0.65</w:t>
            </w:r>
            <w:r>
              <w:rPr>
                <w:rFonts w:ascii="Times New Roman" w:hAnsi="Times New Roman" w:eastAsia="宋体" w:cs="Times New Roman"/>
                <w:sz w:val="24"/>
              </w:rPr>
              <w:t>t/a。</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rPr>
              <w:t>本项目烘干粉尘不适合用除尘器处理，因烘干粉尘中</w:t>
            </w:r>
            <w:r>
              <w:rPr>
                <w:rFonts w:hint="eastAsia" w:cs="Times New Roman"/>
                <w:sz w:val="24"/>
                <w:lang w:eastAsia="zh-CN"/>
              </w:rPr>
              <w:t>水分较大</w:t>
            </w:r>
            <w:r>
              <w:rPr>
                <w:rFonts w:ascii="Times New Roman" w:hAnsi="Times New Roman" w:eastAsia="宋体" w:cs="Times New Roman"/>
                <w:sz w:val="24"/>
              </w:rPr>
              <w:t>，使用除尘器除尘，</w:t>
            </w:r>
            <w:r>
              <w:rPr>
                <w:rFonts w:hint="eastAsia" w:cs="Times New Roman"/>
                <w:sz w:val="24"/>
                <w:lang w:eastAsia="zh-CN"/>
              </w:rPr>
              <w:t>含水分</w:t>
            </w:r>
            <w:r>
              <w:rPr>
                <w:rFonts w:ascii="Times New Roman" w:hAnsi="Times New Roman" w:eastAsia="宋体" w:cs="Times New Roman"/>
                <w:sz w:val="24"/>
              </w:rPr>
              <w:t>的粉尘会黏在布袋上，降低了除尘器的使用寿命及处理效率。根据企业提供的资料，烘干</w:t>
            </w:r>
            <w:r>
              <w:rPr>
                <w:rFonts w:hint="eastAsia" w:ascii="Times New Roman" w:hAnsi="Times New Roman" w:eastAsia="宋体" w:cs="Times New Roman"/>
                <w:sz w:val="24"/>
                <w:lang w:eastAsia="zh-CN"/>
              </w:rPr>
              <w:t>机机</w:t>
            </w:r>
            <w:r>
              <w:rPr>
                <w:rFonts w:ascii="Times New Roman" w:hAnsi="Times New Roman" w:eastAsia="宋体" w:cs="Times New Roman"/>
                <w:sz w:val="24"/>
              </w:rPr>
              <w:t>身设置内外腔，从源头上可减少烘干粉尘排放量。烘干</w:t>
            </w:r>
            <w:r>
              <w:rPr>
                <w:rFonts w:hint="eastAsia" w:ascii="Times New Roman" w:hAnsi="Times New Roman" w:eastAsia="宋体" w:cs="Times New Roman"/>
                <w:sz w:val="24"/>
                <w:lang w:eastAsia="zh-CN"/>
              </w:rPr>
              <w:t>机</w:t>
            </w:r>
            <w:r>
              <w:rPr>
                <w:rFonts w:ascii="Times New Roman" w:hAnsi="Times New Roman" w:eastAsia="宋体" w:cs="Times New Roman"/>
                <w:sz w:val="24"/>
              </w:rPr>
              <w:t>内腔的侧壁上开设有连通内腔与外腔的排潮口，在外腔的侧壁上开设有排潮口</w:t>
            </w:r>
            <w:r>
              <w:rPr>
                <w:rFonts w:ascii="Times New Roman" w:hAnsi="Times New Roman" w:eastAsia="宋体" w:cs="Times New Roman"/>
                <w:color w:val="auto"/>
                <w:sz w:val="24"/>
              </w:rPr>
              <w:t>，排潮口四周设置防尘罩，可有效抑制粉尘排放，及时清理防尘罩上过滤的粉尘。可有效抑制粉尘约9</w:t>
            </w:r>
            <w:r>
              <w:rPr>
                <w:rFonts w:hint="eastAsia" w:ascii="Times New Roman" w:hAnsi="Times New Roman" w:eastAsia="宋体" w:cs="Times New Roman"/>
                <w:color w:val="auto"/>
                <w:sz w:val="24"/>
                <w:lang w:val="en-US" w:eastAsia="zh-CN"/>
              </w:rPr>
              <w:t>0</w:t>
            </w:r>
            <w:r>
              <w:rPr>
                <w:rFonts w:ascii="Times New Roman" w:hAnsi="Times New Roman" w:eastAsia="宋体" w:cs="Times New Roman"/>
                <w:color w:val="auto"/>
                <w:sz w:val="24"/>
              </w:rPr>
              <w:t>%，故本项目烘干粉尘排放量约为</w:t>
            </w:r>
            <w:r>
              <w:rPr>
                <w:rFonts w:hint="eastAsia" w:ascii="Times New Roman" w:hAnsi="Times New Roman" w:eastAsia="宋体" w:cs="Times New Roman"/>
                <w:color w:val="auto"/>
                <w:sz w:val="24"/>
                <w:lang w:val="en-US" w:eastAsia="zh-CN"/>
              </w:rPr>
              <w:t>0.065</w:t>
            </w:r>
            <w:r>
              <w:rPr>
                <w:rFonts w:ascii="Times New Roman" w:hAnsi="Times New Roman" w:eastAsia="宋体" w:cs="Times New Roman"/>
                <w:color w:val="auto"/>
                <w:sz w:val="24"/>
              </w:rPr>
              <w:t>t/a，</w:t>
            </w:r>
            <w:r>
              <w:rPr>
                <w:rFonts w:ascii="Times New Roman" w:hAnsi="Times New Roman" w:eastAsia="宋体" w:cs="Times New Roman"/>
                <w:color w:val="auto"/>
                <w:sz w:val="24"/>
                <w:szCs w:val="24"/>
              </w:rPr>
              <w:t>排放速率为</w:t>
            </w:r>
            <w:r>
              <w:rPr>
                <w:rFonts w:hint="eastAsia" w:ascii="Times New Roman" w:hAnsi="Times New Roman" w:eastAsia="宋体" w:cs="Times New Roman"/>
                <w:color w:val="auto"/>
                <w:sz w:val="24"/>
                <w:lang w:val="en-US" w:eastAsia="zh-CN"/>
              </w:rPr>
              <w:t>0.054</w:t>
            </w:r>
            <w:r>
              <w:rPr>
                <w:rFonts w:ascii="Times New Roman" w:hAnsi="Times New Roman" w:eastAsia="宋体" w:cs="Times New Roman"/>
                <w:color w:val="auto"/>
                <w:sz w:val="24"/>
              </w:rPr>
              <w:t>kg/h。</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5</w:t>
            </w:r>
            <w:r>
              <w:rPr>
                <w:rFonts w:ascii="Times New Roman" w:hAnsi="Times New Roman" w:eastAsia="宋体" w:cs="Times New Roman"/>
                <w:sz w:val="24"/>
                <w:szCs w:val="24"/>
              </w:rPr>
              <w:t>）生物质热风炉燃烧废气</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rPr>
              <w:t>本项目</w:t>
            </w:r>
            <w:r>
              <w:rPr>
                <w:rFonts w:hint="eastAsia" w:cs="Times New Roman"/>
                <w:sz w:val="24"/>
                <w:lang w:val="en-US" w:eastAsia="zh-CN"/>
              </w:rPr>
              <w:t>4台</w:t>
            </w:r>
            <w:r>
              <w:rPr>
                <w:rFonts w:ascii="Times New Roman" w:hAnsi="Times New Roman" w:eastAsia="宋体" w:cs="Times New Roman"/>
                <w:sz w:val="24"/>
              </w:rPr>
              <w:t>烘干</w:t>
            </w:r>
            <w:r>
              <w:rPr>
                <w:rFonts w:hint="eastAsia" w:ascii="Times New Roman" w:hAnsi="Times New Roman" w:eastAsia="宋体" w:cs="Times New Roman"/>
                <w:sz w:val="24"/>
                <w:lang w:eastAsia="zh-CN"/>
              </w:rPr>
              <w:t>机</w:t>
            </w:r>
            <w:r>
              <w:rPr>
                <w:rFonts w:ascii="Times New Roman" w:hAnsi="Times New Roman" w:eastAsia="宋体" w:cs="Times New Roman"/>
                <w:sz w:val="24"/>
              </w:rPr>
              <w:t>供热</w:t>
            </w:r>
            <w:r>
              <w:rPr>
                <w:rFonts w:hint="eastAsia" w:cs="Times New Roman"/>
                <w:sz w:val="24"/>
                <w:lang w:eastAsia="zh-CN"/>
              </w:rPr>
              <w:t>配套</w:t>
            </w:r>
            <w:r>
              <w:rPr>
                <w:rFonts w:hint="eastAsia" w:cs="Times New Roman"/>
                <w:sz w:val="24"/>
                <w:lang w:val="en-US" w:eastAsia="zh-CN"/>
              </w:rPr>
              <w:t>4台</w:t>
            </w:r>
            <w:r>
              <w:rPr>
                <w:rFonts w:ascii="Times New Roman" w:hAnsi="Times New Roman" w:eastAsia="宋体" w:cs="Times New Roman"/>
                <w:color w:val="auto"/>
                <w:sz w:val="24"/>
              </w:rPr>
              <w:t>热风炉提供，</w:t>
            </w:r>
            <w:r>
              <w:rPr>
                <w:rFonts w:hint="eastAsia" w:ascii="Times New Roman" w:hAnsi="Times New Roman" w:eastAsia="宋体" w:cs="Times New Roman"/>
                <w:color w:val="auto"/>
                <w:sz w:val="24"/>
                <w:lang w:eastAsia="zh-CN"/>
              </w:rPr>
              <w:t>燃料</w:t>
            </w:r>
            <w:r>
              <w:rPr>
                <w:rFonts w:hint="eastAsia" w:ascii="Times New Roman" w:hAnsi="Times New Roman" w:eastAsia="宋体" w:cs="Times New Roman"/>
                <w:sz w:val="24"/>
                <w:lang w:eastAsia="zh-CN"/>
              </w:rPr>
              <w:t>为生物质成型颗粒，参照《排污许可证申请与核发技术规范锅炉》</w:t>
            </w:r>
            <w:r>
              <w:rPr>
                <w:rFonts w:hint="eastAsia" w:cs="Times New Roman"/>
                <w:sz w:val="24"/>
                <w:lang w:eastAsia="zh-CN"/>
              </w:rPr>
              <w:t>（</w:t>
            </w:r>
            <w:r>
              <w:rPr>
                <w:rFonts w:hint="eastAsia" w:ascii="Times New Roman" w:hAnsi="Times New Roman" w:eastAsia="宋体" w:cs="Times New Roman"/>
                <w:sz w:val="24"/>
                <w:lang w:eastAsia="zh-CN"/>
              </w:rPr>
              <w:t>HJ953-2018</w:t>
            </w:r>
            <w:r>
              <w:rPr>
                <w:rFonts w:hint="eastAsia" w:cs="Times New Roman"/>
                <w:sz w:val="24"/>
                <w:lang w:eastAsia="zh-CN"/>
              </w:rPr>
              <w:t>）</w:t>
            </w:r>
            <w:r>
              <w:rPr>
                <w:rFonts w:hint="eastAsia" w:ascii="Times New Roman" w:hAnsi="Times New Roman" w:eastAsia="宋体" w:cs="Times New Roman"/>
                <w:sz w:val="24"/>
                <w:lang w:eastAsia="zh-CN"/>
              </w:rPr>
              <w:t>表 F.4燃生物质工业锅炉的废气产排污系数</w:t>
            </w:r>
            <w:r>
              <w:rPr>
                <w:rFonts w:ascii="Times New Roman" w:hAnsi="Times New Roman" w:eastAsia="宋体" w:cs="Times New Roman"/>
                <w:sz w:val="24"/>
              </w:rPr>
              <w:t>：颗粒物为</w:t>
            </w:r>
            <w:r>
              <w:rPr>
                <w:rFonts w:hint="eastAsia" w:ascii="Times New Roman" w:hAnsi="Times New Roman" w:eastAsia="宋体" w:cs="Times New Roman"/>
                <w:sz w:val="24"/>
                <w:lang w:val="en-US" w:eastAsia="zh-CN"/>
              </w:rPr>
              <w:t>0.5</w:t>
            </w:r>
            <w:r>
              <w:rPr>
                <w:rFonts w:ascii="Times New Roman" w:hAnsi="Times New Roman" w:eastAsia="宋体" w:cs="Times New Roman"/>
                <w:sz w:val="24"/>
              </w:rPr>
              <w:t>千克/吨-原料，二氧化硫为17S千克/吨-原料（</w:t>
            </w:r>
            <w:r>
              <w:rPr>
                <w:rFonts w:hint="eastAsia" w:ascii="Times New Roman" w:hAnsi="Times New Roman" w:eastAsia="宋体" w:cs="Times New Roman"/>
                <w:sz w:val="24"/>
              </w:rPr>
              <w:t>由表2-</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rPr>
              <w:t>可知，项目所用生物质燃</w:t>
            </w:r>
            <w:r>
              <w:rPr>
                <w:rFonts w:hint="eastAsia" w:ascii="Times New Roman" w:hAnsi="Times New Roman" w:eastAsia="宋体" w:cs="Times New Roman"/>
                <w:sz w:val="24"/>
                <w:highlight w:val="none"/>
              </w:rPr>
              <w:t>料 S=0.0</w:t>
            </w:r>
            <w:r>
              <w:rPr>
                <w:rFonts w:hint="eastAsia" w:cs="Times New Roman"/>
                <w:sz w:val="24"/>
                <w:highlight w:val="none"/>
                <w:lang w:val="en-US" w:eastAsia="zh-CN"/>
              </w:rPr>
              <w:t>4</w:t>
            </w:r>
            <w:r>
              <w:rPr>
                <w:rFonts w:hint="eastAsia" w:ascii="Times New Roman" w:hAnsi="Times New Roman" w:eastAsia="宋体" w:cs="Times New Roman"/>
                <w:sz w:val="24"/>
                <w:highlight w:val="none"/>
              </w:rPr>
              <w:t>%，则 17S=</w:t>
            </w:r>
            <w:r>
              <w:rPr>
                <w:rFonts w:hint="eastAsia" w:ascii="Times New Roman" w:hAnsi="Times New Roman" w:eastAsia="宋体" w:cs="Times New Roman"/>
                <w:sz w:val="24"/>
                <w:highlight w:val="none"/>
                <w:lang w:val="en-US" w:eastAsia="zh-CN"/>
              </w:rPr>
              <w:t>0.68</w:t>
            </w:r>
            <w:r>
              <w:rPr>
                <w:rFonts w:ascii="Times New Roman" w:hAnsi="Times New Roman" w:eastAsia="宋体" w:cs="Times New Roman"/>
                <w:sz w:val="24"/>
                <w:highlight w:val="none"/>
              </w:rPr>
              <w:t>），氮氧化物为1.02千克/吨-原料，</w:t>
            </w:r>
            <w:r>
              <w:rPr>
                <w:rFonts w:hint="eastAsia" w:ascii="Times New Roman" w:hAnsi="Times New Roman" w:eastAsia="宋体" w:cs="Times New Roman"/>
                <w:sz w:val="24"/>
                <w:highlight w:val="none"/>
                <w:lang w:eastAsia="zh-CN"/>
              </w:rPr>
              <w:t>工业废气产生量为</w:t>
            </w:r>
            <w:r>
              <w:rPr>
                <w:rFonts w:hint="eastAsia" w:ascii="Times New Roman" w:hAnsi="Times New Roman" w:eastAsia="宋体" w:cs="Times New Roman"/>
                <w:sz w:val="24"/>
                <w:highlight w:val="none"/>
                <w:lang w:val="en-US" w:eastAsia="zh-CN"/>
              </w:rPr>
              <w:t>6240标立方米/吨-原料，</w:t>
            </w:r>
            <w:r>
              <w:rPr>
                <w:rFonts w:ascii="Times New Roman" w:hAnsi="Times New Roman" w:eastAsia="宋体" w:cs="Times New Roman"/>
                <w:sz w:val="24"/>
                <w:highlight w:val="none"/>
              </w:rPr>
              <w:t>本项目燃料为外购生物质成型颗粒燃料，使用量为</w:t>
            </w:r>
            <w:r>
              <w:rPr>
                <w:rFonts w:hint="eastAsia" w:ascii="Times New Roman" w:hAnsi="Times New Roman" w:eastAsia="宋体" w:cs="Times New Roman"/>
                <w:sz w:val="24"/>
                <w:highlight w:val="none"/>
                <w:lang w:val="en-US" w:eastAsia="zh-CN"/>
              </w:rPr>
              <w:t>305.37</w:t>
            </w:r>
            <w:r>
              <w:rPr>
                <w:rFonts w:ascii="Times New Roman" w:hAnsi="Times New Roman" w:eastAsia="宋体" w:cs="Times New Roman"/>
                <w:sz w:val="24"/>
                <w:highlight w:val="none"/>
              </w:rPr>
              <w:t>t/a</w:t>
            </w:r>
            <w:r>
              <w:rPr>
                <w:rFonts w:hint="eastAsia" w:ascii="Times New Roman" w:hAnsi="Times New Roman" w:eastAsia="宋体" w:cs="Times New Roman"/>
                <w:sz w:val="24"/>
                <w:highlight w:val="none"/>
              </w:rPr>
              <w:t>，</w:t>
            </w:r>
            <w:r>
              <w:rPr>
                <w:rFonts w:ascii="Times New Roman" w:hAnsi="Times New Roman" w:eastAsia="宋体" w:cs="Times New Roman"/>
                <w:sz w:val="24"/>
              </w:rPr>
              <w:t>年运行时间为</w:t>
            </w:r>
            <w:r>
              <w:rPr>
                <w:rFonts w:hint="eastAsia" w:ascii="Times New Roman" w:hAnsi="Times New Roman" w:eastAsia="宋体" w:cs="Times New Roman"/>
                <w:sz w:val="24"/>
                <w:lang w:val="en-US" w:eastAsia="zh-CN"/>
              </w:rPr>
              <w:t>1200</w:t>
            </w:r>
            <w:r>
              <w:rPr>
                <w:rFonts w:ascii="Times New Roman" w:hAnsi="Times New Roman" w:eastAsia="宋体" w:cs="Times New Roman"/>
                <w:sz w:val="24"/>
              </w:rPr>
              <w:t>h。</w:t>
            </w:r>
            <w:r>
              <w:rPr>
                <w:rFonts w:hint="eastAsia" w:ascii="Times New Roman" w:hAnsi="Times New Roman" w:eastAsia="宋体" w:cs="Times New Roman"/>
                <w:sz w:val="24"/>
              </w:rPr>
              <w:t>经</w:t>
            </w:r>
            <w:r>
              <w:rPr>
                <w:rFonts w:ascii="Times New Roman" w:hAnsi="Times New Roman" w:eastAsia="宋体" w:cs="Times New Roman"/>
                <w:sz w:val="24"/>
                <w:szCs w:val="24"/>
              </w:rPr>
              <w:t>计算得出，本项目生物质热风炉颗粒物产生量为</w:t>
            </w:r>
            <w:r>
              <w:rPr>
                <w:rFonts w:hint="eastAsia" w:ascii="Times New Roman" w:hAnsi="Times New Roman" w:eastAsia="宋体" w:cs="Times New Roman"/>
                <w:sz w:val="24"/>
                <w:szCs w:val="24"/>
                <w:lang w:val="en-US" w:eastAsia="zh-CN"/>
              </w:rPr>
              <w:t>0.153</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二氧化硫产生量为</w:t>
            </w:r>
            <w:r>
              <w:rPr>
                <w:rFonts w:hint="eastAsia" w:ascii="Times New Roman" w:hAnsi="Times New Roman" w:eastAsia="宋体" w:cs="Times New Roman"/>
                <w:sz w:val="24"/>
                <w:szCs w:val="24"/>
                <w:lang w:val="en-US" w:eastAsia="zh-CN"/>
              </w:rPr>
              <w:t>0.208</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氮氧化物产生量为</w:t>
            </w:r>
            <w:r>
              <w:rPr>
                <w:rFonts w:hint="eastAsia" w:ascii="Times New Roman" w:hAnsi="Times New Roman" w:eastAsia="宋体" w:cs="Times New Roman"/>
                <w:sz w:val="24"/>
                <w:szCs w:val="24"/>
                <w:lang w:val="en-US" w:eastAsia="zh-CN"/>
              </w:rPr>
              <w:t>0.311</w:t>
            </w:r>
            <w:r>
              <w:rPr>
                <w:rFonts w:ascii="Times New Roman" w:hAnsi="Times New Roman" w:eastAsia="宋体" w:cs="Times New Roman"/>
                <w:sz w:val="24"/>
                <w:szCs w:val="24"/>
              </w:rPr>
              <w:t>t/a。</w:t>
            </w:r>
            <w:r>
              <w:rPr>
                <w:rFonts w:hint="eastAsia" w:ascii="Times New Roman" w:hAnsi="Times New Roman" w:eastAsia="宋体" w:cs="Times New Roman"/>
                <w:sz w:val="24"/>
                <w:szCs w:val="24"/>
                <w:lang w:eastAsia="zh-CN"/>
              </w:rPr>
              <w:t>工业废气量为</w:t>
            </w:r>
            <w:r>
              <w:rPr>
                <w:rFonts w:hint="eastAsia" w:ascii="Times New Roman" w:hAnsi="Times New Roman" w:eastAsia="宋体" w:cs="Times New Roman"/>
                <w:sz w:val="24"/>
                <w:szCs w:val="24"/>
                <w:lang w:val="en-US" w:eastAsia="zh-CN"/>
              </w:rPr>
              <w:t>1905508.8m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/a（1587.924m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p>
          <w:p>
            <w:pPr>
              <w:spacing w:line="360" w:lineRule="auto"/>
              <w:ind w:firstLine="480" w:firstLineChars="200"/>
              <w:rPr>
                <w:rFonts w:ascii="Times New Roman" w:hAnsi="Times New Roman" w:eastAsia="宋体" w:cs="Times New Roman"/>
                <w:b/>
                <w:bCs/>
                <w:color w:val="000000"/>
                <w:sz w:val="24"/>
                <w:szCs w:val="24"/>
              </w:rPr>
            </w:pPr>
            <w:r>
              <w:rPr>
                <w:rFonts w:ascii="Times New Roman" w:hAnsi="Times New Roman" w:eastAsia="宋体" w:cs="Times New Roman"/>
                <w:sz w:val="24"/>
              </w:rPr>
              <w:t>本项目生物质热风炉采用密闭燃烧，</w:t>
            </w:r>
            <w:r>
              <w:rPr>
                <w:rFonts w:ascii="Times New Roman" w:hAnsi="Times New Roman" w:eastAsia="宋体" w:cs="Times New Roman"/>
                <w:sz w:val="24"/>
                <w:szCs w:val="24"/>
              </w:rPr>
              <w:t>废气</w:t>
            </w:r>
            <w:r>
              <w:rPr>
                <w:rFonts w:ascii="Times New Roman" w:hAnsi="Times New Roman" w:eastAsia="宋体" w:cs="Times New Roman"/>
                <w:sz w:val="24"/>
              </w:rPr>
              <w:t>收集效率按100%计，</w:t>
            </w:r>
            <w:r>
              <w:rPr>
                <w:rFonts w:ascii="Times New Roman" w:hAnsi="Times New Roman" w:eastAsia="宋体" w:cs="Times New Roman"/>
                <w:sz w:val="24"/>
                <w:szCs w:val="24"/>
              </w:rPr>
              <w:t>废气</w:t>
            </w:r>
            <w:r>
              <w:rPr>
                <w:rFonts w:ascii="Times New Roman" w:hAnsi="Times New Roman" w:eastAsia="宋体" w:cs="Times New Roman"/>
                <w:sz w:val="24"/>
              </w:rPr>
              <w:t>收集后</w:t>
            </w:r>
            <w:r>
              <w:rPr>
                <w:rFonts w:ascii="Times New Roman" w:hAnsi="Times New Roman" w:eastAsia="宋体" w:cs="Times New Roman"/>
                <w:sz w:val="24"/>
                <w:szCs w:val="24"/>
              </w:rPr>
              <w:t>引入1套</w:t>
            </w:r>
            <w:r>
              <w:rPr>
                <w:rFonts w:hint="eastAsia" w:ascii="Times New Roman" w:hAnsi="Times New Roman" w:eastAsia="宋体" w:cs="Times New Roman"/>
                <w:sz w:val="24"/>
                <w:szCs w:val="24"/>
                <w:lang w:eastAsia="zh-CN"/>
              </w:rPr>
              <w:t>旋风除尘器（</w:t>
            </w:r>
            <w:r>
              <w:rPr>
                <w:rFonts w:hint="eastAsia" w:ascii="Times New Roman" w:hAnsi="Times New Roman" w:eastAsia="宋体" w:cs="Times New Roman"/>
                <w:sz w:val="24"/>
                <w:szCs w:val="24"/>
                <w:lang w:val="en-US" w:eastAsia="zh-CN"/>
              </w:rPr>
              <w:t>TA002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袋式</w:t>
            </w:r>
            <w:r>
              <w:rPr>
                <w:rFonts w:ascii="Times New Roman" w:hAnsi="Times New Roman" w:eastAsia="宋体" w:cs="Times New Roman"/>
                <w:sz w:val="24"/>
                <w:szCs w:val="24"/>
              </w:rPr>
              <w:t>除尘器</w:t>
            </w:r>
            <w:r>
              <w:rPr>
                <w:rFonts w:hint="eastAsia" w:ascii="Times New Roman" w:hAnsi="Times New Roman" w:eastAsia="宋体" w:cs="Times New Roman"/>
                <w:sz w:val="24"/>
                <w:szCs w:val="24"/>
              </w:rPr>
              <w:t>（TA00</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w:t>
            </w:r>
            <w:r>
              <w:rPr>
                <w:rFonts w:ascii="Times New Roman" w:hAnsi="Times New Roman" w:eastAsia="宋体" w:cs="Times New Roman"/>
                <w:sz w:val="24"/>
                <w:szCs w:val="24"/>
              </w:rPr>
              <w:t>处理，处理后经1根15m高排气筒（DA00</w:t>
            </w:r>
            <w:r>
              <w:rPr>
                <w:rFonts w:hint="eastAsia" w:ascii="Times New Roman" w:hAnsi="Times New Roman" w:eastAsia="宋体" w:cs="Times New Roman"/>
                <w:sz w:val="24"/>
                <w:szCs w:val="24"/>
              </w:rPr>
              <w:t>2</w:t>
            </w:r>
            <w:r>
              <w:rPr>
                <w:rFonts w:ascii="Times New Roman" w:hAnsi="Times New Roman" w:eastAsia="宋体" w:cs="Times New Roman"/>
                <w:sz w:val="24"/>
                <w:szCs w:val="24"/>
              </w:rPr>
              <w:t>）排放，颗粒物去除效率为9</w:t>
            </w: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rPr>
              <w:t>%，二氧化硫与氮氧化物处理效率为零。故颗粒物有组织排放量为</w:t>
            </w:r>
            <w:r>
              <w:rPr>
                <w:rFonts w:hint="eastAsia" w:ascii="Times New Roman" w:hAnsi="Times New Roman" w:eastAsia="宋体" w:cs="Times New Roman"/>
                <w:sz w:val="24"/>
                <w:szCs w:val="24"/>
                <w:lang w:val="en-US" w:eastAsia="zh-CN"/>
              </w:rPr>
              <w:t>0.003</w:t>
            </w:r>
            <w:r>
              <w:rPr>
                <w:rFonts w:ascii="Times New Roman" w:hAnsi="Times New Roman" w:eastAsia="宋体" w:cs="Times New Roman"/>
                <w:sz w:val="24"/>
                <w:szCs w:val="24"/>
              </w:rPr>
              <w:t>t/a、排放速率为</w:t>
            </w:r>
            <w:r>
              <w:rPr>
                <w:rFonts w:hint="eastAsia" w:ascii="Times New Roman" w:hAnsi="Times New Roman" w:eastAsia="宋体" w:cs="Times New Roman"/>
                <w:sz w:val="24"/>
                <w:szCs w:val="24"/>
                <w:lang w:val="en-US" w:eastAsia="zh-CN"/>
              </w:rPr>
              <w:t>0.003</w:t>
            </w:r>
            <w:r>
              <w:rPr>
                <w:rFonts w:ascii="Times New Roman" w:hAnsi="Times New Roman" w:eastAsia="宋体" w:cs="Times New Roman"/>
                <w:sz w:val="24"/>
                <w:szCs w:val="24"/>
              </w:rPr>
              <w:t>kg/h、排放浓度为</w:t>
            </w:r>
            <w:r>
              <w:rPr>
                <w:rFonts w:hint="eastAsia" w:ascii="Times New Roman" w:hAnsi="Times New Roman" w:eastAsia="宋体" w:cs="Times New Roman"/>
                <w:sz w:val="24"/>
                <w:szCs w:val="24"/>
                <w:lang w:val="en-US" w:eastAsia="zh-CN"/>
              </w:rPr>
              <w:t>1.603</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；二氧化硫有组织排放量为</w:t>
            </w:r>
            <w:r>
              <w:rPr>
                <w:rFonts w:hint="eastAsia" w:ascii="Times New Roman" w:hAnsi="Times New Roman" w:eastAsia="宋体" w:cs="Times New Roman"/>
                <w:sz w:val="24"/>
                <w:szCs w:val="24"/>
                <w:lang w:val="en-US" w:eastAsia="zh-CN"/>
              </w:rPr>
              <w:t>0.208</w:t>
            </w:r>
            <w:r>
              <w:rPr>
                <w:rFonts w:ascii="Times New Roman" w:hAnsi="Times New Roman" w:eastAsia="宋体" w:cs="Times New Roman"/>
                <w:sz w:val="24"/>
                <w:szCs w:val="24"/>
              </w:rPr>
              <w:t>t/a、排放速率为</w:t>
            </w:r>
            <w:r>
              <w:rPr>
                <w:rFonts w:hint="eastAsia" w:ascii="Times New Roman" w:hAnsi="Times New Roman" w:eastAsia="宋体" w:cs="Times New Roman"/>
                <w:sz w:val="24"/>
                <w:szCs w:val="24"/>
                <w:lang w:val="en-US" w:eastAsia="zh-CN"/>
              </w:rPr>
              <w:t>0.173</w:t>
            </w:r>
            <w:r>
              <w:rPr>
                <w:rFonts w:ascii="Times New Roman" w:hAnsi="Times New Roman" w:eastAsia="宋体" w:cs="Times New Roman"/>
                <w:sz w:val="24"/>
                <w:szCs w:val="24"/>
              </w:rPr>
              <w:t>kg/h、排放浓度为</w:t>
            </w:r>
            <w:r>
              <w:rPr>
                <w:rFonts w:hint="eastAsia" w:ascii="Times New Roman" w:hAnsi="Times New Roman" w:eastAsia="宋体" w:cs="Times New Roman"/>
                <w:sz w:val="24"/>
                <w:szCs w:val="24"/>
                <w:lang w:val="en-US" w:eastAsia="zh-CN"/>
              </w:rPr>
              <w:t>108.974</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；氮氧化物有组织排放量为</w:t>
            </w:r>
            <w:r>
              <w:rPr>
                <w:rFonts w:hint="eastAsia" w:ascii="Times New Roman" w:hAnsi="Times New Roman" w:eastAsia="宋体" w:cs="Times New Roman"/>
                <w:sz w:val="24"/>
                <w:szCs w:val="24"/>
                <w:lang w:val="en-US" w:eastAsia="zh-CN"/>
              </w:rPr>
              <w:t>0.311</w:t>
            </w:r>
            <w:r>
              <w:rPr>
                <w:rFonts w:ascii="Times New Roman" w:hAnsi="Times New Roman" w:eastAsia="宋体" w:cs="Times New Roman"/>
                <w:sz w:val="24"/>
                <w:szCs w:val="24"/>
              </w:rPr>
              <w:t>t/a、排放速率为</w:t>
            </w:r>
            <w:r>
              <w:rPr>
                <w:rFonts w:hint="eastAsia" w:ascii="Times New Roman" w:hAnsi="Times New Roman" w:eastAsia="宋体" w:cs="Times New Roman"/>
                <w:sz w:val="24"/>
                <w:szCs w:val="24"/>
                <w:lang w:val="en-US" w:eastAsia="zh-CN"/>
              </w:rPr>
              <w:t>0.26</w:t>
            </w:r>
            <w:r>
              <w:rPr>
                <w:rFonts w:ascii="Times New Roman" w:hAnsi="Times New Roman" w:eastAsia="宋体" w:cs="Times New Roman"/>
                <w:sz w:val="24"/>
                <w:szCs w:val="24"/>
              </w:rPr>
              <w:t>kg/h、排放浓度为</w:t>
            </w:r>
            <w:r>
              <w:rPr>
                <w:rFonts w:hint="eastAsia" w:ascii="Times New Roman" w:hAnsi="Times New Roman" w:eastAsia="宋体" w:cs="Times New Roman"/>
                <w:sz w:val="24"/>
                <w:szCs w:val="24"/>
                <w:lang w:val="en-US" w:eastAsia="zh-CN"/>
              </w:rPr>
              <w:t>163.462</w:t>
            </w:r>
            <w:r>
              <w:rPr>
                <w:rFonts w:ascii="Times New Roman" w:hAnsi="Times New Roman" w:eastAsia="宋体" w:cs="Times New Roman"/>
                <w:sz w:val="24"/>
                <w:szCs w:val="24"/>
              </w:rPr>
              <w:t>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widowControl/>
              <w:autoSpaceDE/>
              <w:autoSpaceDN/>
              <w:adjustRightInd/>
              <w:spacing w:line="360" w:lineRule="auto"/>
              <w:ind w:firstLine="422" w:firstLineChars="200"/>
              <w:rPr>
                <w:rFonts w:hint="eastAsia" w:ascii="Times New Roman" w:hAnsi="Times New Roman"/>
                <w:b/>
                <w:bCs w:val="0"/>
                <w:color w:val="auto"/>
                <w:lang w:eastAsia="zh-CN"/>
              </w:rPr>
            </w:pPr>
          </w:p>
          <w:p>
            <w:pPr>
              <w:widowControl/>
              <w:autoSpaceDE/>
              <w:autoSpaceDN/>
              <w:adjustRightInd/>
              <w:spacing w:line="360" w:lineRule="auto"/>
              <w:ind w:firstLine="422" w:firstLineChars="200"/>
              <w:rPr>
                <w:rFonts w:hint="eastAsia" w:ascii="Times New Roman" w:hAnsi="Times New Roman"/>
                <w:b/>
                <w:bCs w:val="0"/>
                <w:color w:val="auto"/>
                <w:lang w:eastAsia="zh-CN"/>
              </w:rPr>
            </w:pPr>
          </w:p>
          <w:p>
            <w:pPr>
              <w:pStyle w:val="38"/>
              <w:rPr>
                <w:rFonts w:hint="eastAsia" w:ascii="Times New Roman"/>
                <w:b/>
                <w:bCs/>
                <w:color w:val="auto"/>
                <w:sz w:val="24"/>
                <w:szCs w:val="24"/>
              </w:rPr>
            </w:pPr>
          </w:p>
          <w:p>
            <w:pPr>
              <w:pStyle w:val="38"/>
              <w:rPr>
                <w:rFonts w:hint="eastAsia" w:ascii="Times New Roman"/>
                <w:b/>
                <w:bCs/>
                <w:color w:val="auto"/>
                <w:sz w:val="24"/>
                <w:szCs w:val="24"/>
              </w:rPr>
            </w:pPr>
          </w:p>
          <w:p>
            <w:pPr>
              <w:pStyle w:val="38"/>
              <w:rPr>
                <w:rFonts w:hint="eastAsia" w:ascii="Times New Roman"/>
                <w:b/>
                <w:bCs/>
                <w:color w:val="auto"/>
                <w:sz w:val="24"/>
                <w:szCs w:val="24"/>
              </w:rPr>
            </w:pPr>
          </w:p>
          <w:p>
            <w:pPr>
              <w:pStyle w:val="38"/>
              <w:rPr>
                <w:rFonts w:hint="eastAsia" w:ascii="Times New Roman"/>
                <w:b/>
                <w:bCs/>
                <w:color w:val="auto"/>
                <w:sz w:val="24"/>
                <w:szCs w:val="24"/>
              </w:rPr>
            </w:pPr>
          </w:p>
          <w:p>
            <w:pPr>
              <w:pStyle w:val="38"/>
              <w:rPr>
                <w:rFonts w:hint="eastAsia" w:ascii="Times New Roman"/>
                <w:b/>
                <w:bCs/>
                <w:color w:val="auto"/>
                <w:sz w:val="24"/>
                <w:szCs w:val="24"/>
              </w:rPr>
            </w:pPr>
          </w:p>
          <w:p>
            <w:pPr>
              <w:pStyle w:val="38"/>
              <w:rPr>
                <w:rFonts w:hint="eastAsia"/>
                <w:b/>
                <w:bCs/>
                <w:color w:val="auto"/>
                <w:sz w:val="24"/>
                <w:szCs w:val="24"/>
              </w:rPr>
            </w:pPr>
            <w:r>
              <w:rPr>
                <w:rFonts w:hint="eastAsia" w:ascii="Times New Roman"/>
                <w:b/>
                <w:bCs/>
                <w:color w:val="auto"/>
                <w:sz w:val="24"/>
                <w:szCs w:val="24"/>
              </w:rPr>
              <w:t>1.3</w:t>
            </w:r>
            <w:r>
              <w:rPr>
                <w:rFonts w:hint="eastAsia"/>
                <w:b/>
                <w:bCs/>
                <w:color w:val="auto"/>
                <w:sz w:val="24"/>
                <w:szCs w:val="24"/>
              </w:rPr>
              <w:t>废气处理措施可行性分析</w:t>
            </w:r>
          </w:p>
          <w:p>
            <w:pPr>
              <w:spacing w:line="360" w:lineRule="auto"/>
              <w:ind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本项目废气治理措施如下图</w:t>
            </w:r>
          </w:p>
          <w:p>
            <w:pPr>
              <w:pStyle w:val="30"/>
              <w:numPr>
                <w:ilvl w:val="1"/>
                <w:numId w:val="0"/>
              </w:numPr>
              <w:spacing w:line="360" w:lineRule="auto"/>
              <w:jc w:val="center"/>
              <w:rPr>
                <w:color w:val="auto"/>
              </w:rPr>
            </w:pPr>
            <w:r>
              <w:drawing>
                <wp:inline distT="0" distB="0" distL="114300" distR="114300">
                  <wp:extent cx="5516880" cy="1714500"/>
                  <wp:effectExtent l="0" t="0" r="762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1"/>
                          <a:stretch>
                            <a:fillRect/>
                          </a:stretch>
                        </pic:blipFill>
                        <pic:spPr>
                          <a:xfrm>
                            <a:off x="0" y="0"/>
                            <a:ext cx="5516880" cy="1714500"/>
                          </a:xfrm>
                          <a:prstGeom prst="rect">
                            <a:avLst/>
                          </a:prstGeom>
                          <a:noFill/>
                          <a:ln>
                            <a:noFill/>
                          </a:ln>
                        </pic:spPr>
                      </pic:pic>
                    </a:graphicData>
                  </a:graphic>
                </wp:inline>
              </w:drawing>
            </w:r>
          </w:p>
          <w:p>
            <w:pPr>
              <w:spacing w:line="360" w:lineRule="auto"/>
              <w:ind w:firstLine="422" w:firstLineChars="200"/>
              <w:jc w:val="center"/>
              <w:rPr>
                <w:rFonts w:ascii="Times New Roman" w:hAnsi="Times New Roman"/>
                <w:b/>
                <w:bCs/>
                <w:color w:val="auto"/>
                <w:sz w:val="21"/>
                <w:szCs w:val="21"/>
              </w:rPr>
            </w:pPr>
            <w:r>
              <w:rPr>
                <w:rFonts w:ascii="Times New Roman" w:hAnsi="Times New Roman"/>
                <w:b/>
                <w:bCs/>
                <w:color w:val="auto"/>
                <w:sz w:val="21"/>
                <w:szCs w:val="21"/>
              </w:rPr>
              <w:t>图4-1  废气处理示意图</w:t>
            </w:r>
          </w:p>
          <w:p>
            <w:pPr>
              <w:spacing w:line="360" w:lineRule="auto"/>
              <w:ind w:firstLine="480" w:firstLineChars="200"/>
              <w:rPr>
                <w:rFonts w:hint="eastAsia"/>
                <w:color w:val="auto"/>
                <w:kern w:val="0"/>
                <w:sz w:val="24"/>
                <w:szCs w:val="20"/>
              </w:rPr>
            </w:pPr>
            <w:r>
              <w:rPr>
                <w:rFonts w:hint="eastAsia"/>
                <w:color w:val="auto"/>
                <w:kern w:val="0"/>
                <w:sz w:val="24"/>
                <w:szCs w:val="20"/>
              </w:rPr>
              <w:t>根据《排污许可证申请与核发技术规范 工业炉窑》（HJ1121-2020）附录 A 废气可行技术参考表，本项目热风炉采用</w:t>
            </w:r>
            <w:r>
              <w:rPr>
                <w:rFonts w:hint="eastAsia"/>
                <w:color w:val="auto"/>
                <w:kern w:val="0"/>
                <w:sz w:val="24"/>
                <w:szCs w:val="20"/>
                <w:lang w:eastAsia="zh-CN"/>
              </w:rPr>
              <w:t>旋风除尘器</w:t>
            </w:r>
            <w:r>
              <w:rPr>
                <w:rFonts w:hint="eastAsia"/>
                <w:color w:val="auto"/>
                <w:kern w:val="0"/>
                <w:sz w:val="24"/>
                <w:szCs w:val="20"/>
                <w:lang w:val="en-US" w:eastAsia="zh-CN"/>
              </w:rPr>
              <w:t>+</w:t>
            </w:r>
            <w:r>
              <w:rPr>
                <w:rFonts w:hint="eastAsia"/>
                <w:color w:val="auto"/>
                <w:kern w:val="0"/>
                <w:sz w:val="24"/>
                <w:szCs w:val="20"/>
              </w:rPr>
              <w:t>袋除尘器为可行技术。热风炉排气筒高度为 15m，排气筒高度高出周围200m半径范围内的建筑3m以上，排气筒高度满足《工业炉窑大气污染物排放标准》（GB9078-1996）有关排气筒的要求。</w:t>
            </w:r>
          </w:p>
          <w:p>
            <w:pPr>
              <w:spacing w:line="360" w:lineRule="auto"/>
              <w:ind w:firstLine="480" w:firstLineChars="200"/>
              <w:rPr>
                <w:rFonts w:hint="eastAsia"/>
                <w:color w:val="auto"/>
                <w:kern w:val="0"/>
                <w:sz w:val="24"/>
                <w:szCs w:val="20"/>
                <w:lang w:eastAsia="zh-CN"/>
              </w:rPr>
            </w:pPr>
            <w:r>
              <w:rPr>
                <w:rFonts w:hint="eastAsia"/>
                <w:color w:val="auto"/>
                <w:kern w:val="0"/>
                <w:sz w:val="24"/>
                <w:szCs w:val="20"/>
              </w:rPr>
              <w:t>参考《排污许可证申请与核发技术规范 农副食品加工工业—饲料加工、植物油加工工业》（HJ1110-2020）中废气污染防治可行技术参考表，清理筛使用</w:t>
            </w:r>
            <w:r>
              <w:rPr>
                <w:rFonts w:hint="eastAsia"/>
                <w:color w:val="auto"/>
                <w:kern w:val="0"/>
                <w:sz w:val="24"/>
                <w:szCs w:val="20"/>
                <w:lang w:eastAsia="zh-CN"/>
              </w:rPr>
              <w:t>旋风</w:t>
            </w:r>
            <w:r>
              <w:rPr>
                <w:rFonts w:hint="eastAsia"/>
                <w:color w:val="auto"/>
                <w:kern w:val="0"/>
                <w:sz w:val="24"/>
                <w:szCs w:val="20"/>
              </w:rPr>
              <w:t>除尘器，</w:t>
            </w:r>
            <w:r>
              <w:rPr>
                <w:rFonts w:hint="eastAsia"/>
                <w:color w:val="auto"/>
                <w:kern w:val="0"/>
                <w:sz w:val="24"/>
                <w:szCs w:val="20"/>
                <w:lang w:eastAsia="zh-CN"/>
              </w:rPr>
              <w:t>为可行技术。</w:t>
            </w:r>
          </w:p>
          <w:p>
            <w:pPr>
              <w:spacing w:line="360" w:lineRule="auto"/>
              <w:ind w:firstLine="480" w:firstLineChars="200"/>
              <w:rPr>
                <w:rFonts w:hint="eastAsia"/>
                <w:color w:val="auto"/>
                <w:kern w:val="0"/>
                <w:sz w:val="24"/>
                <w:szCs w:val="20"/>
              </w:rPr>
            </w:pPr>
            <w:r>
              <w:rPr>
                <w:rFonts w:hint="eastAsia"/>
                <w:color w:val="auto"/>
                <w:kern w:val="0"/>
                <w:sz w:val="24"/>
                <w:szCs w:val="20"/>
              </w:rPr>
              <w:t>根据《排污许可证申请与核发技术规范 工业炉窑》（HJ1121-2020）废气污染防治可行技术要求中无组织排放的要求：3）工艺过程。生产工艺产尘点（装置）应采取密闭、封闭或设置集气罩等措施。</w:t>
            </w:r>
            <w:r>
              <w:rPr>
                <w:rFonts w:ascii="Times New Roman" w:hAnsi="Times New Roman" w:eastAsia="宋体" w:cs="Times New Roman"/>
                <w:sz w:val="24"/>
                <w:szCs w:val="24"/>
              </w:rPr>
              <w:t>烘干</w:t>
            </w:r>
            <w:r>
              <w:rPr>
                <w:rFonts w:hint="eastAsia" w:ascii="Times New Roman" w:hAnsi="Times New Roman" w:eastAsia="宋体" w:cs="Times New Roman"/>
                <w:sz w:val="24"/>
                <w:szCs w:val="24"/>
                <w:lang w:eastAsia="zh-CN"/>
              </w:rPr>
              <w:t>机机</w:t>
            </w:r>
            <w:r>
              <w:rPr>
                <w:rFonts w:ascii="Times New Roman" w:hAnsi="Times New Roman" w:eastAsia="宋体" w:cs="Times New Roman"/>
                <w:sz w:val="24"/>
                <w:szCs w:val="24"/>
              </w:rPr>
              <w:t>身设置内外腔，内腔的侧壁上开设有连通内腔与外腔的排潮口，在外腔的侧壁上开设有排潮口，排潮口四</w:t>
            </w:r>
            <w:r>
              <w:rPr>
                <w:rFonts w:ascii="Times New Roman" w:hAnsi="Times New Roman" w:eastAsia="宋体" w:cs="Times New Roman"/>
                <w:sz w:val="24"/>
              </w:rPr>
              <w:t>周设置防尘罩。</w:t>
            </w:r>
            <w:r>
              <w:rPr>
                <w:rFonts w:hint="eastAsia"/>
                <w:color w:val="auto"/>
                <w:kern w:val="0"/>
                <w:sz w:val="24"/>
                <w:szCs w:val="20"/>
              </w:rPr>
              <w:t>符合《排污许可证申请与核发技术规范 工业炉窑》（HJ1121-2020）无组织排放的运行管理要求。</w:t>
            </w:r>
          </w:p>
          <w:p>
            <w:pPr>
              <w:spacing w:line="360" w:lineRule="auto"/>
              <w:ind w:firstLine="480" w:firstLineChars="200"/>
              <w:rPr>
                <w:color w:val="auto"/>
                <w:kern w:val="0"/>
                <w:sz w:val="24"/>
                <w:szCs w:val="20"/>
              </w:rPr>
            </w:pPr>
            <w:r>
              <w:rPr>
                <w:rFonts w:hint="eastAsia"/>
                <w:color w:val="auto"/>
                <w:kern w:val="0"/>
                <w:sz w:val="24"/>
                <w:szCs w:val="20"/>
              </w:rPr>
              <w:t>根据《排污许可证申请与核发技术规范 工业炉窑》（HJ1121-2020）废气污染防治可行技术要求中无组织排放的要求：1）物料储存。煤粉、粉煤灰、石灰、除尘灰、脱硫灰等粉状物料应密闭或封闭储存。粒状、块状物料应采用入棚入仓或建设防风抑尘网等方式进行储存。本项目生物质燃料</w:t>
            </w:r>
            <w:r>
              <w:rPr>
                <w:rFonts w:hint="eastAsia"/>
                <w:color w:val="auto"/>
                <w:kern w:val="0"/>
                <w:sz w:val="24"/>
                <w:szCs w:val="20"/>
                <w:lang w:eastAsia="zh-CN"/>
              </w:rPr>
              <w:t>，灰渣均</w:t>
            </w:r>
            <w:r>
              <w:rPr>
                <w:rFonts w:hint="eastAsia"/>
                <w:color w:val="auto"/>
                <w:kern w:val="0"/>
                <w:sz w:val="24"/>
                <w:szCs w:val="20"/>
              </w:rPr>
              <w:t>存放在密闭仓库内，符合《排污许可证申请与核发技术规范 工业炉窑》（HJ1121-2020）无组织排放的运行管理要求。</w:t>
            </w:r>
          </w:p>
          <w:p>
            <w:pPr>
              <w:pStyle w:val="30"/>
              <w:numPr>
                <w:ilvl w:val="1"/>
                <w:numId w:val="0"/>
              </w:numPr>
              <w:ind w:leftChars="200"/>
              <w:rPr>
                <w:rFonts w:hint="eastAsia"/>
                <w:color w:val="auto"/>
              </w:rPr>
            </w:pPr>
            <w:r>
              <w:rPr>
                <w:rFonts w:hint="eastAsia" w:ascii="Times New Roman" w:hAnsi="Times New Roman"/>
                <w:color w:val="auto"/>
              </w:rPr>
              <w:t xml:space="preserve">1.4 </w:t>
            </w:r>
            <w:r>
              <w:rPr>
                <w:rFonts w:hint="eastAsia"/>
                <w:color w:val="auto"/>
              </w:rPr>
              <w:t>达标排放分析</w:t>
            </w:r>
          </w:p>
          <w:p>
            <w:pPr>
              <w:jc w:val="center"/>
              <w:rPr>
                <w:rFonts w:hint="eastAsia"/>
                <w:b/>
                <w:bCs/>
                <w:color w:val="auto"/>
                <w:szCs w:val="21"/>
              </w:rPr>
            </w:pPr>
          </w:p>
          <w:p>
            <w:pPr>
              <w:jc w:val="center"/>
              <w:rPr>
                <w:rFonts w:hint="eastAsia"/>
                <w:b/>
                <w:bCs/>
                <w:color w:val="auto"/>
                <w:szCs w:val="21"/>
              </w:rPr>
            </w:pPr>
            <w:r>
              <w:rPr>
                <w:rFonts w:hint="eastAsia"/>
                <w:b/>
                <w:bCs/>
                <w:color w:val="auto"/>
                <w:szCs w:val="21"/>
              </w:rPr>
              <w:t>表4-</w:t>
            </w:r>
            <w:r>
              <w:rPr>
                <w:rFonts w:hint="eastAsia"/>
                <w:b/>
                <w:bCs/>
                <w:color w:val="auto"/>
                <w:szCs w:val="21"/>
                <w:lang w:val="en-US" w:eastAsia="zh-CN"/>
              </w:rPr>
              <w:t>3</w:t>
            </w:r>
            <w:r>
              <w:rPr>
                <w:rFonts w:hint="eastAsia"/>
                <w:b/>
                <w:bCs/>
                <w:color w:val="auto"/>
                <w:szCs w:val="21"/>
              </w:rPr>
              <w:t>达标排放分析</w:t>
            </w:r>
          </w:p>
          <w:tbl>
            <w:tblPr>
              <w:tblStyle w:val="27"/>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65"/>
              <w:gridCol w:w="1400"/>
              <w:gridCol w:w="1123"/>
              <w:gridCol w:w="1309"/>
              <w:gridCol w:w="1066"/>
              <w:gridCol w:w="94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7" w:type="dxa"/>
                  <w:vMerge w:val="restart"/>
                  <w:vAlign w:val="center"/>
                </w:tcPr>
                <w:p>
                  <w:pPr>
                    <w:pStyle w:val="21"/>
                    <w:spacing w:line="240" w:lineRule="auto"/>
                    <w:jc w:val="center"/>
                    <w:rPr>
                      <w:color w:val="auto"/>
                      <w:sz w:val="21"/>
                      <w:szCs w:val="21"/>
                    </w:rPr>
                  </w:pPr>
                  <w:r>
                    <w:rPr>
                      <w:rFonts w:hint="eastAsia"/>
                      <w:color w:val="auto"/>
                      <w:sz w:val="21"/>
                      <w:szCs w:val="21"/>
                    </w:rPr>
                    <w:t>编号</w:t>
                  </w:r>
                </w:p>
              </w:tc>
              <w:tc>
                <w:tcPr>
                  <w:tcW w:w="1065" w:type="dxa"/>
                  <w:vMerge w:val="restart"/>
                  <w:vAlign w:val="center"/>
                </w:tcPr>
                <w:p>
                  <w:pPr>
                    <w:pStyle w:val="21"/>
                    <w:spacing w:line="240" w:lineRule="auto"/>
                    <w:jc w:val="center"/>
                    <w:rPr>
                      <w:color w:val="auto"/>
                      <w:sz w:val="21"/>
                      <w:szCs w:val="21"/>
                    </w:rPr>
                  </w:pPr>
                  <w:r>
                    <w:rPr>
                      <w:rFonts w:hint="eastAsia"/>
                      <w:color w:val="auto"/>
                      <w:sz w:val="21"/>
                      <w:szCs w:val="21"/>
                    </w:rPr>
                    <w:t>污染物名称</w:t>
                  </w:r>
                </w:p>
              </w:tc>
              <w:tc>
                <w:tcPr>
                  <w:tcW w:w="1400" w:type="dxa"/>
                  <w:vMerge w:val="restart"/>
                  <w:vAlign w:val="center"/>
                </w:tcPr>
                <w:p>
                  <w:pPr>
                    <w:pStyle w:val="21"/>
                    <w:spacing w:line="240" w:lineRule="auto"/>
                    <w:jc w:val="center"/>
                    <w:rPr>
                      <w:color w:val="auto"/>
                      <w:sz w:val="21"/>
                      <w:szCs w:val="21"/>
                    </w:rPr>
                  </w:pPr>
                  <w:r>
                    <w:rPr>
                      <w:rFonts w:hint="eastAsia"/>
                      <w:color w:val="auto"/>
                      <w:sz w:val="21"/>
                      <w:szCs w:val="21"/>
                    </w:rPr>
                    <w:t>排放浓度mg/m</w:t>
                  </w:r>
                  <w:r>
                    <w:rPr>
                      <w:rFonts w:hint="eastAsia"/>
                      <w:color w:val="auto"/>
                      <w:sz w:val="21"/>
                      <w:szCs w:val="21"/>
                      <w:vertAlign w:val="superscript"/>
                    </w:rPr>
                    <w:t>3</w:t>
                  </w:r>
                </w:p>
              </w:tc>
              <w:tc>
                <w:tcPr>
                  <w:tcW w:w="1123" w:type="dxa"/>
                  <w:vMerge w:val="restart"/>
                  <w:vAlign w:val="center"/>
                </w:tcPr>
                <w:p>
                  <w:pPr>
                    <w:pStyle w:val="21"/>
                    <w:spacing w:line="240" w:lineRule="auto"/>
                    <w:jc w:val="center"/>
                    <w:rPr>
                      <w:rFonts w:hint="default" w:eastAsia="宋体"/>
                      <w:color w:val="auto"/>
                      <w:sz w:val="21"/>
                      <w:szCs w:val="21"/>
                      <w:lang w:val="en-US" w:eastAsia="zh-CN"/>
                    </w:rPr>
                  </w:pPr>
                  <w:r>
                    <w:rPr>
                      <w:rFonts w:hint="eastAsia"/>
                      <w:color w:val="auto"/>
                      <w:sz w:val="21"/>
                      <w:szCs w:val="21"/>
                    </w:rPr>
                    <w:t>排放</w:t>
                  </w:r>
                  <w:r>
                    <w:rPr>
                      <w:rFonts w:hint="eastAsia"/>
                      <w:color w:val="auto"/>
                      <w:sz w:val="21"/>
                      <w:szCs w:val="21"/>
                      <w:lang w:eastAsia="zh-CN"/>
                    </w:rPr>
                    <w:t>速率</w:t>
                  </w:r>
                  <w:r>
                    <w:rPr>
                      <w:rFonts w:hint="eastAsia"/>
                      <w:color w:val="auto"/>
                      <w:sz w:val="21"/>
                      <w:szCs w:val="21"/>
                      <w:lang w:val="en-US" w:eastAsia="zh-CN"/>
                    </w:rPr>
                    <w:t>kg/h</w:t>
                  </w:r>
                </w:p>
              </w:tc>
              <w:tc>
                <w:tcPr>
                  <w:tcW w:w="3317" w:type="dxa"/>
                  <w:gridSpan w:val="3"/>
                  <w:vAlign w:val="center"/>
                </w:tcPr>
                <w:p>
                  <w:pPr>
                    <w:pStyle w:val="21"/>
                    <w:spacing w:line="240" w:lineRule="auto"/>
                    <w:jc w:val="center"/>
                    <w:rPr>
                      <w:color w:val="auto"/>
                      <w:sz w:val="21"/>
                      <w:szCs w:val="21"/>
                    </w:rPr>
                  </w:pPr>
                  <w:r>
                    <w:rPr>
                      <w:rFonts w:hint="eastAsia"/>
                      <w:color w:val="auto"/>
                      <w:sz w:val="21"/>
                      <w:szCs w:val="21"/>
                    </w:rPr>
                    <w:t>排放标准</w:t>
                  </w:r>
                </w:p>
              </w:tc>
              <w:tc>
                <w:tcPr>
                  <w:tcW w:w="762" w:type="dxa"/>
                  <w:vMerge w:val="restart"/>
                  <w:vAlign w:val="center"/>
                </w:tcPr>
                <w:p>
                  <w:pPr>
                    <w:pStyle w:val="21"/>
                    <w:spacing w:line="240" w:lineRule="auto"/>
                    <w:jc w:val="center"/>
                    <w:rPr>
                      <w:color w:val="auto"/>
                      <w:sz w:val="21"/>
                      <w:szCs w:val="21"/>
                    </w:rPr>
                  </w:pPr>
                  <w:r>
                    <w:rPr>
                      <w:rFonts w:hint="eastAsia"/>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7" w:type="dxa"/>
                  <w:vMerge w:val="continue"/>
                  <w:vAlign w:val="center"/>
                </w:tcPr>
                <w:p>
                  <w:pPr>
                    <w:pStyle w:val="21"/>
                    <w:spacing w:line="240" w:lineRule="auto"/>
                    <w:jc w:val="center"/>
                    <w:rPr>
                      <w:color w:val="auto"/>
                      <w:sz w:val="21"/>
                      <w:szCs w:val="21"/>
                    </w:rPr>
                  </w:pPr>
                </w:p>
              </w:tc>
              <w:tc>
                <w:tcPr>
                  <w:tcW w:w="1065" w:type="dxa"/>
                  <w:vMerge w:val="continue"/>
                  <w:vAlign w:val="center"/>
                </w:tcPr>
                <w:p>
                  <w:pPr>
                    <w:pStyle w:val="21"/>
                    <w:spacing w:line="240" w:lineRule="auto"/>
                    <w:jc w:val="center"/>
                    <w:rPr>
                      <w:color w:val="auto"/>
                      <w:sz w:val="21"/>
                      <w:szCs w:val="21"/>
                    </w:rPr>
                  </w:pPr>
                </w:p>
              </w:tc>
              <w:tc>
                <w:tcPr>
                  <w:tcW w:w="1400" w:type="dxa"/>
                  <w:vMerge w:val="continue"/>
                  <w:vAlign w:val="center"/>
                </w:tcPr>
                <w:p>
                  <w:pPr>
                    <w:pStyle w:val="21"/>
                    <w:spacing w:line="240" w:lineRule="auto"/>
                    <w:jc w:val="center"/>
                    <w:rPr>
                      <w:color w:val="auto"/>
                      <w:sz w:val="21"/>
                      <w:szCs w:val="21"/>
                    </w:rPr>
                  </w:pPr>
                </w:p>
              </w:tc>
              <w:tc>
                <w:tcPr>
                  <w:tcW w:w="1123" w:type="dxa"/>
                  <w:vMerge w:val="continue"/>
                  <w:vAlign w:val="center"/>
                </w:tcPr>
                <w:p>
                  <w:pPr>
                    <w:pStyle w:val="21"/>
                    <w:spacing w:line="240" w:lineRule="auto"/>
                    <w:jc w:val="center"/>
                    <w:rPr>
                      <w:color w:val="auto"/>
                      <w:sz w:val="21"/>
                      <w:szCs w:val="21"/>
                    </w:rPr>
                  </w:pPr>
                </w:p>
              </w:tc>
              <w:tc>
                <w:tcPr>
                  <w:tcW w:w="1309" w:type="dxa"/>
                  <w:vAlign w:val="center"/>
                </w:tcPr>
                <w:p>
                  <w:pPr>
                    <w:pStyle w:val="21"/>
                    <w:spacing w:line="240" w:lineRule="auto"/>
                    <w:jc w:val="center"/>
                    <w:rPr>
                      <w:color w:val="auto"/>
                      <w:sz w:val="21"/>
                      <w:szCs w:val="21"/>
                    </w:rPr>
                  </w:pPr>
                  <w:r>
                    <w:rPr>
                      <w:rFonts w:hint="eastAsia"/>
                      <w:color w:val="auto"/>
                      <w:sz w:val="21"/>
                      <w:szCs w:val="21"/>
                    </w:rPr>
                    <w:t>标准名称</w:t>
                  </w:r>
                </w:p>
              </w:tc>
              <w:tc>
                <w:tcPr>
                  <w:tcW w:w="1066" w:type="dxa"/>
                  <w:vAlign w:val="center"/>
                </w:tcPr>
                <w:p>
                  <w:pPr>
                    <w:pStyle w:val="21"/>
                    <w:spacing w:line="240" w:lineRule="auto"/>
                    <w:jc w:val="center"/>
                    <w:rPr>
                      <w:color w:val="auto"/>
                      <w:sz w:val="21"/>
                      <w:szCs w:val="21"/>
                    </w:rPr>
                  </w:pPr>
                  <w:r>
                    <w:rPr>
                      <w:rFonts w:hint="eastAsia"/>
                      <w:color w:val="auto"/>
                      <w:sz w:val="21"/>
                      <w:szCs w:val="21"/>
                    </w:rPr>
                    <w:t>浓度限值mg/m</w:t>
                  </w:r>
                  <w:r>
                    <w:rPr>
                      <w:rFonts w:hint="eastAsia"/>
                      <w:color w:val="auto"/>
                      <w:sz w:val="21"/>
                      <w:szCs w:val="21"/>
                      <w:vertAlign w:val="superscript"/>
                    </w:rPr>
                    <w:t>3</w:t>
                  </w:r>
                </w:p>
              </w:tc>
              <w:tc>
                <w:tcPr>
                  <w:tcW w:w="942" w:type="dxa"/>
                  <w:vAlign w:val="center"/>
                </w:tcPr>
                <w:p>
                  <w:pPr>
                    <w:pStyle w:val="21"/>
                    <w:spacing w:line="240" w:lineRule="auto"/>
                    <w:jc w:val="center"/>
                    <w:rPr>
                      <w:color w:val="auto"/>
                      <w:sz w:val="21"/>
                      <w:szCs w:val="21"/>
                    </w:rPr>
                  </w:pPr>
                  <w:r>
                    <w:rPr>
                      <w:rFonts w:hint="eastAsia"/>
                      <w:color w:val="auto"/>
                      <w:sz w:val="21"/>
                      <w:szCs w:val="21"/>
                    </w:rPr>
                    <w:t>排放速率kg/h</w:t>
                  </w:r>
                </w:p>
              </w:tc>
              <w:tc>
                <w:tcPr>
                  <w:tcW w:w="762" w:type="dxa"/>
                  <w:vMerge w:val="continue"/>
                  <w:vAlign w:val="center"/>
                </w:tcPr>
                <w:p>
                  <w:pPr>
                    <w:pStyle w:val="21"/>
                    <w:spacing w:line="240" w:lineRule="auto"/>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jc w:val="center"/>
              </w:trPr>
              <w:tc>
                <w:tcPr>
                  <w:tcW w:w="1007" w:type="dxa"/>
                  <w:vAlign w:val="center"/>
                </w:tcPr>
                <w:p>
                  <w:pPr>
                    <w:pStyle w:val="21"/>
                    <w:spacing w:line="240" w:lineRule="auto"/>
                    <w:jc w:val="center"/>
                    <w:rPr>
                      <w:rFonts w:hint="default"/>
                      <w:color w:val="auto"/>
                      <w:sz w:val="21"/>
                      <w:szCs w:val="21"/>
                      <w:lang w:val="en-US" w:eastAsia="zh-CN"/>
                    </w:rPr>
                  </w:pPr>
                  <w:r>
                    <w:rPr>
                      <w:rFonts w:hint="eastAsia"/>
                      <w:color w:val="auto"/>
                      <w:sz w:val="21"/>
                      <w:szCs w:val="21"/>
                      <w:lang w:val="en-US" w:eastAsia="zh-CN"/>
                    </w:rPr>
                    <w:t>DA001</w:t>
                  </w:r>
                </w:p>
              </w:tc>
              <w:tc>
                <w:tcPr>
                  <w:tcW w:w="1065" w:type="dxa"/>
                  <w:vAlign w:val="center"/>
                </w:tcPr>
                <w:p>
                  <w:pPr>
                    <w:pStyle w:val="21"/>
                    <w:spacing w:line="240" w:lineRule="auto"/>
                    <w:jc w:val="center"/>
                    <w:rPr>
                      <w:rFonts w:hint="eastAsia"/>
                      <w:color w:val="auto"/>
                      <w:sz w:val="21"/>
                      <w:szCs w:val="21"/>
                      <w:lang w:eastAsia="zh-CN"/>
                    </w:rPr>
                  </w:pPr>
                  <w:r>
                    <w:rPr>
                      <w:rFonts w:hint="eastAsia"/>
                      <w:color w:val="auto"/>
                      <w:sz w:val="21"/>
                      <w:szCs w:val="21"/>
                    </w:rPr>
                    <w:t>颗粒物</w:t>
                  </w:r>
                </w:p>
              </w:tc>
              <w:tc>
                <w:tcPr>
                  <w:tcW w:w="1400" w:type="dxa"/>
                  <w:vAlign w:val="center"/>
                </w:tcPr>
                <w:p>
                  <w:pPr>
                    <w:jc w:val="center"/>
                    <w:rPr>
                      <w:rFonts w:hint="default"/>
                      <w:color w:val="auto"/>
                      <w:sz w:val="21"/>
                      <w:szCs w:val="21"/>
                      <w:lang w:val="en-US" w:eastAsia="zh-CN"/>
                    </w:rPr>
                  </w:pPr>
                  <w:r>
                    <w:rPr>
                      <w:rFonts w:hint="eastAsia"/>
                      <w:color w:val="auto"/>
                      <w:szCs w:val="21"/>
                      <w:highlight w:val="none"/>
                      <w:lang w:val="en-US" w:eastAsia="zh-CN"/>
                    </w:rPr>
                    <w:t>85.708</w:t>
                  </w:r>
                </w:p>
              </w:tc>
              <w:tc>
                <w:tcPr>
                  <w:tcW w:w="1123" w:type="dxa"/>
                  <w:vAlign w:val="center"/>
                </w:tcPr>
                <w:p>
                  <w:pPr>
                    <w:jc w:val="center"/>
                    <w:rPr>
                      <w:rFonts w:hint="default"/>
                      <w:color w:val="auto"/>
                      <w:szCs w:val="21"/>
                      <w:lang w:val="en-US" w:eastAsia="zh-CN"/>
                    </w:rPr>
                  </w:pPr>
                  <w:r>
                    <w:rPr>
                      <w:rFonts w:hint="eastAsia"/>
                      <w:color w:val="auto"/>
                      <w:szCs w:val="21"/>
                      <w:lang w:val="en-US" w:eastAsia="zh-CN"/>
                    </w:rPr>
                    <w:t>0.686</w:t>
                  </w:r>
                </w:p>
              </w:tc>
              <w:tc>
                <w:tcPr>
                  <w:tcW w:w="1309" w:type="dxa"/>
                  <w:vAlign w:val="center"/>
                </w:tcPr>
                <w:p>
                  <w:pPr>
                    <w:pStyle w:val="21"/>
                    <w:spacing w:line="240" w:lineRule="auto"/>
                    <w:jc w:val="center"/>
                    <w:rPr>
                      <w:rFonts w:hint="eastAsia"/>
                      <w:color w:val="auto"/>
                      <w:sz w:val="21"/>
                      <w:szCs w:val="21"/>
                    </w:rPr>
                  </w:pPr>
                  <w:r>
                    <w:rPr>
                      <w:rFonts w:hint="eastAsia"/>
                      <w:color w:val="auto"/>
                      <w:sz w:val="21"/>
                      <w:szCs w:val="21"/>
                    </w:rPr>
                    <w:t>《大气污染物综合排放标准》（GB16297-1996）</w:t>
                  </w:r>
                </w:p>
              </w:tc>
              <w:tc>
                <w:tcPr>
                  <w:tcW w:w="1066" w:type="dxa"/>
                  <w:vAlign w:val="center"/>
                </w:tcPr>
                <w:p>
                  <w:pPr>
                    <w:pStyle w:val="21"/>
                    <w:spacing w:line="240" w:lineRule="auto"/>
                    <w:jc w:val="center"/>
                    <w:rPr>
                      <w:rFonts w:hint="default"/>
                      <w:color w:val="auto"/>
                      <w:sz w:val="21"/>
                      <w:szCs w:val="21"/>
                      <w:lang w:val="en-US" w:eastAsia="zh-CN"/>
                    </w:rPr>
                  </w:pPr>
                  <w:r>
                    <w:rPr>
                      <w:rFonts w:hint="eastAsia"/>
                      <w:color w:val="auto"/>
                      <w:sz w:val="21"/>
                      <w:szCs w:val="21"/>
                      <w:lang w:val="en-US" w:eastAsia="zh-CN"/>
                    </w:rPr>
                    <w:t>120</w:t>
                  </w:r>
                </w:p>
              </w:tc>
              <w:tc>
                <w:tcPr>
                  <w:tcW w:w="942" w:type="dxa"/>
                  <w:vAlign w:val="center"/>
                </w:tcPr>
                <w:p>
                  <w:pPr>
                    <w:pStyle w:val="21"/>
                    <w:spacing w:line="240" w:lineRule="auto"/>
                    <w:jc w:val="center"/>
                    <w:rPr>
                      <w:rFonts w:hint="default"/>
                      <w:color w:val="auto"/>
                      <w:sz w:val="21"/>
                      <w:szCs w:val="21"/>
                      <w:lang w:val="en-US" w:eastAsia="zh-CN"/>
                    </w:rPr>
                  </w:pPr>
                  <w:r>
                    <w:rPr>
                      <w:rFonts w:hint="eastAsia"/>
                      <w:color w:val="auto"/>
                      <w:sz w:val="21"/>
                      <w:szCs w:val="21"/>
                      <w:lang w:val="en-US" w:eastAsia="zh-CN"/>
                    </w:rPr>
                    <w:t>3.5</w:t>
                  </w:r>
                </w:p>
              </w:tc>
              <w:tc>
                <w:tcPr>
                  <w:tcW w:w="762" w:type="dxa"/>
                  <w:vAlign w:val="center"/>
                </w:tcPr>
                <w:p>
                  <w:pPr>
                    <w:pStyle w:val="21"/>
                    <w:spacing w:line="240" w:lineRule="auto"/>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007" w:type="dxa"/>
                  <w:vMerge w:val="restart"/>
                  <w:vAlign w:val="center"/>
                </w:tcPr>
                <w:p>
                  <w:pPr>
                    <w:pStyle w:val="21"/>
                    <w:spacing w:line="240" w:lineRule="auto"/>
                    <w:jc w:val="center"/>
                    <w:rPr>
                      <w:rFonts w:hint="default"/>
                      <w:color w:val="auto"/>
                      <w:sz w:val="21"/>
                      <w:szCs w:val="21"/>
                      <w:lang w:val="en-US" w:eastAsia="zh-CN"/>
                    </w:rPr>
                  </w:pPr>
                  <w:r>
                    <w:rPr>
                      <w:rFonts w:hint="eastAsia"/>
                      <w:color w:val="auto"/>
                      <w:sz w:val="21"/>
                      <w:szCs w:val="21"/>
                      <w:lang w:val="en-US" w:eastAsia="zh-CN"/>
                    </w:rPr>
                    <w:t>DA002</w:t>
                  </w:r>
                </w:p>
              </w:tc>
              <w:tc>
                <w:tcPr>
                  <w:tcW w:w="1065" w:type="dxa"/>
                  <w:vAlign w:val="center"/>
                </w:tcPr>
                <w:p>
                  <w:pPr>
                    <w:pStyle w:val="4"/>
                    <w:ind w:left="0" w:leftChars="0" w:firstLine="0" w:firstLineChars="0"/>
                    <w:jc w:val="center"/>
                    <w:rPr>
                      <w:rFonts w:hint="eastAsia"/>
                      <w:color w:val="auto"/>
                      <w:sz w:val="21"/>
                      <w:szCs w:val="21"/>
                    </w:rPr>
                  </w:pPr>
                  <w:r>
                    <w:rPr>
                      <w:rFonts w:hint="eastAsia"/>
                      <w:color w:val="auto"/>
                      <w:szCs w:val="21"/>
                      <w:lang w:eastAsia="zh-CN"/>
                    </w:rPr>
                    <w:t>颗粒物</w:t>
                  </w:r>
                </w:p>
              </w:tc>
              <w:tc>
                <w:tcPr>
                  <w:tcW w:w="1400" w:type="dxa"/>
                  <w:vAlign w:val="center"/>
                </w:tcPr>
                <w:p>
                  <w:pPr>
                    <w:jc w:val="center"/>
                    <w:rPr>
                      <w:rFonts w:hint="eastAsia"/>
                      <w:color w:val="auto"/>
                      <w:sz w:val="21"/>
                      <w:szCs w:val="21"/>
                      <w:lang w:val="en-US" w:eastAsia="zh-CN"/>
                    </w:rPr>
                  </w:pPr>
                  <w:r>
                    <w:rPr>
                      <w:rFonts w:hint="eastAsia"/>
                      <w:color w:val="auto"/>
                      <w:szCs w:val="21"/>
                      <w:lang w:val="en-US" w:eastAsia="zh-CN"/>
                    </w:rPr>
                    <w:t>1.603</w:t>
                  </w:r>
                </w:p>
              </w:tc>
              <w:tc>
                <w:tcPr>
                  <w:tcW w:w="1123" w:type="dxa"/>
                  <w:vAlign w:val="center"/>
                </w:tcPr>
                <w:p>
                  <w:pPr>
                    <w:jc w:val="center"/>
                    <w:rPr>
                      <w:rFonts w:hint="eastAsia"/>
                      <w:color w:val="auto"/>
                      <w:szCs w:val="21"/>
                      <w:lang w:val="en-US" w:eastAsia="zh-CN"/>
                    </w:rPr>
                  </w:pPr>
                  <w:r>
                    <w:rPr>
                      <w:rFonts w:hint="eastAsia"/>
                      <w:color w:val="auto"/>
                      <w:szCs w:val="21"/>
                      <w:lang w:val="en-US" w:eastAsia="zh-CN"/>
                    </w:rPr>
                    <w:t>0.003</w:t>
                  </w:r>
                </w:p>
              </w:tc>
              <w:tc>
                <w:tcPr>
                  <w:tcW w:w="1309" w:type="dxa"/>
                  <w:vMerge w:val="restart"/>
                  <w:vAlign w:val="center"/>
                </w:tcPr>
                <w:p>
                  <w:pPr>
                    <w:pStyle w:val="21"/>
                    <w:spacing w:line="240" w:lineRule="auto"/>
                    <w:jc w:val="center"/>
                    <w:rPr>
                      <w:rFonts w:hint="eastAsia"/>
                      <w:color w:val="auto"/>
                      <w:sz w:val="21"/>
                      <w:szCs w:val="21"/>
                    </w:rPr>
                  </w:pPr>
                  <w:r>
                    <w:rPr>
                      <w:rFonts w:hint="eastAsia"/>
                      <w:color w:val="auto"/>
                      <w:sz w:val="21"/>
                      <w:szCs w:val="21"/>
                    </w:rPr>
                    <w:t>《工业窑炉大气污染综合治理方案》（环大气</w:t>
                  </w:r>
                  <w:r>
                    <w:rPr>
                      <w:rFonts w:hint="eastAsia"/>
                      <w:color w:val="auto"/>
                      <w:sz w:val="21"/>
                      <w:szCs w:val="21"/>
                      <w:lang w:eastAsia="zh-CN"/>
                    </w:rPr>
                    <w:t>〔2019〕56号</w:t>
                  </w:r>
                  <w:r>
                    <w:rPr>
                      <w:rFonts w:hint="eastAsia"/>
                      <w:color w:val="auto"/>
                      <w:sz w:val="21"/>
                      <w:szCs w:val="21"/>
                    </w:rPr>
                    <w:t>）</w:t>
                  </w:r>
                </w:p>
              </w:tc>
              <w:tc>
                <w:tcPr>
                  <w:tcW w:w="1066" w:type="dxa"/>
                  <w:vAlign w:val="center"/>
                </w:tcPr>
                <w:p>
                  <w:pPr>
                    <w:pStyle w:val="4"/>
                    <w:ind w:left="0" w:leftChars="0" w:firstLine="0" w:firstLineChars="0"/>
                    <w:jc w:val="center"/>
                    <w:rPr>
                      <w:rFonts w:hint="eastAsia"/>
                      <w:color w:val="auto"/>
                      <w:sz w:val="21"/>
                      <w:szCs w:val="21"/>
                      <w:lang w:val="en-US" w:eastAsia="zh-CN"/>
                    </w:rPr>
                  </w:pPr>
                  <w:r>
                    <w:rPr>
                      <w:rFonts w:hint="eastAsia"/>
                      <w:color w:val="auto"/>
                      <w:szCs w:val="21"/>
                      <w:lang w:val="en-US" w:eastAsia="zh-CN"/>
                    </w:rPr>
                    <w:t>30</w:t>
                  </w:r>
                </w:p>
              </w:tc>
              <w:tc>
                <w:tcPr>
                  <w:tcW w:w="942" w:type="dxa"/>
                  <w:vAlign w:val="center"/>
                </w:tcPr>
                <w:p>
                  <w:pPr>
                    <w:pStyle w:val="4"/>
                    <w:ind w:left="0" w:leftChars="0" w:firstLine="0" w:firstLineChars="0"/>
                    <w:jc w:val="center"/>
                    <w:rPr>
                      <w:rFonts w:hint="eastAsia"/>
                      <w:color w:val="auto"/>
                      <w:sz w:val="21"/>
                      <w:szCs w:val="21"/>
                      <w:lang w:val="en-US" w:eastAsia="zh-CN"/>
                    </w:rPr>
                  </w:pPr>
                  <w:r>
                    <w:rPr>
                      <w:rFonts w:hint="eastAsia"/>
                      <w:color w:val="auto"/>
                      <w:szCs w:val="21"/>
                      <w:lang w:val="en-US" w:eastAsia="zh-CN"/>
                    </w:rPr>
                    <w:t>--</w:t>
                  </w:r>
                </w:p>
              </w:tc>
              <w:tc>
                <w:tcPr>
                  <w:tcW w:w="762" w:type="dxa"/>
                  <w:vAlign w:val="center"/>
                </w:tcPr>
                <w:p>
                  <w:pPr>
                    <w:pStyle w:val="21"/>
                    <w:spacing w:line="240" w:lineRule="auto"/>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1007" w:type="dxa"/>
                  <w:vMerge w:val="continue"/>
                  <w:vAlign w:val="center"/>
                </w:tcPr>
                <w:p>
                  <w:pPr>
                    <w:pStyle w:val="21"/>
                    <w:spacing w:line="240" w:lineRule="auto"/>
                    <w:jc w:val="center"/>
                    <w:rPr>
                      <w:rFonts w:hint="eastAsia"/>
                      <w:color w:val="auto"/>
                      <w:sz w:val="21"/>
                      <w:szCs w:val="21"/>
                      <w:lang w:val="en-US" w:eastAsia="zh-CN"/>
                    </w:rPr>
                  </w:pPr>
                </w:p>
              </w:tc>
              <w:tc>
                <w:tcPr>
                  <w:tcW w:w="1065" w:type="dxa"/>
                  <w:vAlign w:val="center"/>
                </w:tcPr>
                <w:p>
                  <w:pPr>
                    <w:pStyle w:val="4"/>
                    <w:ind w:left="0" w:leftChars="0" w:firstLine="0" w:firstLineChars="0"/>
                    <w:jc w:val="center"/>
                    <w:rPr>
                      <w:rFonts w:hint="eastAsia"/>
                      <w:color w:val="auto"/>
                      <w:sz w:val="21"/>
                      <w:szCs w:val="21"/>
                    </w:rPr>
                  </w:pPr>
                  <w:r>
                    <w:rPr>
                      <w:rFonts w:hint="eastAsia"/>
                      <w:color w:val="auto"/>
                      <w:szCs w:val="21"/>
                      <w:lang w:eastAsia="zh-CN"/>
                    </w:rPr>
                    <w:t>二氧化硫</w:t>
                  </w:r>
                </w:p>
              </w:tc>
              <w:tc>
                <w:tcPr>
                  <w:tcW w:w="1400" w:type="dxa"/>
                  <w:vAlign w:val="center"/>
                </w:tcPr>
                <w:p>
                  <w:pPr>
                    <w:jc w:val="center"/>
                    <w:rPr>
                      <w:rFonts w:hint="eastAsia"/>
                      <w:color w:val="auto"/>
                      <w:sz w:val="21"/>
                      <w:szCs w:val="21"/>
                      <w:lang w:val="en-US" w:eastAsia="zh-CN"/>
                    </w:rPr>
                  </w:pPr>
                  <w:r>
                    <w:rPr>
                      <w:rFonts w:hint="eastAsia"/>
                      <w:color w:val="auto"/>
                      <w:szCs w:val="21"/>
                      <w:lang w:val="en-US" w:eastAsia="zh-CN"/>
                    </w:rPr>
                    <w:t>108.974</w:t>
                  </w:r>
                </w:p>
              </w:tc>
              <w:tc>
                <w:tcPr>
                  <w:tcW w:w="1123" w:type="dxa"/>
                  <w:vAlign w:val="center"/>
                </w:tcPr>
                <w:p>
                  <w:pPr>
                    <w:jc w:val="center"/>
                    <w:rPr>
                      <w:rFonts w:hint="eastAsia"/>
                      <w:color w:val="auto"/>
                      <w:szCs w:val="21"/>
                      <w:lang w:val="en-US" w:eastAsia="zh-CN"/>
                    </w:rPr>
                  </w:pPr>
                  <w:r>
                    <w:rPr>
                      <w:rFonts w:hint="eastAsia"/>
                      <w:color w:val="auto"/>
                      <w:szCs w:val="21"/>
                      <w:lang w:val="en-US" w:eastAsia="zh-CN"/>
                    </w:rPr>
                    <w:t>0.173</w:t>
                  </w:r>
                </w:p>
              </w:tc>
              <w:tc>
                <w:tcPr>
                  <w:tcW w:w="1309" w:type="dxa"/>
                  <w:vMerge w:val="continue"/>
                  <w:vAlign w:val="center"/>
                </w:tcPr>
                <w:p>
                  <w:pPr>
                    <w:pStyle w:val="21"/>
                    <w:spacing w:line="240" w:lineRule="auto"/>
                    <w:jc w:val="center"/>
                    <w:rPr>
                      <w:rFonts w:hint="eastAsia"/>
                      <w:color w:val="auto"/>
                      <w:sz w:val="21"/>
                      <w:szCs w:val="21"/>
                    </w:rPr>
                  </w:pPr>
                </w:p>
              </w:tc>
              <w:tc>
                <w:tcPr>
                  <w:tcW w:w="1066" w:type="dxa"/>
                  <w:vAlign w:val="center"/>
                </w:tcPr>
                <w:p>
                  <w:pPr>
                    <w:pStyle w:val="4"/>
                    <w:ind w:left="0" w:leftChars="0" w:firstLine="0" w:firstLineChars="0"/>
                    <w:jc w:val="center"/>
                    <w:rPr>
                      <w:rFonts w:hint="eastAsia"/>
                      <w:color w:val="auto"/>
                      <w:sz w:val="21"/>
                      <w:szCs w:val="21"/>
                      <w:lang w:val="en-US" w:eastAsia="zh-CN"/>
                    </w:rPr>
                  </w:pPr>
                  <w:r>
                    <w:rPr>
                      <w:rFonts w:hint="eastAsia"/>
                      <w:color w:val="auto"/>
                      <w:szCs w:val="21"/>
                      <w:lang w:val="en-US" w:eastAsia="zh-CN"/>
                    </w:rPr>
                    <w:t>200</w:t>
                  </w:r>
                </w:p>
              </w:tc>
              <w:tc>
                <w:tcPr>
                  <w:tcW w:w="942" w:type="dxa"/>
                  <w:vAlign w:val="center"/>
                </w:tcPr>
                <w:p>
                  <w:pPr>
                    <w:pStyle w:val="4"/>
                    <w:ind w:left="0" w:leftChars="0" w:firstLine="0" w:firstLineChars="0"/>
                    <w:jc w:val="center"/>
                    <w:rPr>
                      <w:rFonts w:hint="eastAsia"/>
                      <w:color w:val="auto"/>
                      <w:sz w:val="21"/>
                      <w:szCs w:val="21"/>
                      <w:lang w:val="en-US" w:eastAsia="zh-CN"/>
                    </w:rPr>
                  </w:pPr>
                  <w:r>
                    <w:rPr>
                      <w:rFonts w:hint="eastAsia"/>
                      <w:color w:val="auto"/>
                      <w:szCs w:val="21"/>
                      <w:lang w:val="en-US" w:eastAsia="zh-CN"/>
                    </w:rPr>
                    <w:t>--</w:t>
                  </w:r>
                </w:p>
              </w:tc>
              <w:tc>
                <w:tcPr>
                  <w:tcW w:w="762" w:type="dxa"/>
                  <w:vAlign w:val="center"/>
                </w:tcPr>
                <w:p>
                  <w:pPr>
                    <w:pStyle w:val="21"/>
                    <w:spacing w:line="240" w:lineRule="auto"/>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jc w:val="center"/>
              </w:trPr>
              <w:tc>
                <w:tcPr>
                  <w:tcW w:w="1007" w:type="dxa"/>
                  <w:vMerge w:val="continue"/>
                  <w:vAlign w:val="center"/>
                </w:tcPr>
                <w:p>
                  <w:pPr>
                    <w:pStyle w:val="21"/>
                    <w:spacing w:line="240" w:lineRule="auto"/>
                    <w:jc w:val="center"/>
                    <w:rPr>
                      <w:rFonts w:hint="eastAsia"/>
                      <w:color w:val="auto"/>
                      <w:sz w:val="21"/>
                      <w:szCs w:val="21"/>
                      <w:lang w:val="en-US" w:eastAsia="zh-CN"/>
                    </w:rPr>
                  </w:pPr>
                </w:p>
              </w:tc>
              <w:tc>
                <w:tcPr>
                  <w:tcW w:w="1065" w:type="dxa"/>
                  <w:vAlign w:val="center"/>
                </w:tcPr>
                <w:p>
                  <w:pPr>
                    <w:pStyle w:val="4"/>
                    <w:ind w:left="0" w:leftChars="0" w:firstLine="0" w:firstLineChars="0"/>
                    <w:jc w:val="center"/>
                    <w:rPr>
                      <w:rFonts w:hint="eastAsia"/>
                      <w:color w:val="auto"/>
                      <w:sz w:val="21"/>
                      <w:szCs w:val="21"/>
                    </w:rPr>
                  </w:pPr>
                  <w:r>
                    <w:rPr>
                      <w:rFonts w:hint="eastAsia"/>
                      <w:color w:val="auto"/>
                      <w:szCs w:val="21"/>
                      <w:lang w:eastAsia="zh-CN"/>
                    </w:rPr>
                    <w:t>氮氧化物</w:t>
                  </w:r>
                </w:p>
              </w:tc>
              <w:tc>
                <w:tcPr>
                  <w:tcW w:w="1400" w:type="dxa"/>
                  <w:vAlign w:val="center"/>
                </w:tcPr>
                <w:p>
                  <w:pPr>
                    <w:jc w:val="center"/>
                    <w:rPr>
                      <w:rFonts w:hint="eastAsia"/>
                      <w:color w:val="auto"/>
                      <w:sz w:val="21"/>
                      <w:szCs w:val="21"/>
                      <w:lang w:val="en-US" w:eastAsia="zh-CN"/>
                    </w:rPr>
                  </w:pPr>
                  <w:r>
                    <w:rPr>
                      <w:rFonts w:hint="eastAsia"/>
                      <w:color w:val="auto"/>
                      <w:szCs w:val="21"/>
                      <w:lang w:val="en-US" w:eastAsia="zh-CN"/>
                    </w:rPr>
                    <w:t>163.462</w:t>
                  </w:r>
                </w:p>
              </w:tc>
              <w:tc>
                <w:tcPr>
                  <w:tcW w:w="1123" w:type="dxa"/>
                  <w:vAlign w:val="center"/>
                </w:tcPr>
                <w:p>
                  <w:pPr>
                    <w:jc w:val="center"/>
                    <w:rPr>
                      <w:rFonts w:hint="eastAsia"/>
                      <w:color w:val="auto"/>
                      <w:szCs w:val="21"/>
                      <w:lang w:val="en-US" w:eastAsia="zh-CN"/>
                    </w:rPr>
                  </w:pPr>
                  <w:r>
                    <w:rPr>
                      <w:rFonts w:hint="eastAsia"/>
                      <w:color w:val="auto"/>
                      <w:szCs w:val="21"/>
                      <w:lang w:val="en-US" w:eastAsia="zh-CN"/>
                    </w:rPr>
                    <w:t>0.26</w:t>
                  </w:r>
                </w:p>
              </w:tc>
              <w:tc>
                <w:tcPr>
                  <w:tcW w:w="1309" w:type="dxa"/>
                  <w:vMerge w:val="continue"/>
                  <w:vAlign w:val="center"/>
                </w:tcPr>
                <w:p>
                  <w:pPr>
                    <w:pStyle w:val="21"/>
                    <w:spacing w:line="240" w:lineRule="auto"/>
                    <w:jc w:val="center"/>
                    <w:rPr>
                      <w:rFonts w:hint="eastAsia"/>
                      <w:color w:val="auto"/>
                      <w:sz w:val="21"/>
                      <w:szCs w:val="21"/>
                    </w:rPr>
                  </w:pPr>
                </w:p>
              </w:tc>
              <w:tc>
                <w:tcPr>
                  <w:tcW w:w="1066" w:type="dxa"/>
                  <w:vAlign w:val="center"/>
                </w:tcPr>
                <w:p>
                  <w:pPr>
                    <w:pStyle w:val="4"/>
                    <w:ind w:left="0" w:leftChars="0" w:firstLine="0" w:firstLineChars="0"/>
                    <w:jc w:val="center"/>
                    <w:rPr>
                      <w:rFonts w:hint="eastAsia"/>
                      <w:color w:val="auto"/>
                      <w:sz w:val="21"/>
                      <w:szCs w:val="21"/>
                      <w:lang w:val="en-US" w:eastAsia="zh-CN"/>
                    </w:rPr>
                  </w:pPr>
                  <w:r>
                    <w:rPr>
                      <w:rFonts w:hint="eastAsia"/>
                      <w:color w:val="auto"/>
                      <w:szCs w:val="21"/>
                      <w:lang w:val="en-US" w:eastAsia="zh-CN"/>
                    </w:rPr>
                    <w:t>300</w:t>
                  </w:r>
                </w:p>
              </w:tc>
              <w:tc>
                <w:tcPr>
                  <w:tcW w:w="942" w:type="dxa"/>
                  <w:vAlign w:val="center"/>
                </w:tcPr>
                <w:p>
                  <w:pPr>
                    <w:pStyle w:val="4"/>
                    <w:ind w:left="0" w:leftChars="0" w:firstLine="0" w:firstLineChars="0"/>
                    <w:jc w:val="center"/>
                    <w:rPr>
                      <w:rFonts w:hint="eastAsia"/>
                      <w:color w:val="auto"/>
                      <w:sz w:val="21"/>
                      <w:szCs w:val="21"/>
                      <w:lang w:val="en-US" w:eastAsia="zh-CN"/>
                    </w:rPr>
                  </w:pPr>
                  <w:r>
                    <w:rPr>
                      <w:rFonts w:hint="eastAsia"/>
                      <w:color w:val="auto"/>
                      <w:szCs w:val="21"/>
                      <w:lang w:val="en-US" w:eastAsia="zh-CN"/>
                    </w:rPr>
                    <w:t>--</w:t>
                  </w:r>
                </w:p>
              </w:tc>
              <w:tc>
                <w:tcPr>
                  <w:tcW w:w="762" w:type="dxa"/>
                  <w:vAlign w:val="center"/>
                </w:tcPr>
                <w:p>
                  <w:pPr>
                    <w:pStyle w:val="21"/>
                    <w:spacing w:line="240" w:lineRule="auto"/>
                    <w:jc w:val="center"/>
                    <w:rPr>
                      <w:rFonts w:hint="eastAsia"/>
                      <w:color w:val="auto"/>
                      <w:sz w:val="21"/>
                      <w:szCs w:val="21"/>
                    </w:rPr>
                  </w:pPr>
                  <w:r>
                    <w:rPr>
                      <w:rFonts w:hint="eastAsia"/>
                      <w:color w:val="auto"/>
                      <w:sz w:val="21"/>
                      <w:szCs w:val="21"/>
                    </w:rPr>
                    <w:t>达标</w:t>
                  </w:r>
                </w:p>
              </w:tc>
            </w:tr>
          </w:tbl>
          <w:p>
            <w:pPr>
              <w:spacing w:line="360" w:lineRule="auto"/>
              <w:ind w:firstLine="482" w:firstLineChars="200"/>
              <w:rPr>
                <w:b/>
                <w:bCs/>
                <w:color w:val="auto"/>
                <w:sz w:val="24"/>
              </w:rPr>
            </w:pPr>
            <w:r>
              <w:rPr>
                <w:rFonts w:hint="eastAsia"/>
                <w:b/>
                <w:bCs/>
                <w:color w:val="auto"/>
                <w:sz w:val="24"/>
              </w:rPr>
              <w:t>1.5无组织控制措施</w:t>
            </w:r>
          </w:p>
          <w:p>
            <w:pPr>
              <w:pStyle w:val="38"/>
              <w:spacing w:line="360" w:lineRule="auto"/>
              <w:ind w:left="0" w:leftChars="0" w:firstLine="480" w:firstLineChars="200"/>
              <w:rPr>
                <w:rFonts w:hint="eastAsia"/>
                <w:color w:val="auto"/>
                <w:sz w:val="24"/>
                <w:szCs w:val="24"/>
              </w:rPr>
            </w:pPr>
            <w:r>
              <w:rPr>
                <w:rFonts w:hint="eastAsia"/>
                <w:color w:val="auto"/>
                <w:sz w:val="24"/>
                <w:szCs w:val="24"/>
              </w:rPr>
              <w:t>粮装卸工段采取粮仓全封闭、减小装卸高度等降尘措施，输送过程中采用封闭输送，通过上述措施减少原粮装卸及输送过程产生扬尘对环境的影响。</w:t>
            </w:r>
          </w:p>
          <w:p>
            <w:pPr>
              <w:pStyle w:val="38"/>
              <w:spacing w:line="360" w:lineRule="auto"/>
              <w:ind w:firstLine="480" w:firstLineChars="200"/>
              <w:rPr>
                <w:rFonts w:hint="eastAsia"/>
                <w:color w:val="auto"/>
                <w:sz w:val="24"/>
                <w:szCs w:val="24"/>
              </w:rPr>
            </w:pPr>
            <w:r>
              <w:rPr>
                <w:rFonts w:hint="eastAsia"/>
                <w:color w:val="auto"/>
                <w:sz w:val="24"/>
                <w:szCs w:val="24"/>
                <w:lang w:eastAsia="zh-CN"/>
              </w:rPr>
              <w:t>清选</w:t>
            </w:r>
            <w:r>
              <w:rPr>
                <w:rFonts w:hint="eastAsia"/>
                <w:color w:val="auto"/>
                <w:sz w:val="24"/>
                <w:szCs w:val="24"/>
              </w:rPr>
              <w:t>工艺采用全封闭式清理筛，将已形成的粉尘全部控制在局部范围内并加以回收，</w:t>
            </w:r>
            <w:r>
              <w:rPr>
                <w:rFonts w:ascii="Times New Roman" w:hAnsi="Times New Roman" w:eastAsia="宋体" w:cs="Times New Roman"/>
                <w:sz w:val="24"/>
                <w:szCs w:val="24"/>
              </w:rPr>
              <w:t>烘干</w:t>
            </w:r>
            <w:r>
              <w:rPr>
                <w:rFonts w:hint="eastAsia" w:ascii="Times New Roman" w:hAnsi="Times New Roman" w:eastAsia="宋体" w:cs="Times New Roman"/>
                <w:sz w:val="24"/>
                <w:szCs w:val="24"/>
                <w:lang w:eastAsia="zh-CN"/>
              </w:rPr>
              <w:t>机机</w:t>
            </w:r>
            <w:r>
              <w:rPr>
                <w:rFonts w:ascii="Times New Roman" w:hAnsi="Times New Roman" w:eastAsia="宋体" w:cs="Times New Roman"/>
                <w:sz w:val="24"/>
                <w:szCs w:val="24"/>
              </w:rPr>
              <w:t>身设置内外腔，内腔的侧壁上开设有连通内腔与外腔的排潮口，在外腔的侧壁上开设有排潮口，排潮口四</w:t>
            </w:r>
            <w:r>
              <w:rPr>
                <w:rFonts w:ascii="Times New Roman" w:hAnsi="Times New Roman" w:eastAsia="宋体" w:cs="Times New Roman"/>
                <w:sz w:val="24"/>
              </w:rPr>
              <w:t>周设置防尘罩</w:t>
            </w:r>
            <w:r>
              <w:rPr>
                <w:rFonts w:hint="eastAsia"/>
                <w:color w:val="auto"/>
                <w:sz w:val="24"/>
                <w:szCs w:val="24"/>
              </w:rPr>
              <w:t>，对周围大气环境影响相对较小。</w:t>
            </w:r>
          </w:p>
          <w:p>
            <w:pPr>
              <w:pStyle w:val="38"/>
              <w:spacing w:line="360" w:lineRule="auto"/>
              <w:ind w:firstLine="480" w:firstLineChars="200"/>
              <w:rPr>
                <w:color w:val="auto"/>
                <w:sz w:val="24"/>
                <w:szCs w:val="24"/>
              </w:rPr>
            </w:pPr>
            <w:r>
              <w:rPr>
                <w:rFonts w:hint="eastAsia"/>
                <w:color w:val="auto"/>
                <w:sz w:val="24"/>
                <w:szCs w:val="24"/>
              </w:rPr>
              <w:t>项目厂区地面进行硬化，并在四周设雨水导流沟，避免雨水聚集。本项目对厂区内的运输道路及运输车辆、卸车地点及时清扫，并经常洒水降尘，对环境影响较小。</w:t>
            </w:r>
          </w:p>
          <w:p>
            <w:pPr>
              <w:pStyle w:val="38"/>
              <w:spacing w:line="360" w:lineRule="auto"/>
              <w:ind w:left="567" w:firstLine="0"/>
              <w:rPr>
                <w:rFonts w:hint="eastAsia" w:ascii="Times New Roman"/>
                <w:b/>
                <w:bCs/>
                <w:color w:val="auto"/>
                <w:sz w:val="24"/>
                <w:szCs w:val="24"/>
              </w:rPr>
            </w:pPr>
            <w:r>
              <w:rPr>
                <w:rFonts w:hint="eastAsia" w:ascii="Times New Roman"/>
                <w:b/>
                <w:bCs/>
                <w:color w:val="auto"/>
                <w:sz w:val="24"/>
                <w:szCs w:val="24"/>
              </w:rPr>
              <w:t>1.6废气非正常工况分析</w:t>
            </w:r>
          </w:p>
          <w:p>
            <w:pPr>
              <w:pStyle w:val="38"/>
              <w:spacing w:line="360" w:lineRule="auto"/>
              <w:ind w:firstLine="480" w:firstLineChars="200"/>
              <w:rPr>
                <w:rFonts w:ascii="Times New Roman"/>
                <w:color w:val="auto"/>
                <w:sz w:val="24"/>
                <w:szCs w:val="24"/>
              </w:rPr>
            </w:pPr>
            <w:r>
              <w:rPr>
                <w:rFonts w:ascii="Times New Roman"/>
                <w:color w:val="auto"/>
                <w:sz w:val="24"/>
                <w:szCs w:val="24"/>
              </w:rPr>
              <w:t>废气非正常工况排放是指生产车间废气治理措施运行出现事故，达不到设计要求时的处理效率。拟建项目可能发生废气事故排放的环节主要考虑为废气处理设施失效。本次评价对在事故状态下排放的</w:t>
            </w:r>
            <w:r>
              <w:rPr>
                <w:rFonts w:hint="eastAsia" w:ascii="Times New Roman"/>
                <w:color w:val="auto"/>
                <w:sz w:val="24"/>
                <w:szCs w:val="24"/>
              </w:rPr>
              <w:t>废气</w:t>
            </w:r>
            <w:r>
              <w:rPr>
                <w:rFonts w:ascii="Times New Roman"/>
                <w:color w:val="auto"/>
                <w:sz w:val="24"/>
                <w:szCs w:val="24"/>
              </w:rPr>
              <w:t>浓度进行情景假设。本项目非正常工况排放考虑最不利情况，</w:t>
            </w:r>
            <w:r>
              <w:rPr>
                <w:rFonts w:hint="eastAsia" w:ascii="Times New Roman"/>
                <w:color w:val="auto"/>
                <w:sz w:val="24"/>
                <w:szCs w:val="24"/>
              </w:rPr>
              <w:t>即</w:t>
            </w:r>
            <w:r>
              <w:rPr>
                <w:rFonts w:ascii="Times New Roman"/>
                <w:color w:val="auto"/>
                <w:sz w:val="24"/>
                <w:szCs w:val="24"/>
              </w:rPr>
              <w:t>项目所有废气处理净化效率为0%。项目非正常工况下污染物排放量见下表。</w:t>
            </w:r>
          </w:p>
          <w:p>
            <w:pPr>
              <w:pStyle w:val="38"/>
              <w:spacing w:line="240" w:lineRule="auto"/>
              <w:ind w:firstLine="0"/>
              <w:jc w:val="center"/>
              <w:rPr>
                <w:rFonts w:hint="eastAsia" w:ascii="Times New Roman"/>
                <w:b/>
                <w:bCs/>
                <w:color w:val="auto"/>
                <w:sz w:val="21"/>
                <w:szCs w:val="21"/>
              </w:rPr>
            </w:pPr>
            <w:r>
              <w:rPr>
                <w:rFonts w:hint="eastAsia" w:ascii="Times New Roman"/>
                <w:b/>
                <w:bCs/>
                <w:color w:val="auto"/>
                <w:sz w:val="21"/>
                <w:szCs w:val="21"/>
              </w:rPr>
              <w:t>表4-</w:t>
            </w:r>
            <w:r>
              <w:rPr>
                <w:rFonts w:hint="eastAsia" w:ascii="Times New Roman"/>
                <w:b/>
                <w:bCs/>
                <w:color w:val="auto"/>
                <w:sz w:val="21"/>
                <w:szCs w:val="21"/>
                <w:lang w:val="en-US" w:eastAsia="zh-CN"/>
              </w:rPr>
              <w:t>4</w:t>
            </w:r>
            <w:r>
              <w:rPr>
                <w:rFonts w:hint="eastAsia" w:ascii="Times New Roman"/>
                <w:b/>
                <w:bCs/>
                <w:color w:val="auto"/>
                <w:sz w:val="21"/>
                <w:szCs w:val="21"/>
              </w:rPr>
              <w:t xml:space="preserve">  非正常排放情况各排气筒排放情况</w:t>
            </w:r>
          </w:p>
          <w:tbl>
            <w:tblPr>
              <w:tblStyle w:val="27"/>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437"/>
              <w:gridCol w:w="1273"/>
              <w:gridCol w:w="1235"/>
              <w:gridCol w:w="1235"/>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排放口编号</w:t>
                  </w:r>
                </w:p>
              </w:tc>
              <w:tc>
                <w:tcPr>
                  <w:tcW w:w="1437"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污染物</w:t>
                  </w:r>
                </w:p>
              </w:tc>
              <w:tc>
                <w:tcPr>
                  <w:tcW w:w="1273"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排放浓度（mg/m</w:t>
                  </w:r>
                  <w:r>
                    <w:rPr>
                      <w:rFonts w:hint="eastAsia" w:ascii="Times New Roman"/>
                      <w:color w:val="auto"/>
                      <w:sz w:val="21"/>
                      <w:szCs w:val="21"/>
                      <w:vertAlign w:val="superscript"/>
                    </w:rPr>
                    <w:t>3</w:t>
                  </w:r>
                  <w:r>
                    <w:rPr>
                      <w:rFonts w:hint="eastAsia" w:ascii="Times New Roman"/>
                      <w:color w:val="auto"/>
                      <w:sz w:val="21"/>
                      <w:szCs w:val="21"/>
                    </w:rPr>
                    <w:t>）</w:t>
                  </w:r>
                </w:p>
              </w:tc>
              <w:tc>
                <w:tcPr>
                  <w:tcW w:w="1235"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排放速率（kg/h）</w:t>
                  </w:r>
                </w:p>
              </w:tc>
              <w:tc>
                <w:tcPr>
                  <w:tcW w:w="1235"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持续时间</w:t>
                  </w:r>
                </w:p>
              </w:tc>
              <w:tc>
                <w:tcPr>
                  <w:tcW w:w="1235"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频次</w:t>
                  </w:r>
                </w:p>
              </w:tc>
              <w:tc>
                <w:tcPr>
                  <w:tcW w:w="1235"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排放量（kg）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Align w:val="center"/>
                </w:tcPr>
                <w:p>
                  <w:pPr>
                    <w:pStyle w:val="21"/>
                    <w:spacing w:line="240" w:lineRule="auto"/>
                    <w:jc w:val="center"/>
                    <w:rPr>
                      <w:rFonts w:hint="default" w:ascii="Times New Roman"/>
                      <w:color w:val="auto"/>
                      <w:sz w:val="21"/>
                      <w:szCs w:val="21"/>
                      <w:lang w:val="en-US"/>
                    </w:rPr>
                  </w:pPr>
                  <w:r>
                    <w:rPr>
                      <w:rFonts w:hint="eastAsia"/>
                      <w:color w:val="auto"/>
                      <w:sz w:val="21"/>
                      <w:szCs w:val="21"/>
                      <w:lang w:val="en-US" w:eastAsia="zh-CN"/>
                    </w:rPr>
                    <w:t>DA001</w:t>
                  </w:r>
                </w:p>
              </w:tc>
              <w:tc>
                <w:tcPr>
                  <w:tcW w:w="1437"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颗粒物</w:t>
                  </w:r>
                </w:p>
              </w:tc>
              <w:tc>
                <w:tcPr>
                  <w:tcW w:w="1273" w:type="dxa"/>
                  <w:vAlign w:val="center"/>
                </w:tcPr>
                <w:p>
                  <w:pPr>
                    <w:jc w:val="center"/>
                    <w:rPr>
                      <w:rFonts w:hint="default" w:ascii="Times New Roman" w:eastAsia="宋体"/>
                      <w:color w:val="auto"/>
                      <w:sz w:val="21"/>
                      <w:szCs w:val="21"/>
                      <w:lang w:val="en-US" w:eastAsia="zh-CN"/>
                    </w:rPr>
                  </w:pPr>
                  <w:r>
                    <w:rPr>
                      <w:rFonts w:hint="eastAsia"/>
                      <w:color w:val="auto"/>
                      <w:szCs w:val="21"/>
                      <w:lang w:val="en-US" w:eastAsia="zh-CN"/>
                    </w:rPr>
                    <w:t>1714.167</w:t>
                  </w:r>
                </w:p>
              </w:tc>
              <w:tc>
                <w:tcPr>
                  <w:tcW w:w="1235" w:type="dxa"/>
                  <w:vAlign w:val="center"/>
                </w:tcPr>
                <w:p>
                  <w:pPr>
                    <w:jc w:val="center"/>
                    <w:rPr>
                      <w:rFonts w:hint="default" w:ascii="Times New Roman" w:eastAsia="宋体"/>
                      <w:color w:val="auto"/>
                      <w:sz w:val="21"/>
                      <w:szCs w:val="21"/>
                      <w:lang w:val="en-US" w:eastAsia="zh-CN"/>
                    </w:rPr>
                  </w:pPr>
                  <w:r>
                    <w:rPr>
                      <w:rFonts w:hint="eastAsia"/>
                      <w:color w:val="auto"/>
                      <w:szCs w:val="21"/>
                      <w:lang w:val="en-US" w:eastAsia="zh-CN"/>
                    </w:rPr>
                    <w:t>13.713</w:t>
                  </w:r>
                </w:p>
              </w:tc>
              <w:tc>
                <w:tcPr>
                  <w:tcW w:w="1235"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1h</w:t>
                  </w:r>
                </w:p>
              </w:tc>
              <w:tc>
                <w:tcPr>
                  <w:tcW w:w="1235"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1次/年</w:t>
                  </w:r>
                </w:p>
              </w:tc>
              <w:tc>
                <w:tcPr>
                  <w:tcW w:w="1235" w:type="dxa"/>
                  <w:vAlign w:val="center"/>
                </w:tcPr>
                <w:p>
                  <w:pPr>
                    <w:jc w:val="center"/>
                    <w:rPr>
                      <w:rFonts w:hint="default" w:ascii="Times New Roman" w:eastAsia="宋体"/>
                      <w:color w:val="auto"/>
                      <w:sz w:val="21"/>
                      <w:szCs w:val="21"/>
                      <w:lang w:val="en-US" w:eastAsia="zh-CN"/>
                    </w:rPr>
                  </w:pPr>
                  <w:r>
                    <w:rPr>
                      <w:rFonts w:hint="eastAsia"/>
                      <w:color w:val="auto"/>
                      <w:szCs w:val="21"/>
                      <w:lang w:val="en-US" w:eastAsia="zh-CN"/>
                    </w:rPr>
                    <w:t>13.576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Merge w:val="restart"/>
                  <w:vAlign w:val="center"/>
                </w:tcPr>
                <w:p>
                  <w:pPr>
                    <w:pStyle w:val="21"/>
                    <w:spacing w:line="240" w:lineRule="auto"/>
                    <w:jc w:val="center"/>
                    <w:rPr>
                      <w:rFonts w:hint="default"/>
                      <w:color w:val="auto"/>
                      <w:sz w:val="21"/>
                      <w:szCs w:val="21"/>
                      <w:lang w:val="en-US" w:eastAsia="zh-CN"/>
                    </w:rPr>
                  </w:pPr>
                  <w:r>
                    <w:rPr>
                      <w:rFonts w:hint="eastAsia"/>
                      <w:color w:val="auto"/>
                      <w:sz w:val="21"/>
                      <w:szCs w:val="21"/>
                      <w:lang w:val="en-US" w:eastAsia="zh-CN"/>
                    </w:rPr>
                    <w:t>DA002</w:t>
                  </w:r>
                </w:p>
              </w:tc>
              <w:tc>
                <w:tcPr>
                  <w:tcW w:w="1437"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颗粒物</w:t>
                  </w:r>
                </w:p>
              </w:tc>
              <w:tc>
                <w:tcPr>
                  <w:tcW w:w="1273" w:type="dxa"/>
                  <w:vAlign w:val="center"/>
                </w:tcPr>
                <w:p>
                  <w:pPr>
                    <w:jc w:val="center"/>
                    <w:rPr>
                      <w:rFonts w:hint="eastAsia"/>
                      <w:color w:val="auto"/>
                      <w:szCs w:val="21"/>
                      <w:lang w:val="en-US" w:eastAsia="zh-CN"/>
                    </w:rPr>
                  </w:pPr>
                  <w:r>
                    <w:rPr>
                      <w:rFonts w:hint="eastAsia"/>
                      <w:color w:val="auto"/>
                      <w:szCs w:val="21"/>
                      <w:lang w:val="en-US" w:eastAsia="zh-CN"/>
                    </w:rPr>
                    <w:t>80.128</w:t>
                  </w:r>
                </w:p>
              </w:tc>
              <w:tc>
                <w:tcPr>
                  <w:tcW w:w="1235" w:type="dxa"/>
                  <w:vAlign w:val="center"/>
                </w:tcPr>
                <w:p>
                  <w:pPr>
                    <w:jc w:val="center"/>
                    <w:rPr>
                      <w:rFonts w:hint="eastAsia"/>
                      <w:color w:val="auto"/>
                      <w:szCs w:val="21"/>
                      <w:lang w:val="en-US" w:eastAsia="zh-CN"/>
                    </w:rPr>
                  </w:pPr>
                  <w:r>
                    <w:rPr>
                      <w:rFonts w:hint="eastAsia"/>
                      <w:color w:val="auto"/>
                      <w:szCs w:val="21"/>
                      <w:lang w:val="en-US" w:eastAsia="zh-CN"/>
                    </w:rPr>
                    <w:t>0.127</w:t>
                  </w:r>
                </w:p>
              </w:tc>
              <w:tc>
                <w:tcPr>
                  <w:tcW w:w="1235" w:type="dxa"/>
                  <w:vAlign w:val="center"/>
                </w:tcPr>
                <w:p>
                  <w:pPr>
                    <w:pStyle w:val="38"/>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1h</w:t>
                  </w:r>
                </w:p>
              </w:tc>
              <w:tc>
                <w:tcPr>
                  <w:tcW w:w="1235" w:type="dxa"/>
                  <w:vAlign w:val="center"/>
                </w:tcPr>
                <w:p>
                  <w:pPr>
                    <w:pStyle w:val="38"/>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1次/年</w:t>
                  </w:r>
                </w:p>
              </w:tc>
              <w:tc>
                <w:tcPr>
                  <w:tcW w:w="1235" w:type="dxa"/>
                  <w:vAlign w:val="center"/>
                </w:tcPr>
                <w:p>
                  <w:pPr>
                    <w:jc w:val="center"/>
                    <w:rPr>
                      <w:rFonts w:hint="eastAsia"/>
                      <w:color w:val="auto"/>
                      <w:szCs w:val="21"/>
                      <w:lang w:val="en-US" w:eastAsia="zh-CN"/>
                    </w:rPr>
                  </w:pPr>
                  <w:r>
                    <w:rPr>
                      <w:rFonts w:hint="eastAsia"/>
                      <w:color w:val="auto"/>
                      <w:szCs w:val="21"/>
                      <w:lang w:val="en-US" w:eastAsia="zh-CN"/>
                    </w:rPr>
                    <w:t>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Merge w:val="continue"/>
                  <w:vAlign w:val="center"/>
                </w:tcPr>
                <w:p>
                  <w:pPr>
                    <w:pStyle w:val="21"/>
                    <w:spacing w:line="240" w:lineRule="auto"/>
                    <w:jc w:val="center"/>
                    <w:rPr>
                      <w:rFonts w:hint="eastAsia"/>
                      <w:color w:val="auto"/>
                      <w:sz w:val="21"/>
                      <w:szCs w:val="21"/>
                      <w:lang w:val="en-US" w:eastAsia="zh-CN"/>
                    </w:rPr>
                  </w:pPr>
                </w:p>
              </w:tc>
              <w:tc>
                <w:tcPr>
                  <w:tcW w:w="1437"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二氧化硫</w:t>
                  </w:r>
                </w:p>
              </w:tc>
              <w:tc>
                <w:tcPr>
                  <w:tcW w:w="1273" w:type="dxa"/>
                  <w:vAlign w:val="center"/>
                </w:tcPr>
                <w:p>
                  <w:pPr>
                    <w:jc w:val="center"/>
                    <w:rPr>
                      <w:rFonts w:hint="eastAsia"/>
                      <w:color w:val="auto"/>
                      <w:szCs w:val="21"/>
                      <w:lang w:val="en-US" w:eastAsia="zh-CN"/>
                    </w:rPr>
                  </w:pPr>
                  <w:r>
                    <w:rPr>
                      <w:rFonts w:hint="eastAsia"/>
                      <w:color w:val="auto"/>
                      <w:szCs w:val="21"/>
                      <w:lang w:val="en-US" w:eastAsia="zh-CN"/>
                    </w:rPr>
                    <w:t>108.974</w:t>
                  </w:r>
                </w:p>
              </w:tc>
              <w:tc>
                <w:tcPr>
                  <w:tcW w:w="1235" w:type="dxa"/>
                  <w:vAlign w:val="center"/>
                </w:tcPr>
                <w:p>
                  <w:pPr>
                    <w:jc w:val="center"/>
                    <w:rPr>
                      <w:rFonts w:hint="eastAsia"/>
                      <w:color w:val="auto"/>
                      <w:szCs w:val="21"/>
                      <w:lang w:val="en-US" w:eastAsia="zh-CN"/>
                    </w:rPr>
                  </w:pPr>
                  <w:r>
                    <w:rPr>
                      <w:rFonts w:hint="eastAsia"/>
                      <w:color w:val="auto"/>
                      <w:szCs w:val="21"/>
                      <w:lang w:val="en-US" w:eastAsia="zh-CN"/>
                    </w:rPr>
                    <w:t>0.173</w:t>
                  </w:r>
                </w:p>
              </w:tc>
              <w:tc>
                <w:tcPr>
                  <w:tcW w:w="1235" w:type="dxa"/>
                  <w:vAlign w:val="center"/>
                </w:tcPr>
                <w:p>
                  <w:pPr>
                    <w:pStyle w:val="38"/>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1h</w:t>
                  </w:r>
                </w:p>
              </w:tc>
              <w:tc>
                <w:tcPr>
                  <w:tcW w:w="1235" w:type="dxa"/>
                  <w:vAlign w:val="center"/>
                </w:tcPr>
                <w:p>
                  <w:pPr>
                    <w:pStyle w:val="38"/>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1次/年</w:t>
                  </w:r>
                </w:p>
              </w:tc>
              <w:tc>
                <w:tcPr>
                  <w:tcW w:w="1235" w:type="dxa"/>
                  <w:vAlign w:val="center"/>
                </w:tcPr>
                <w:p>
                  <w:pPr>
                    <w:jc w:val="center"/>
                    <w:rPr>
                      <w:rFonts w:hint="eastAsia"/>
                      <w:color w:val="auto"/>
                      <w:szCs w:val="21"/>
                      <w:lang w:val="en-US" w:eastAsia="zh-CN"/>
                    </w:rPr>
                  </w:pPr>
                  <w:r>
                    <w:rPr>
                      <w:rFonts w:hint="eastAsia"/>
                      <w:color w:val="auto"/>
                      <w:szCs w:val="21"/>
                      <w:lang w:val="en-US" w:eastAsia="zh-CN"/>
                    </w:rPr>
                    <w:t>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Merge w:val="continue"/>
                  <w:vAlign w:val="center"/>
                </w:tcPr>
                <w:p>
                  <w:pPr>
                    <w:pStyle w:val="21"/>
                    <w:spacing w:line="240" w:lineRule="auto"/>
                    <w:jc w:val="center"/>
                    <w:rPr>
                      <w:rFonts w:hint="eastAsia"/>
                      <w:color w:val="auto"/>
                      <w:sz w:val="21"/>
                      <w:szCs w:val="21"/>
                      <w:lang w:val="en-US" w:eastAsia="zh-CN"/>
                    </w:rPr>
                  </w:pPr>
                </w:p>
              </w:tc>
              <w:tc>
                <w:tcPr>
                  <w:tcW w:w="1437"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氮氧化物</w:t>
                  </w:r>
                </w:p>
              </w:tc>
              <w:tc>
                <w:tcPr>
                  <w:tcW w:w="1273" w:type="dxa"/>
                  <w:vAlign w:val="center"/>
                </w:tcPr>
                <w:p>
                  <w:pPr>
                    <w:jc w:val="center"/>
                    <w:rPr>
                      <w:rFonts w:hint="eastAsia"/>
                      <w:color w:val="auto"/>
                      <w:szCs w:val="21"/>
                      <w:lang w:val="en-US" w:eastAsia="zh-CN"/>
                    </w:rPr>
                  </w:pPr>
                  <w:r>
                    <w:rPr>
                      <w:rFonts w:hint="eastAsia"/>
                      <w:color w:val="auto"/>
                      <w:szCs w:val="21"/>
                      <w:lang w:val="en-US" w:eastAsia="zh-CN"/>
                    </w:rPr>
                    <w:t>163.462</w:t>
                  </w:r>
                </w:p>
              </w:tc>
              <w:tc>
                <w:tcPr>
                  <w:tcW w:w="1235" w:type="dxa"/>
                  <w:vAlign w:val="center"/>
                </w:tcPr>
                <w:p>
                  <w:pPr>
                    <w:jc w:val="center"/>
                    <w:rPr>
                      <w:rFonts w:hint="eastAsia"/>
                      <w:color w:val="auto"/>
                      <w:szCs w:val="21"/>
                      <w:lang w:val="en-US" w:eastAsia="zh-CN"/>
                    </w:rPr>
                  </w:pPr>
                  <w:r>
                    <w:rPr>
                      <w:rFonts w:hint="eastAsia"/>
                      <w:color w:val="auto"/>
                      <w:szCs w:val="21"/>
                      <w:lang w:val="en-US" w:eastAsia="zh-CN"/>
                    </w:rPr>
                    <w:t>0.26</w:t>
                  </w:r>
                </w:p>
              </w:tc>
              <w:tc>
                <w:tcPr>
                  <w:tcW w:w="1235" w:type="dxa"/>
                  <w:vAlign w:val="center"/>
                </w:tcPr>
                <w:p>
                  <w:pPr>
                    <w:pStyle w:val="38"/>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1h</w:t>
                  </w:r>
                </w:p>
              </w:tc>
              <w:tc>
                <w:tcPr>
                  <w:tcW w:w="1235" w:type="dxa"/>
                  <w:vAlign w:val="center"/>
                </w:tcPr>
                <w:p>
                  <w:pPr>
                    <w:pStyle w:val="38"/>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1次/年</w:t>
                  </w:r>
                </w:p>
              </w:tc>
              <w:tc>
                <w:tcPr>
                  <w:tcW w:w="1235" w:type="dxa"/>
                  <w:vAlign w:val="center"/>
                </w:tcPr>
                <w:p>
                  <w:pPr>
                    <w:jc w:val="center"/>
                    <w:rPr>
                      <w:rFonts w:hint="eastAsia"/>
                      <w:color w:val="auto"/>
                      <w:szCs w:val="21"/>
                      <w:lang w:val="en-US" w:eastAsia="zh-CN"/>
                    </w:rPr>
                  </w:pPr>
                  <w:r>
                    <w:rPr>
                      <w:rFonts w:hint="eastAsia"/>
                      <w:color w:val="auto"/>
                      <w:szCs w:val="21"/>
                      <w:lang w:val="en-US" w:eastAsia="zh-CN"/>
                    </w:rPr>
                    <w:t>0.26</w:t>
                  </w:r>
                </w:p>
              </w:tc>
            </w:tr>
          </w:tbl>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由上表可以看出，非正常情况下主要污染物排放浓度增加，而且随着非正常情况持续时间增加污染物排放量随之增加，对环境的危害和影响增大，因此应采取措施减少非正常工况发生次数。加强管理，采用先进成熟的工艺技术和设备，严格生产控制规程，加强环保设施的维修管理确保有效持续运行，发生环保设施故障时应及时停车、停产，确保生产设施与环保设施同步运行。</w:t>
            </w:r>
          </w:p>
          <w:p>
            <w:pPr>
              <w:pStyle w:val="38"/>
              <w:spacing w:line="360" w:lineRule="auto"/>
              <w:ind w:firstLine="482" w:firstLineChars="200"/>
              <w:rPr>
                <w:rFonts w:ascii="Times New Roman"/>
                <w:b/>
                <w:bCs/>
                <w:color w:val="auto"/>
                <w:sz w:val="24"/>
                <w:szCs w:val="24"/>
              </w:rPr>
            </w:pPr>
            <w:r>
              <w:rPr>
                <w:rFonts w:hint="eastAsia" w:ascii="Times New Roman"/>
                <w:b/>
                <w:bCs/>
                <w:color w:val="auto"/>
                <w:sz w:val="24"/>
                <w:szCs w:val="24"/>
              </w:rPr>
              <w:t>1.</w:t>
            </w:r>
            <w:r>
              <w:rPr>
                <w:rFonts w:hint="eastAsia" w:ascii="Times New Roman"/>
                <w:b/>
                <w:bCs/>
                <w:color w:val="auto"/>
                <w:sz w:val="24"/>
                <w:szCs w:val="24"/>
                <w:lang w:val="en-US" w:eastAsia="zh-CN"/>
              </w:rPr>
              <w:t>7</w:t>
            </w:r>
            <w:r>
              <w:rPr>
                <w:rFonts w:hint="eastAsia" w:ascii="Times New Roman"/>
                <w:b/>
                <w:bCs/>
                <w:color w:val="auto"/>
                <w:sz w:val="24"/>
                <w:szCs w:val="24"/>
              </w:rPr>
              <w:t>监测要求</w:t>
            </w:r>
          </w:p>
          <w:p>
            <w:pPr>
              <w:adjustRightInd w:val="0"/>
              <w:snapToGrid w:val="0"/>
              <w:spacing w:line="360" w:lineRule="auto"/>
              <w:ind w:firstLine="440" w:firstLineChars="200"/>
              <w:rPr>
                <w:rFonts w:hint="eastAsia" w:ascii="Times New Roman"/>
                <w:color w:val="auto"/>
                <w:sz w:val="24"/>
                <w:szCs w:val="24"/>
              </w:rPr>
            </w:pPr>
            <w:r>
              <w:rPr>
                <w:rFonts w:ascii="Times New Roman" w:hAnsi="Times New Roman" w:eastAsia="宋体" w:cs="Times New Roman"/>
                <w:color w:val="000000"/>
                <w:spacing w:val="-10"/>
                <w:sz w:val="24"/>
                <w:szCs w:val="24"/>
              </w:rPr>
              <w:t>根据</w:t>
            </w:r>
            <w:r>
              <w:rPr>
                <w:rFonts w:ascii="Times New Roman" w:hAnsi="Times New Roman" w:eastAsia="宋体" w:cs="Times New Roman"/>
                <w:kern w:val="0"/>
                <w:sz w:val="24"/>
              </w:rPr>
              <w:t>《排污单位自行监测技术指南 总则》（HJ819-2017）、</w:t>
            </w:r>
            <w:r>
              <w:rPr>
                <w:rFonts w:hint="eastAsia" w:ascii="Times New Roman" w:hAnsi="Times New Roman" w:eastAsia="宋体" w:cs="Times New Roman"/>
                <w:kern w:val="0"/>
                <w:sz w:val="24"/>
              </w:rPr>
              <w:t>《排污许可证申请与核发技术规范 工业炉窑》（HJ1121-2020）</w:t>
            </w:r>
            <w:r>
              <w:rPr>
                <w:rFonts w:ascii="Times New Roman" w:hAnsi="Times New Roman" w:eastAsia="宋体" w:cs="Times New Roman"/>
                <w:color w:val="000000"/>
                <w:spacing w:val="-10"/>
                <w:sz w:val="24"/>
                <w:szCs w:val="24"/>
              </w:rPr>
              <w:t>，</w:t>
            </w:r>
            <w:r>
              <w:rPr>
                <w:rFonts w:hint="eastAsia" w:ascii="Times New Roman" w:hAnsi="Times New Roman" w:eastAsia="宋体" w:cs="Times New Roman"/>
                <w:color w:val="000000"/>
                <w:spacing w:val="-10"/>
                <w:sz w:val="24"/>
                <w:szCs w:val="24"/>
              </w:rPr>
              <w:t>并</w:t>
            </w:r>
            <w:r>
              <w:rPr>
                <w:rFonts w:ascii="Times New Roman" w:hAnsi="Times New Roman" w:eastAsia="宋体" w:cs="Times New Roman"/>
                <w:color w:val="000000"/>
                <w:spacing w:val="-10"/>
                <w:sz w:val="24"/>
                <w:szCs w:val="24"/>
              </w:rPr>
              <w:t>结合企业自身情况，建议自行监测项目和频次见下表。</w:t>
            </w:r>
          </w:p>
          <w:p>
            <w:pPr>
              <w:pStyle w:val="38"/>
              <w:spacing w:line="240" w:lineRule="auto"/>
              <w:ind w:firstLine="422" w:firstLineChars="200"/>
              <w:jc w:val="center"/>
              <w:rPr>
                <w:rFonts w:hint="eastAsia" w:ascii="Times New Roman"/>
                <w:b/>
                <w:bCs/>
                <w:color w:val="auto"/>
                <w:sz w:val="21"/>
                <w:szCs w:val="21"/>
              </w:rPr>
            </w:pPr>
            <w:r>
              <w:rPr>
                <w:rFonts w:hint="eastAsia" w:ascii="Times New Roman"/>
                <w:b/>
                <w:bCs/>
                <w:color w:val="auto"/>
                <w:sz w:val="21"/>
                <w:szCs w:val="21"/>
              </w:rPr>
              <w:t>表 4-</w:t>
            </w:r>
            <w:r>
              <w:rPr>
                <w:rFonts w:hint="eastAsia" w:ascii="Times New Roman"/>
                <w:b/>
                <w:bCs/>
                <w:color w:val="auto"/>
                <w:sz w:val="21"/>
                <w:szCs w:val="21"/>
                <w:lang w:val="en-US" w:eastAsia="zh-CN"/>
              </w:rPr>
              <w:t>5</w:t>
            </w:r>
            <w:r>
              <w:rPr>
                <w:rFonts w:hint="eastAsia" w:ascii="Times New Roman"/>
                <w:b/>
                <w:bCs/>
                <w:color w:val="auto"/>
                <w:sz w:val="21"/>
                <w:szCs w:val="21"/>
              </w:rPr>
              <w:t xml:space="preserve"> 本项目废气污染物监测一览表</w:t>
            </w:r>
          </w:p>
          <w:tbl>
            <w:tblPr>
              <w:tblStyle w:val="27"/>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304"/>
              <w:gridCol w:w="3246"/>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项目</w:t>
                  </w:r>
                </w:p>
              </w:tc>
              <w:tc>
                <w:tcPr>
                  <w:tcW w:w="2304"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监测点位</w:t>
                  </w:r>
                </w:p>
              </w:tc>
              <w:tc>
                <w:tcPr>
                  <w:tcW w:w="3246"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监测内容</w:t>
                  </w:r>
                </w:p>
              </w:tc>
              <w:tc>
                <w:tcPr>
                  <w:tcW w:w="1567"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61" w:type="dxa"/>
                  <w:vMerge w:val="restart"/>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废气</w:t>
                  </w:r>
                </w:p>
              </w:tc>
              <w:tc>
                <w:tcPr>
                  <w:tcW w:w="2304" w:type="dxa"/>
                  <w:vAlign w:val="center"/>
                </w:tcPr>
                <w:p>
                  <w:pPr>
                    <w:snapToGrid w:val="0"/>
                    <w:spacing w:line="280" w:lineRule="exact"/>
                    <w:jc w:val="center"/>
                    <w:rPr>
                      <w:rFonts w:hint="default" w:ascii="Times New Roman" w:eastAsia="宋体"/>
                      <w:color w:val="auto"/>
                      <w:sz w:val="21"/>
                      <w:szCs w:val="21"/>
                      <w:lang w:val="en-US" w:eastAsia="zh-CN"/>
                    </w:rPr>
                  </w:pPr>
                  <w:r>
                    <w:rPr>
                      <w:rFonts w:ascii="Times New Roman" w:hAnsi="Times New Roman" w:cs="Times New Roman"/>
                      <w:color w:val="000000"/>
                      <w:spacing w:val="-10"/>
                      <w:szCs w:val="21"/>
                    </w:rPr>
                    <w:t>DA00</w:t>
                  </w:r>
                  <w:r>
                    <w:rPr>
                      <w:rFonts w:hint="eastAsia" w:ascii="Times New Roman" w:hAnsi="Times New Roman" w:cs="Times New Roman"/>
                      <w:color w:val="000000"/>
                      <w:spacing w:val="-10"/>
                      <w:szCs w:val="21"/>
                    </w:rPr>
                    <w:t>1</w:t>
                  </w:r>
                </w:p>
              </w:tc>
              <w:tc>
                <w:tcPr>
                  <w:tcW w:w="3246" w:type="dxa"/>
                  <w:vAlign w:val="center"/>
                </w:tcPr>
                <w:p>
                  <w:pPr>
                    <w:snapToGrid w:val="0"/>
                    <w:spacing w:line="280" w:lineRule="exact"/>
                    <w:jc w:val="center"/>
                    <w:rPr>
                      <w:rFonts w:hint="eastAsia" w:ascii="Times New Roman"/>
                      <w:color w:val="auto"/>
                      <w:sz w:val="21"/>
                      <w:szCs w:val="21"/>
                      <w:lang w:eastAsia="zh-CN"/>
                    </w:rPr>
                  </w:pPr>
                  <w:r>
                    <w:rPr>
                      <w:rFonts w:ascii="Times New Roman" w:hAnsi="Times New Roman" w:cs="Times New Roman"/>
                      <w:color w:val="000000"/>
                      <w:spacing w:val="-10"/>
                      <w:szCs w:val="21"/>
                    </w:rPr>
                    <w:t>颗粒物</w:t>
                  </w:r>
                </w:p>
              </w:tc>
              <w:tc>
                <w:tcPr>
                  <w:tcW w:w="1567" w:type="dxa"/>
                  <w:vAlign w:val="center"/>
                </w:tcPr>
                <w:p>
                  <w:pPr>
                    <w:snapToGrid w:val="0"/>
                    <w:spacing w:line="280" w:lineRule="exact"/>
                    <w:jc w:val="center"/>
                    <w:rPr>
                      <w:rFonts w:hint="eastAsia" w:ascii="Times New Roman"/>
                      <w:color w:val="auto"/>
                      <w:sz w:val="21"/>
                      <w:szCs w:val="21"/>
                    </w:rPr>
                  </w:pPr>
                  <w:r>
                    <w:rPr>
                      <w:rFonts w:ascii="Times New Roman" w:hAnsi="Times New Roman"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61" w:type="dxa"/>
                  <w:vMerge w:val="continue"/>
                  <w:vAlign w:val="center"/>
                </w:tcPr>
                <w:p>
                  <w:pPr>
                    <w:pStyle w:val="38"/>
                    <w:spacing w:line="240" w:lineRule="auto"/>
                    <w:ind w:firstLine="0"/>
                    <w:jc w:val="center"/>
                    <w:rPr>
                      <w:rFonts w:hint="eastAsia" w:ascii="Times New Roman"/>
                      <w:color w:val="auto"/>
                      <w:sz w:val="21"/>
                      <w:szCs w:val="21"/>
                    </w:rPr>
                  </w:pPr>
                </w:p>
              </w:tc>
              <w:tc>
                <w:tcPr>
                  <w:tcW w:w="2304" w:type="dxa"/>
                  <w:vAlign w:val="center"/>
                </w:tcPr>
                <w:p>
                  <w:pPr>
                    <w:snapToGrid w:val="0"/>
                    <w:spacing w:line="280" w:lineRule="exact"/>
                    <w:jc w:val="center"/>
                    <w:rPr>
                      <w:rFonts w:hint="eastAsia" w:ascii="Times New Roman"/>
                      <w:color w:val="auto"/>
                      <w:sz w:val="21"/>
                      <w:szCs w:val="21"/>
                      <w:lang w:val="en-US" w:eastAsia="zh-CN"/>
                    </w:rPr>
                  </w:pPr>
                  <w:r>
                    <w:rPr>
                      <w:rFonts w:ascii="Times New Roman" w:hAnsi="Times New Roman" w:cs="Times New Roman"/>
                      <w:color w:val="000000"/>
                      <w:spacing w:val="-10"/>
                      <w:szCs w:val="21"/>
                    </w:rPr>
                    <w:t>DA00</w:t>
                  </w:r>
                  <w:r>
                    <w:rPr>
                      <w:rFonts w:hint="eastAsia" w:ascii="Times New Roman" w:hAnsi="Times New Roman" w:cs="Times New Roman"/>
                      <w:color w:val="000000"/>
                      <w:spacing w:val="-10"/>
                      <w:szCs w:val="21"/>
                    </w:rPr>
                    <w:t>2</w:t>
                  </w:r>
                </w:p>
              </w:tc>
              <w:tc>
                <w:tcPr>
                  <w:tcW w:w="3246" w:type="dxa"/>
                  <w:vAlign w:val="center"/>
                </w:tcPr>
                <w:p>
                  <w:pPr>
                    <w:snapToGrid w:val="0"/>
                    <w:spacing w:line="280" w:lineRule="exact"/>
                    <w:jc w:val="center"/>
                    <w:rPr>
                      <w:rFonts w:hint="eastAsia" w:ascii="Times New Roman" w:eastAsia="宋体"/>
                      <w:color w:val="auto"/>
                      <w:sz w:val="21"/>
                      <w:szCs w:val="21"/>
                      <w:lang w:eastAsia="zh-CN"/>
                    </w:rPr>
                  </w:pPr>
                  <w:r>
                    <w:rPr>
                      <w:rFonts w:ascii="Times New Roman" w:hAnsi="Times New Roman" w:cs="Times New Roman"/>
                      <w:color w:val="000000"/>
                      <w:spacing w:val="-10"/>
                      <w:szCs w:val="21"/>
                    </w:rPr>
                    <w:t>颗粒物、SO</w:t>
                  </w:r>
                  <w:r>
                    <w:rPr>
                      <w:rFonts w:ascii="Times New Roman" w:hAnsi="Times New Roman" w:cs="Times New Roman"/>
                      <w:color w:val="000000"/>
                      <w:spacing w:val="-10"/>
                      <w:szCs w:val="21"/>
                      <w:vertAlign w:val="subscript"/>
                    </w:rPr>
                    <w:t>2</w:t>
                  </w:r>
                  <w:r>
                    <w:rPr>
                      <w:rFonts w:ascii="Times New Roman" w:hAnsi="Times New Roman" w:cs="Times New Roman"/>
                      <w:color w:val="000000"/>
                      <w:spacing w:val="-10"/>
                      <w:szCs w:val="21"/>
                    </w:rPr>
                    <w:t>、NOx</w:t>
                  </w:r>
                </w:p>
              </w:tc>
              <w:tc>
                <w:tcPr>
                  <w:tcW w:w="1567" w:type="dxa"/>
                  <w:vAlign w:val="center"/>
                </w:tcPr>
                <w:p>
                  <w:pPr>
                    <w:snapToGrid w:val="0"/>
                    <w:spacing w:line="280" w:lineRule="exact"/>
                    <w:jc w:val="center"/>
                    <w:rPr>
                      <w:rFonts w:hint="eastAsia" w:ascii="Times New Roman"/>
                      <w:color w:val="auto"/>
                      <w:sz w:val="21"/>
                      <w:szCs w:val="21"/>
                    </w:rPr>
                  </w:pPr>
                  <w:r>
                    <w:rPr>
                      <w:rFonts w:ascii="Times New Roman" w:hAnsi="Times New Roman"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561" w:type="dxa"/>
                  <w:vMerge w:val="continue"/>
                  <w:vAlign w:val="center"/>
                </w:tcPr>
                <w:p>
                  <w:pPr>
                    <w:pStyle w:val="38"/>
                    <w:spacing w:line="240" w:lineRule="auto"/>
                    <w:jc w:val="center"/>
                    <w:rPr>
                      <w:rFonts w:hint="eastAsia" w:ascii="Times New Roman"/>
                      <w:color w:val="auto"/>
                      <w:sz w:val="21"/>
                      <w:szCs w:val="21"/>
                    </w:rPr>
                  </w:pPr>
                </w:p>
              </w:tc>
              <w:tc>
                <w:tcPr>
                  <w:tcW w:w="2304"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rPr>
                    <w:t>厂</w:t>
                  </w:r>
                  <w:r>
                    <w:rPr>
                      <w:rFonts w:hint="eastAsia" w:ascii="Times New Roman"/>
                      <w:color w:val="auto"/>
                      <w:sz w:val="21"/>
                      <w:szCs w:val="21"/>
                      <w:lang w:eastAsia="zh-CN"/>
                    </w:rPr>
                    <w:t>界</w:t>
                  </w:r>
                </w:p>
              </w:tc>
              <w:tc>
                <w:tcPr>
                  <w:tcW w:w="3246"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lang w:eastAsia="zh-CN"/>
                    </w:rPr>
                    <w:t>颗粒物</w:t>
                  </w:r>
                </w:p>
              </w:tc>
              <w:tc>
                <w:tcPr>
                  <w:tcW w:w="1567" w:type="dxa"/>
                  <w:vAlign w:val="center"/>
                </w:tcPr>
                <w:p>
                  <w:pPr>
                    <w:snapToGrid w:val="0"/>
                    <w:spacing w:line="280" w:lineRule="exact"/>
                    <w:jc w:val="center"/>
                    <w:rPr>
                      <w:rFonts w:hint="eastAsia" w:ascii="Times New Roman"/>
                      <w:color w:val="auto"/>
                      <w:sz w:val="21"/>
                      <w:szCs w:val="21"/>
                    </w:rPr>
                  </w:pPr>
                  <w:r>
                    <w:rPr>
                      <w:rFonts w:ascii="Times New Roman" w:hAnsi="Times New Roman" w:cs="Times New Roman"/>
                      <w:szCs w:val="21"/>
                    </w:rPr>
                    <w:t>1次/年</w:t>
                  </w:r>
                </w:p>
              </w:tc>
            </w:tr>
          </w:tbl>
          <w:p>
            <w:pPr>
              <w:pStyle w:val="38"/>
              <w:ind w:firstLine="482" w:firstLineChars="200"/>
              <w:jc w:val="left"/>
              <w:rPr>
                <w:rFonts w:ascii="Times New Roman"/>
                <w:b/>
                <w:bCs/>
                <w:color w:val="auto"/>
                <w:sz w:val="24"/>
                <w:szCs w:val="24"/>
              </w:rPr>
            </w:pPr>
            <w:r>
              <w:rPr>
                <w:rFonts w:hint="eastAsia" w:ascii="Times New Roman"/>
                <w:b/>
                <w:bCs/>
                <w:color w:val="auto"/>
                <w:sz w:val="24"/>
                <w:szCs w:val="24"/>
                <w:lang w:eastAsia="zh-CN"/>
              </w:rPr>
              <w:t>2.</w:t>
            </w:r>
            <w:r>
              <w:rPr>
                <w:rFonts w:hint="eastAsia" w:ascii="Times New Roman"/>
                <w:b/>
                <w:bCs/>
                <w:color w:val="auto"/>
                <w:sz w:val="24"/>
                <w:szCs w:val="24"/>
              </w:rPr>
              <w:t>废水</w:t>
            </w:r>
          </w:p>
          <w:p>
            <w:pPr>
              <w:pStyle w:val="38"/>
              <w:ind w:left="420" w:leftChars="200" w:firstLine="0"/>
              <w:jc w:val="left"/>
              <w:rPr>
                <w:color w:val="auto"/>
              </w:rPr>
            </w:pPr>
            <w:r>
              <w:rPr>
                <w:rFonts w:hint="eastAsia" w:ascii="Times New Roman"/>
                <w:b/>
                <w:bCs/>
                <w:color w:val="auto"/>
                <w:sz w:val="24"/>
                <w:szCs w:val="24"/>
              </w:rPr>
              <w:t>2.1废水产排放及治理措施</w:t>
            </w:r>
          </w:p>
          <w:p>
            <w:pPr>
              <w:pStyle w:val="38"/>
              <w:spacing w:line="360" w:lineRule="auto"/>
              <w:rPr>
                <w:rFonts w:hint="eastAsia" w:ascii="Times New Roman" w:eastAsia="宋体"/>
                <w:b/>
                <w:bCs/>
                <w:color w:val="auto"/>
                <w:sz w:val="24"/>
                <w:szCs w:val="24"/>
                <w:lang w:eastAsia="zh-CN"/>
              </w:rPr>
            </w:pPr>
            <w:r>
              <w:rPr>
                <w:rFonts w:hint="eastAsia" w:ascii="Times New Roman"/>
                <w:color w:val="auto"/>
                <w:sz w:val="24"/>
                <w:szCs w:val="24"/>
              </w:rPr>
              <w:t>本项目运营期产生的废水主要为员工的生活污水</w:t>
            </w:r>
            <w:r>
              <w:rPr>
                <w:rFonts w:hint="eastAsia" w:ascii="Times New Roman"/>
                <w:color w:val="auto"/>
                <w:sz w:val="24"/>
                <w:szCs w:val="24"/>
                <w:lang w:eastAsia="zh-CN"/>
              </w:rPr>
              <w:t>。</w:t>
            </w:r>
          </w:p>
          <w:p>
            <w:pPr>
              <w:pStyle w:val="44"/>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cs="Times New Roman"/>
                <w:color w:val="auto"/>
                <w:sz w:val="24"/>
                <w:szCs w:val="24"/>
              </w:rPr>
              <w:t>本项目员工为</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人，根据《安徽省行业用水定额》</w:t>
            </w:r>
            <w:r>
              <w:rPr>
                <w:rFonts w:hint="default" w:ascii="Times New Roman" w:hAnsi="Times New Roman" w:cs="Times New Roman"/>
                <w:color w:val="auto"/>
                <w:sz w:val="24"/>
                <w:szCs w:val="20"/>
                <w:shd w:val="clear" w:color="auto" w:fill="auto"/>
              </w:rPr>
              <w:t>（</w:t>
            </w:r>
            <w:r>
              <w:rPr>
                <w:rFonts w:hint="default" w:ascii="Times New Roman" w:hAnsi="Times New Roman" w:cs="Times New Roman"/>
                <w:color w:val="auto"/>
                <w:sz w:val="24"/>
                <w:szCs w:val="20"/>
                <w:shd w:val="clear" w:color="auto" w:fill="auto"/>
                <w:lang w:eastAsia="zh-CN"/>
              </w:rPr>
              <w:t>DB34/T679-2025</w:t>
            </w:r>
            <w:r>
              <w:rPr>
                <w:rFonts w:hint="default" w:ascii="Times New Roman" w:hAnsi="Times New Roman" w:cs="Times New Roman"/>
                <w:color w:val="auto"/>
                <w:sz w:val="24"/>
                <w:szCs w:val="20"/>
                <w:shd w:val="clear" w:color="auto" w:fill="auto"/>
              </w:rPr>
              <w:t>）</w:t>
            </w:r>
            <w:r>
              <w:rPr>
                <w:rFonts w:hint="default" w:ascii="Times New Roman" w:hAnsi="Times New Roman" w:cs="Times New Roman"/>
                <w:color w:val="auto"/>
                <w:sz w:val="24"/>
                <w:szCs w:val="24"/>
              </w:rPr>
              <w:t>，员工用水量按照60L/人·d计，则生活用水量为</w:t>
            </w:r>
            <w:r>
              <w:rPr>
                <w:rFonts w:hint="default"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t/d，</w:t>
            </w:r>
            <w:r>
              <w:rPr>
                <w:rFonts w:hint="eastAsia" w:ascii="Times New Roman" w:hAnsi="Times New Roman" w:cs="Times New Roman"/>
                <w:color w:val="auto"/>
                <w:sz w:val="24"/>
                <w:szCs w:val="24"/>
                <w:lang w:val="en-US" w:eastAsia="zh-CN"/>
              </w:rPr>
              <w:t>45</w:t>
            </w:r>
            <w:r>
              <w:rPr>
                <w:rFonts w:hint="default" w:ascii="Times New Roman" w:hAnsi="Times New Roman" w:cs="Times New Roman"/>
                <w:color w:val="auto"/>
                <w:sz w:val="24"/>
                <w:szCs w:val="24"/>
              </w:rPr>
              <w:t>t/a。污水产生量按用水量的80%计算，则生活污水产生量为</w:t>
            </w:r>
            <w:r>
              <w:rPr>
                <w:rFonts w:hint="default" w:ascii="Times New Roman" w:hAnsi="Times New Roman" w:cs="Times New Roman"/>
                <w:color w:val="auto"/>
                <w:sz w:val="24"/>
                <w:szCs w:val="24"/>
                <w:lang w:val="en-US" w:eastAsia="zh-CN"/>
              </w:rPr>
              <w:t>0.24</w:t>
            </w:r>
            <w:r>
              <w:rPr>
                <w:rFonts w:hint="default" w:ascii="Times New Roman" w:hAnsi="Times New Roman" w:cs="Times New Roman"/>
                <w:color w:val="auto"/>
                <w:sz w:val="24"/>
                <w:szCs w:val="24"/>
              </w:rPr>
              <w:t>t/d（</w:t>
            </w:r>
            <w:r>
              <w:rPr>
                <w:rFonts w:hint="default"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生活污水</w:t>
            </w:r>
            <w:r>
              <w:rPr>
                <w:rFonts w:hint="eastAsia"/>
                <w:color w:val="auto"/>
                <w:szCs w:val="21"/>
                <w:highlight w:val="none"/>
                <w:lang w:eastAsia="zh-CN"/>
              </w:rPr>
              <w:t>经化粪池预处理后再经厂区一体化污水处理设施处理后达标后回用于厂区抑尘。</w:t>
            </w:r>
          </w:p>
          <w:p>
            <w:pPr>
              <w:pStyle w:val="30"/>
              <w:numPr>
                <w:ilvl w:val="0"/>
                <w:numId w:val="0"/>
              </w:numPr>
              <w:spacing w:line="240" w:lineRule="auto"/>
              <w:jc w:val="center"/>
              <w:rPr>
                <w:rFonts w:hint="eastAsia" w:ascii="Times New Roman"/>
                <w:bCs/>
                <w:color w:val="auto"/>
                <w:sz w:val="21"/>
                <w:szCs w:val="21"/>
              </w:rPr>
            </w:pPr>
          </w:p>
          <w:p>
            <w:pPr>
              <w:pStyle w:val="30"/>
              <w:numPr>
                <w:ilvl w:val="0"/>
                <w:numId w:val="0"/>
              </w:numPr>
              <w:spacing w:line="240" w:lineRule="auto"/>
              <w:jc w:val="center"/>
              <w:rPr>
                <w:rFonts w:hint="eastAsia" w:ascii="Times New Roman"/>
                <w:bCs/>
                <w:color w:val="auto"/>
                <w:sz w:val="21"/>
                <w:szCs w:val="21"/>
              </w:rPr>
            </w:pPr>
          </w:p>
          <w:p>
            <w:pPr>
              <w:pStyle w:val="30"/>
              <w:numPr>
                <w:ilvl w:val="0"/>
                <w:numId w:val="0"/>
              </w:numPr>
              <w:spacing w:line="240" w:lineRule="auto"/>
              <w:jc w:val="center"/>
              <w:rPr>
                <w:rFonts w:hint="eastAsia" w:ascii="Times New Roman"/>
                <w:bCs/>
                <w:color w:val="auto"/>
                <w:sz w:val="21"/>
                <w:szCs w:val="21"/>
              </w:rPr>
            </w:pPr>
          </w:p>
          <w:p>
            <w:pPr>
              <w:pStyle w:val="30"/>
              <w:numPr>
                <w:ilvl w:val="0"/>
                <w:numId w:val="0"/>
              </w:numPr>
              <w:spacing w:line="240" w:lineRule="auto"/>
              <w:jc w:val="center"/>
              <w:rPr>
                <w:rFonts w:hint="eastAsia" w:ascii="Times New Roman"/>
                <w:bCs/>
                <w:color w:val="auto"/>
                <w:sz w:val="21"/>
                <w:szCs w:val="21"/>
              </w:rPr>
            </w:pPr>
          </w:p>
          <w:p>
            <w:pPr>
              <w:pStyle w:val="30"/>
              <w:numPr>
                <w:ilvl w:val="0"/>
                <w:numId w:val="0"/>
              </w:numPr>
              <w:spacing w:line="240" w:lineRule="auto"/>
              <w:jc w:val="center"/>
              <w:rPr>
                <w:rFonts w:hint="eastAsia" w:ascii="Times New Roman"/>
                <w:bCs/>
                <w:color w:val="auto"/>
                <w:sz w:val="21"/>
                <w:szCs w:val="21"/>
              </w:rPr>
            </w:pPr>
          </w:p>
          <w:p>
            <w:pPr>
              <w:pStyle w:val="30"/>
              <w:numPr>
                <w:ilvl w:val="0"/>
                <w:numId w:val="0"/>
              </w:numPr>
              <w:spacing w:line="240" w:lineRule="auto"/>
              <w:jc w:val="center"/>
              <w:rPr>
                <w:rFonts w:hint="eastAsia" w:ascii="Times New Roman"/>
                <w:b/>
                <w:bCs w:val="0"/>
                <w:color w:val="auto"/>
                <w:sz w:val="21"/>
                <w:szCs w:val="21"/>
              </w:rPr>
            </w:pPr>
            <w:r>
              <w:rPr>
                <w:rFonts w:hint="eastAsia" w:ascii="Times New Roman"/>
                <w:b/>
                <w:bCs w:val="0"/>
                <w:color w:val="auto"/>
                <w:sz w:val="21"/>
                <w:szCs w:val="21"/>
              </w:rPr>
              <w:t>表4-</w:t>
            </w:r>
            <w:r>
              <w:rPr>
                <w:rFonts w:hint="eastAsia" w:ascii="Times New Roman"/>
                <w:b/>
                <w:bCs w:val="0"/>
                <w:color w:val="auto"/>
                <w:sz w:val="21"/>
                <w:szCs w:val="21"/>
                <w:lang w:val="en-US" w:eastAsia="zh-CN"/>
              </w:rPr>
              <w:t xml:space="preserve">6 </w:t>
            </w:r>
            <w:r>
              <w:rPr>
                <w:rFonts w:hint="eastAsia" w:ascii="Times New Roman"/>
                <w:b/>
                <w:bCs w:val="0"/>
                <w:color w:val="auto"/>
                <w:sz w:val="21"/>
                <w:szCs w:val="21"/>
              </w:rPr>
              <w:t>废水产排情况一览表</w:t>
            </w:r>
          </w:p>
          <w:tbl>
            <w:tblPr>
              <w:tblStyle w:val="27"/>
              <w:tblW w:w="85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3"/>
              <w:gridCol w:w="823"/>
              <w:gridCol w:w="824"/>
              <w:gridCol w:w="824"/>
              <w:gridCol w:w="824"/>
              <w:gridCol w:w="824"/>
              <w:gridCol w:w="1003"/>
              <w:gridCol w:w="1003"/>
              <w:gridCol w:w="824"/>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72" w:hRule="atLeast"/>
                <w:jc w:val="center"/>
              </w:trPr>
              <w:tc>
                <w:tcPr>
                  <w:tcW w:w="823"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废污水类别</w:t>
                  </w:r>
                </w:p>
              </w:tc>
              <w:tc>
                <w:tcPr>
                  <w:tcW w:w="823"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产生废水量（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82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w:t>
                  </w:r>
                </w:p>
              </w:tc>
              <w:tc>
                <w:tcPr>
                  <w:tcW w:w="82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产生浓度（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lang w:val="en-US" w:eastAsia="zh-CN" w:bidi="ar"/>
                    </w:rPr>
                    <w:t>）</w:t>
                  </w:r>
                </w:p>
              </w:tc>
              <w:tc>
                <w:tcPr>
                  <w:tcW w:w="82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产生量（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824"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处理</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措施</w:t>
                  </w:r>
                </w:p>
              </w:tc>
              <w:tc>
                <w:tcPr>
                  <w:tcW w:w="1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处理效率</w:t>
                  </w:r>
                </w:p>
              </w:tc>
              <w:tc>
                <w:tcPr>
                  <w:tcW w:w="100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排放浓度</w:t>
                  </w:r>
                  <w:r>
                    <w:rPr>
                      <w:rFonts w:hint="default" w:ascii="Times New Roman" w:hAnsi="Times New Roman" w:eastAsia="宋体" w:cs="Times New Roman"/>
                      <w:i w:val="0"/>
                      <w:iCs w:val="0"/>
                      <w:color w:val="000000"/>
                      <w:kern w:val="0"/>
                      <w:sz w:val="21"/>
                      <w:szCs w:val="21"/>
                      <w:u w:val="none"/>
                      <w:lang w:val="en-US" w:eastAsia="zh-CN" w:bidi="ar"/>
                    </w:rPr>
                    <w:t>mg/L</w:t>
                  </w:r>
                </w:p>
              </w:tc>
              <w:tc>
                <w:tcPr>
                  <w:tcW w:w="82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82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排放出向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jc w:val="center"/>
              </w:trPr>
              <w:tc>
                <w:tcPr>
                  <w:tcW w:w="823"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生活污水</w:t>
                  </w:r>
                </w:p>
              </w:tc>
              <w:tc>
                <w:tcPr>
                  <w:tcW w:w="823"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0.0126</w:t>
                  </w:r>
                </w:p>
              </w:tc>
              <w:tc>
                <w:tcPr>
                  <w:tcW w:w="824" w:type="dxa"/>
                  <w:vMerge w:val="restar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化粪池</w:t>
                  </w:r>
                  <w:r>
                    <w:rPr>
                      <w:rFonts w:hint="eastAsia" w:ascii="宋体" w:hAnsi="宋体" w:cs="宋体"/>
                      <w:i w:val="0"/>
                      <w:iCs w:val="0"/>
                      <w:color w:val="000000"/>
                      <w:kern w:val="0"/>
                      <w:sz w:val="21"/>
                      <w:szCs w:val="21"/>
                      <w:u w:val="none"/>
                      <w:lang w:val="en-US" w:eastAsia="zh-CN" w:bidi="ar"/>
                    </w:rPr>
                    <w:t>+一体化污水处理设备</w:t>
                  </w: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88%</w:t>
                  </w: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42</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0.0015</w:t>
                  </w:r>
                </w:p>
              </w:tc>
              <w:tc>
                <w:tcPr>
                  <w:tcW w:w="82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回用于厂区抑尘处理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0" w:hRule="atLeast"/>
                <w:jc w:val="center"/>
              </w:trPr>
              <w:tc>
                <w:tcPr>
                  <w:tcW w:w="823"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823"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Style w:val="61"/>
                      <w:rFonts w:eastAsia="宋体"/>
                      <w:lang w:val="en-US" w:eastAsia="zh-CN" w:bidi="ar"/>
                    </w:rPr>
                    <w:t>5</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0.006</w:t>
                  </w:r>
                  <w:r>
                    <w:rPr>
                      <w:rFonts w:hint="eastAsia" w:cs="Times New Roman"/>
                      <w:i w:val="0"/>
                      <w:iCs w:val="0"/>
                      <w:color w:val="000000"/>
                      <w:kern w:val="0"/>
                      <w:sz w:val="21"/>
                      <w:szCs w:val="21"/>
                      <w:u w:val="none"/>
                      <w:lang w:val="en-US" w:eastAsia="zh-CN" w:bidi="ar"/>
                    </w:rPr>
                    <w:t>5</w:t>
                  </w:r>
                </w:p>
              </w:tc>
              <w:tc>
                <w:tcPr>
                  <w:tcW w:w="824"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95%</w:t>
                  </w: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9</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0.0003</w:t>
                  </w:r>
                </w:p>
              </w:tc>
              <w:tc>
                <w:tcPr>
                  <w:tcW w:w="82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jc w:val="center"/>
              </w:trPr>
              <w:tc>
                <w:tcPr>
                  <w:tcW w:w="823"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823"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0.0072</w:t>
                  </w:r>
                </w:p>
              </w:tc>
              <w:tc>
                <w:tcPr>
                  <w:tcW w:w="824"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96%</w:t>
                  </w: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8</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0.0003</w:t>
                  </w:r>
                </w:p>
              </w:tc>
              <w:tc>
                <w:tcPr>
                  <w:tcW w:w="82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0" w:hRule="atLeast"/>
                <w:jc w:val="center"/>
              </w:trPr>
              <w:tc>
                <w:tcPr>
                  <w:tcW w:w="823"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823" w:type="dxa"/>
                  <w:vMerge w:val="continue"/>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Style w:val="61"/>
                      <w:rFonts w:eastAsia="宋体"/>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0.001</w:t>
                  </w:r>
                  <w:r>
                    <w:rPr>
                      <w:rFonts w:hint="eastAsia" w:cs="Times New Roman"/>
                      <w:i w:val="0"/>
                      <w:iCs w:val="0"/>
                      <w:color w:val="000000"/>
                      <w:kern w:val="0"/>
                      <w:sz w:val="21"/>
                      <w:szCs w:val="21"/>
                      <w:u w:val="none"/>
                      <w:lang w:val="en-US" w:eastAsia="zh-CN" w:bidi="ar"/>
                    </w:rPr>
                    <w:t>1</w:t>
                  </w:r>
                </w:p>
              </w:tc>
              <w:tc>
                <w:tcPr>
                  <w:tcW w:w="824"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80%</w:t>
                  </w:r>
                </w:p>
              </w:tc>
              <w:tc>
                <w:tcPr>
                  <w:tcW w:w="100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6</w:t>
                  </w:r>
                </w:p>
              </w:tc>
              <w:tc>
                <w:tcPr>
                  <w:tcW w:w="82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0.0002</w:t>
                  </w:r>
                </w:p>
              </w:tc>
              <w:tc>
                <w:tcPr>
                  <w:tcW w:w="82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r>
          </w:tbl>
          <w:p>
            <w:pPr>
              <w:pStyle w:val="30"/>
              <w:numPr>
                <w:ilvl w:val="0"/>
                <w:numId w:val="0"/>
              </w:numPr>
              <w:spacing w:line="240" w:lineRule="auto"/>
              <w:ind w:leftChars="200"/>
              <w:jc w:val="both"/>
              <w:rPr>
                <w:rFonts w:hint="eastAsia" w:ascii="Times New Roman"/>
                <w:bCs/>
                <w:color w:val="auto"/>
                <w:sz w:val="21"/>
                <w:szCs w:val="21"/>
              </w:rPr>
            </w:pPr>
          </w:p>
          <w:p>
            <w:pPr>
              <w:widowControl/>
              <w:spacing w:line="360" w:lineRule="auto"/>
              <w:jc w:val="left"/>
              <w:rPr>
                <w:rFonts w:hint="eastAsia" w:eastAsia="新宋体"/>
                <w:color w:val="auto"/>
                <w:sz w:val="24"/>
                <w:lang w:eastAsia="zh-CN"/>
              </w:rPr>
            </w:pPr>
            <w:r>
              <w:rPr>
                <w:rFonts w:hint="eastAsia" w:eastAsia="新宋体"/>
                <w:b/>
                <w:bCs/>
                <w:color w:val="auto"/>
                <w:sz w:val="24"/>
              </w:rPr>
              <w:t>2.2</w:t>
            </w:r>
            <w:r>
              <w:rPr>
                <w:rFonts w:hint="eastAsia" w:eastAsia="新宋体"/>
                <w:b/>
                <w:bCs/>
                <w:color w:val="auto"/>
                <w:sz w:val="24"/>
                <w:lang w:eastAsia="zh-CN"/>
              </w:rPr>
              <w:t>废水处理可行性分析</w:t>
            </w:r>
          </w:p>
          <w:p>
            <w:pPr>
              <w:pStyle w:val="30"/>
              <w:numPr>
                <w:ilvl w:val="0"/>
                <w:numId w:val="0"/>
              </w:numPr>
              <w:spacing w:line="360" w:lineRule="auto"/>
              <w:ind w:firstLine="480" w:firstLineChars="200"/>
              <w:jc w:val="left"/>
              <w:rPr>
                <w:rFonts w:hint="default" w:ascii="Times New Roman" w:hAnsi="Times New Roman" w:eastAsia="宋体" w:cs="Times New Roman"/>
                <w:i w:val="0"/>
                <w:iCs w:val="0"/>
                <w:caps w:val="0"/>
                <w:spacing w:val="0"/>
                <w:sz w:val="24"/>
                <w:szCs w:val="24"/>
                <w:shd w:val="clear" w:fill="FFFFFF"/>
                <w:lang w:val="en-US" w:eastAsia="zh-CN"/>
              </w:rPr>
            </w:pPr>
            <w:r>
              <w:rPr>
                <w:rFonts w:hint="default" w:ascii="Times New Roman" w:hAnsi="Times New Roman" w:eastAsia="Segoe UI" w:cs="Times New Roman"/>
                <w:i w:val="0"/>
                <w:iCs w:val="0"/>
                <w:caps w:val="0"/>
                <w:spacing w:val="0"/>
                <w:sz w:val="24"/>
                <w:szCs w:val="24"/>
                <w:shd w:val="clear" w:fill="FFFFFF"/>
              </w:rPr>
              <w:t>项目采用</w:t>
            </w:r>
            <w:r>
              <w:rPr>
                <w:rFonts w:hint="eastAsia" w:ascii="Times New Roman" w:hAnsi="Times New Roman" w:eastAsia="宋体" w:cs="Times New Roman"/>
                <w:i w:val="0"/>
                <w:iCs w:val="0"/>
                <w:caps w:val="0"/>
                <w:spacing w:val="0"/>
                <w:sz w:val="24"/>
                <w:szCs w:val="24"/>
                <w:shd w:val="clear" w:fill="FFFFFF"/>
                <w:lang w:eastAsia="zh-CN"/>
              </w:rPr>
              <w:t>“</w:t>
            </w:r>
            <w:r>
              <w:rPr>
                <w:rFonts w:hint="default" w:ascii="Times New Roman" w:hAnsi="Times New Roman" w:eastAsia="Segoe UI" w:cs="Times New Roman"/>
                <w:i w:val="0"/>
                <w:iCs w:val="0"/>
                <w:caps w:val="0"/>
                <w:spacing w:val="0"/>
                <w:sz w:val="24"/>
                <w:szCs w:val="24"/>
                <w:shd w:val="clear" w:fill="FFFFFF"/>
              </w:rPr>
              <w:t>化粪池+生物接触氧化+二沉池+石英砂过滤+次氯酸钠消毒</w:t>
            </w:r>
            <w:r>
              <w:rPr>
                <w:rFonts w:hint="eastAsia" w:ascii="Times New Roman" w:hAnsi="Times New Roman" w:eastAsia="宋体" w:cs="Times New Roman"/>
                <w:i w:val="0"/>
                <w:iCs w:val="0"/>
                <w:caps w:val="0"/>
                <w:spacing w:val="0"/>
                <w:sz w:val="24"/>
                <w:szCs w:val="24"/>
                <w:shd w:val="clear" w:fill="FFFFFF"/>
                <w:lang w:eastAsia="zh-CN"/>
              </w:rPr>
              <w:t>”</w:t>
            </w:r>
            <w:r>
              <w:rPr>
                <w:rFonts w:hint="default" w:ascii="Times New Roman" w:hAnsi="Times New Roman" w:eastAsia="Segoe UI" w:cs="Times New Roman"/>
                <w:i w:val="0"/>
                <w:iCs w:val="0"/>
                <w:caps w:val="0"/>
                <w:spacing w:val="0"/>
                <w:sz w:val="24"/>
                <w:szCs w:val="24"/>
                <w:shd w:val="clear" w:fill="FFFFFF"/>
              </w:rPr>
              <w:t>组合工艺，针对0.24 t/d小水量设计，通过间歇运行模式（调节池蓄积</w:t>
            </w:r>
            <w:r>
              <w:rPr>
                <w:rFonts w:hint="eastAsia" w:ascii="Times New Roman" w:hAnsi="Times New Roman" w:eastAsia="宋体" w:cs="Times New Roman"/>
                <w:i w:val="0"/>
                <w:iCs w:val="0"/>
                <w:caps w:val="0"/>
                <w:spacing w:val="0"/>
                <w:sz w:val="24"/>
                <w:szCs w:val="24"/>
                <w:shd w:val="clear" w:fill="FFFFFF"/>
                <w:lang w:val="en-US" w:eastAsia="zh-CN"/>
              </w:rPr>
              <w:t>1~2</w:t>
            </w:r>
            <w:r>
              <w:rPr>
                <w:rFonts w:hint="default" w:ascii="Times New Roman" w:hAnsi="Times New Roman" w:eastAsia="Segoe UI" w:cs="Times New Roman"/>
                <w:i w:val="0"/>
                <w:iCs w:val="0"/>
                <w:caps w:val="0"/>
                <w:spacing w:val="0"/>
                <w:sz w:val="24"/>
                <w:szCs w:val="24"/>
                <w:shd w:val="clear" w:fill="FFFFFF"/>
              </w:rPr>
              <w:t>天水量后批次处理）确保处理效果</w:t>
            </w:r>
            <w:r>
              <w:rPr>
                <w:rFonts w:hint="default" w:ascii="Times New Roman" w:hAnsi="Times New Roman" w:eastAsia="宋体" w:cs="Times New Roman"/>
                <w:i w:val="0"/>
                <w:iCs w:val="0"/>
                <w:caps w:val="0"/>
                <w:spacing w:val="0"/>
                <w:sz w:val="24"/>
                <w:szCs w:val="24"/>
                <w:shd w:val="clear" w:fill="FFFFFF"/>
                <w:lang w:eastAsia="zh-CN"/>
              </w:rPr>
              <w:t>。</w:t>
            </w:r>
            <w:r>
              <w:rPr>
                <w:rFonts w:hint="eastAsia" w:ascii="Times New Roman" w:hAnsi="Times New Roman" w:eastAsia="宋体" w:cs="Times New Roman"/>
                <w:i w:val="0"/>
                <w:iCs w:val="0"/>
                <w:caps w:val="0"/>
                <w:spacing w:val="0"/>
                <w:sz w:val="24"/>
                <w:szCs w:val="24"/>
                <w:shd w:val="clear" w:fill="FFFFFF"/>
                <w:lang w:eastAsia="zh-CN"/>
              </w:rPr>
              <w:t>一体化污水处理设施处理能力为</w:t>
            </w:r>
            <w:r>
              <w:rPr>
                <w:rFonts w:hint="eastAsia" w:ascii="Times New Roman" w:hAnsi="Times New Roman" w:eastAsia="宋体" w:cs="Times New Roman"/>
                <w:i w:val="0"/>
                <w:iCs w:val="0"/>
                <w:caps w:val="0"/>
                <w:spacing w:val="0"/>
                <w:sz w:val="24"/>
                <w:szCs w:val="24"/>
                <w:shd w:val="clear" w:fill="FFFFFF"/>
                <w:lang w:val="en-US" w:eastAsia="zh-CN"/>
              </w:rPr>
              <w:t>1t/d。</w:t>
            </w:r>
          </w:p>
          <w:p>
            <w:pPr>
              <w:pStyle w:val="30"/>
              <w:numPr>
                <w:ilvl w:val="0"/>
                <w:numId w:val="0"/>
              </w:numPr>
              <w:spacing w:line="240" w:lineRule="auto"/>
              <w:jc w:val="center"/>
              <w:rPr>
                <w:rFonts w:hint="eastAsia" w:ascii="Segoe UI" w:hAnsi="Segoe UI" w:eastAsia="宋体" w:cs="Segoe UI"/>
                <w:i w:val="0"/>
                <w:iCs w:val="0"/>
                <w:caps w:val="0"/>
                <w:spacing w:val="0"/>
                <w:sz w:val="24"/>
                <w:szCs w:val="24"/>
                <w:shd w:val="clear" w:fill="FFFFFF"/>
                <w:lang w:eastAsia="zh-CN"/>
              </w:rPr>
            </w:pPr>
            <w:r>
              <w:rPr>
                <w:rFonts w:hint="eastAsia" w:ascii="Times New Roman"/>
                <w:b/>
                <w:bCs w:val="0"/>
                <w:color w:val="auto"/>
                <w:sz w:val="21"/>
                <w:szCs w:val="21"/>
              </w:rPr>
              <w:t>表4-</w:t>
            </w:r>
            <w:r>
              <w:rPr>
                <w:rFonts w:hint="eastAsia" w:ascii="Times New Roman"/>
                <w:b/>
                <w:bCs w:val="0"/>
                <w:color w:val="auto"/>
                <w:sz w:val="21"/>
                <w:szCs w:val="21"/>
                <w:lang w:val="en-US" w:eastAsia="zh-CN"/>
              </w:rPr>
              <w:t>6 废水处理单元去除效率一览表</w:t>
            </w:r>
          </w:p>
          <w:tbl>
            <w:tblPr>
              <w:tblStyle w:val="28"/>
              <w:tblW w:w="8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265"/>
              <w:gridCol w:w="675"/>
              <w:gridCol w:w="810"/>
              <w:gridCol w:w="708"/>
              <w:gridCol w:w="70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处理单元</w:t>
                  </w:r>
                </w:p>
              </w:tc>
              <w:tc>
                <w:tcPr>
                  <w:tcW w:w="2265"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参数</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COD</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BOD</w:t>
                  </w:r>
                  <w:r>
                    <w:rPr>
                      <w:rFonts w:hint="eastAsia"/>
                      <w:sz w:val="21"/>
                      <w:szCs w:val="21"/>
                      <w:vertAlign w:val="subscript"/>
                      <w:lang w:val="en-US" w:eastAsia="zh-CN"/>
                    </w:rPr>
                    <w:t>5</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SS</w:t>
                  </w:r>
                </w:p>
              </w:tc>
              <w:tc>
                <w:tcPr>
                  <w:tcW w:w="70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氨氮</w:t>
                  </w:r>
                </w:p>
              </w:tc>
              <w:tc>
                <w:tcPr>
                  <w:tcW w:w="178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化粪池</w:t>
                  </w:r>
                </w:p>
              </w:tc>
              <w:tc>
                <w:tcPr>
                  <w:tcW w:w="2265" w:type="dxa"/>
                  <w:vAlign w:val="center"/>
                </w:tcPr>
                <w:p>
                  <w:pPr>
                    <w:pStyle w:val="29"/>
                    <w:spacing w:line="240" w:lineRule="auto"/>
                    <w:jc w:val="center"/>
                    <w:rPr>
                      <w:rFonts w:hint="eastAsia"/>
                      <w:sz w:val="21"/>
                      <w:szCs w:val="21"/>
                      <w:vertAlign w:val="baseline"/>
                      <w:lang w:eastAsia="zh-CN"/>
                    </w:rPr>
                  </w:pPr>
                  <w:r>
                    <w:rPr>
                      <w:rFonts w:hint="eastAsia"/>
                      <w:sz w:val="21"/>
                      <w:szCs w:val="21"/>
                      <w:vertAlign w:val="baseline"/>
                      <w:lang w:eastAsia="zh-CN"/>
                    </w:rPr>
                    <w:t>1m³，HRT 4d</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50%</w:t>
                  </w:r>
                </w:p>
              </w:tc>
              <w:tc>
                <w:tcPr>
                  <w:tcW w:w="70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78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厌氧消化、均化水质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接触氧化池</w:t>
                  </w:r>
                </w:p>
              </w:tc>
              <w:tc>
                <w:tcPr>
                  <w:tcW w:w="2265"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填料0.4m³，间歇曝气</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75%</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90%</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w:t>
                  </w:r>
                </w:p>
              </w:tc>
              <w:tc>
                <w:tcPr>
                  <w:tcW w:w="70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80%</w:t>
                  </w:r>
                </w:p>
              </w:tc>
              <w:tc>
                <w:tcPr>
                  <w:tcW w:w="178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ascii="Segoe UI" w:hAnsi="Segoe UI" w:eastAsia="Segoe UI" w:cs="Segoe UI"/>
                      <w:i w:val="0"/>
                      <w:iCs w:val="0"/>
                      <w:caps w:val="0"/>
                      <w:spacing w:val="8"/>
                      <w:sz w:val="21"/>
                      <w:szCs w:val="21"/>
                      <w:shd w:val="clear" w:fill="FFFFFF"/>
                    </w:rPr>
                    <w:t>有机物降解、硝化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二沉池</w:t>
                  </w:r>
                </w:p>
              </w:tc>
              <w:tc>
                <w:tcPr>
                  <w:tcW w:w="2265"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HRT 2h</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15%</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60%</w:t>
                  </w:r>
                </w:p>
              </w:tc>
              <w:tc>
                <w:tcPr>
                  <w:tcW w:w="70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78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泥水分离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石英砂过滤</w:t>
                  </w:r>
                </w:p>
              </w:tc>
              <w:tc>
                <w:tcPr>
                  <w:tcW w:w="2265"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滤速5m/h</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15%</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15%</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70%</w:t>
                  </w:r>
                </w:p>
              </w:tc>
              <w:tc>
                <w:tcPr>
                  <w:tcW w:w="70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178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ascii="Segoe UI" w:hAnsi="Segoe UI" w:eastAsia="Segoe UI" w:cs="Segoe UI"/>
                      <w:i w:val="0"/>
                      <w:iCs w:val="0"/>
                      <w:caps w:val="0"/>
                      <w:spacing w:val="8"/>
                      <w:sz w:val="21"/>
                      <w:szCs w:val="21"/>
                      <w:shd w:val="clear" w:fill="FFFFFF"/>
                    </w:rPr>
                    <w:t>深度除浊，确保SS达标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总去除效率取值</w:t>
                  </w:r>
                </w:p>
              </w:tc>
              <w:tc>
                <w:tcPr>
                  <w:tcW w:w="226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88%</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95%</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96%</w:t>
                  </w:r>
                </w:p>
              </w:tc>
              <w:tc>
                <w:tcPr>
                  <w:tcW w:w="70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80%</w:t>
                  </w:r>
                </w:p>
              </w:tc>
              <w:tc>
                <w:tcPr>
                  <w:tcW w:w="178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出水浓度</w:t>
                  </w:r>
                </w:p>
              </w:tc>
              <w:tc>
                <w:tcPr>
                  <w:tcW w:w="226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w:t>
                  </w:r>
                </w:p>
              </w:tc>
              <w:tc>
                <w:tcPr>
                  <w:tcW w:w="675"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42</w:t>
                  </w:r>
                </w:p>
              </w:tc>
              <w:tc>
                <w:tcPr>
                  <w:tcW w:w="810"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9</w:t>
                  </w:r>
                </w:p>
              </w:tc>
              <w:tc>
                <w:tcPr>
                  <w:tcW w:w="708"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8</w:t>
                  </w:r>
                </w:p>
              </w:tc>
              <w:tc>
                <w:tcPr>
                  <w:tcW w:w="702" w:type="dxa"/>
                  <w:vAlign w:val="center"/>
                </w:tcPr>
                <w:p>
                  <w:pPr>
                    <w:pStyle w:val="29"/>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w:t>
                  </w:r>
                </w:p>
              </w:tc>
              <w:tc>
                <w:tcPr>
                  <w:tcW w:w="1782" w:type="dxa"/>
                  <w:vAlign w:val="center"/>
                </w:tcPr>
                <w:p>
                  <w:pPr>
                    <w:pStyle w:val="29"/>
                    <w:spacing w:line="240" w:lineRule="auto"/>
                    <w:ind w:left="0" w:leftChars="0" w:firstLine="0" w:firstLineChars="0"/>
                    <w:jc w:val="center"/>
                    <w:rPr>
                      <w:rFonts w:hint="eastAsia"/>
                      <w:sz w:val="21"/>
                      <w:szCs w:val="21"/>
                      <w:vertAlign w:val="baseline"/>
                      <w:lang w:eastAsia="zh-CN"/>
                    </w:rPr>
                  </w:pPr>
                  <w:r>
                    <w:rPr>
                      <w:rFonts w:hint="default" w:ascii="Times New Roman" w:hAnsi="Times New Roman" w:eastAsia="宋体" w:cs="Times New Roman"/>
                      <w:i w:val="0"/>
                      <w:iCs w:val="0"/>
                      <w:color w:val="000000"/>
                      <w:kern w:val="0"/>
                      <w:sz w:val="21"/>
                      <w:szCs w:val="21"/>
                      <w:u w:val="none"/>
                      <w:lang w:val="en-US" w:eastAsia="zh-CN" w:bidi="ar"/>
                    </w:rPr>
                    <w:t>mg/L</w:t>
                  </w:r>
                </w:p>
              </w:tc>
            </w:tr>
          </w:tbl>
          <w:p>
            <w:pPr>
              <w:spacing w:line="360" w:lineRule="auto"/>
              <w:ind w:firstLine="480" w:firstLineChars="200"/>
              <w:rPr>
                <w:rStyle w:val="24"/>
                <w:rFonts w:hint="eastAsia" w:ascii="Times New Roman" w:hAnsi="Times New Roman" w:eastAsia="宋体" w:cs="Times New Roman"/>
                <w:b w:val="0"/>
                <w:bCs w:val="0"/>
                <w:i w:val="0"/>
                <w:iCs w:val="0"/>
                <w:caps w:val="0"/>
                <w:spacing w:val="0"/>
                <w:sz w:val="24"/>
                <w:szCs w:val="24"/>
                <w:shd w:val="clear" w:fill="FFFFFF"/>
                <w:vertAlign w:val="baseline"/>
                <w:lang w:val="en-US" w:eastAsia="zh-CN"/>
              </w:rPr>
            </w:pPr>
            <w:r>
              <w:rPr>
                <w:rStyle w:val="24"/>
                <w:rFonts w:hint="eastAsia" w:ascii="Times New Roman" w:hAnsi="Times New Roman" w:eastAsia="宋体" w:cs="Times New Roman"/>
                <w:b w:val="0"/>
                <w:bCs w:val="0"/>
                <w:i w:val="0"/>
                <w:iCs w:val="0"/>
                <w:caps w:val="0"/>
                <w:spacing w:val="0"/>
                <w:sz w:val="24"/>
                <w:szCs w:val="24"/>
                <w:shd w:val="clear" w:fill="FFFFFF"/>
                <w:vertAlign w:val="baseline"/>
                <w:lang w:val="en-US" w:eastAsia="zh-CN"/>
              </w:rPr>
              <w:t>经上述工艺处理，出水水质</w:t>
            </w:r>
            <w:r>
              <w:rPr>
                <w:rStyle w:val="24"/>
                <w:rFonts w:hint="eastAsia" w:cs="Times New Roman"/>
                <w:b w:val="0"/>
                <w:bCs w:val="0"/>
                <w:i w:val="0"/>
                <w:iCs w:val="0"/>
                <w:caps w:val="0"/>
                <w:spacing w:val="0"/>
                <w:sz w:val="24"/>
                <w:szCs w:val="24"/>
                <w:shd w:val="clear" w:fill="FFFFFF"/>
                <w:vertAlign w:val="baseline"/>
                <w:lang w:val="en-US" w:eastAsia="zh-CN"/>
              </w:rPr>
              <w:t>满足</w:t>
            </w:r>
            <w:r>
              <w:rPr>
                <w:rStyle w:val="24"/>
                <w:rFonts w:hint="eastAsia" w:ascii="Times New Roman" w:hAnsi="Times New Roman" w:eastAsia="宋体" w:cs="Times New Roman"/>
                <w:b w:val="0"/>
                <w:bCs w:val="0"/>
                <w:i w:val="0"/>
                <w:iCs w:val="0"/>
                <w:caps w:val="0"/>
                <w:spacing w:val="0"/>
                <w:sz w:val="24"/>
                <w:szCs w:val="24"/>
                <w:shd w:val="clear" w:fill="FFFFFF"/>
                <w:vertAlign w:val="baseline"/>
                <w:lang w:val="en-US" w:eastAsia="zh-CN"/>
              </w:rPr>
              <w:t>《城市污水再生利用 城市杂用水水质》（GB/T 18920-2020）道路清扫类标准。</w:t>
            </w:r>
          </w:p>
          <w:p>
            <w:pPr>
              <w:widowControl/>
              <w:spacing w:before="120" w:beforeLines="50" w:line="360" w:lineRule="auto"/>
              <w:ind w:firstLine="482" w:firstLineChars="200"/>
              <w:rPr>
                <w:b/>
                <w:bCs/>
                <w:color w:val="auto"/>
                <w:sz w:val="24"/>
                <w:highlight w:val="none"/>
              </w:rPr>
            </w:pPr>
            <w:r>
              <w:rPr>
                <w:rFonts w:hint="eastAsia"/>
                <w:b/>
                <w:bCs/>
                <w:color w:val="auto"/>
                <w:sz w:val="24"/>
                <w:highlight w:val="none"/>
              </w:rPr>
              <w:t>2.3废水监测计划</w:t>
            </w:r>
          </w:p>
          <w:p>
            <w:pPr>
              <w:adjustRightInd w:val="0"/>
              <w:snapToGrid w:val="0"/>
              <w:spacing w:line="360" w:lineRule="auto"/>
              <w:ind w:firstLine="440" w:firstLineChars="200"/>
              <w:rPr>
                <w:rFonts w:ascii="Times New Roman" w:hAnsi="Times New Roman" w:eastAsia="宋体" w:cs="Times New Roman"/>
                <w:sz w:val="24"/>
                <w:szCs w:val="24"/>
              </w:rPr>
            </w:pPr>
            <w:r>
              <w:rPr>
                <w:rFonts w:ascii="Times New Roman" w:hAnsi="Times New Roman" w:eastAsia="宋体" w:cs="Times New Roman"/>
                <w:color w:val="000000"/>
                <w:spacing w:val="-10"/>
                <w:sz w:val="24"/>
                <w:szCs w:val="24"/>
              </w:rPr>
              <w:t>本项目无废水外排，因此不设置废水自行监测计划。</w:t>
            </w:r>
          </w:p>
          <w:p>
            <w:pPr>
              <w:spacing w:line="360" w:lineRule="auto"/>
              <w:ind w:firstLine="482" w:firstLineChars="200"/>
              <w:rPr>
                <w:rFonts w:hint="eastAsia"/>
                <w:b/>
                <w:bCs/>
                <w:color w:val="auto"/>
                <w:sz w:val="24"/>
              </w:rPr>
            </w:pPr>
          </w:p>
          <w:p>
            <w:pPr>
              <w:spacing w:line="360" w:lineRule="auto"/>
              <w:ind w:firstLine="482" w:firstLineChars="200"/>
              <w:rPr>
                <w:b/>
                <w:bCs/>
                <w:color w:val="auto"/>
                <w:sz w:val="24"/>
              </w:rPr>
            </w:pPr>
            <w:r>
              <w:rPr>
                <w:rFonts w:hint="eastAsia"/>
                <w:b/>
                <w:bCs/>
                <w:color w:val="auto"/>
                <w:sz w:val="24"/>
              </w:rPr>
              <w:t>3</w:t>
            </w:r>
            <w:r>
              <w:rPr>
                <w:b/>
                <w:bCs/>
                <w:color w:val="auto"/>
                <w:sz w:val="24"/>
              </w:rPr>
              <w:t>运营期声环境影响和保护措施</w:t>
            </w:r>
          </w:p>
          <w:p>
            <w:pPr>
              <w:spacing w:line="360" w:lineRule="auto"/>
              <w:ind w:firstLine="482" w:firstLineChars="200"/>
              <w:rPr>
                <w:rFonts w:hint="eastAsia"/>
                <w:b/>
                <w:bCs/>
                <w:color w:val="auto"/>
                <w:sz w:val="24"/>
              </w:rPr>
            </w:pPr>
            <w:r>
              <w:rPr>
                <w:rFonts w:hint="eastAsia"/>
                <w:b/>
                <w:bCs/>
                <w:color w:val="auto"/>
                <w:sz w:val="24"/>
              </w:rPr>
              <w:t>3.1噪声污染源强</w:t>
            </w:r>
          </w:p>
          <w:p>
            <w:pPr>
              <w:spacing w:line="360" w:lineRule="auto"/>
              <w:ind w:firstLine="480" w:firstLineChars="200"/>
              <w:rPr>
                <w:rFonts w:hint="eastAsia"/>
                <w:color w:val="auto"/>
                <w:sz w:val="24"/>
              </w:rPr>
            </w:pPr>
            <w:r>
              <w:rPr>
                <w:rFonts w:hint="eastAsia"/>
                <w:color w:val="auto"/>
                <w:sz w:val="24"/>
              </w:rPr>
              <w:t>项目运营期噪声源主要为生产车间内各种机械设备的噪声，各类设备运行噪声污染源强如下。</w:t>
            </w:r>
          </w:p>
          <w:p>
            <w:pPr>
              <w:snapToGrid w:val="0"/>
              <w:jc w:val="center"/>
              <w:rPr>
                <w:b/>
                <w:bCs/>
                <w:color w:val="auto"/>
                <w:szCs w:val="21"/>
              </w:rPr>
            </w:pPr>
          </w:p>
          <w:p>
            <w:pPr>
              <w:snapToGrid w:val="0"/>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7</w:t>
            </w:r>
            <w:r>
              <w:rPr>
                <w:b/>
                <w:bCs/>
                <w:color w:val="auto"/>
                <w:szCs w:val="21"/>
              </w:rPr>
              <w:t xml:space="preserve">  主要噪声源强及治理措施一览表</w:t>
            </w:r>
            <w:r>
              <w:rPr>
                <w:rFonts w:hint="eastAsia"/>
                <w:b/>
                <w:bCs/>
                <w:color w:val="auto"/>
                <w:szCs w:val="21"/>
              </w:rPr>
              <w:t>（室内）</w:t>
            </w:r>
          </w:p>
          <w:tbl>
            <w:tblPr>
              <w:tblStyle w:val="27"/>
              <w:tblW w:w="8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55"/>
              <w:gridCol w:w="522"/>
              <w:gridCol w:w="636"/>
              <w:gridCol w:w="532"/>
              <w:gridCol w:w="497"/>
              <w:gridCol w:w="351"/>
              <w:gridCol w:w="749"/>
              <w:gridCol w:w="820"/>
              <w:gridCol w:w="693"/>
              <w:gridCol w:w="795"/>
              <w:gridCol w:w="840"/>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719" w:type="dxa"/>
                  <w:vMerge w:val="restart"/>
                  <w:vAlign w:val="center"/>
                </w:tcPr>
                <w:p>
                  <w:pPr>
                    <w:jc w:val="center"/>
                    <w:rPr>
                      <w:b/>
                      <w:bCs/>
                      <w:color w:val="auto"/>
                      <w:szCs w:val="21"/>
                    </w:rPr>
                  </w:pPr>
                  <w:r>
                    <w:rPr>
                      <w:rFonts w:hint="eastAsia"/>
                      <w:b/>
                      <w:bCs/>
                      <w:color w:val="auto"/>
                      <w:szCs w:val="21"/>
                    </w:rPr>
                    <w:t>声源名称</w:t>
                  </w:r>
                </w:p>
              </w:tc>
              <w:tc>
                <w:tcPr>
                  <w:tcW w:w="855" w:type="dxa"/>
                  <w:vMerge w:val="restart"/>
                  <w:vAlign w:val="center"/>
                </w:tcPr>
                <w:p>
                  <w:pPr>
                    <w:jc w:val="center"/>
                    <w:rPr>
                      <w:b/>
                      <w:bCs/>
                      <w:color w:val="auto"/>
                      <w:szCs w:val="21"/>
                    </w:rPr>
                  </w:pPr>
                  <w:r>
                    <w:rPr>
                      <w:rFonts w:hint="eastAsia"/>
                      <w:b/>
                      <w:bCs/>
                      <w:color w:val="auto"/>
                      <w:szCs w:val="21"/>
                    </w:rPr>
                    <w:t>声功率级/dB(A)</w:t>
                  </w:r>
                </w:p>
              </w:tc>
              <w:tc>
                <w:tcPr>
                  <w:tcW w:w="522" w:type="dxa"/>
                  <w:vMerge w:val="restart"/>
                  <w:vAlign w:val="center"/>
                </w:tcPr>
                <w:p>
                  <w:pPr>
                    <w:jc w:val="center"/>
                    <w:rPr>
                      <w:rFonts w:hint="eastAsia"/>
                      <w:b/>
                      <w:bCs/>
                      <w:color w:val="auto"/>
                      <w:szCs w:val="21"/>
                    </w:rPr>
                  </w:pPr>
                  <w:r>
                    <w:rPr>
                      <w:rFonts w:hint="eastAsia"/>
                      <w:b/>
                      <w:bCs/>
                      <w:color w:val="auto"/>
                      <w:szCs w:val="21"/>
                    </w:rPr>
                    <w:t>数量（台）</w:t>
                  </w:r>
                </w:p>
              </w:tc>
              <w:tc>
                <w:tcPr>
                  <w:tcW w:w="636" w:type="dxa"/>
                  <w:vMerge w:val="restart"/>
                  <w:vAlign w:val="center"/>
                </w:tcPr>
                <w:p>
                  <w:pPr>
                    <w:jc w:val="center"/>
                    <w:rPr>
                      <w:b/>
                      <w:bCs/>
                      <w:color w:val="auto"/>
                      <w:szCs w:val="21"/>
                    </w:rPr>
                  </w:pPr>
                  <w:r>
                    <w:rPr>
                      <w:rFonts w:hint="eastAsia"/>
                      <w:b/>
                      <w:bCs/>
                      <w:color w:val="auto"/>
                      <w:szCs w:val="21"/>
                    </w:rPr>
                    <w:t>声源控制措施</w:t>
                  </w:r>
                </w:p>
              </w:tc>
              <w:tc>
                <w:tcPr>
                  <w:tcW w:w="1380" w:type="dxa"/>
                  <w:gridSpan w:val="3"/>
                  <w:vAlign w:val="center"/>
                </w:tcPr>
                <w:p>
                  <w:pPr>
                    <w:jc w:val="center"/>
                    <w:rPr>
                      <w:rFonts w:hint="eastAsia"/>
                      <w:b/>
                      <w:bCs/>
                      <w:color w:val="auto"/>
                      <w:szCs w:val="21"/>
                    </w:rPr>
                  </w:pPr>
                  <w:r>
                    <w:rPr>
                      <w:rFonts w:hint="eastAsia"/>
                      <w:b/>
                      <w:bCs/>
                      <w:color w:val="auto"/>
                      <w:szCs w:val="21"/>
                    </w:rPr>
                    <w:t>空间相对位置/m</w:t>
                  </w:r>
                </w:p>
              </w:tc>
              <w:tc>
                <w:tcPr>
                  <w:tcW w:w="749" w:type="dxa"/>
                  <w:vMerge w:val="restart"/>
                  <w:vAlign w:val="center"/>
                </w:tcPr>
                <w:p>
                  <w:pPr>
                    <w:jc w:val="center"/>
                    <w:rPr>
                      <w:b/>
                      <w:bCs/>
                      <w:color w:val="auto"/>
                      <w:szCs w:val="21"/>
                    </w:rPr>
                  </w:pPr>
                  <w:r>
                    <w:rPr>
                      <w:rFonts w:hint="eastAsia"/>
                      <w:b/>
                      <w:bCs/>
                      <w:color w:val="auto"/>
                      <w:szCs w:val="21"/>
                    </w:rPr>
                    <w:t>距室内边界</w:t>
                  </w:r>
                  <w:r>
                    <w:rPr>
                      <w:rFonts w:hint="eastAsia"/>
                      <w:b/>
                      <w:bCs/>
                      <w:color w:val="auto"/>
                      <w:szCs w:val="21"/>
                      <w:lang w:eastAsia="zh-CN"/>
                    </w:rPr>
                    <w:t>最近</w:t>
                  </w:r>
                  <w:r>
                    <w:rPr>
                      <w:rFonts w:hint="eastAsia"/>
                      <w:b/>
                      <w:bCs/>
                      <w:color w:val="auto"/>
                      <w:szCs w:val="21"/>
                    </w:rPr>
                    <w:t>距离/m</w:t>
                  </w:r>
                </w:p>
              </w:tc>
              <w:tc>
                <w:tcPr>
                  <w:tcW w:w="820" w:type="dxa"/>
                  <w:vMerge w:val="restart"/>
                  <w:vAlign w:val="center"/>
                </w:tcPr>
                <w:p>
                  <w:pPr>
                    <w:jc w:val="center"/>
                    <w:rPr>
                      <w:rFonts w:hint="eastAsia"/>
                      <w:color w:val="auto"/>
                      <w:szCs w:val="21"/>
                    </w:rPr>
                  </w:pPr>
                  <w:r>
                    <w:rPr>
                      <w:rFonts w:hint="eastAsia"/>
                      <w:b/>
                      <w:bCs/>
                      <w:color w:val="auto"/>
                      <w:szCs w:val="21"/>
                    </w:rPr>
                    <w:t>室内边界声级/</w:t>
                  </w:r>
                  <w:r>
                    <w:rPr>
                      <w:b/>
                      <w:bCs/>
                      <w:color w:val="auto"/>
                      <w:szCs w:val="21"/>
                    </w:rPr>
                    <w:t>dB(A)</w:t>
                  </w:r>
                </w:p>
              </w:tc>
              <w:tc>
                <w:tcPr>
                  <w:tcW w:w="693" w:type="dxa"/>
                  <w:vMerge w:val="restart"/>
                  <w:vAlign w:val="center"/>
                </w:tcPr>
                <w:p>
                  <w:pPr>
                    <w:jc w:val="center"/>
                    <w:rPr>
                      <w:rFonts w:hint="eastAsia"/>
                      <w:b/>
                      <w:bCs/>
                      <w:color w:val="auto"/>
                    </w:rPr>
                  </w:pPr>
                  <w:r>
                    <w:rPr>
                      <w:rFonts w:hint="eastAsia"/>
                      <w:b/>
                      <w:bCs/>
                      <w:color w:val="auto"/>
                    </w:rPr>
                    <w:t>运行时段（h/d）</w:t>
                  </w:r>
                </w:p>
              </w:tc>
              <w:tc>
                <w:tcPr>
                  <w:tcW w:w="795" w:type="dxa"/>
                  <w:vMerge w:val="restart"/>
                  <w:vAlign w:val="center"/>
                </w:tcPr>
                <w:p>
                  <w:pPr>
                    <w:jc w:val="center"/>
                    <w:rPr>
                      <w:b/>
                      <w:bCs/>
                      <w:color w:val="auto"/>
                    </w:rPr>
                  </w:pPr>
                  <w:r>
                    <w:rPr>
                      <w:rFonts w:hint="eastAsia"/>
                      <w:b/>
                      <w:bCs/>
                      <w:color w:val="auto"/>
                    </w:rPr>
                    <w:t>建筑物插入损失/dB(A)</w:t>
                  </w:r>
                </w:p>
              </w:tc>
              <w:tc>
                <w:tcPr>
                  <w:tcW w:w="1513" w:type="dxa"/>
                  <w:gridSpan w:val="2"/>
                  <w:vAlign w:val="center"/>
                </w:tcPr>
                <w:p>
                  <w:pPr>
                    <w:jc w:val="center"/>
                    <w:rPr>
                      <w:color w:val="auto"/>
                      <w:szCs w:val="21"/>
                    </w:rPr>
                  </w:pPr>
                  <w:r>
                    <w:rPr>
                      <w:rFonts w:hint="eastAsia"/>
                      <w:b/>
                      <w:bCs/>
                      <w:color w:val="auto"/>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8" w:hRule="atLeast"/>
              </w:trPr>
              <w:tc>
                <w:tcPr>
                  <w:tcW w:w="719" w:type="dxa"/>
                  <w:vMerge w:val="continue"/>
                  <w:vAlign w:val="center"/>
                </w:tcPr>
                <w:p>
                  <w:pPr>
                    <w:jc w:val="center"/>
                    <w:rPr>
                      <w:color w:val="auto"/>
                    </w:rPr>
                  </w:pPr>
                </w:p>
              </w:tc>
              <w:tc>
                <w:tcPr>
                  <w:tcW w:w="855" w:type="dxa"/>
                  <w:vMerge w:val="continue"/>
                  <w:vAlign w:val="center"/>
                </w:tcPr>
                <w:p>
                  <w:pPr>
                    <w:jc w:val="center"/>
                    <w:rPr>
                      <w:color w:val="auto"/>
                    </w:rPr>
                  </w:pPr>
                </w:p>
              </w:tc>
              <w:tc>
                <w:tcPr>
                  <w:tcW w:w="522" w:type="dxa"/>
                  <w:vMerge w:val="continue"/>
                  <w:vAlign w:val="center"/>
                </w:tcPr>
                <w:p>
                  <w:pPr>
                    <w:jc w:val="center"/>
                    <w:rPr>
                      <w:color w:val="auto"/>
                    </w:rPr>
                  </w:pPr>
                </w:p>
              </w:tc>
              <w:tc>
                <w:tcPr>
                  <w:tcW w:w="636" w:type="dxa"/>
                  <w:vMerge w:val="continue"/>
                  <w:vAlign w:val="center"/>
                </w:tcPr>
                <w:p>
                  <w:pPr>
                    <w:jc w:val="center"/>
                    <w:rPr>
                      <w:color w:val="auto"/>
                    </w:rPr>
                  </w:pPr>
                </w:p>
              </w:tc>
              <w:tc>
                <w:tcPr>
                  <w:tcW w:w="532" w:type="dxa"/>
                  <w:vAlign w:val="center"/>
                </w:tcPr>
                <w:p>
                  <w:pPr>
                    <w:jc w:val="center"/>
                    <w:rPr>
                      <w:rFonts w:hint="eastAsia"/>
                      <w:color w:val="auto"/>
                    </w:rPr>
                  </w:pPr>
                  <w:r>
                    <w:rPr>
                      <w:rFonts w:hint="eastAsia"/>
                      <w:color w:val="auto"/>
                    </w:rPr>
                    <w:t>X</w:t>
                  </w:r>
                </w:p>
              </w:tc>
              <w:tc>
                <w:tcPr>
                  <w:tcW w:w="497" w:type="dxa"/>
                  <w:vAlign w:val="center"/>
                </w:tcPr>
                <w:p>
                  <w:pPr>
                    <w:jc w:val="center"/>
                    <w:rPr>
                      <w:rFonts w:hint="eastAsia"/>
                      <w:color w:val="auto"/>
                    </w:rPr>
                  </w:pPr>
                  <w:r>
                    <w:rPr>
                      <w:rFonts w:hint="eastAsia"/>
                      <w:color w:val="auto"/>
                    </w:rPr>
                    <w:t>Y</w:t>
                  </w:r>
                </w:p>
              </w:tc>
              <w:tc>
                <w:tcPr>
                  <w:tcW w:w="351" w:type="dxa"/>
                  <w:vAlign w:val="center"/>
                </w:tcPr>
                <w:p>
                  <w:pPr>
                    <w:jc w:val="center"/>
                    <w:rPr>
                      <w:rFonts w:hint="eastAsia"/>
                      <w:color w:val="auto"/>
                    </w:rPr>
                  </w:pPr>
                  <w:r>
                    <w:rPr>
                      <w:rFonts w:hint="eastAsia"/>
                      <w:color w:val="auto"/>
                    </w:rPr>
                    <w:t>Z</w:t>
                  </w:r>
                </w:p>
              </w:tc>
              <w:tc>
                <w:tcPr>
                  <w:tcW w:w="749" w:type="dxa"/>
                  <w:vMerge w:val="continue"/>
                  <w:vAlign w:val="center"/>
                </w:tcPr>
                <w:p>
                  <w:pPr>
                    <w:jc w:val="center"/>
                    <w:rPr>
                      <w:color w:val="auto"/>
                    </w:rPr>
                  </w:pPr>
                </w:p>
              </w:tc>
              <w:tc>
                <w:tcPr>
                  <w:tcW w:w="820" w:type="dxa"/>
                  <w:vMerge w:val="continue"/>
                  <w:vAlign w:val="center"/>
                </w:tcPr>
                <w:p>
                  <w:pPr>
                    <w:jc w:val="center"/>
                    <w:rPr>
                      <w:color w:val="auto"/>
                    </w:rPr>
                  </w:pPr>
                </w:p>
              </w:tc>
              <w:tc>
                <w:tcPr>
                  <w:tcW w:w="693" w:type="dxa"/>
                  <w:vMerge w:val="continue"/>
                  <w:vAlign w:val="center"/>
                </w:tcPr>
                <w:p>
                  <w:pPr>
                    <w:jc w:val="center"/>
                    <w:rPr>
                      <w:color w:val="auto"/>
                    </w:rPr>
                  </w:pPr>
                </w:p>
              </w:tc>
              <w:tc>
                <w:tcPr>
                  <w:tcW w:w="795" w:type="dxa"/>
                  <w:vMerge w:val="continue"/>
                  <w:vAlign w:val="center"/>
                </w:tcPr>
                <w:p>
                  <w:pPr>
                    <w:jc w:val="center"/>
                    <w:rPr>
                      <w:color w:val="auto"/>
                    </w:rPr>
                  </w:pPr>
                </w:p>
              </w:tc>
              <w:tc>
                <w:tcPr>
                  <w:tcW w:w="840" w:type="dxa"/>
                  <w:vAlign w:val="center"/>
                </w:tcPr>
                <w:p>
                  <w:pPr>
                    <w:jc w:val="center"/>
                    <w:rPr>
                      <w:b/>
                      <w:bCs/>
                      <w:color w:val="auto"/>
                    </w:rPr>
                  </w:pPr>
                  <w:r>
                    <w:rPr>
                      <w:rFonts w:hint="eastAsia"/>
                      <w:b/>
                      <w:bCs/>
                      <w:color w:val="auto"/>
                    </w:rPr>
                    <w:t>声压级/dB(A)</w:t>
                  </w:r>
                </w:p>
              </w:tc>
              <w:tc>
                <w:tcPr>
                  <w:tcW w:w="673" w:type="dxa"/>
                  <w:vAlign w:val="center"/>
                </w:tcPr>
                <w:p>
                  <w:pPr>
                    <w:jc w:val="center"/>
                    <w:rPr>
                      <w:b/>
                      <w:bCs/>
                      <w:color w:val="auto"/>
                    </w:rPr>
                  </w:pPr>
                  <w:r>
                    <w:rPr>
                      <w:rFonts w:hint="eastAsia"/>
                      <w:b/>
                      <w:bCs/>
                      <w:color w:val="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烘干机</w:t>
                  </w:r>
                  <w:r>
                    <w:rPr>
                      <w:rFonts w:hint="eastAsia"/>
                      <w:color w:val="auto"/>
                      <w:highlight w:val="none"/>
                      <w:lang w:val="en-US" w:eastAsia="zh-CN"/>
                    </w:rPr>
                    <w:t>1</w:t>
                  </w:r>
                </w:p>
              </w:tc>
              <w:tc>
                <w:tcPr>
                  <w:tcW w:w="855" w:type="dxa"/>
                  <w:vAlign w:val="center"/>
                </w:tcPr>
                <w:p>
                  <w:pPr>
                    <w:jc w:val="center"/>
                    <w:rPr>
                      <w:rFonts w:hint="default" w:eastAsia="宋体"/>
                      <w:color w:val="auto"/>
                      <w:highlight w:val="none"/>
                      <w:lang w:val="en-US" w:eastAsia="zh-CN"/>
                    </w:rPr>
                  </w:pPr>
                  <w:r>
                    <w:rPr>
                      <w:rFonts w:hint="eastAsia"/>
                      <w:color w:val="auto"/>
                      <w:highlight w:val="none"/>
                      <w:lang w:val="en-US" w:eastAsia="zh-CN"/>
                    </w:rPr>
                    <w:t>80</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restart"/>
                  <w:vAlign w:val="center"/>
                </w:tcPr>
                <w:p>
                  <w:pPr>
                    <w:jc w:val="center"/>
                    <w:rPr>
                      <w:rFonts w:hint="eastAsia"/>
                      <w:color w:val="auto"/>
                      <w:szCs w:val="21"/>
                      <w:highlight w:val="none"/>
                    </w:rPr>
                  </w:pPr>
                  <w:r>
                    <w:rPr>
                      <w:rFonts w:hint="eastAsia"/>
                      <w:color w:val="auto"/>
                      <w:highlight w:val="none"/>
                    </w:rPr>
                    <w:t>选择低噪声设备，合理规划布局，定期</w:t>
                  </w:r>
                  <w:r>
                    <w:rPr>
                      <w:rFonts w:hint="eastAsia"/>
                      <w:color w:val="auto"/>
                      <w:highlight w:val="none"/>
                      <w:lang w:eastAsia="zh-CN"/>
                    </w:rPr>
                    <w:t>维护</w:t>
                  </w: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5</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8</w:t>
                  </w:r>
                </w:p>
              </w:tc>
              <w:tc>
                <w:tcPr>
                  <w:tcW w:w="351" w:type="dxa"/>
                  <w:vAlign w:val="center"/>
                </w:tcPr>
                <w:p>
                  <w:pPr>
                    <w:jc w:val="center"/>
                    <w:rPr>
                      <w:rFonts w:hint="default" w:eastAsia="宋体"/>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70</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eastAsia="宋体"/>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55</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烘干机</w:t>
                  </w:r>
                  <w:r>
                    <w:rPr>
                      <w:rFonts w:hint="eastAsia"/>
                      <w:color w:val="auto"/>
                      <w:highlight w:val="none"/>
                      <w:lang w:val="en-US" w:eastAsia="zh-CN"/>
                    </w:rPr>
                    <w:t>2</w:t>
                  </w:r>
                </w:p>
              </w:tc>
              <w:tc>
                <w:tcPr>
                  <w:tcW w:w="855" w:type="dxa"/>
                  <w:vAlign w:val="center"/>
                </w:tcPr>
                <w:p>
                  <w:pPr>
                    <w:jc w:val="center"/>
                    <w:rPr>
                      <w:rFonts w:hint="default" w:eastAsia="宋体"/>
                      <w:color w:val="auto"/>
                      <w:highlight w:val="none"/>
                      <w:lang w:val="en-US" w:eastAsia="zh-CN"/>
                    </w:rPr>
                  </w:pPr>
                  <w:r>
                    <w:rPr>
                      <w:rFonts w:hint="eastAsia"/>
                      <w:color w:val="auto"/>
                      <w:highlight w:val="none"/>
                      <w:lang w:val="en-US" w:eastAsia="zh-CN"/>
                    </w:rPr>
                    <w:t>80</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7</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19</w:t>
                  </w:r>
                </w:p>
              </w:tc>
              <w:tc>
                <w:tcPr>
                  <w:tcW w:w="351" w:type="dxa"/>
                  <w:vAlign w:val="center"/>
                </w:tcPr>
                <w:p>
                  <w:pPr>
                    <w:jc w:val="center"/>
                    <w:rPr>
                      <w:rFonts w:hint="default" w:eastAsia="宋体"/>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70</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eastAsia="宋体"/>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55</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烘干机</w:t>
                  </w:r>
                  <w:r>
                    <w:rPr>
                      <w:rFonts w:hint="eastAsia"/>
                      <w:color w:val="auto"/>
                      <w:highlight w:val="none"/>
                      <w:lang w:val="en-US" w:eastAsia="zh-CN"/>
                    </w:rPr>
                    <w:t>3</w:t>
                  </w:r>
                </w:p>
              </w:tc>
              <w:tc>
                <w:tcPr>
                  <w:tcW w:w="855" w:type="dxa"/>
                  <w:vAlign w:val="center"/>
                </w:tcPr>
                <w:p>
                  <w:pPr>
                    <w:jc w:val="center"/>
                    <w:rPr>
                      <w:rFonts w:hint="default" w:eastAsia="宋体"/>
                      <w:color w:val="auto"/>
                      <w:highlight w:val="none"/>
                      <w:lang w:val="en-US" w:eastAsia="zh-CN"/>
                    </w:rPr>
                  </w:pPr>
                  <w:r>
                    <w:rPr>
                      <w:rFonts w:hint="eastAsia"/>
                      <w:color w:val="auto"/>
                      <w:highlight w:val="none"/>
                      <w:lang w:val="en-US" w:eastAsia="zh-CN"/>
                    </w:rPr>
                    <w:t>80</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9</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29</w:t>
                  </w:r>
                </w:p>
              </w:tc>
              <w:tc>
                <w:tcPr>
                  <w:tcW w:w="351" w:type="dxa"/>
                  <w:vAlign w:val="center"/>
                </w:tcPr>
                <w:p>
                  <w:pPr>
                    <w:jc w:val="center"/>
                    <w:rPr>
                      <w:rFonts w:hint="default" w:eastAsia="宋体"/>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70</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eastAsia="宋体"/>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55</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烘干机</w:t>
                  </w:r>
                  <w:r>
                    <w:rPr>
                      <w:rFonts w:hint="eastAsia"/>
                      <w:color w:val="auto"/>
                      <w:highlight w:val="none"/>
                      <w:lang w:val="en-US" w:eastAsia="zh-CN"/>
                    </w:rPr>
                    <w:t>4</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80</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11</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40</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70</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55</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热风炉</w:t>
                  </w:r>
                  <w:r>
                    <w:rPr>
                      <w:rFonts w:hint="eastAsia"/>
                      <w:color w:val="auto"/>
                      <w:highlight w:val="none"/>
                      <w:lang w:val="en-US" w:eastAsia="zh-CN"/>
                    </w:rPr>
                    <w:t>1</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85</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5</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7</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75</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60</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热风炉</w:t>
                  </w:r>
                  <w:r>
                    <w:rPr>
                      <w:rFonts w:hint="eastAsia"/>
                      <w:color w:val="auto"/>
                      <w:highlight w:val="none"/>
                      <w:lang w:val="en-US" w:eastAsia="zh-CN"/>
                    </w:rPr>
                    <w:t>2</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85</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7</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18</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75</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60</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热风炉</w:t>
                  </w:r>
                  <w:r>
                    <w:rPr>
                      <w:rFonts w:hint="eastAsia"/>
                      <w:color w:val="auto"/>
                      <w:highlight w:val="none"/>
                      <w:lang w:val="en-US" w:eastAsia="zh-CN"/>
                    </w:rPr>
                    <w:t>3</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85</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9</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28</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75</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60</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热风炉</w:t>
                  </w:r>
                  <w:r>
                    <w:rPr>
                      <w:rFonts w:hint="eastAsia"/>
                      <w:color w:val="auto"/>
                      <w:highlight w:val="none"/>
                      <w:lang w:val="en-US" w:eastAsia="zh-CN"/>
                    </w:rPr>
                    <w:t>4</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85</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11</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39</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75</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60</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eastAsia"/>
                      <w:color w:val="auto"/>
                      <w:highlight w:val="none"/>
                      <w:lang w:eastAsia="zh-CN"/>
                    </w:rPr>
                  </w:pPr>
                  <w:r>
                    <w:rPr>
                      <w:rFonts w:hint="eastAsia"/>
                      <w:color w:val="auto"/>
                      <w:highlight w:val="none"/>
                      <w:lang w:eastAsia="zh-CN"/>
                    </w:rPr>
                    <w:t>清选筛</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80</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42</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78</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70</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60</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提升机</w:t>
                  </w:r>
                  <w:r>
                    <w:rPr>
                      <w:rFonts w:hint="eastAsia"/>
                      <w:color w:val="auto"/>
                      <w:highlight w:val="none"/>
                      <w:lang w:val="en-US" w:eastAsia="zh-CN"/>
                    </w:rPr>
                    <w:t>1</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75</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33</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81</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65</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50</w:t>
                  </w:r>
                </w:p>
              </w:tc>
              <w:tc>
                <w:tcPr>
                  <w:tcW w:w="673"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719" w:type="dxa"/>
                  <w:vAlign w:val="center"/>
                </w:tcPr>
                <w:p>
                  <w:pPr>
                    <w:jc w:val="center"/>
                    <w:rPr>
                      <w:rFonts w:hint="default"/>
                      <w:color w:val="auto"/>
                      <w:highlight w:val="none"/>
                      <w:lang w:val="en-US" w:eastAsia="zh-CN"/>
                    </w:rPr>
                  </w:pPr>
                  <w:r>
                    <w:rPr>
                      <w:rFonts w:hint="eastAsia"/>
                      <w:color w:val="auto"/>
                      <w:highlight w:val="none"/>
                      <w:lang w:eastAsia="zh-CN"/>
                    </w:rPr>
                    <w:t>提升机</w:t>
                  </w:r>
                  <w:r>
                    <w:rPr>
                      <w:rFonts w:hint="eastAsia"/>
                      <w:color w:val="auto"/>
                      <w:highlight w:val="none"/>
                      <w:lang w:val="en-US" w:eastAsia="zh-CN"/>
                    </w:rPr>
                    <w:t>2~5</w:t>
                  </w:r>
                </w:p>
              </w:tc>
              <w:tc>
                <w:tcPr>
                  <w:tcW w:w="855" w:type="dxa"/>
                  <w:vAlign w:val="center"/>
                </w:tcPr>
                <w:p>
                  <w:pPr>
                    <w:jc w:val="center"/>
                    <w:rPr>
                      <w:rFonts w:hint="default"/>
                      <w:color w:val="auto"/>
                      <w:highlight w:val="none"/>
                      <w:lang w:val="en-US" w:eastAsia="zh-CN"/>
                    </w:rPr>
                  </w:pPr>
                  <w:r>
                    <w:rPr>
                      <w:rFonts w:hint="eastAsia"/>
                      <w:color w:val="auto"/>
                      <w:highlight w:val="none"/>
                      <w:lang w:val="en-US" w:eastAsia="zh-CN"/>
                    </w:rPr>
                    <w:t>80</w:t>
                  </w:r>
                </w:p>
              </w:tc>
              <w:tc>
                <w:tcPr>
                  <w:tcW w:w="522"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4</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38~45</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57</w:t>
                  </w:r>
                </w:p>
              </w:tc>
              <w:tc>
                <w:tcPr>
                  <w:tcW w:w="351" w:type="dxa"/>
                  <w:vAlign w:val="center"/>
                </w:tcPr>
                <w:p>
                  <w:pPr>
                    <w:jc w:val="center"/>
                    <w:rPr>
                      <w:rFonts w:hint="default"/>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70</w:t>
                  </w:r>
                </w:p>
              </w:tc>
              <w:tc>
                <w:tcPr>
                  <w:tcW w:w="693" w:type="dxa"/>
                  <w:vAlign w:val="center"/>
                </w:tcPr>
                <w:p>
                  <w:pPr>
                    <w:jc w:val="center"/>
                    <w:rPr>
                      <w:rFonts w:hint="default"/>
                      <w:color w:val="auto"/>
                      <w:lang w:val="en-US" w:eastAsia="zh-CN"/>
                    </w:rPr>
                  </w:pPr>
                  <w:r>
                    <w:rPr>
                      <w:rFonts w:hint="eastAsia"/>
                      <w:color w:val="auto"/>
                      <w:lang w:val="en-US" w:eastAsia="zh-CN"/>
                    </w:rPr>
                    <w:t>8</w:t>
                  </w:r>
                </w:p>
              </w:tc>
              <w:tc>
                <w:tcPr>
                  <w:tcW w:w="795" w:type="dxa"/>
                  <w:vAlign w:val="center"/>
                </w:tcPr>
                <w:p>
                  <w:pPr>
                    <w:jc w:val="center"/>
                    <w:rPr>
                      <w:rFonts w:hint="default"/>
                      <w:color w:val="auto"/>
                      <w:lang w:val="en-US" w:eastAsia="zh-CN"/>
                    </w:rPr>
                  </w:pPr>
                  <w:r>
                    <w:rPr>
                      <w:rFonts w:hint="eastAsia"/>
                      <w:color w:val="auto"/>
                      <w:lang w:val="en-US" w:eastAsia="zh-CN"/>
                    </w:rPr>
                    <w:t>15</w:t>
                  </w:r>
                </w:p>
              </w:tc>
              <w:tc>
                <w:tcPr>
                  <w:tcW w:w="840" w:type="dxa"/>
                  <w:vAlign w:val="center"/>
                </w:tcPr>
                <w:p>
                  <w:pPr>
                    <w:jc w:val="center"/>
                    <w:rPr>
                      <w:rFonts w:hint="default"/>
                      <w:color w:val="auto"/>
                      <w:lang w:val="en-US" w:eastAsia="zh-CN"/>
                    </w:rPr>
                  </w:pPr>
                  <w:r>
                    <w:rPr>
                      <w:rFonts w:hint="eastAsia"/>
                      <w:color w:val="auto"/>
                      <w:lang w:val="en-US" w:eastAsia="zh-CN"/>
                    </w:rPr>
                    <w:t>55</w:t>
                  </w:r>
                </w:p>
              </w:tc>
              <w:tc>
                <w:tcPr>
                  <w:tcW w:w="673" w:type="dxa"/>
                  <w:vAlign w:val="center"/>
                </w:tcPr>
                <w:p>
                  <w:pPr>
                    <w:jc w:val="center"/>
                    <w:rPr>
                      <w:rFonts w:hint="default"/>
                      <w:color w:val="auto"/>
                      <w:lang w:val="en-US" w:eastAsia="zh-CN"/>
                    </w:rPr>
                  </w:pPr>
                  <w:r>
                    <w:rPr>
                      <w:rFonts w:hint="eastAsia"/>
                      <w:color w:val="auto"/>
                      <w:lang w:val="en-US" w:eastAsia="zh-CN"/>
                    </w:rPr>
                    <w:t>1</w:t>
                  </w:r>
                </w:p>
              </w:tc>
            </w:tr>
          </w:tbl>
          <w:p>
            <w:pPr>
              <w:snapToGrid w:val="0"/>
              <w:jc w:val="center"/>
              <w:rPr>
                <w:b/>
                <w:bCs/>
                <w:color w:val="auto"/>
                <w:szCs w:val="21"/>
              </w:rPr>
            </w:pPr>
          </w:p>
          <w:p>
            <w:pPr>
              <w:snapToGrid w:val="0"/>
              <w:jc w:val="center"/>
              <w:rPr>
                <w:rFonts w:hint="eastAsia"/>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8</w:t>
            </w:r>
            <w:r>
              <w:rPr>
                <w:b/>
                <w:bCs/>
                <w:color w:val="auto"/>
                <w:szCs w:val="21"/>
              </w:rPr>
              <w:t xml:space="preserve">  主要噪声源强及治理措施一览表</w:t>
            </w:r>
            <w:r>
              <w:rPr>
                <w:rFonts w:hint="eastAsia"/>
                <w:b/>
                <w:bCs/>
                <w:color w:val="auto"/>
                <w:szCs w:val="21"/>
              </w:rPr>
              <w:t>（室外）</w:t>
            </w:r>
          </w:p>
          <w:tbl>
            <w:tblPr>
              <w:tblStyle w:val="27"/>
              <w:tblW w:w="8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020"/>
              <w:gridCol w:w="1023"/>
              <w:gridCol w:w="609"/>
              <w:gridCol w:w="561"/>
              <w:gridCol w:w="501"/>
              <w:gridCol w:w="1765"/>
              <w:gridCol w:w="1244"/>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Merge w:val="restart"/>
                  <w:vAlign w:val="center"/>
                </w:tcPr>
                <w:p>
                  <w:pPr>
                    <w:jc w:val="center"/>
                    <w:rPr>
                      <w:rFonts w:hint="eastAsia"/>
                      <w:color w:val="auto"/>
                      <w:szCs w:val="21"/>
                    </w:rPr>
                  </w:pPr>
                  <w:r>
                    <w:rPr>
                      <w:rFonts w:hint="eastAsia"/>
                      <w:color w:val="auto"/>
                      <w:szCs w:val="21"/>
                    </w:rPr>
                    <w:t>声源</w:t>
                  </w:r>
                </w:p>
                <w:p>
                  <w:pPr>
                    <w:jc w:val="center"/>
                    <w:rPr>
                      <w:color w:val="auto"/>
                      <w:szCs w:val="21"/>
                    </w:rPr>
                  </w:pPr>
                  <w:r>
                    <w:rPr>
                      <w:rFonts w:hint="eastAsia"/>
                      <w:color w:val="auto"/>
                      <w:szCs w:val="21"/>
                    </w:rPr>
                    <w:t>名称</w:t>
                  </w:r>
                </w:p>
              </w:tc>
              <w:tc>
                <w:tcPr>
                  <w:tcW w:w="1020" w:type="dxa"/>
                  <w:vMerge w:val="restart"/>
                  <w:vAlign w:val="center"/>
                </w:tcPr>
                <w:p>
                  <w:pPr>
                    <w:jc w:val="center"/>
                    <w:rPr>
                      <w:color w:val="auto"/>
                      <w:szCs w:val="21"/>
                    </w:rPr>
                  </w:pPr>
                  <w:r>
                    <w:rPr>
                      <w:rFonts w:hint="eastAsia"/>
                      <w:color w:val="auto"/>
                      <w:szCs w:val="21"/>
                      <w:lang w:val="en-US" w:eastAsia="zh-CN"/>
                    </w:rPr>
                    <w:t>1m处声压级</w:t>
                  </w:r>
                  <w:r>
                    <w:rPr>
                      <w:rFonts w:hint="eastAsia"/>
                      <w:b/>
                      <w:bCs/>
                      <w:color w:val="auto"/>
                      <w:szCs w:val="21"/>
                    </w:rPr>
                    <w:t>/dB(A)</w:t>
                  </w:r>
                </w:p>
              </w:tc>
              <w:tc>
                <w:tcPr>
                  <w:tcW w:w="1023" w:type="dxa"/>
                  <w:vMerge w:val="restart"/>
                  <w:vAlign w:val="center"/>
                </w:tcPr>
                <w:p>
                  <w:pPr>
                    <w:jc w:val="center"/>
                    <w:rPr>
                      <w:rFonts w:hint="eastAsia"/>
                      <w:color w:val="auto"/>
                      <w:szCs w:val="21"/>
                    </w:rPr>
                  </w:pPr>
                  <w:r>
                    <w:rPr>
                      <w:rFonts w:hint="eastAsia"/>
                      <w:color w:val="auto"/>
                      <w:szCs w:val="21"/>
                    </w:rPr>
                    <w:t>数量（台）</w:t>
                  </w:r>
                </w:p>
              </w:tc>
              <w:tc>
                <w:tcPr>
                  <w:tcW w:w="1671" w:type="dxa"/>
                  <w:gridSpan w:val="3"/>
                  <w:vAlign w:val="center"/>
                </w:tcPr>
                <w:p>
                  <w:pPr>
                    <w:jc w:val="center"/>
                    <w:rPr>
                      <w:color w:val="auto"/>
                      <w:szCs w:val="21"/>
                    </w:rPr>
                  </w:pPr>
                  <w:r>
                    <w:rPr>
                      <w:rFonts w:hint="eastAsia"/>
                      <w:b/>
                      <w:bCs/>
                      <w:color w:val="auto"/>
                      <w:szCs w:val="21"/>
                    </w:rPr>
                    <w:t>空间相对位置/m</w:t>
                  </w:r>
                </w:p>
              </w:tc>
              <w:tc>
                <w:tcPr>
                  <w:tcW w:w="1765" w:type="dxa"/>
                  <w:vMerge w:val="restart"/>
                  <w:vAlign w:val="center"/>
                </w:tcPr>
                <w:p>
                  <w:pPr>
                    <w:jc w:val="center"/>
                    <w:rPr>
                      <w:color w:val="auto"/>
                      <w:szCs w:val="21"/>
                    </w:rPr>
                  </w:pPr>
                  <w:r>
                    <w:rPr>
                      <w:rFonts w:hint="eastAsia"/>
                      <w:b w:val="0"/>
                      <w:bCs w:val="0"/>
                      <w:color w:val="auto"/>
                      <w:szCs w:val="21"/>
                    </w:rPr>
                    <w:t>声源控制措施</w:t>
                  </w:r>
                </w:p>
              </w:tc>
              <w:tc>
                <w:tcPr>
                  <w:tcW w:w="1244" w:type="dxa"/>
                  <w:vMerge w:val="restart"/>
                  <w:vAlign w:val="center"/>
                </w:tcPr>
                <w:p>
                  <w:pPr>
                    <w:jc w:val="center"/>
                    <w:rPr>
                      <w:rFonts w:hint="default" w:eastAsia="宋体"/>
                      <w:b w:val="0"/>
                      <w:bCs w:val="0"/>
                      <w:color w:val="auto"/>
                      <w:szCs w:val="21"/>
                      <w:lang w:val="en-US" w:eastAsia="zh-CN"/>
                    </w:rPr>
                  </w:pPr>
                  <w:r>
                    <w:rPr>
                      <w:rFonts w:hint="eastAsia"/>
                      <w:b w:val="0"/>
                      <w:bCs w:val="0"/>
                      <w:color w:val="auto"/>
                      <w:szCs w:val="21"/>
                      <w:lang w:eastAsia="zh-CN"/>
                    </w:rPr>
                    <w:t>距厂界距离（</w:t>
                  </w:r>
                  <w:r>
                    <w:rPr>
                      <w:rFonts w:hint="eastAsia"/>
                      <w:b w:val="0"/>
                      <w:bCs w:val="0"/>
                      <w:color w:val="auto"/>
                      <w:szCs w:val="21"/>
                      <w:lang w:val="en-US" w:eastAsia="zh-CN"/>
                    </w:rPr>
                    <w:t>m）</w:t>
                  </w:r>
                </w:p>
              </w:tc>
              <w:tc>
                <w:tcPr>
                  <w:tcW w:w="1061" w:type="dxa"/>
                  <w:vMerge w:val="restart"/>
                  <w:vAlign w:val="center"/>
                </w:tcPr>
                <w:p>
                  <w:pPr>
                    <w:jc w:val="center"/>
                    <w:rPr>
                      <w:color w:val="auto"/>
                      <w:szCs w:val="21"/>
                    </w:rPr>
                  </w:pPr>
                  <w:r>
                    <w:rPr>
                      <w:rFonts w:hint="eastAsia"/>
                      <w:color w:val="auto"/>
                      <w:szCs w:val="21"/>
                    </w:rPr>
                    <w:t>运行时段</w:t>
                  </w:r>
                  <w:r>
                    <w:rPr>
                      <w:rFonts w:hint="eastAsia"/>
                      <w:color w:val="auto"/>
                      <w:szCs w:val="21"/>
                      <w:lang w:eastAsia="zh-CN"/>
                    </w:rPr>
                    <w:t>（</w:t>
                  </w:r>
                  <w:r>
                    <w:rPr>
                      <w:rFonts w:hint="eastAsia"/>
                      <w:color w:val="auto"/>
                      <w:szCs w:val="21"/>
                    </w:rPr>
                    <w:t>h/d</w:t>
                  </w:r>
                  <w:r>
                    <w:rPr>
                      <w:rFonts w:hint="eastAsia"/>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Merge w:val="continue"/>
                  <w:vAlign w:val="center"/>
                </w:tcPr>
                <w:p>
                  <w:pPr>
                    <w:jc w:val="center"/>
                    <w:rPr>
                      <w:rFonts w:hint="eastAsia"/>
                      <w:color w:val="auto"/>
                      <w:szCs w:val="21"/>
                    </w:rPr>
                  </w:pPr>
                </w:p>
              </w:tc>
              <w:tc>
                <w:tcPr>
                  <w:tcW w:w="1020" w:type="dxa"/>
                  <w:vMerge w:val="continue"/>
                  <w:vAlign w:val="center"/>
                </w:tcPr>
                <w:p>
                  <w:pPr>
                    <w:jc w:val="center"/>
                    <w:rPr>
                      <w:rFonts w:hint="eastAsia"/>
                      <w:color w:val="auto"/>
                      <w:szCs w:val="21"/>
                    </w:rPr>
                  </w:pPr>
                </w:p>
              </w:tc>
              <w:tc>
                <w:tcPr>
                  <w:tcW w:w="1023" w:type="dxa"/>
                  <w:vMerge w:val="continue"/>
                  <w:vAlign w:val="center"/>
                </w:tcPr>
                <w:p>
                  <w:pPr>
                    <w:jc w:val="center"/>
                    <w:rPr>
                      <w:color w:val="auto"/>
                      <w:szCs w:val="21"/>
                    </w:rPr>
                  </w:pPr>
                </w:p>
              </w:tc>
              <w:tc>
                <w:tcPr>
                  <w:tcW w:w="609" w:type="dxa"/>
                  <w:vAlign w:val="center"/>
                </w:tcPr>
                <w:p>
                  <w:pPr>
                    <w:jc w:val="center"/>
                    <w:rPr>
                      <w:color w:val="auto"/>
                      <w:szCs w:val="21"/>
                    </w:rPr>
                  </w:pPr>
                  <w:r>
                    <w:rPr>
                      <w:rFonts w:hint="eastAsia"/>
                      <w:color w:val="auto"/>
                      <w:szCs w:val="21"/>
                    </w:rPr>
                    <w:t>X</w:t>
                  </w:r>
                </w:p>
              </w:tc>
              <w:tc>
                <w:tcPr>
                  <w:tcW w:w="561" w:type="dxa"/>
                  <w:vAlign w:val="center"/>
                </w:tcPr>
                <w:p>
                  <w:pPr>
                    <w:jc w:val="center"/>
                    <w:rPr>
                      <w:color w:val="auto"/>
                      <w:szCs w:val="21"/>
                    </w:rPr>
                  </w:pPr>
                  <w:r>
                    <w:rPr>
                      <w:rFonts w:hint="eastAsia"/>
                      <w:color w:val="auto"/>
                      <w:szCs w:val="21"/>
                    </w:rPr>
                    <w:t>Y</w:t>
                  </w:r>
                </w:p>
              </w:tc>
              <w:tc>
                <w:tcPr>
                  <w:tcW w:w="501" w:type="dxa"/>
                  <w:vAlign w:val="center"/>
                </w:tcPr>
                <w:p>
                  <w:pPr>
                    <w:jc w:val="center"/>
                    <w:rPr>
                      <w:color w:val="auto"/>
                      <w:szCs w:val="21"/>
                    </w:rPr>
                  </w:pPr>
                  <w:r>
                    <w:rPr>
                      <w:rFonts w:hint="eastAsia"/>
                      <w:color w:val="auto"/>
                      <w:szCs w:val="21"/>
                    </w:rPr>
                    <w:t>Z</w:t>
                  </w:r>
                </w:p>
              </w:tc>
              <w:tc>
                <w:tcPr>
                  <w:tcW w:w="1765" w:type="dxa"/>
                  <w:vMerge w:val="continue"/>
                  <w:vAlign w:val="center"/>
                </w:tcPr>
                <w:p>
                  <w:pPr>
                    <w:jc w:val="center"/>
                    <w:rPr>
                      <w:color w:val="auto"/>
                      <w:szCs w:val="21"/>
                    </w:rPr>
                  </w:pPr>
                </w:p>
              </w:tc>
              <w:tc>
                <w:tcPr>
                  <w:tcW w:w="1244" w:type="dxa"/>
                  <w:vMerge w:val="continue"/>
                  <w:vAlign w:val="center"/>
                </w:tcPr>
                <w:p>
                  <w:pPr>
                    <w:jc w:val="center"/>
                    <w:rPr>
                      <w:color w:val="auto"/>
                      <w:szCs w:val="21"/>
                    </w:rPr>
                  </w:pPr>
                </w:p>
              </w:tc>
              <w:tc>
                <w:tcPr>
                  <w:tcW w:w="1061" w:type="dxa"/>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jc w:val="center"/>
              </w:trPr>
              <w:tc>
                <w:tcPr>
                  <w:tcW w:w="812" w:type="dxa"/>
                  <w:vAlign w:val="center"/>
                </w:tcPr>
                <w:p>
                  <w:pPr>
                    <w:jc w:val="center"/>
                    <w:rPr>
                      <w:rFonts w:hint="eastAsia"/>
                      <w:color w:val="auto"/>
                      <w:szCs w:val="21"/>
                      <w:lang w:eastAsia="zh-CN"/>
                    </w:rPr>
                  </w:pPr>
                  <w:r>
                    <w:rPr>
                      <w:rFonts w:hint="eastAsia"/>
                      <w:color w:val="auto"/>
                      <w:szCs w:val="21"/>
                      <w:lang w:eastAsia="zh-CN"/>
                    </w:rPr>
                    <w:t>风机</w:t>
                  </w:r>
                </w:p>
              </w:tc>
              <w:tc>
                <w:tcPr>
                  <w:tcW w:w="1020" w:type="dxa"/>
                  <w:vAlign w:val="center"/>
                </w:tcPr>
                <w:p>
                  <w:pPr>
                    <w:jc w:val="center"/>
                    <w:rPr>
                      <w:rFonts w:hint="default"/>
                      <w:color w:val="auto"/>
                      <w:szCs w:val="21"/>
                      <w:lang w:val="en-US" w:eastAsia="zh-CN"/>
                    </w:rPr>
                  </w:pPr>
                  <w:r>
                    <w:rPr>
                      <w:rFonts w:hint="eastAsia"/>
                      <w:color w:val="auto"/>
                      <w:szCs w:val="21"/>
                      <w:lang w:val="en-US" w:eastAsia="zh-CN"/>
                    </w:rPr>
                    <w:t>75</w:t>
                  </w:r>
                  <w:r>
                    <w:rPr>
                      <w:rFonts w:hint="default" w:ascii="Times New Roman" w:hAnsi="Times New Roman" w:cs="Times New Roman"/>
                      <w:color w:val="auto"/>
                      <w:sz w:val="24"/>
                      <w:szCs w:val="24"/>
                      <w:vertAlign w:val="superscript"/>
                      <w:lang w:val="en-US" w:eastAsia="zh-CN"/>
                    </w:rPr>
                    <w:t>②</w:t>
                  </w:r>
                </w:p>
              </w:tc>
              <w:tc>
                <w:tcPr>
                  <w:tcW w:w="1023" w:type="dxa"/>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609" w:type="dxa"/>
                  <w:vAlign w:val="center"/>
                </w:tcPr>
                <w:p>
                  <w:pPr>
                    <w:jc w:val="center"/>
                    <w:rPr>
                      <w:rFonts w:hint="default"/>
                      <w:bCs/>
                      <w:color w:val="auto"/>
                      <w:szCs w:val="21"/>
                      <w:lang w:val="en-US" w:eastAsia="zh-CN"/>
                    </w:rPr>
                  </w:pPr>
                  <w:r>
                    <w:rPr>
                      <w:rFonts w:hint="eastAsia"/>
                      <w:bCs/>
                      <w:color w:val="auto"/>
                      <w:szCs w:val="21"/>
                      <w:lang w:val="en-US" w:eastAsia="zh-CN"/>
                    </w:rPr>
                    <w:t>41</w:t>
                  </w:r>
                </w:p>
              </w:tc>
              <w:tc>
                <w:tcPr>
                  <w:tcW w:w="561" w:type="dxa"/>
                  <w:vAlign w:val="center"/>
                </w:tcPr>
                <w:p>
                  <w:pPr>
                    <w:jc w:val="center"/>
                    <w:rPr>
                      <w:rFonts w:hint="default"/>
                      <w:bCs/>
                      <w:color w:val="auto"/>
                      <w:szCs w:val="21"/>
                      <w:lang w:val="en-US" w:eastAsia="zh-CN"/>
                    </w:rPr>
                  </w:pPr>
                  <w:r>
                    <w:rPr>
                      <w:rFonts w:hint="eastAsia"/>
                      <w:bCs/>
                      <w:color w:val="auto"/>
                      <w:szCs w:val="21"/>
                      <w:lang w:val="en-US" w:eastAsia="zh-CN"/>
                    </w:rPr>
                    <w:t>84</w:t>
                  </w:r>
                </w:p>
              </w:tc>
              <w:tc>
                <w:tcPr>
                  <w:tcW w:w="501" w:type="dxa"/>
                  <w:vAlign w:val="center"/>
                </w:tcPr>
                <w:p>
                  <w:pPr>
                    <w:jc w:val="center"/>
                    <w:rPr>
                      <w:rFonts w:hint="default"/>
                      <w:bCs/>
                      <w:color w:val="auto"/>
                      <w:szCs w:val="21"/>
                      <w:lang w:val="en-US" w:eastAsia="zh-CN"/>
                    </w:rPr>
                  </w:pPr>
                  <w:r>
                    <w:rPr>
                      <w:rFonts w:hint="eastAsia"/>
                      <w:bCs/>
                      <w:color w:val="auto"/>
                      <w:szCs w:val="21"/>
                      <w:lang w:val="en-US" w:eastAsia="zh-CN"/>
                    </w:rPr>
                    <w:t>1</w:t>
                  </w:r>
                </w:p>
              </w:tc>
              <w:tc>
                <w:tcPr>
                  <w:tcW w:w="1765" w:type="dxa"/>
                  <w:vMerge w:val="restart"/>
                  <w:vAlign w:val="center"/>
                </w:tcPr>
                <w:p>
                  <w:pPr>
                    <w:jc w:val="center"/>
                    <w:rPr>
                      <w:rFonts w:hint="eastAsia" w:eastAsia="宋体"/>
                      <w:color w:val="auto"/>
                      <w:szCs w:val="21"/>
                      <w:lang w:eastAsia="zh-CN"/>
                    </w:rPr>
                  </w:pPr>
                  <w:r>
                    <w:rPr>
                      <w:rFonts w:hint="eastAsia"/>
                      <w:color w:val="auto"/>
                      <w:szCs w:val="21"/>
                      <w:lang w:eastAsia="zh-CN"/>
                    </w:rPr>
                    <w:t>选取低噪声设备，加装轻量化隔声罩</w:t>
                  </w:r>
                </w:p>
              </w:tc>
              <w:tc>
                <w:tcPr>
                  <w:tcW w:w="1244" w:type="dxa"/>
                  <w:vAlign w:val="center"/>
                </w:tcPr>
                <w:p>
                  <w:pPr>
                    <w:jc w:val="center"/>
                    <w:rPr>
                      <w:rFonts w:hint="default"/>
                      <w:color w:val="auto"/>
                      <w:szCs w:val="21"/>
                      <w:lang w:val="en-US" w:eastAsia="zh-CN"/>
                    </w:rPr>
                  </w:pPr>
                  <w:r>
                    <w:rPr>
                      <w:rFonts w:hint="eastAsia"/>
                      <w:color w:val="auto"/>
                      <w:szCs w:val="21"/>
                      <w:lang w:val="en-US" w:eastAsia="zh-CN"/>
                    </w:rPr>
                    <w:t>2</w:t>
                  </w:r>
                </w:p>
              </w:tc>
              <w:tc>
                <w:tcPr>
                  <w:tcW w:w="1061" w:type="dxa"/>
                  <w:vAlign w:val="center"/>
                </w:tcPr>
                <w:p>
                  <w:pPr>
                    <w:jc w:val="center"/>
                    <w:rPr>
                      <w:rFonts w:hint="default"/>
                      <w:color w:val="auto"/>
                      <w:szCs w:val="21"/>
                      <w:lang w:val="en-US" w:eastAsia="zh-CN"/>
                    </w:rPr>
                  </w:pPr>
                  <w:r>
                    <w:rPr>
                      <w:rFonts w:hint="eastAsia"/>
                      <w:color w:val="auto"/>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jc w:val="center"/>
              </w:trPr>
              <w:tc>
                <w:tcPr>
                  <w:tcW w:w="812" w:type="dxa"/>
                  <w:vAlign w:val="center"/>
                </w:tcPr>
                <w:p>
                  <w:pPr>
                    <w:jc w:val="center"/>
                    <w:rPr>
                      <w:rFonts w:hint="eastAsia"/>
                      <w:color w:val="auto"/>
                      <w:szCs w:val="21"/>
                      <w:lang w:eastAsia="zh-CN"/>
                    </w:rPr>
                  </w:pPr>
                  <w:r>
                    <w:rPr>
                      <w:rFonts w:hint="eastAsia"/>
                      <w:color w:val="auto"/>
                      <w:szCs w:val="21"/>
                      <w:lang w:eastAsia="zh-CN"/>
                    </w:rPr>
                    <w:t>风机</w:t>
                  </w:r>
                </w:p>
              </w:tc>
              <w:tc>
                <w:tcPr>
                  <w:tcW w:w="1020" w:type="dxa"/>
                  <w:vAlign w:val="center"/>
                </w:tcPr>
                <w:p>
                  <w:pPr>
                    <w:jc w:val="center"/>
                    <w:rPr>
                      <w:rFonts w:hint="default"/>
                      <w:color w:val="auto"/>
                      <w:szCs w:val="21"/>
                      <w:lang w:val="en-US" w:eastAsia="zh-CN"/>
                    </w:rPr>
                  </w:pPr>
                  <w:r>
                    <w:rPr>
                      <w:rFonts w:hint="eastAsia"/>
                      <w:color w:val="auto"/>
                      <w:szCs w:val="21"/>
                      <w:lang w:val="en-US" w:eastAsia="zh-CN"/>
                    </w:rPr>
                    <w:t>65</w:t>
                  </w:r>
                  <w:r>
                    <w:rPr>
                      <w:rFonts w:hint="default" w:ascii="Times New Roman" w:hAnsi="Times New Roman" w:eastAsia="宋体" w:cs="Times New Roman"/>
                      <w:b w:val="0"/>
                      <w:bCs/>
                      <w:color w:val="auto"/>
                      <w:vertAlign w:val="superscript"/>
                      <w:lang w:val="en-US" w:eastAsia="zh-CN"/>
                    </w:rPr>
                    <w:t>③</w:t>
                  </w:r>
                </w:p>
              </w:tc>
              <w:tc>
                <w:tcPr>
                  <w:tcW w:w="1023" w:type="dxa"/>
                  <w:vAlign w:val="center"/>
                </w:tcPr>
                <w:p>
                  <w:pPr>
                    <w:jc w:val="center"/>
                    <w:rPr>
                      <w:rFonts w:hint="default"/>
                      <w:color w:val="auto"/>
                      <w:szCs w:val="21"/>
                      <w:lang w:val="en-US" w:eastAsia="zh-CN"/>
                    </w:rPr>
                  </w:pPr>
                  <w:r>
                    <w:rPr>
                      <w:rFonts w:hint="eastAsia"/>
                      <w:color w:val="auto"/>
                      <w:szCs w:val="21"/>
                      <w:lang w:val="en-US" w:eastAsia="zh-CN"/>
                    </w:rPr>
                    <w:t>1</w:t>
                  </w:r>
                </w:p>
              </w:tc>
              <w:tc>
                <w:tcPr>
                  <w:tcW w:w="609" w:type="dxa"/>
                  <w:vAlign w:val="center"/>
                </w:tcPr>
                <w:p>
                  <w:pPr>
                    <w:jc w:val="center"/>
                    <w:rPr>
                      <w:rFonts w:hint="default"/>
                      <w:bCs/>
                      <w:color w:val="auto"/>
                      <w:szCs w:val="21"/>
                      <w:lang w:val="en-US" w:eastAsia="zh-CN"/>
                    </w:rPr>
                  </w:pPr>
                  <w:r>
                    <w:rPr>
                      <w:rFonts w:hint="eastAsia"/>
                      <w:bCs/>
                      <w:color w:val="auto"/>
                      <w:szCs w:val="21"/>
                      <w:lang w:val="en-US" w:eastAsia="zh-CN"/>
                    </w:rPr>
                    <w:t>3</w:t>
                  </w:r>
                </w:p>
              </w:tc>
              <w:tc>
                <w:tcPr>
                  <w:tcW w:w="561" w:type="dxa"/>
                  <w:vAlign w:val="center"/>
                </w:tcPr>
                <w:p>
                  <w:pPr>
                    <w:jc w:val="center"/>
                    <w:rPr>
                      <w:rFonts w:hint="default"/>
                      <w:bCs/>
                      <w:color w:val="auto"/>
                      <w:szCs w:val="21"/>
                      <w:lang w:val="en-US" w:eastAsia="zh-CN"/>
                    </w:rPr>
                  </w:pPr>
                  <w:r>
                    <w:rPr>
                      <w:rFonts w:hint="eastAsia"/>
                      <w:bCs/>
                      <w:color w:val="auto"/>
                      <w:szCs w:val="21"/>
                      <w:lang w:val="en-US" w:eastAsia="zh-CN"/>
                    </w:rPr>
                    <w:t>16</w:t>
                  </w:r>
                </w:p>
              </w:tc>
              <w:tc>
                <w:tcPr>
                  <w:tcW w:w="501" w:type="dxa"/>
                  <w:vAlign w:val="center"/>
                </w:tcPr>
                <w:p>
                  <w:pPr>
                    <w:jc w:val="center"/>
                    <w:rPr>
                      <w:rFonts w:hint="default"/>
                      <w:bCs/>
                      <w:color w:val="auto"/>
                      <w:szCs w:val="21"/>
                      <w:lang w:val="en-US" w:eastAsia="zh-CN"/>
                    </w:rPr>
                  </w:pPr>
                  <w:r>
                    <w:rPr>
                      <w:rFonts w:hint="eastAsia"/>
                      <w:bCs/>
                      <w:color w:val="auto"/>
                      <w:szCs w:val="21"/>
                      <w:lang w:val="en-US" w:eastAsia="zh-CN"/>
                    </w:rPr>
                    <w:t>1</w:t>
                  </w:r>
                </w:p>
              </w:tc>
              <w:tc>
                <w:tcPr>
                  <w:tcW w:w="1765" w:type="dxa"/>
                  <w:vMerge w:val="continue"/>
                  <w:vAlign w:val="center"/>
                </w:tcPr>
                <w:p>
                  <w:pPr>
                    <w:jc w:val="center"/>
                    <w:rPr>
                      <w:rFonts w:hint="eastAsia"/>
                      <w:color w:val="auto"/>
                      <w:szCs w:val="21"/>
                      <w:lang w:eastAsia="zh-CN"/>
                    </w:rPr>
                  </w:pPr>
                </w:p>
              </w:tc>
              <w:tc>
                <w:tcPr>
                  <w:tcW w:w="1244" w:type="dxa"/>
                  <w:vAlign w:val="center"/>
                </w:tcPr>
                <w:p>
                  <w:pPr>
                    <w:jc w:val="center"/>
                    <w:rPr>
                      <w:rFonts w:hint="default"/>
                      <w:color w:val="auto"/>
                      <w:szCs w:val="21"/>
                      <w:lang w:val="en-US" w:eastAsia="zh-CN"/>
                    </w:rPr>
                  </w:pPr>
                  <w:r>
                    <w:rPr>
                      <w:rFonts w:hint="eastAsia"/>
                      <w:color w:val="auto"/>
                      <w:szCs w:val="21"/>
                      <w:lang w:val="en-US" w:eastAsia="zh-CN"/>
                    </w:rPr>
                    <w:t>2</w:t>
                  </w:r>
                </w:p>
              </w:tc>
              <w:tc>
                <w:tcPr>
                  <w:tcW w:w="1061" w:type="dxa"/>
                  <w:vAlign w:val="center"/>
                </w:tcPr>
                <w:p>
                  <w:pPr>
                    <w:jc w:val="center"/>
                    <w:rPr>
                      <w:rFonts w:hint="default"/>
                      <w:color w:val="auto"/>
                      <w:szCs w:val="21"/>
                      <w:lang w:val="en-US" w:eastAsia="zh-CN"/>
                    </w:rPr>
                  </w:pPr>
                  <w:r>
                    <w:rPr>
                      <w:rFonts w:hint="eastAsia"/>
                      <w:color w:val="auto"/>
                      <w:szCs w:val="21"/>
                      <w:lang w:val="en-US" w:eastAsia="zh-CN"/>
                    </w:rPr>
                    <w:t>8</w:t>
                  </w:r>
                </w:p>
              </w:tc>
            </w:tr>
          </w:tbl>
          <w:p>
            <w:pPr>
              <w:pStyle w:val="9"/>
              <w:rPr>
                <w:color w:val="auto"/>
              </w:rPr>
            </w:pPr>
          </w:p>
          <w:p>
            <w:pPr>
              <w:spacing w:line="360" w:lineRule="auto"/>
              <w:ind w:firstLine="420" w:firstLineChars="200"/>
              <w:rPr>
                <w:rFonts w:hint="eastAsia" w:ascii="Times New Roman" w:hAnsi="Times New Roman" w:eastAsia="宋体" w:cs="Times New Roman"/>
                <w:color w:val="auto"/>
                <w:kern w:val="0"/>
                <w:sz w:val="21"/>
                <w:szCs w:val="21"/>
                <w:lang w:val="en-US" w:eastAsia="zh-CN"/>
              </w:rPr>
            </w:pPr>
            <w:r>
              <w:rPr>
                <w:rFonts w:hint="eastAsia"/>
                <w:color w:val="auto"/>
                <w:sz w:val="21"/>
                <w:szCs w:val="21"/>
                <w:highlight w:val="none"/>
                <w:lang w:val="en-US" w:eastAsia="zh-CN"/>
              </w:rPr>
              <w:t>注：</w:t>
            </w:r>
            <w:r>
              <w:rPr>
                <w:rFonts w:hint="default" w:ascii="Calibri" w:hAnsi="Calibri" w:cs="Calibri"/>
                <w:color w:val="auto"/>
                <w:sz w:val="21"/>
                <w:szCs w:val="21"/>
                <w:highlight w:val="none"/>
                <w:lang w:val="en-US" w:eastAsia="zh-CN"/>
              </w:rPr>
              <w:t>①</w:t>
            </w:r>
            <w:r>
              <w:rPr>
                <w:rFonts w:hint="eastAsia" w:ascii="Times New Roman" w:hAnsi="Times New Roman" w:eastAsia="宋体" w:cs="Times New Roman"/>
                <w:color w:val="auto"/>
                <w:kern w:val="0"/>
                <w:sz w:val="21"/>
                <w:szCs w:val="21"/>
                <w:lang w:val="en-US" w:eastAsia="zh-CN"/>
              </w:rPr>
              <w:t>以生产厂房西南角为坐标原点（x=0，y=0，Z=0），</w:t>
            </w:r>
            <w:r>
              <w:rPr>
                <w:rFonts w:hint="eastAsia" w:cs="Times New Roman"/>
                <w:color w:val="auto"/>
                <w:kern w:val="0"/>
                <w:sz w:val="21"/>
                <w:szCs w:val="21"/>
                <w:lang w:val="en-US" w:eastAsia="zh-CN"/>
              </w:rPr>
              <w:t>X</w:t>
            </w:r>
            <w:r>
              <w:rPr>
                <w:rFonts w:hint="eastAsia" w:ascii="Times New Roman" w:hAnsi="Times New Roman" w:eastAsia="宋体" w:cs="Times New Roman"/>
                <w:color w:val="auto"/>
                <w:kern w:val="0"/>
                <w:sz w:val="21"/>
                <w:szCs w:val="21"/>
                <w:lang w:val="en-US" w:eastAsia="zh-CN"/>
              </w:rPr>
              <w:t>轴正方向为正东向，</w:t>
            </w:r>
            <w:r>
              <w:rPr>
                <w:rFonts w:hint="eastAsia" w:cs="Times New Roman"/>
                <w:color w:val="auto"/>
                <w:kern w:val="0"/>
                <w:sz w:val="21"/>
                <w:szCs w:val="21"/>
                <w:lang w:val="en-US" w:eastAsia="zh-CN"/>
              </w:rPr>
              <w:t>Y</w:t>
            </w:r>
            <w:r>
              <w:rPr>
                <w:rFonts w:hint="eastAsia" w:ascii="Times New Roman" w:hAnsi="Times New Roman" w:eastAsia="宋体" w:cs="Times New Roman"/>
                <w:color w:val="auto"/>
                <w:kern w:val="0"/>
                <w:sz w:val="21"/>
                <w:szCs w:val="21"/>
                <w:lang w:val="en-US" w:eastAsia="zh-CN"/>
              </w:rPr>
              <w:t>轴正方向为正北向，Z轴正方向为地面向上。</w:t>
            </w:r>
          </w:p>
          <w:p>
            <w:pPr>
              <w:spacing w:line="360" w:lineRule="auto"/>
              <w:ind w:firstLine="420" w:firstLineChars="200"/>
              <w:rPr>
                <w:rFonts w:hint="default"/>
                <w:color w:val="auto"/>
                <w:sz w:val="21"/>
                <w:szCs w:val="21"/>
                <w:lang w:val="en-US" w:eastAsia="zh-CN"/>
              </w:rPr>
            </w:pPr>
            <w:r>
              <w:rPr>
                <w:rFonts w:hint="default" w:ascii="Times New Roman" w:hAnsi="Times New Roman" w:cs="Times New Roman"/>
                <w:color w:val="auto"/>
                <w:sz w:val="21"/>
                <w:szCs w:val="21"/>
                <w:lang w:val="en-US" w:eastAsia="zh-CN"/>
              </w:rPr>
              <w:t>②</w:t>
            </w:r>
            <w:r>
              <w:rPr>
                <w:rFonts w:hint="eastAsia" w:ascii="Times New Roman" w:hAnsi="Times New Roman" w:cs="Times New Roman"/>
                <w:color w:val="auto"/>
                <w:sz w:val="21"/>
                <w:szCs w:val="21"/>
                <w:lang w:val="en-US" w:eastAsia="zh-CN"/>
              </w:rPr>
              <w:t>风机风量为8000</w:t>
            </w:r>
            <w:r>
              <w:rPr>
                <w:rFonts w:hint="default"/>
                <w:color w:val="auto"/>
                <w:sz w:val="21"/>
                <w:szCs w:val="21"/>
                <w:lang w:val="en-US" w:eastAsia="zh-CN"/>
              </w:rPr>
              <w:t>m³/h</w:t>
            </w:r>
            <w:r>
              <w:rPr>
                <w:rFonts w:hint="eastAsia"/>
                <w:color w:val="auto"/>
                <w:sz w:val="21"/>
                <w:szCs w:val="21"/>
                <w:lang w:val="en-US" w:eastAsia="zh-CN"/>
              </w:rPr>
              <w:t>，</w:t>
            </w:r>
            <w:r>
              <w:rPr>
                <w:rFonts w:hint="default" w:ascii="Times New Roman" w:hAnsi="Times New Roman" w:cs="Times New Roman"/>
                <w:color w:val="auto"/>
                <w:sz w:val="21"/>
                <w:szCs w:val="21"/>
                <w:lang w:val="en-US" w:eastAsia="zh-CN"/>
              </w:rPr>
              <w:t>根</w:t>
            </w:r>
            <w:r>
              <w:rPr>
                <w:rFonts w:hint="default"/>
                <w:color w:val="auto"/>
                <w:sz w:val="21"/>
                <w:szCs w:val="21"/>
                <w:lang w:val="en-US" w:eastAsia="zh-CN"/>
              </w:rPr>
              <w:t>据《GB/T 2888-2018》标准，此类风机（风量1~5万m³/h，风压500~3000Pa）裸机1米处实测噪声普遍为83~104 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r>
              <w:rPr>
                <w:rFonts w:hint="default"/>
                <w:color w:val="auto"/>
                <w:sz w:val="21"/>
                <w:szCs w:val="21"/>
                <w:lang w:val="en-US" w:eastAsia="zh-CN"/>
              </w:rPr>
              <w:t>，本次取值</w:t>
            </w:r>
            <w:r>
              <w:rPr>
                <w:rFonts w:hint="eastAsia"/>
                <w:color w:val="auto"/>
                <w:sz w:val="21"/>
                <w:szCs w:val="21"/>
                <w:lang w:val="en-US" w:eastAsia="zh-CN"/>
              </w:rPr>
              <w:t>90</w:t>
            </w:r>
            <w:r>
              <w:rPr>
                <w:rFonts w:hint="default"/>
                <w:color w:val="auto"/>
                <w:sz w:val="21"/>
                <w:szCs w:val="21"/>
                <w:lang w:val="en-US" w:eastAsia="zh-CN"/>
              </w:rPr>
              <w:t xml:space="preserve"> 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r>
              <w:rPr>
                <w:rFonts w:hint="default"/>
                <w:color w:val="auto"/>
                <w:sz w:val="21"/>
                <w:szCs w:val="21"/>
                <w:lang w:val="en-US" w:eastAsia="zh-CN"/>
              </w:rPr>
              <w:t>。建设单位拟</w:t>
            </w:r>
            <w:r>
              <w:rPr>
                <w:rFonts w:hint="eastAsia"/>
                <w:color w:val="auto"/>
                <w:sz w:val="21"/>
                <w:szCs w:val="21"/>
                <w:lang w:val="en-US" w:eastAsia="zh-CN"/>
              </w:rPr>
              <w:t>加装轻量化隔声罩</w:t>
            </w:r>
            <w:r>
              <w:rPr>
                <w:rFonts w:hint="default"/>
                <w:color w:val="auto"/>
                <w:sz w:val="21"/>
                <w:szCs w:val="21"/>
                <w:lang w:val="en-US" w:eastAsia="zh-CN"/>
              </w:rPr>
              <w:t>（降噪</w:t>
            </w:r>
            <w:r>
              <w:rPr>
                <w:rFonts w:hint="eastAsia"/>
                <w:color w:val="auto"/>
                <w:sz w:val="21"/>
                <w:szCs w:val="21"/>
                <w:lang w:val="en-US" w:eastAsia="zh-CN"/>
              </w:rPr>
              <w:t>15</w:t>
            </w:r>
            <w:r>
              <w:rPr>
                <w:rFonts w:hint="default"/>
                <w:color w:val="auto"/>
                <w:sz w:val="21"/>
                <w:szCs w:val="21"/>
                <w:lang w:val="en-US" w:eastAsia="zh-CN"/>
              </w:rPr>
              <w:t>~</w:t>
            </w:r>
            <w:r>
              <w:rPr>
                <w:rFonts w:hint="eastAsia"/>
                <w:color w:val="auto"/>
                <w:sz w:val="21"/>
                <w:szCs w:val="21"/>
                <w:lang w:val="en-US" w:eastAsia="zh-CN"/>
              </w:rPr>
              <w:t>25</w:t>
            </w:r>
            <w:r>
              <w:rPr>
                <w:rFonts w:hint="default"/>
                <w:color w:val="auto"/>
                <w:sz w:val="21"/>
                <w:szCs w:val="21"/>
                <w:lang w:val="en-US" w:eastAsia="zh-CN"/>
              </w:rPr>
              <w:t>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r>
              <w:rPr>
                <w:rFonts w:hint="default"/>
                <w:color w:val="auto"/>
                <w:sz w:val="21"/>
                <w:szCs w:val="21"/>
                <w:lang w:val="en-US" w:eastAsia="zh-CN"/>
              </w:rPr>
              <w:t>），经治理后1米处声压级取值为</w:t>
            </w:r>
            <w:r>
              <w:rPr>
                <w:rFonts w:hint="eastAsia"/>
                <w:color w:val="auto"/>
                <w:sz w:val="21"/>
                <w:szCs w:val="21"/>
                <w:lang w:val="en-US" w:eastAsia="zh-CN"/>
              </w:rPr>
              <w:t>75</w:t>
            </w:r>
            <w:r>
              <w:rPr>
                <w:rFonts w:hint="default"/>
                <w:color w:val="auto"/>
                <w:sz w:val="21"/>
                <w:szCs w:val="21"/>
                <w:lang w:val="en-US" w:eastAsia="zh-CN"/>
              </w:rPr>
              <w:t>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r>
              <w:rPr>
                <w:rFonts w:hint="default"/>
                <w:color w:val="auto"/>
                <w:sz w:val="21"/>
                <w:szCs w:val="21"/>
                <w:lang w:val="en-US" w:eastAsia="zh-CN"/>
              </w:rPr>
              <w:t>。</w:t>
            </w:r>
          </w:p>
          <w:p>
            <w:pPr>
              <w:spacing w:line="360" w:lineRule="auto"/>
              <w:ind w:firstLine="420" w:firstLineChars="200"/>
              <w:rPr>
                <w:rFonts w:hint="default"/>
                <w:color w:val="auto"/>
                <w:sz w:val="21"/>
                <w:szCs w:val="21"/>
                <w:lang w:val="en-US" w:eastAsia="zh-CN"/>
              </w:rPr>
            </w:pPr>
            <w:r>
              <w:rPr>
                <w:rFonts w:hint="default" w:ascii="Times New Roman" w:hAnsi="Times New Roman" w:eastAsia="宋体" w:cs="Times New Roman"/>
                <w:b w:val="0"/>
                <w:bCs/>
                <w:color w:val="auto"/>
                <w:sz w:val="21"/>
                <w:szCs w:val="21"/>
                <w:lang w:val="en-US" w:eastAsia="zh-CN"/>
              </w:rPr>
              <w:t>③风机风量为</w:t>
            </w:r>
            <w:r>
              <w:rPr>
                <w:rFonts w:hint="eastAsia" w:ascii="Times New Roman" w:hAnsi="Times New Roman" w:eastAsia="宋体" w:cs="Times New Roman"/>
                <w:b w:val="0"/>
                <w:bCs/>
                <w:color w:val="auto"/>
                <w:sz w:val="21"/>
                <w:szCs w:val="21"/>
                <w:lang w:val="en-US" w:eastAsia="zh-CN"/>
              </w:rPr>
              <w:t>1587.924</w:t>
            </w:r>
            <w:r>
              <w:rPr>
                <w:rFonts w:hint="default" w:ascii="Times New Roman" w:hAnsi="Times New Roman" w:eastAsia="宋体" w:cs="Times New Roman"/>
                <w:b w:val="0"/>
                <w:bCs/>
                <w:color w:val="auto"/>
                <w:sz w:val="21"/>
                <w:szCs w:val="21"/>
                <w:lang w:val="en-US" w:eastAsia="zh-CN"/>
              </w:rPr>
              <w:t>m³/h，根据《GB/T 2888-2018》标准，此类风机（风量1~5万m³/h，风压500~3000Pa）裸机1米处实测噪声普遍为83~104 dB（A），本次取值</w:t>
            </w:r>
            <w:r>
              <w:rPr>
                <w:rFonts w:hint="eastAsia" w:ascii="Times New Roman" w:hAnsi="Times New Roman" w:eastAsia="宋体" w:cs="Times New Roman"/>
                <w:b w:val="0"/>
                <w:bCs/>
                <w:color w:val="auto"/>
                <w:sz w:val="21"/>
                <w:szCs w:val="21"/>
                <w:lang w:val="en-US" w:eastAsia="zh-CN"/>
              </w:rPr>
              <w:t>80</w:t>
            </w:r>
            <w:r>
              <w:rPr>
                <w:rFonts w:hint="default" w:ascii="Times New Roman" w:hAnsi="Times New Roman" w:eastAsia="宋体" w:cs="Times New Roman"/>
                <w:b w:val="0"/>
                <w:bCs/>
                <w:color w:val="auto"/>
                <w:sz w:val="21"/>
                <w:szCs w:val="21"/>
                <w:lang w:val="en-US" w:eastAsia="zh-CN"/>
              </w:rPr>
              <w:t xml:space="preserve"> dB（A）。</w:t>
            </w:r>
            <w:r>
              <w:rPr>
                <w:rFonts w:hint="default"/>
                <w:color w:val="auto"/>
                <w:sz w:val="21"/>
                <w:szCs w:val="21"/>
                <w:lang w:val="en-US" w:eastAsia="zh-CN"/>
              </w:rPr>
              <w:t>建设单位拟</w:t>
            </w:r>
            <w:r>
              <w:rPr>
                <w:rFonts w:hint="eastAsia"/>
                <w:color w:val="auto"/>
                <w:sz w:val="21"/>
                <w:szCs w:val="21"/>
                <w:lang w:val="en-US" w:eastAsia="zh-CN"/>
              </w:rPr>
              <w:t>加装轻量化隔声罩</w:t>
            </w:r>
            <w:r>
              <w:rPr>
                <w:rFonts w:hint="default"/>
                <w:color w:val="auto"/>
                <w:sz w:val="21"/>
                <w:szCs w:val="21"/>
                <w:lang w:val="en-US" w:eastAsia="zh-CN"/>
              </w:rPr>
              <w:t>（降噪</w:t>
            </w:r>
            <w:r>
              <w:rPr>
                <w:rFonts w:hint="eastAsia"/>
                <w:color w:val="auto"/>
                <w:sz w:val="21"/>
                <w:szCs w:val="21"/>
                <w:lang w:val="en-US" w:eastAsia="zh-CN"/>
              </w:rPr>
              <w:t>15</w:t>
            </w:r>
            <w:r>
              <w:rPr>
                <w:rFonts w:hint="default"/>
                <w:color w:val="auto"/>
                <w:sz w:val="21"/>
                <w:szCs w:val="21"/>
                <w:lang w:val="en-US" w:eastAsia="zh-CN"/>
              </w:rPr>
              <w:t>~</w:t>
            </w:r>
            <w:r>
              <w:rPr>
                <w:rFonts w:hint="eastAsia"/>
                <w:color w:val="auto"/>
                <w:sz w:val="21"/>
                <w:szCs w:val="21"/>
                <w:lang w:val="en-US" w:eastAsia="zh-CN"/>
              </w:rPr>
              <w:t>25</w:t>
            </w:r>
            <w:r>
              <w:rPr>
                <w:rFonts w:hint="default"/>
                <w:color w:val="auto"/>
                <w:sz w:val="21"/>
                <w:szCs w:val="21"/>
                <w:lang w:val="en-US" w:eastAsia="zh-CN"/>
              </w:rPr>
              <w:t>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r>
              <w:rPr>
                <w:rFonts w:hint="default"/>
                <w:color w:val="auto"/>
                <w:sz w:val="21"/>
                <w:szCs w:val="21"/>
                <w:lang w:val="en-US" w:eastAsia="zh-CN"/>
              </w:rPr>
              <w:t>），经治理后1米处声压级取值为</w:t>
            </w:r>
            <w:r>
              <w:rPr>
                <w:rFonts w:hint="eastAsia"/>
                <w:color w:val="auto"/>
                <w:sz w:val="21"/>
                <w:szCs w:val="21"/>
                <w:lang w:val="en-US" w:eastAsia="zh-CN"/>
              </w:rPr>
              <w:t>65</w:t>
            </w:r>
            <w:r>
              <w:rPr>
                <w:rFonts w:hint="default"/>
                <w:color w:val="auto"/>
                <w:sz w:val="21"/>
                <w:szCs w:val="21"/>
                <w:lang w:val="en-US" w:eastAsia="zh-CN"/>
              </w:rPr>
              <w:t>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r>
              <w:rPr>
                <w:rFonts w:hint="default"/>
                <w:color w:val="auto"/>
                <w:sz w:val="21"/>
                <w:szCs w:val="21"/>
                <w:lang w:val="en-US" w:eastAsia="zh-CN"/>
              </w:rPr>
              <w:t>。</w:t>
            </w:r>
          </w:p>
          <w:p>
            <w:pPr>
              <w:spacing w:line="360" w:lineRule="auto"/>
              <w:ind w:firstLine="482" w:firstLineChars="200"/>
              <w:rPr>
                <w:rFonts w:hint="eastAsia"/>
                <w:b/>
                <w:bCs/>
                <w:color w:val="auto"/>
                <w:sz w:val="24"/>
              </w:rPr>
            </w:pPr>
            <w:r>
              <w:rPr>
                <w:rFonts w:hint="eastAsia"/>
                <w:b/>
                <w:bCs/>
                <w:color w:val="auto"/>
                <w:sz w:val="24"/>
              </w:rPr>
              <w:t>3.2降噪措施</w:t>
            </w:r>
          </w:p>
          <w:p>
            <w:pPr>
              <w:spacing w:line="360" w:lineRule="auto"/>
              <w:ind w:firstLine="480" w:firstLineChars="200"/>
              <w:rPr>
                <w:rFonts w:hint="eastAsia"/>
                <w:color w:val="auto"/>
                <w:sz w:val="24"/>
              </w:rPr>
            </w:pPr>
            <w:r>
              <w:rPr>
                <w:rFonts w:hint="eastAsia"/>
                <w:color w:val="auto"/>
                <w:sz w:val="24"/>
              </w:rPr>
              <w:t>本项目噪声防治措施如下：</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在进行设备采购中，应尽量选择低噪声设备，配备必要的噪声治理设施；建筑上采取隔声措施，优先选用吸声性能较好的墙面材料，屋顶可设吸声吊顶。在结构设计中采用减振平顶，减振内壁和减振地板等措施。</w:t>
            </w:r>
          </w:p>
          <w:p>
            <w:pPr>
              <w:adjustRightInd w:val="0"/>
              <w:snapToGrid w:val="0"/>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建筑上采取隔声措施，优先选用吸声性能较好的墙面材料，屋顶可设吸声吊顶。在结构设计中采用减振平顶，减振内壁和减振地板等措施。</w:t>
            </w:r>
          </w:p>
          <w:p>
            <w:pPr>
              <w:pStyle w:val="38"/>
              <w:spacing w:line="360" w:lineRule="auto"/>
              <w:rPr>
                <w:rFonts w:hint="eastAsia"/>
                <w:color w:val="auto"/>
                <w:sz w:val="24"/>
                <w:szCs w:val="24"/>
              </w:rPr>
            </w:pPr>
            <w:r>
              <w:rPr>
                <w:rFonts w:ascii="Times New Roman"/>
                <w:color w:val="auto"/>
                <w:sz w:val="24"/>
                <w:szCs w:val="24"/>
              </w:rPr>
              <w:t>（3）</w:t>
            </w:r>
            <w:r>
              <w:rPr>
                <w:rFonts w:hint="eastAsia"/>
                <w:color w:val="auto"/>
                <w:sz w:val="24"/>
                <w:szCs w:val="24"/>
              </w:rPr>
              <w:t>保证设备处于良好的运转状态，并对主要噪声设备进一步采取减振、隔声、消声等降噪措施，确保噪声达标排放。</w:t>
            </w:r>
          </w:p>
          <w:p>
            <w:pPr>
              <w:pStyle w:val="38"/>
              <w:rPr>
                <w:rFonts w:hint="eastAsia" w:ascii="Times New Roman"/>
                <w:b/>
                <w:bCs/>
                <w:color w:val="auto"/>
                <w:sz w:val="24"/>
                <w:szCs w:val="24"/>
              </w:rPr>
            </w:pPr>
            <w:r>
              <w:rPr>
                <w:rFonts w:hint="eastAsia" w:ascii="Times New Roman"/>
                <w:b/>
                <w:bCs/>
                <w:color w:val="auto"/>
                <w:sz w:val="24"/>
                <w:szCs w:val="24"/>
              </w:rPr>
              <w:t>3.3</w:t>
            </w:r>
            <w:r>
              <w:rPr>
                <w:rFonts w:hint="eastAsia"/>
                <w:b/>
                <w:bCs/>
                <w:color w:val="auto"/>
                <w:sz w:val="24"/>
              </w:rPr>
              <w:t>噪声达标分析</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运营期声环境影响采用《环境影响评价技术导则 声环境》（HJ 2.4-2021）推荐的模型预测法进行分析：本环评采用设计规范所要求的噪声源源强，对项目的厂界环境噪声排放值进行理论计算。</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（1）每个点声源对预测点的噪声贡献值按下式计算：</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）-20lg（r/r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式中：L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（r）——距离声源r处的声级，dB；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）——距离声源r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处的声级，dB；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r——预测点与声源之间的距离，m；</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——参考处与声源之间的距离，m，本项目r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取1m。</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（2）本项目生产设备均位于室内，本评价预测将生产设备作为一个整体声源（面源）进行预测；</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整体声源预测模式：</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fldChar w:fldCharType="begin"/>
            </w:r>
            <w:r>
              <w:rPr>
                <w:rFonts w:hint="default" w:ascii="Times New Roman" w:hAnsi="Times New Roman" w:eastAsia="宋体" w:cs="Times New Roman"/>
                <w:color w:val="auto"/>
                <w:kern w:val="0"/>
                <w:sz w:val="24"/>
                <w:highlight w:val="none"/>
                <w:lang w:bidi="ar"/>
              </w:rPr>
              <w:instrText xml:space="preserve"> = 1 \* GB3 \* MERGEFORMAT </w:instrText>
            </w:r>
            <w:r>
              <w:rPr>
                <w:rFonts w:hint="default" w:ascii="Times New Roman" w:hAnsi="Times New Roman" w:eastAsia="宋体" w:cs="Times New Roman"/>
                <w:color w:val="auto"/>
                <w:kern w:val="0"/>
                <w:sz w:val="24"/>
                <w:highlight w:val="none"/>
                <w:lang w:bidi="ar"/>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kern w:val="0"/>
                <w:sz w:val="24"/>
                <w:highlight w:val="none"/>
                <w:lang w:bidi="ar"/>
              </w:rPr>
              <w:fldChar w:fldCharType="end"/>
            </w:r>
            <w:r>
              <w:rPr>
                <w:rFonts w:hint="default" w:ascii="Times New Roman" w:hAnsi="Times New Roman" w:eastAsia="宋体" w:cs="Times New Roman"/>
                <w:color w:val="auto"/>
                <w:kern w:val="0"/>
                <w:sz w:val="24"/>
                <w:highlight w:val="none"/>
                <w:lang w:bidi="ar"/>
              </w:rPr>
              <w:t xml:space="preserve">室内声源等效室外声源声功率级计算方法 </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声源位于室内，室内声源可采用等效室外声源声功率级法进行计算。设靠近开口处（或窗户）室内、室外某倍频带的声压级分别为Lp</w:t>
            </w:r>
            <w:r>
              <w:rPr>
                <w:rFonts w:hint="default" w:ascii="Times New Roman" w:hAnsi="Times New Roman" w:eastAsia="宋体" w:cs="Times New Roman"/>
                <w:color w:val="auto"/>
                <w:kern w:val="0"/>
                <w:sz w:val="24"/>
                <w:highlight w:val="none"/>
                <w:vertAlign w:val="subscript"/>
                <w:lang w:bidi="ar"/>
              </w:rPr>
              <w:t>1</w:t>
            </w:r>
            <w:r>
              <w:rPr>
                <w:rFonts w:hint="default" w:ascii="Times New Roman" w:hAnsi="Times New Roman" w:eastAsia="宋体" w:cs="Times New Roman"/>
                <w:color w:val="auto"/>
                <w:kern w:val="0"/>
                <w:sz w:val="24"/>
                <w:highlight w:val="none"/>
                <w:lang w:bidi="ar"/>
              </w:rPr>
              <w:t>和Lp</w:t>
            </w:r>
            <w:r>
              <w:rPr>
                <w:rFonts w:hint="default" w:ascii="Times New Roman" w:hAnsi="Times New Roman" w:eastAsia="宋体" w:cs="Times New Roman"/>
                <w:color w:val="auto"/>
                <w:kern w:val="0"/>
                <w:sz w:val="24"/>
                <w:highlight w:val="none"/>
                <w:vertAlign w:val="subscript"/>
                <w:lang w:bidi="ar"/>
              </w:rPr>
              <w:t>2</w:t>
            </w:r>
            <w:r>
              <w:rPr>
                <w:rFonts w:hint="default" w:ascii="Times New Roman" w:hAnsi="Times New Roman" w:eastAsia="宋体" w:cs="Times New Roman"/>
                <w:color w:val="auto"/>
                <w:kern w:val="0"/>
                <w:sz w:val="24"/>
                <w:highlight w:val="none"/>
                <w:lang w:bidi="ar"/>
              </w:rPr>
              <w:t>。若声源所在室内声场为近似扩散声场，按下列公式计算出靠近室外围护结构处的声压级：</w:t>
            </w:r>
          </w:p>
          <w:p>
            <w:pPr>
              <w:pageBreakBefore w:val="0"/>
              <w:widowControl/>
              <w:kinsoku/>
              <w:wordWrap/>
              <w:overflowPunct w:val="0"/>
              <w:bidi w:val="0"/>
              <w:jc w:val="center"/>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rPr>
              <w:drawing>
                <wp:inline distT="0" distB="0" distL="114300" distR="114300">
                  <wp:extent cx="2032635" cy="285750"/>
                  <wp:effectExtent l="0" t="0" r="5715"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2"/>
                          <a:stretch>
                            <a:fillRect/>
                          </a:stretch>
                        </pic:blipFill>
                        <pic:spPr>
                          <a:xfrm>
                            <a:off x="0" y="0"/>
                            <a:ext cx="2032635" cy="285750"/>
                          </a:xfrm>
                          <a:prstGeom prst="rect">
                            <a:avLst/>
                          </a:prstGeom>
                          <a:noFill/>
                          <a:ln>
                            <a:noFill/>
                          </a:ln>
                        </pic:spPr>
                      </pic:pic>
                    </a:graphicData>
                  </a:graphic>
                </wp:inline>
              </w:drawing>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式中：</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L</w:t>
            </w:r>
            <w:r>
              <w:rPr>
                <w:rFonts w:hint="default" w:ascii="Times New Roman" w:hAnsi="Times New Roman" w:eastAsia="宋体" w:cs="Times New Roman"/>
                <w:color w:val="auto"/>
                <w:kern w:val="0"/>
                <w:sz w:val="24"/>
                <w:highlight w:val="none"/>
                <w:vertAlign w:val="subscript"/>
                <w:lang w:bidi="ar"/>
              </w:rPr>
              <w:t>P1i</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T</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 xml:space="preserve">—靠近围护结构处室内N个声源i倍频带的叠加声压级，dB </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L</w:t>
            </w:r>
            <w:r>
              <w:rPr>
                <w:rFonts w:hint="default" w:ascii="Times New Roman" w:hAnsi="Times New Roman" w:eastAsia="宋体" w:cs="Times New Roman"/>
                <w:color w:val="auto"/>
                <w:kern w:val="0"/>
                <w:sz w:val="24"/>
                <w:highlight w:val="none"/>
                <w:vertAlign w:val="subscript"/>
                <w:lang w:bidi="ar"/>
              </w:rPr>
              <w:t>P2i</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T</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 xml:space="preserve">—靠近围护结构处室外N个声源i倍频带的叠加声压级，dB； </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TL</w:t>
            </w:r>
            <w:r>
              <w:rPr>
                <w:rFonts w:hint="default" w:ascii="Times New Roman" w:hAnsi="Times New Roman" w:eastAsia="宋体" w:cs="Times New Roman"/>
                <w:color w:val="auto"/>
                <w:kern w:val="0"/>
                <w:sz w:val="24"/>
                <w:highlight w:val="none"/>
                <w:vertAlign w:val="subscript"/>
                <w:lang w:bidi="ar"/>
              </w:rPr>
              <w:t>i</w:t>
            </w:r>
            <w:r>
              <w:rPr>
                <w:rFonts w:hint="default" w:ascii="Times New Roman" w:hAnsi="Times New Roman" w:eastAsia="宋体" w:cs="Times New Roman"/>
                <w:color w:val="auto"/>
                <w:kern w:val="0"/>
                <w:sz w:val="24"/>
                <w:highlight w:val="none"/>
                <w:lang w:bidi="ar"/>
              </w:rPr>
              <w:t>—围护结构i倍频带的隔声量，dB。</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然后按下列公式将室外声源的声压级和透过面积换算成等效的室外声源，计算出中心位置位于透声面积（S）处的等效声源的倍频带声功率级。</w:t>
            </w:r>
          </w:p>
          <w:p>
            <w:pPr>
              <w:pageBreakBefore w:val="0"/>
              <w:kinsoku/>
              <w:wordWrap/>
              <w:overflowPunct w:val="0"/>
              <w:bidi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1848485" cy="304800"/>
                  <wp:effectExtent l="0" t="0" r="18415"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3"/>
                          <a:stretch>
                            <a:fillRect/>
                          </a:stretch>
                        </pic:blipFill>
                        <pic:spPr>
                          <a:xfrm>
                            <a:off x="0" y="0"/>
                            <a:ext cx="1848485" cy="304800"/>
                          </a:xfrm>
                          <a:prstGeom prst="rect">
                            <a:avLst/>
                          </a:prstGeom>
                          <a:noFill/>
                          <a:ln>
                            <a:noFill/>
                          </a:ln>
                        </pic:spPr>
                      </pic:pic>
                    </a:graphicData>
                  </a:graphic>
                </wp:inline>
              </w:drawing>
            </w:r>
          </w:p>
          <w:p>
            <w:pPr>
              <w:pageBreakBefore w:val="0"/>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然后按室外声源预测方法计算预测点处的A声级：</w:t>
            </w:r>
          </w:p>
          <w:p>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2983230" cy="1616710"/>
                  <wp:effectExtent l="0" t="0" r="7620" b="25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4"/>
                          <a:stretch>
                            <a:fillRect/>
                          </a:stretch>
                        </pic:blipFill>
                        <pic:spPr>
                          <a:xfrm>
                            <a:off x="0" y="0"/>
                            <a:ext cx="2983230" cy="1616710"/>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图4-</w:t>
            </w:r>
            <w:r>
              <w:rPr>
                <w:rFonts w:hint="eastAsia" w:ascii="Times New Roman" w:hAnsi="Times New Roman" w:eastAsia="宋体" w:cs="Times New Roman"/>
                <w:b/>
                <w:bCs/>
                <w:snapToGrid w:val="0"/>
                <w:color w:val="auto"/>
                <w:kern w:val="0"/>
                <w:sz w:val="21"/>
                <w:szCs w:val="21"/>
                <w:highlight w:val="none"/>
                <w:lang w:val="en-US" w:eastAsia="zh-CN"/>
              </w:rPr>
              <w:t>2</w:t>
            </w:r>
            <w:r>
              <w:rPr>
                <w:rFonts w:hint="default" w:ascii="Times New Roman" w:hAnsi="Times New Roman" w:eastAsia="宋体" w:cs="Times New Roman"/>
                <w:b/>
                <w:bCs/>
                <w:snapToGrid w:val="0"/>
                <w:color w:val="auto"/>
                <w:kern w:val="0"/>
                <w:sz w:val="21"/>
                <w:szCs w:val="21"/>
                <w:highlight w:val="none"/>
              </w:rPr>
              <w:t xml:space="preserve"> 室内声源等效为室外声源图例</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fldChar w:fldCharType="begin"/>
            </w:r>
            <w:r>
              <w:rPr>
                <w:rFonts w:hint="default" w:ascii="Times New Roman" w:hAnsi="Times New Roman" w:eastAsia="宋体" w:cs="Times New Roman"/>
                <w:snapToGrid w:val="0"/>
                <w:color w:val="auto"/>
                <w:kern w:val="0"/>
                <w:sz w:val="24"/>
                <w:highlight w:val="none"/>
              </w:rPr>
              <w:instrText xml:space="preserve"> = 2 \* GB3 \* MERGEFORMAT </w:instrText>
            </w:r>
            <w:r>
              <w:rPr>
                <w:rFonts w:hint="default" w:ascii="Times New Roman" w:hAnsi="Times New Roman" w:eastAsia="宋体" w:cs="Times New Roman"/>
                <w:snapToGrid w:val="0"/>
                <w:color w:val="auto"/>
                <w:kern w:val="0"/>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snapToGrid w:val="0"/>
                <w:color w:val="auto"/>
                <w:kern w:val="0"/>
                <w:sz w:val="24"/>
                <w:highlight w:val="none"/>
              </w:rPr>
              <w:fldChar w:fldCharType="end"/>
            </w:r>
            <w:r>
              <w:rPr>
                <w:rFonts w:hint="default" w:ascii="Times New Roman" w:hAnsi="Times New Roman" w:eastAsia="宋体" w:cs="Times New Roman"/>
                <w:snapToGrid w:val="0"/>
                <w:color w:val="auto"/>
                <w:kern w:val="0"/>
                <w:sz w:val="24"/>
                <w:highlight w:val="none"/>
              </w:rPr>
              <w:t>噪声户外传播衰减的计算</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A声级的计算公式为：</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 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diV</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bar</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atm</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gy</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misc</w:t>
            </w:r>
            <w:r>
              <w:rPr>
                <w:rFonts w:hint="default" w:ascii="Times New Roman" w:hAnsi="Times New Roman" w:eastAsia="宋体" w:cs="Times New Roman"/>
                <w:snapToGrid w:val="0"/>
                <w:color w:val="auto"/>
                <w:kern w:val="0"/>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式中：</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（r）----距声源r处的A声级，dB；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）--参考位置r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 xml:space="preserve">处的A声级，dB；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diV</w:t>
            </w:r>
            <w:r>
              <w:rPr>
                <w:rFonts w:hint="default" w:ascii="Times New Roman" w:hAnsi="Times New Roman" w:eastAsia="宋体" w:cs="Times New Roman"/>
                <w:snapToGrid w:val="0"/>
                <w:color w:val="auto"/>
                <w:kern w:val="0"/>
                <w:sz w:val="24"/>
                <w:highlight w:val="none"/>
              </w:rPr>
              <w:t xml:space="preserve">-------声波几何发散引起的A声级衰减量，dB；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bar</w:t>
            </w:r>
            <w:r>
              <w:rPr>
                <w:rFonts w:hint="default" w:ascii="Times New Roman" w:hAnsi="Times New Roman" w:eastAsia="宋体" w:cs="Times New Roman"/>
                <w:snapToGrid w:val="0"/>
                <w:color w:val="auto"/>
                <w:kern w:val="0"/>
                <w:sz w:val="24"/>
                <w:highlight w:val="none"/>
              </w:rPr>
              <w:t xml:space="preserve">-------遮挡物引起的A声级衰减量，dB；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atm</w:t>
            </w:r>
            <w:r>
              <w:rPr>
                <w:rFonts w:hint="default" w:ascii="Times New Roman" w:hAnsi="Times New Roman" w:eastAsia="宋体" w:cs="Times New Roman"/>
                <w:snapToGrid w:val="0"/>
                <w:color w:val="auto"/>
                <w:kern w:val="0"/>
                <w:sz w:val="24"/>
                <w:highlight w:val="none"/>
              </w:rPr>
              <w:t xml:space="preserve">-------空气吸收引起的A声级衰减量，dB；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gy</w:t>
            </w:r>
            <w:r>
              <w:rPr>
                <w:rFonts w:hint="default" w:ascii="Times New Roman" w:hAnsi="Times New Roman" w:eastAsia="宋体" w:cs="Times New Roman"/>
                <w:snapToGrid w:val="0"/>
                <w:color w:val="auto"/>
                <w:kern w:val="0"/>
                <w:sz w:val="24"/>
                <w:highlight w:val="none"/>
              </w:rPr>
              <w:t>-------地面效应衰减量，dB；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misc</w:t>
            </w:r>
            <w:r>
              <w:rPr>
                <w:rFonts w:hint="default" w:ascii="Times New Roman" w:hAnsi="Times New Roman" w:eastAsia="宋体" w:cs="Times New Roman"/>
                <w:snapToGrid w:val="0"/>
                <w:color w:val="auto"/>
                <w:kern w:val="0"/>
                <w:sz w:val="24"/>
                <w:highlight w:val="none"/>
              </w:rPr>
              <w:t>-------其他多方面效应，dB；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8"/>
                <w:highlight w:val="none"/>
              </w:rPr>
            </w:pPr>
            <w:r>
              <w:rPr>
                <w:rFonts w:hint="default" w:ascii="Times New Roman" w:hAnsi="Times New Roman" w:eastAsia="宋体" w:cs="Times New Roman"/>
                <w:snapToGrid w:val="0"/>
                <w:color w:val="auto"/>
                <w:kern w:val="0"/>
                <w:sz w:val="24"/>
                <w:highlight w:val="none"/>
              </w:rPr>
              <w:t>根据建设单位确认，生产车间较为平坦，预测点主要集中在厂界外1m处，故本次评价不考虑A</w:t>
            </w:r>
            <w:r>
              <w:rPr>
                <w:rFonts w:hint="default" w:ascii="Times New Roman" w:hAnsi="Times New Roman" w:eastAsia="宋体" w:cs="Times New Roman"/>
                <w:snapToGrid w:val="0"/>
                <w:color w:val="auto"/>
                <w:kern w:val="0"/>
                <w:sz w:val="24"/>
                <w:highlight w:val="none"/>
                <w:vertAlign w:val="subscript"/>
              </w:rPr>
              <w:t>gy</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atm</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misc</w:t>
            </w:r>
            <w:r>
              <w:rPr>
                <w:rFonts w:hint="default" w:ascii="Times New Roman" w:hAnsi="Times New Roman" w:eastAsia="宋体" w:cs="Times New Roman"/>
                <w:snapToGrid w:val="0"/>
                <w:color w:val="auto"/>
                <w:kern w:val="0"/>
                <w:sz w:val="24"/>
                <w:highlight w:val="none"/>
              </w:rPr>
              <w:t>。故本公式可简化为：</w:t>
            </w:r>
            <w:r>
              <w:rPr>
                <w:rFonts w:hint="default" w:ascii="Times New Roman" w:hAnsi="Times New Roman" w:eastAsia="宋体" w:cs="Times New Roman"/>
                <w:snapToGrid w:val="0"/>
                <w:color w:val="auto"/>
                <w:kern w:val="0"/>
                <w:sz w:val="24"/>
                <w:szCs w:val="28"/>
                <w:highlight w:val="none"/>
              </w:rPr>
              <w:t xml:space="preserve"> </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szCs w:val="28"/>
                <w:highlight w:val="none"/>
              </w:rPr>
            </w:pPr>
            <w:r>
              <w:rPr>
                <w:rFonts w:hint="default" w:ascii="Times New Roman" w:hAnsi="Times New Roman" w:eastAsia="宋体" w:cs="Times New Roman"/>
                <w:snapToGrid w:val="0"/>
                <w:color w:val="auto"/>
                <w:kern w:val="0"/>
                <w:sz w:val="24"/>
                <w:szCs w:val="28"/>
                <w:highlight w:val="none"/>
              </w:rPr>
              <w:t>L</w:t>
            </w:r>
            <w:r>
              <w:rPr>
                <w:rFonts w:hint="default" w:ascii="Times New Roman" w:hAnsi="Times New Roman" w:eastAsia="宋体" w:cs="Times New Roman"/>
                <w:i/>
                <w:iCs/>
                <w:snapToGrid w:val="0"/>
                <w:color w:val="auto"/>
                <w:kern w:val="0"/>
                <w:sz w:val="24"/>
                <w:szCs w:val="28"/>
                <w:highlight w:val="none"/>
              </w:rPr>
              <w:t>p</w:t>
            </w:r>
            <w:r>
              <w:rPr>
                <w:rFonts w:hint="default" w:ascii="Times New Roman" w:hAnsi="Times New Roman" w:eastAsia="宋体" w:cs="Times New Roman"/>
                <w:snapToGrid w:val="0"/>
                <w:color w:val="auto"/>
                <w:kern w:val="0"/>
                <w:sz w:val="24"/>
                <w:szCs w:val="28"/>
                <w:highlight w:val="none"/>
              </w:rPr>
              <w:t>（r）=L</w:t>
            </w:r>
            <w:r>
              <w:rPr>
                <w:rFonts w:hint="default" w:ascii="Times New Roman" w:hAnsi="Times New Roman" w:eastAsia="宋体" w:cs="Times New Roman"/>
                <w:i/>
                <w:iCs/>
                <w:snapToGrid w:val="0"/>
                <w:color w:val="auto"/>
                <w:kern w:val="0"/>
                <w:sz w:val="24"/>
                <w:szCs w:val="28"/>
                <w:highlight w:val="none"/>
              </w:rPr>
              <w:t>p</w:t>
            </w:r>
            <w:r>
              <w:rPr>
                <w:rFonts w:hint="default" w:ascii="Times New Roman" w:hAnsi="Times New Roman" w:eastAsia="宋体" w:cs="Times New Roman"/>
                <w:snapToGrid w:val="0"/>
                <w:color w:val="auto"/>
                <w:kern w:val="0"/>
                <w:sz w:val="24"/>
                <w:szCs w:val="28"/>
                <w:highlight w:val="none"/>
              </w:rPr>
              <w:t>（r</w:t>
            </w:r>
            <w:r>
              <w:rPr>
                <w:rFonts w:hint="default" w:ascii="Times New Roman" w:hAnsi="Times New Roman" w:eastAsia="宋体" w:cs="Times New Roman"/>
                <w:snapToGrid w:val="0"/>
                <w:color w:val="auto"/>
                <w:kern w:val="0"/>
                <w:sz w:val="24"/>
                <w:szCs w:val="28"/>
                <w:highlight w:val="none"/>
                <w:vertAlign w:val="subscript"/>
              </w:rPr>
              <w:t>0</w:t>
            </w:r>
            <w:r>
              <w:rPr>
                <w:rFonts w:hint="default" w:ascii="Times New Roman" w:hAnsi="Times New Roman" w:eastAsia="宋体" w:cs="Times New Roman"/>
                <w:snapToGrid w:val="0"/>
                <w:color w:val="auto"/>
                <w:kern w:val="0"/>
                <w:sz w:val="24"/>
                <w:szCs w:val="28"/>
                <w:highlight w:val="none"/>
              </w:rPr>
              <w:t>）—（A</w:t>
            </w:r>
            <w:r>
              <w:rPr>
                <w:rFonts w:hint="default" w:ascii="Times New Roman" w:hAnsi="Times New Roman" w:eastAsia="宋体" w:cs="Times New Roman"/>
                <w:snapToGrid w:val="0"/>
                <w:color w:val="auto"/>
                <w:kern w:val="0"/>
                <w:sz w:val="24"/>
                <w:szCs w:val="28"/>
                <w:highlight w:val="none"/>
                <w:vertAlign w:val="subscript"/>
              </w:rPr>
              <w:t>diV</w:t>
            </w:r>
            <w:r>
              <w:rPr>
                <w:rFonts w:hint="default" w:ascii="Times New Roman" w:hAnsi="Times New Roman" w:eastAsia="宋体" w:cs="Times New Roman"/>
                <w:snapToGrid w:val="0"/>
                <w:color w:val="auto"/>
                <w:kern w:val="0"/>
                <w:sz w:val="24"/>
                <w:szCs w:val="28"/>
                <w:highlight w:val="none"/>
              </w:rPr>
              <w:t>+A</w:t>
            </w:r>
            <w:r>
              <w:rPr>
                <w:rFonts w:hint="default" w:ascii="Times New Roman" w:hAnsi="Times New Roman" w:eastAsia="宋体" w:cs="Times New Roman"/>
                <w:snapToGrid w:val="0"/>
                <w:color w:val="auto"/>
                <w:kern w:val="0"/>
                <w:sz w:val="24"/>
                <w:szCs w:val="28"/>
                <w:highlight w:val="none"/>
                <w:vertAlign w:val="subscript"/>
              </w:rPr>
              <w:t>bar</w:t>
            </w:r>
            <w:r>
              <w:rPr>
                <w:rFonts w:hint="default" w:ascii="Times New Roman" w:hAnsi="Times New Roman" w:eastAsia="宋体" w:cs="Times New Roman"/>
                <w:snapToGrid w:val="0"/>
                <w:color w:val="auto"/>
                <w:kern w:val="0"/>
                <w:sz w:val="24"/>
                <w:szCs w:val="28"/>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③屏障引起的衰减（A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位于声源和预测点之间的实体障碍物，如用墙、建筑物、土坡或地堑等起声屏障作用，从而引起声能量的较大衰减。在环境影响评价中，可将各种形式的屏障简化为共有一定高度的薄屏障。</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 声环境》（HJ2.4-2021），在噪声预测中，声屏障插入损失的计算方法需要根据实际情况做简化处理。屏障</w:t>
            </w:r>
            <w:r>
              <w:rPr>
                <w:rFonts w:hint="eastAsia" w:ascii="Times New Roman" w:hAnsi="Times New Roman" w:eastAsia="宋体" w:cs="Times New Roman"/>
                <w:color w:val="auto"/>
                <w:sz w:val="24"/>
                <w:highlight w:val="none"/>
                <w:lang w:eastAsia="zh-CN"/>
              </w:rPr>
              <w:t>衰减</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在单绕射（即薄屏障）情况，衰减最大取20dB；在双绕射（即厚屏障）情况，衰减最大取25dB；本次评价保守估算在各侧厂界取1</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（3）多个声源在预测点处的噪声贡献值叠加采用下式计算：</w:t>
            </w:r>
          </w:p>
          <w:p>
            <w:pPr>
              <w:pageBreakBefore w:val="0"/>
              <w:kinsoku/>
              <w:wordWrap/>
              <w:overflowPunct w:val="0"/>
              <w:bidi w:val="0"/>
              <w:spacing w:line="360" w:lineRule="auto"/>
              <w:jc w:val="center"/>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position w:val="-28"/>
                <w:sz w:val="24"/>
                <w:szCs w:val="21"/>
                <w:highlight w:val="none"/>
              </w:rPr>
              <w:object>
                <v:shape id="_x0000_i1025" o:spt="75" type="#_x0000_t75" style="height:37.5pt;width:144.8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sz w:val="24"/>
                <w:szCs w:val="21"/>
                <w:highlight w:val="none"/>
              </w:rPr>
              <w:t>式中：Leqg——声源在预测点的等效A声级贡献值，dB；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sz w:val="24"/>
                <w:szCs w:val="21"/>
                <w:highlight w:val="none"/>
              </w:rPr>
              <w:t>n——声源个数；</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kern w:val="0"/>
                <w:sz w:val="24"/>
                <w:szCs w:val="21"/>
                <w:highlight w:val="none"/>
              </w:rPr>
              <w:t>L</w:t>
            </w:r>
            <w:r>
              <w:rPr>
                <w:rFonts w:hint="default" w:ascii="Times New Roman" w:hAnsi="Times New Roman" w:eastAsia="宋体" w:cs="Times New Roman"/>
                <w:snapToGrid w:val="0"/>
                <w:color w:val="auto"/>
                <w:kern w:val="0"/>
                <w:sz w:val="24"/>
                <w:szCs w:val="21"/>
                <w:highlight w:val="none"/>
                <w:vertAlign w:val="subscript"/>
              </w:rPr>
              <w:t>i</w:t>
            </w:r>
            <w:r>
              <w:rPr>
                <w:rFonts w:hint="default" w:ascii="Times New Roman" w:hAnsi="Times New Roman" w:eastAsia="宋体" w:cs="Times New Roman"/>
                <w:snapToGrid w:val="0"/>
                <w:color w:val="auto"/>
                <w:kern w:val="0"/>
                <w:sz w:val="24"/>
                <w:szCs w:val="21"/>
                <w:highlight w:val="none"/>
              </w:rPr>
              <w:t>——各声源对某点的声压级，dB</w:t>
            </w:r>
            <w:r>
              <w:rPr>
                <w:rFonts w:hint="default" w:ascii="Times New Roman" w:hAnsi="Times New Roman" w:eastAsia="宋体" w:cs="Times New Roman"/>
                <w:color w:val="auto"/>
                <w:sz w:val="24"/>
                <w:highlight w:val="none"/>
              </w:rPr>
              <w:t>。</w:t>
            </w:r>
          </w:p>
          <w:p>
            <w:pPr>
              <w:pStyle w:val="30"/>
              <w:numPr>
                <w:ilvl w:val="1"/>
                <w:numId w:val="0"/>
              </w:numPr>
              <w:spacing w:line="360" w:lineRule="auto"/>
              <w:ind w:leftChars="200"/>
              <w:jc w:val="left"/>
              <w:rPr>
                <w:rFonts w:hint="eastAsia" w:ascii="Times New Roman" w:hAnsi="Times New Roman"/>
                <w:bCs/>
                <w:color w:val="auto"/>
              </w:rPr>
            </w:pPr>
            <w:r>
              <w:rPr>
                <w:rFonts w:hint="eastAsia" w:ascii="Times New Roman" w:hAnsi="Times New Roman"/>
                <w:bCs/>
                <w:color w:val="auto"/>
                <w:lang w:eastAsia="zh-CN"/>
              </w:rPr>
              <w:t>（</w:t>
            </w:r>
            <w:r>
              <w:rPr>
                <w:rFonts w:hint="eastAsia" w:ascii="Times New Roman" w:hAnsi="Times New Roman"/>
                <w:bCs/>
                <w:color w:val="auto"/>
              </w:rPr>
              <w:t>2）预测结果</w:t>
            </w:r>
          </w:p>
          <w:p>
            <w:pPr>
              <w:pageBreakBefore w:val="0"/>
              <w:widowControl/>
              <w:kinsoku/>
              <w:wordWrap/>
              <w:overflowPunct w:val="0"/>
              <w:bidi w:val="0"/>
              <w:spacing w:line="480" w:lineRule="exact"/>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根据厂区总平面布置图，结合上述预测模型及计算参数，预测运营期厂界外1m处噪声贡献值，本项目建设后厂界噪声贡献值结果详见下表。</w:t>
            </w:r>
          </w:p>
          <w:p>
            <w:pPr>
              <w:jc w:val="center"/>
              <w:rPr>
                <w:b/>
                <w:color w:val="auto"/>
                <w:szCs w:val="21"/>
              </w:rPr>
            </w:pPr>
            <w:r>
              <w:rPr>
                <w:rFonts w:hint="eastAsia"/>
                <w:b/>
                <w:color w:val="auto"/>
                <w:szCs w:val="21"/>
              </w:rPr>
              <w:t>表4-</w:t>
            </w:r>
            <w:r>
              <w:rPr>
                <w:rFonts w:hint="eastAsia"/>
                <w:b/>
                <w:color w:val="auto"/>
                <w:szCs w:val="21"/>
                <w:lang w:val="en-US" w:eastAsia="zh-CN"/>
              </w:rPr>
              <w:t>9</w:t>
            </w:r>
            <w:r>
              <w:rPr>
                <w:b/>
                <w:color w:val="auto"/>
                <w:szCs w:val="21"/>
              </w:rPr>
              <w:t xml:space="preserve"> 建设项目厂界噪声预测结果    单位：dB（A）</w:t>
            </w:r>
          </w:p>
          <w:tbl>
            <w:tblPr>
              <w:tblStyle w:val="27"/>
              <w:tblW w:w="859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802"/>
              <w:gridCol w:w="1710"/>
              <w:gridCol w:w="1711"/>
              <w:gridCol w:w="1182"/>
              <w:gridCol w:w="11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68" w:hRule="atLeast"/>
                <w:jc w:val="center"/>
              </w:trPr>
              <w:tc>
                <w:tcPr>
                  <w:tcW w:w="2802" w:type="dxa"/>
                  <w:vMerge w:val="restart"/>
                  <w:vAlign w:val="center"/>
                </w:tcPr>
                <w:p>
                  <w:pPr>
                    <w:jc w:val="center"/>
                    <w:rPr>
                      <w:bCs/>
                      <w:color w:val="auto"/>
                      <w:highlight w:val="none"/>
                    </w:rPr>
                  </w:pPr>
                  <w:r>
                    <w:rPr>
                      <w:bCs/>
                      <w:color w:val="auto"/>
                      <w:highlight w:val="none"/>
                    </w:rPr>
                    <w:t>预测点</w:t>
                  </w:r>
                </w:p>
              </w:tc>
              <w:tc>
                <w:tcPr>
                  <w:tcW w:w="3421" w:type="dxa"/>
                  <w:gridSpan w:val="2"/>
                  <w:vAlign w:val="center"/>
                </w:tcPr>
                <w:p>
                  <w:pPr>
                    <w:jc w:val="center"/>
                    <w:rPr>
                      <w:bCs/>
                      <w:color w:val="auto"/>
                      <w:highlight w:val="none"/>
                    </w:rPr>
                  </w:pPr>
                  <w:r>
                    <w:rPr>
                      <w:rFonts w:hint="eastAsia"/>
                      <w:bCs/>
                      <w:color w:val="auto"/>
                      <w:highlight w:val="none"/>
                    </w:rPr>
                    <w:t>贡献值</w:t>
                  </w:r>
                </w:p>
              </w:tc>
              <w:tc>
                <w:tcPr>
                  <w:tcW w:w="2367" w:type="dxa"/>
                  <w:gridSpan w:val="2"/>
                  <w:vAlign w:val="center"/>
                </w:tcPr>
                <w:p>
                  <w:pPr>
                    <w:jc w:val="center"/>
                    <w:rPr>
                      <w:bCs/>
                      <w:color w:val="auto"/>
                      <w:highlight w:val="none"/>
                    </w:rPr>
                  </w:pPr>
                  <w:r>
                    <w:rPr>
                      <w:bCs/>
                      <w:color w:val="auto"/>
                      <w:highlight w:val="none"/>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68" w:hRule="atLeast"/>
                <w:jc w:val="center"/>
              </w:trPr>
              <w:tc>
                <w:tcPr>
                  <w:tcW w:w="2802" w:type="dxa"/>
                  <w:vMerge w:val="continue"/>
                  <w:vAlign w:val="center"/>
                </w:tcPr>
                <w:p>
                  <w:pPr>
                    <w:jc w:val="center"/>
                    <w:rPr>
                      <w:bCs/>
                      <w:color w:val="auto"/>
                      <w:highlight w:val="none"/>
                    </w:rPr>
                  </w:pPr>
                </w:p>
              </w:tc>
              <w:tc>
                <w:tcPr>
                  <w:tcW w:w="1710" w:type="dxa"/>
                  <w:vAlign w:val="center"/>
                </w:tcPr>
                <w:p>
                  <w:pPr>
                    <w:jc w:val="center"/>
                    <w:rPr>
                      <w:bCs/>
                      <w:color w:val="auto"/>
                      <w:highlight w:val="none"/>
                    </w:rPr>
                  </w:pPr>
                  <w:r>
                    <w:rPr>
                      <w:rFonts w:hint="eastAsia"/>
                      <w:bCs/>
                      <w:color w:val="auto"/>
                      <w:highlight w:val="none"/>
                    </w:rPr>
                    <w:t>昼间</w:t>
                  </w:r>
                </w:p>
              </w:tc>
              <w:tc>
                <w:tcPr>
                  <w:tcW w:w="1711" w:type="dxa"/>
                  <w:vAlign w:val="center"/>
                </w:tcPr>
                <w:p>
                  <w:pPr>
                    <w:jc w:val="center"/>
                    <w:rPr>
                      <w:rFonts w:hint="eastAsia"/>
                      <w:bCs/>
                      <w:color w:val="auto"/>
                      <w:highlight w:val="none"/>
                    </w:rPr>
                  </w:pPr>
                  <w:r>
                    <w:rPr>
                      <w:rFonts w:hint="eastAsia"/>
                      <w:bCs/>
                      <w:color w:val="auto"/>
                      <w:highlight w:val="none"/>
                    </w:rPr>
                    <w:t>夜间</w:t>
                  </w:r>
                </w:p>
              </w:tc>
              <w:tc>
                <w:tcPr>
                  <w:tcW w:w="1182" w:type="dxa"/>
                  <w:vAlign w:val="center"/>
                </w:tcPr>
                <w:p>
                  <w:pPr>
                    <w:jc w:val="center"/>
                    <w:rPr>
                      <w:bCs/>
                      <w:color w:val="auto"/>
                      <w:highlight w:val="none"/>
                    </w:rPr>
                  </w:pPr>
                  <w:r>
                    <w:rPr>
                      <w:rFonts w:hint="eastAsia"/>
                      <w:bCs/>
                      <w:color w:val="auto"/>
                      <w:highlight w:val="none"/>
                    </w:rPr>
                    <w:t>昼间</w:t>
                  </w:r>
                </w:p>
              </w:tc>
              <w:tc>
                <w:tcPr>
                  <w:tcW w:w="1185" w:type="dxa"/>
                  <w:vAlign w:val="center"/>
                </w:tcPr>
                <w:p>
                  <w:pPr>
                    <w:jc w:val="center"/>
                    <w:rPr>
                      <w:bCs/>
                      <w:color w:val="auto"/>
                      <w:highlight w:val="none"/>
                    </w:rPr>
                  </w:pPr>
                  <w:r>
                    <w:rPr>
                      <w:rFonts w:hint="eastAsia"/>
                      <w:bCs/>
                      <w:color w:val="auto"/>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2" w:hRule="atLeast"/>
                <w:jc w:val="center"/>
              </w:trPr>
              <w:tc>
                <w:tcPr>
                  <w:tcW w:w="2802" w:type="dxa"/>
                  <w:vAlign w:val="center"/>
                </w:tcPr>
                <w:p>
                  <w:pPr>
                    <w:jc w:val="center"/>
                    <w:rPr>
                      <w:rFonts w:hint="eastAsia" w:eastAsia="宋体"/>
                      <w:bCs/>
                      <w:color w:val="auto"/>
                      <w:highlight w:val="none"/>
                      <w:lang w:eastAsia="zh-CN"/>
                    </w:rPr>
                  </w:pPr>
                  <w:bookmarkStart w:id="2" w:name="OLE_LINK13" w:colFirst="1" w:colLast="1"/>
                  <w:r>
                    <w:rPr>
                      <w:bCs/>
                      <w:color w:val="auto"/>
                      <w:highlight w:val="none"/>
                    </w:rPr>
                    <w:t>东厂界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42.6</w:t>
                  </w:r>
                </w:p>
              </w:tc>
              <w:tc>
                <w:tcPr>
                  <w:tcW w:w="1711" w:type="dxa"/>
                  <w:vMerge w:val="restart"/>
                  <w:tcBorders>
                    <w:right w:val="single" w:color="auto" w:sz="4" w:space="0"/>
                  </w:tcBorders>
                  <w:vAlign w:val="center"/>
                </w:tcPr>
                <w:p>
                  <w:pPr>
                    <w:jc w:val="center"/>
                    <w:rPr>
                      <w:rFonts w:hint="default" w:eastAsia="宋体"/>
                      <w:bCs/>
                      <w:color w:val="auto"/>
                      <w:highlight w:val="none"/>
                      <w:lang w:val="en-US" w:eastAsia="zh-CN"/>
                    </w:rPr>
                  </w:pPr>
                  <w:r>
                    <w:rPr>
                      <w:rFonts w:hint="eastAsia" w:eastAsia="宋体"/>
                      <w:bCs/>
                      <w:color w:val="auto"/>
                      <w:highlight w:val="none"/>
                      <w:lang w:val="en-US" w:eastAsia="zh-CN"/>
                    </w:rPr>
                    <w:t>夜间不生产</w:t>
                  </w: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2802" w:type="dxa"/>
                  <w:vAlign w:val="center"/>
                </w:tcPr>
                <w:p>
                  <w:pPr>
                    <w:jc w:val="center"/>
                    <w:rPr>
                      <w:rFonts w:hint="eastAsia" w:eastAsia="宋体"/>
                      <w:bCs/>
                      <w:color w:val="auto"/>
                      <w:highlight w:val="none"/>
                      <w:lang w:eastAsia="zh-CN"/>
                    </w:rPr>
                  </w:pPr>
                  <w:r>
                    <w:rPr>
                      <w:bCs/>
                      <w:color w:val="auto"/>
                      <w:highlight w:val="none"/>
                    </w:rPr>
                    <w:t>南厂界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42.4</w:t>
                  </w:r>
                </w:p>
              </w:tc>
              <w:tc>
                <w:tcPr>
                  <w:tcW w:w="1711" w:type="dxa"/>
                  <w:vMerge w:val="continue"/>
                  <w:tcBorders>
                    <w:right w:val="single" w:color="auto" w:sz="4" w:space="0"/>
                  </w:tcBorders>
                  <w:vAlign w:val="center"/>
                </w:tcPr>
                <w:p>
                  <w:pPr>
                    <w:jc w:val="center"/>
                    <w:rPr>
                      <w:rFonts w:hint="default" w:eastAsia="宋体"/>
                      <w:bCs/>
                      <w:color w:val="auto"/>
                      <w:highlight w:val="none"/>
                      <w:lang w:val="en-US" w:eastAsia="zh-CN"/>
                    </w:rPr>
                  </w:pP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2802" w:type="dxa"/>
                  <w:vAlign w:val="center"/>
                </w:tcPr>
                <w:p>
                  <w:pPr>
                    <w:jc w:val="center"/>
                    <w:rPr>
                      <w:rFonts w:hint="eastAsia" w:eastAsia="宋体"/>
                      <w:bCs/>
                      <w:color w:val="auto"/>
                      <w:highlight w:val="none"/>
                      <w:lang w:eastAsia="zh-CN"/>
                    </w:rPr>
                  </w:pPr>
                  <w:r>
                    <w:rPr>
                      <w:bCs/>
                      <w:color w:val="auto"/>
                      <w:highlight w:val="none"/>
                    </w:rPr>
                    <w:t>西厂界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46.3</w:t>
                  </w:r>
                </w:p>
              </w:tc>
              <w:tc>
                <w:tcPr>
                  <w:tcW w:w="1711" w:type="dxa"/>
                  <w:vMerge w:val="continue"/>
                  <w:tcBorders>
                    <w:right w:val="single" w:color="auto" w:sz="4" w:space="0"/>
                  </w:tcBorders>
                  <w:vAlign w:val="center"/>
                </w:tcPr>
                <w:p>
                  <w:pPr>
                    <w:jc w:val="center"/>
                    <w:rPr>
                      <w:rFonts w:hint="default" w:eastAsia="宋体"/>
                      <w:bCs/>
                      <w:color w:val="auto"/>
                      <w:highlight w:val="none"/>
                      <w:lang w:val="en-US" w:eastAsia="zh-CN"/>
                    </w:rPr>
                  </w:pP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2802" w:type="dxa"/>
                  <w:vAlign w:val="center"/>
                </w:tcPr>
                <w:p>
                  <w:pPr>
                    <w:jc w:val="center"/>
                    <w:rPr>
                      <w:rFonts w:hint="eastAsia" w:eastAsia="宋体"/>
                      <w:bCs/>
                      <w:color w:val="auto"/>
                      <w:highlight w:val="none"/>
                      <w:lang w:eastAsia="zh-CN"/>
                    </w:rPr>
                  </w:pPr>
                  <w:r>
                    <w:rPr>
                      <w:bCs/>
                      <w:color w:val="auto"/>
                      <w:highlight w:val="none"/>
                    </w:rPr>
                    <w:t>北厂界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58.9</w:t>
                  </w:r>
                </w:p>
              </w:tc>
              <w:tc>
                <w:tcPr>
                  <w:tcW w:w="1711" w:type="dxa"/>
                  <w:vMerge w:val="continue"/>
                  <w:tcBorders>
                    <w:right w:val="single" w:color="auto" w:sz="4" w:space="0"/>
                  </w:tcBorders>
                  <w:vAlign w:val="center"/>
                </w:tcPr>
                <w:p>
                  <w:pPr>
                    <w:jc w:val="center"/>
                    <w:rPr>
                      <w:rFonts w:hint="default" w:eastAsia="宋体"/>
                      <w:bCs/>
                      <w:color w:val="auto"/>
                      <w:highlight w:val="none"/>
                      <w:lang w:val="en-US" w:eastAsia="zh-CN"/>
                    </w:rPr>
                  </w:pP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bookmarkEnd w:id="2"/>
          </w:tbl>
          <w:p>
            <w:pPr>
              <w:jc w:val="center"/>
              <w:rPr>
                <w:b/>
                <w:color w:val="auto"/>
                <w:szCs w:val="21"/>
              </w:rPr>
            </w:pPr>
          </w:p>
          <w:p>
            <w:pPr>
              <w:widowControl/>
              <w:spacing w:line="360" w:lineRule="auto"/>
              <w:ind w:firstLine="480" w:firstLineChars="200"/>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综上所述，本项目厂界噪声能够满足《工业企业厂界环境噪声排放标准》</w:t>
            </w:r>
            <w:r>
              <w:rPr>
                <w:color w:val="auto"/>
                <w:kern w:val="0"/>
                <w:sz w:val="24"/>
                <w:highlight w:val="none"/>
                <w:lang w:bidi="ar"/>
              </w:rPr>
              <w:t>（GB12348-2008）中</w:t>
            </w:r>
            <w:r>
              <w:rPr>
                <w:rFonts w:hint="eastAsia"/>
                <w:color w:val="auto"/>
                <w:kern w:val="0"/>
                <w:sz w:val="24"/>
                <w:highlight w:val="none"/>
                <w:lang w:val="en-US" w:eastAsia="zh-CN" w:bidi="ar"/>
              </w:rPr>
              <w:t>2</w:t>
            </w:r>
            <w:r>
              <w:rPr>
                <w:color w:val="auto"/>
                <w:kern w:val="0"/>
                <w:sz w:val="24"/>
                <w:highlight w:val="none"/>
                <w:lang w:bidi="ar"/>
              </w:rPr>
              <w:t>类区标准要求。</w:t>
            </w:r>
          </w:p>
          <w:p>
            <w:pPr>
              <w:spacing w:line="360" w:lineRule="auto"/>
              <w:ind w:firstLine="482" w:firstLineChars="200"/>
              <w:rPr>
                <w:b/>
                <w:bCs/>
                <w:color w:val="auto"/>
                <w:sz w:val="24"/>
                <w:highlight w:val="none"/>
              </w:rPr>
            </w:pPr>
            <w:r>
              <w:rPr>
                <w:rFonts w:hint="eastAsia"/>
                <w:b/>
                <w:bCs/>
                <w:color w:val="auto"/>
                <w:sz w:val="24"/>
                <w:highlight w:val="none"/>
              </w:rPr>
              <w:t>3.4噪声环境影响分析</w:t>
            </w:r>
          </w:p>
          <w:p>
            <w:pPr>
              <w:spacing w:line="360" w:lineRule="auto"/>
              <w:ind w:firstLine="480" w:firstLineChars="200"/>
              <w:rPr>
                <w:rFonts w:hint="eastAsia"/>
                <w:color w:val="auto"/>
                <w:sz w:val="24"/>
              </w:rPr>
            </w:pPr>
            <w:r>
              <w:rPr>
                <w:rFonts w:hint="eastAsia"/>
                <w:color w:val="auto"/>
                <w:sz w:val="24"/>
                <w:highlight w:val="none"/>
              </w:rPr>
              <w:t>本项目产生的噪声为生产过程中的设备噪声，本项目购置设备为低噪声设备</w:t>
            </w:r>
            <w:r>
              <w:rPr>
                <w:rFonts w:hint="eastAsia"/>
                <w:bCs/>
                <w:color w:val="auto"/>
                <w:sz w:val="24"/>
                <w:highlight w:val="none"/>
              </w:rPr>
              <w:t>，经厂房隔声、距离衰减，</w:t>
            </w:r>
            <w:r>
              <w:rPr>
                <w:rFonts w:hint="eastAsia"/>
                <w:bCs/>
                <w:color w:val="auto"/>
                <w:sz w:val="24"/>
                <w:highlight w:val="none"/>
                <w:lang w:eastAsia="zh-CN"/>
              </w:rPr>
              <w:t>加装隔声罩等</w:t>
            </w:r>
            <w:r>
              <w:rPr>
                <w:rFonts w:hint="eastAsia"/>
                <w:bCs/>
                <w:color w:val="auto"/>
                <w:sz w:val="24"/>
                <w:highlight w:val="none"/>
              </w:rPr>
              <w:t>措施，可确保厂界噪声满足</w:t>
            </w:r>
            <w:r>
              <w:rPr>
                <w:color w:val="auto"/>
                <w:sz w:val="24"/>
                <w:highlight w:val="none"/>
              </w:rPr>
              <w:t>《工业企业厂界环境噪声排放标准》（GB12348-2008）</w:t>
            </w:r>
            <w:r>
              <w:rPr>
                <w:rFonts w:hint="eastAsia"/>
                <w:color w:val="auto"/>
                <w:sz w:val="24"/>
                <w:highlight w:val="none"/>
              </w:rPr>
              <w:t>中</w:t>
            </w:r>
            <w:r>
              <w:rPr>
                <w:rFonts w:hint="eastAsia"/>
                <w:color w:val="auto"/>
                <w:sz w:val="24"/>
                <w:highlight w:val="none"/>
                <w:lang w:val="en-US" w:eastAsia="zh-CN"/>
              </w:rPr>
              <w:t>2</w:t>
            </w:r>
            <w:r>
              <w:rPr>
                <w:rFonts w:hint="eastAsia"/>
                <w:color w:val="auto"/>
                <w:sz w:val="24"/>
                <w:highlight w:val="none"/>
              </w:rPr>
              <w:t>类区</w:t>
            </w:r>
            <w:r>
              <w:rPr>
                <w:rFonts w:hint="eastAsia"/>
                <w:color w:val="auto"/>
                <w:sz w:val="24"/>
              </w:rPr>
              <w:t>标准要求，本项目运营过程中不会对项目区域声环境造成较大不利影响。</w:t>
            </w:r>
          </w:p>
          <w:p>
            <w:pPr>
              <w:spacing w:line="360" w:lineRule="auto"/>
              <w:ind w:firstLine="482" w:firstLineChars="200"/>
              <w:rPr>
                <w:b/>
                <w:bCs/>
                <w:color w:val="auto"/>
                <w:sz w:val="24"/>
              </w:rPr>
            </w:pPr>
            <w:r>
              <w:rPr>
                <w:rFonts w:hint="eastAsia"/>
                <w:b/>
                <w:bCs/>
                <w:color w:val="auto"/>
                <w:sz w:val="24"/>
              </w:rPr>
              <w:t>3.5监测要求</w:t>
            </w:r>
          </w:p>
          <w:p>
            <w:pPr>
              <w:pStyle w:val="30"/>
              <w:numPr>
                <w:ilvl w:val="1"/>
                <w:numId w:val="0"/>
              </w:numPr>
              <w:spacing w:line="360" w:lineRule="auto"/>
              <w:ind w:leftChars="200"/>
              <w:rPr>
                <w:rFonts w:ascii="Times New Roman" w:hAnsi="Times New Roman"/>
                <w:b w:val="0"/>
                <w:bCs w:val="0"/>
                <w:color w:val="auto"/>
              </w:rPr>
            </w:pPr>
            <w:r>
              <w:rPr>
                <w:rFonts w:ascii="Times New Roman" w:hAnsi="Times New Roman"/>
                <w:b w:val="0"/>
                <w:bCs w:val="0"/>
                <w:color w:val="auto"/>
              </w:rPr>
              <w:t>根据《</w:t>
            </w:r>
            <w:r>
              <w:rPr>
                <w:rFonts w:hint="eastAsia" w:ascii="Times New Roman" w:hAnsi="Times New Roman"/>
                <w:b w:val="0"/>
                <w:bCs w:val="0"/>
                <w:color w:val="auto"/>
              </w:rPr>
              <w:t>排污许可证申请与核发技术规范工业噪声</w:t>
            </w:r>
            <w:r>
              <w:rPr>
                <w:rFonts w:ascii="Times New Roman" w:hAnsi="Times New Roman"/>
                <w:b w:val="0"/>
                <w:bCs w:val="0"/>
                <w:color w:val="auto"/>
              </w:rPr>
              <w:t>》</w:t>
            </w:r>
            <w:r>
              <w:rPr>
                <w:rFonts w:hint="eastAsia" w:ascii="Times New Roman" w:hAnsi="Times New Roman"/>
                <w:b w:val="0"/>
                <w:bCs w:val="0"/>
                <w:color w:val="auto"/>
              </w:rPr>
              <w:t>（HJ1301-2023）表1要求</w:t>
            </w:r>
            <w:r>
              <w:rPr>
                <w:rFonts w:ascii="Times New Roman" w:hAnsi="Times New Roman"/>
                <w:b w:val="0"/>
                <w:bCs w:val="0"/>
                <w:color w:val="auto"/>
              </w:rPr>
              <w:t>，厂界噪声监测频次为每季度一次，详见下表。</w:t>
            </w:r>
          </w:p>
          <w:p>
            <w:pPr>
              <w:pStyle w:val="38"/>
              <w:spacing w:line="240" w:lineRule="auto"/>
              <w:ind w:firstLine="0"/>
              <w:jc w:val="center"/>
              <w:rPr>
                <w:b/>
                <w:color w:val="auto"/>
                <w:sz w:val="21"/>
                <w:szCs w:val="21"/>
              </w:rPr>
            </w:pPr>
            <w:r>
              <w:rPr>
                <w:rFonts w:ascii="Times New Roman"/>
                <w:b/>
                <w:color w:val="auto"/>
                <w:sz w:val="21"/>
                <w:szCs w:val="21"/>
              </w:rPr>
              <w:t>表4-</w:t>
            </w:r>
            <w:r>
              <w:rPr>
                <w:rFonts w:hint="eastAsia" w:ascii="Times New Roman"/>
                <w:b/>
                <w:color w:val="auto"/>
                <w:sz w:val="21"/>
                <w:szCs w:val="21"/>
                <w:lang w:val="en-US" w:eastAsia="zh-CN"/>
              </w:rPr>
              <w:t>10</w:t>
            </w:r>
            <w:r>
              <w:rPr>
                <w:rFonts w:ascii="Times New Roman"/>
                <w:b/>
                <w:color w:val="auto"/>
                <w:sz w:val="21"/>
                <w:szCs w:val="21"/>
              </w:rPr>
              <w:t xml:space="preserve">  建设项目厂界噪声预测结果</w:t>
            </w:r>
          </w:p>
          <w:tbl>
            <w:tblPr>
              <w:tblStyle w:val="27"/>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149"/>
              <w:gridCol w:w="2149"/>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9" w:type="dxa"/>
                  <w:vAlign w:val="top"/>
                </w:tcPr>
                <w:p>
                  <w:pPr>
                    <w:pStyle w:val="38"/>
                    <w:spacing w:line="240" w:lineRule="auto"/>
                    <w:ind w:firstLine="0"/>
                    <w:jc w:val="center"/>
                    <w:rPr>
                      <w:b/>
                      <w:color w:val="auto"/>
                      <w:sz w:val="21"/>
                      <w:szCs w:val="21"/>
                    </w:rPr>
                  </w:pPr>
                  <w:r>
                    <w:rPr>
                      <w:rFonts w:hint="eastAsia"/>
                      <w:b/>
                      <w:color w:val="auto"/>
                      <w:sz w:val="21"/>
                      <w:szCs w:val="21"/>
                    </w:rPr>
                    <w:t>污染源名称</w:t>
                  </w:r>
                </w:p>
              </w:tc>
              <w:tc>
                <w:tcPr>
                  <w:tcW w:w="2149" w:type="dxa"/>
                  <w:vAlign w:val="top"/>
                </w:tcPr>
                <w:p>
                  <w:pPr>
                    <w:pStyle w:val="38"/>
                    <w:spacing w:line="240" w:lineRule="auto"/>
                    <w:ind w:firstLine="0"/>
                    <w:jc w:val="center"/>
                    <w:rPr>
                      <w:b/>
                      <w:color w:val="auto"/>
                      <w:sz w:val="21"/>
                      <w:szCs w:val="21"/>
                    </w:rPr>
                  </w:pPr>
                  <w:r>
                    <w:rPr>
                      <w:rFonts w:hint="eastAsia"/>
                      <w:b/>
                      <w:color w:val="auto"/>
                      <w:sz w:val="21"/>
                      <w:szCs w:val="21"/>
                    </w:rPr>
                    <w:t>监测位置</w:t>
                  </w:r>
                </w:p>
              </w:tc>
              <w:tc>
                <w:tcPr>
                  <w:tcW w:w="2149" w:type="dxa"/>
                  <w:vAlign w:val="top"/>
                </w:tcPr>
                <w:p>
                  <w:pPr>
                    <w:pStyle w:val="38"/>
                    <w:spacing w:line="240" w:lineRule="auto"/>
                    <w:ind w:firstLine="0"/>
                    <w:jc w:val="center"/>
                    <w:rPr>
                      <w:b/>
                      <w:color w:val="auto"/>
                      <w:sz w:val="21"/>
                      <w:szCs w:val="21"/>
                    </w:rPr>
                  </w:pPr>
                  <w:r>
                    <w:rPr>
                      <w:rFonts w:hint="eastAsia"/>
                      <w:b/>
                      <w:color w:val="auto"/>
                      <w:sz w:val="21"/>
                      <w:szCs w:val="21"/>
                    </w:rPr>
                    <w:t>监测项目</w:t>
                  </w:r>
                </w:p>
              </w:tc>
              <w:tc>
                <w:tcPr>
                  <w:tcW w:w="2150" w:type="dxa"/>
                  <w:vAlign w:val="top"/>
                </w:tcPr>
                <w:p>
                  <w:pPr>
                    <w:pStyle w:val="38"/>
                    <w:spacing w:line="240" w:lineRule="auto"/>
                    <w:ind w:firstLine="0"/>
                    <w:jc w:val="center"/>
                    <w:rPr>
                      <w:b/>
                      <w:color w:val="auto"/>
                      <w:sz w:val="21"/>
                      <w:szCs w:val="21"/>
                    </w:rPr>
                  </w:pPr>
                  <w:r>
                    <w:rPr>
                      <w:rFonts w:hint="eastAsia"/>
                      <w:b/>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9" w:type="dxa"/>
                  <w:vAlign w:val="top"/>
                </w:tcPr>
                <w:p>
                  <w:pPr>
                    <w:pStyle w:val="38"/>
                    <w:spacing w:line="240" w:lineRule="auto"/>
                    <w:ind w:firstLine="0"/>
                    <w:jc w:val="center"/>
                    <w:rPr>
                      <w:bCs/>
                      <w:color w:val="auto"/>
                      <w:sz w:val="21"/>
                      <w:szCs w:val="21"/>
                    </w:rPr>
                  </w:pPr>
                  <w:r>
                    <w:rPr>
                      <w:rFonts w:hint="eastAsia"/>
                      <w:bCs/>
                      <w:color w:val="auto"/>
                      <w:sz w:val="21"/>
                      <w:szCs w:val="21"/>
                    </w:rPr>
                    <w:t>噪声</w:t>
                  </w:r>
                </w:p>
              </w:tc>
              <w:tc>
                <w:tcPr>
                  <w:tcW w:w="2149" w:type="dxa"/>
                  <w:vAlign w:val="top"/>
                </w:tcPr>
                <w:p>
                  <w:pPr>
                    <w:pStyle w:val="38"/>
                    <w:spacing w:line="240" w:lineRule="auto"/>
                    <w:ind w:firstLine="0"/>
                    <w:jc w:val="center"/>
                    <w:rPr>
                      <w:bCs/>
                      <w:color w:val="auto"/>
                      <w:sz w:val="21"/>
                      <w:szCs w:val="21"/>
                    </w:rPr>
                  </w:pPr>
                  <w:r>
                    <w:rPr>
                      <w:rFonts w:hint="eastAsia"/>
                      <w:bCs/>
                      <w:color w:val="auto"/>
                      <w:sz w:val="21"/>
                      <w:szCs w:val="21"/>
                    </w:rPr>
                    <w:t>厂界</w:t>
                  </w:r>
                </w:p>
              </w:tc>
              <w:tc>
                <w:tcPr>
                  <w:tcW w:w="2149" w:type="dxa"/>
                  <w:vAlign w:val="top"/>
                </w:tcPr>
                <w:p>
                  <w:pPr>
                    <w:pStyle w:val="38"/>
                    <w:spacing w:line="240" w:lineRule="auto"/>
                    <w:ind w:firstLine="0"/>
                    <w:jc w:val="center"/>
                    <w:rPr>
                      <w:bCs/>
                      <w:color w:val="auto"/>
                      <w:sz w:val="21"/>
                      <w:szCs w:val="21"/>
                    </w:rPr>
                  </w:pPr>
                  <w:r>
                    <w:rPr>
                      <w:rFonts w:hint="eastAsia"/>
                      <w:bCs/>
                      <w:color w:val="auto"/>
                      <w:sz w:val="21"/>
                      <w:szCs w:val="21"/>
                    </w:rPr>
                    <w:t>等效A声级</w:t>
                  </w:r>
                </w:p>
              </w:tc>
              <w:tc>
                <w:tcPr>
                  <w:tcW w:w="2150" w:type="dxa"/>
                  <w:vAlign w:val="top"/>
                </w:tcPr>
                <w:p>
                  <w:pPr>
                    <w:pStyle w:val="38"/>
                    <w:spacing w:line="240" w:lineRule="auto"/>
                    <w:ind w:firstLine="0"/>
                    <w:jc w:val="center"/>
                    <w:rPr>
                      <w:bCs/>
                      <w:color w:val="auto"/>
                      <w:sz w:val="21"/>
                      <w:szCs w:val="21"/>
                    </w:rPr>
                  </w:pPr>
                  <w:r>
                    <w:rPr>
                      <w:rFonts w:hint="eastAsia"/>
                      <w:bCs/>
                      <w:color w:val="auto"/>
                      <w:sz w:val="21"/>
                      <w:szCs w:val="21"/>
                    </w:rPr>
                    <w:t>1次/季</w:t>
                  </w:r>
                </w:p>
              </w:tc>
            </w:tr>
          </w:tbl>
          <w:p>
            <w:pPr>
              <w:pStyle w:val="38"/>
              <w:rPr>
                <w:b/>
                <w:color w:val="auto"/>
                <w:szCs w:val="21"/>
              </w:rPr>
            </w:pPr>
          </w:p>
          <w:p>
            <w:pPr>
              <w:widowControl/>
              <w:spacing w:line="360" w:lineRule="auto"/>
              <w:ind w:firstLine="482" w:firstLineChars="200"/>
              <w:jc w:val="left"/>
              <w:rPr>
                <w:color w:val="auto"/>
              </w:rPr>
            </w:pPr>
            <w:r>
              <w:rPr>
                <w:rFonts w:hint="eastAsia" w:ascii="宋体" w:hAnsi="宋体" w:cs="宋体"/>
                <w:b/>
                <w:bCs/>
                <w:color w:val="auto"/>
                <w:kern w:val="0"/>
                <w:sz w:val="24"/>
                <w:lang w:bidi="ar"/>
              </w:rPr>
              <w:t>4运营期固体废物环境影响和保护措施</w:t>
            </w:r>
          </w:p>
          <w:p>
            <w:pPr>
              <w:spacing w:line="360" w:lineRule="auto"/>
              <w:ind w:firstLine="482" w:firstLineChars="200"/>
              <w:rPr>
                <w:b/>
                <w:bCs/>
                <w:color w:val="auto"/>
                <w:sz w:val="24"/>
              </w:rPr>
            </w:pPr>
            <w:r>
              <w:rPr>
                <w:rFonts w:hint="eastAsia"/>
                <w:b/>
                <w:bCs/>
                <w:color w:val="auto"/>
                <w:sz w:val="24"/>
              </w:rPr>
              <w:t>4.1项目固体废物产生及处置情况</w:t>
            </w:r>
          </w:p>
          <w:p>
            <w:pPr>
              <w:spacing w:line="360" w:lineRule="auto"/>
              <w:ind w:firstLine="482" w:firstLineChars="200"/>
              <w:rPr>
                <w:b/>
                <w:bCs/>
                <w:color w:val="auto"/>
                <w:sz w:val="24"/>
              </w:rPr>
            </w:pPr>
            <w:r>
              <w:rPr>
                <w:b/>
                <w:bCs/>
                <w:color w:val="auto"/>
                <w:sz w:val="24"/>
              </w:rPr>
              <w:t>生活垃圾</w:t>
            </w:r>
          </w:p>
          <w:p>
            <w:pPr>
              <w:spacing w:line="360" w:lineRule="auto"/>
              <w:ind w:firstLine="480" w:firstLineChars="200"/>
              <w:rPr>
                <w:color w:val="auto"/>
                <w:sz w:val="24"/>
              </w:rPr>
            </w:pPr>
            <w:r>
              <w:rPr>
                <w:rFonts w:hint="eastAsia"/>
                <w:color w:val="auto"/>
                <w:sz w:val="24"/>
              </w:rPr>
              <w:t>本项目劳动定员</w:t>
            </w:r>
            <w:r>
              <w:rPr>
                <w:rFonts w:hint="eastAsia"/>
                <w:color w:val="auto"/>
                <w:sz w:val="24"/>
                <w:lang w:val="en-US" w:eastAsia="zh-CN"/>
              </w:rPr>
              <w:t>5</w:t>
            </w:r>
            <w:r>
              <w:rPr>
                <w:rFonts w:hint="eastAsia"/>
                <w:color w:val="auto"/>
                <w:sz w:val="24"/>
              </w:rPr>
              <w:t>人，</w:t>
            </w:r>
            <w:r>
              <w:rPr>
                <w:color w:val="auto"/>
                <w:sz w:val="24"/>
              </w:rPr>
              <w:t>人均生活垃圾产生量按0.5 kg/d 计，则生活垃圾产生量约</w:t>
            </w:r>
            <w:r>
              <w:rPr>
                <w:rFonts w:hint="eastAsia"/>
                <w:color w:val="auto"/>
                <w:sz w:val="24"/>
                <w:lang w:val="en-US" w:eastAsia="zh-CN"/>
              </w:rPr>
              <w:t>0.375</w:t>
            </w:r>
            <w:r>
              <w:rPr>
                <w:color w:val="auto"/>
                <w:sz w:val="24"/>
              </w:rPr>
              <w:t>t/a。</w:t>
            </w:r>
          </w:p>
          <w:p>
            <w:pPr>
              <w:spacing w:line="360" w:lineRule="auto"/>
              <w:ind w:firstLine="482" w:firstLineChars="200"/>
              <w:rPr>
                <w:rFonts w:hint="eastAsia"/>
                <w:color w:val="auto"/>
                <w:sz w:val="24"/>
              </w:rPr>
            </w:pPr>
            <w:r>
              <w:rPr>
                <w:rFonts w:hint="eastAsia"/>
                <w:b/>
                <w:bCs/>
                <w:color w:val="auto"/>
                <w:sz w:val="24"/>
              </w:rPr>
              <w:t>治理措施</w:t>
            </w:r>
            <w:r>
              <w:rPr>
                <w:rFonts w:hint="eastAsia"/>
                <w:color w:val="auto"/>
                <w:sz w:val="24"/>
              </w:rPr>
              <w:t>：设置垃圾桶进行分类回收，交环卫部门进行清运。</w:t>
            </w:r>
          </w:p>
          <w:p>
            <w:pPr>
              <w:spacing w:line="360" w:lineRule="auto"/>
              <w:ind w:firstLine="482" w:firstLineChars="200"/>
              <w:rPr>
                <w:b/>
                <w:bCs/>
                <w:color w:val="auto"/>
                <w:sz w:val="24"/>
              </w:rPr>
            </w:pPr>
            <w:r>
              <w:rPr>
                <w:b/>
                <w:bCs/>
                <w:color w:val="auto"/>
                <w:sz w:val="24"/>
              </w:rPr>
              <w:t>一般工业固体废物</w:t>
            </w:r>
          </w:p>
          <w:p>
            <w:pPr>
              <w:spacing w:line="360" w:lineRule="auto"/>
              <w:ind w:firstLine="480" w:firstLineChars="200"/>
              <w:rPr>
                <w:rFonts w:ascii="Times New Roman" w:hAnsi="Times New Roman" w:eastAsia="宋体" w:cs="Times New Roman"/>
                <w:sz w:val="24"/>
                <w:szCs w:val="24"/>
                <w:highlight w:val="none"/>
              </w:rPr>
            </w:pPr>
            <w:r>
              <w:rPr>
                <w:rFonts w:ascii="Times New Roman" w:hAnsi="Times New Roman"/>
                <w:b w:val="0"/>
                <w:bCs w:val="0"/>
                <w:color w:val="auto"/>
                <w:sz w:val="24"/>
                <w:highlight w:val="none"/>
              </w:rPr>
              <w:t>①</w:t>
            </w:r>
            <w:r>
              <w:rPr>
                <w:rFonts w:hint="eastAsia"/>
                <w:b w:val="0"/>
                <w:bCs w:val="0"/>
                <w:color w:val="auto"/>
                <w:sz w:val="24"/>
                <w:highlight w:val="none"/>
                <w:lang w:val="en-US" w:eastAsia="zh-CN"/>
              </w:rPr>
              <w:t>清选杂质</w:t>
            </w:r>
            <w:r>
              <w:rPr>
                <w:rFonts w:ascii="Times New Roman" w:hAnsi="Times New Roman"/>
                <w:b w:val="0"/>
                <w:bCs w:val="0"/>
                <w:color w:val="auto"/>
                <w:sz w:val="24"/>
                <w:highlight w:val="none"/>
              </w:rPr>
              <w:t>：</w:t>
            </w:r>
            <w:r>
              <w:rPr>
                <w:rFonts w:ascii="Times New Roman" w:hAnsi="Times New Roman" w:eastAsia="宋体" w:cs="Times New Roman"/>
                <w:sz w:val="24"/>
                <w:szCs w:val="24"/>
                <w:highlight w:val="none"/>
              </w:rPr>
              <w:t>本项目在清选过程中会产生杂质，根据企业提供的资料，原粮中约有1%的杂质，则杂质产生量约为</w:t>
            </w:r>
            <w:r>
              <w:rPr>
                <w:rFonts w:hint="eastAsia" w:cs="Times New Roman"/>
                <w:sz w:val="24"/>
                <w:szCs w:val="24"/>
                <w:highlight w:val="none"/>
                <w:lang w:val="en-US" w:eastAsia="zh-CN"/>
              </w:rPr>
              <w:t>66</w:t>
            </w:r>
            <w:r>
              <w:rPr>
                <w:rFonts w:ascii="Times New Roman" w:hAnsi="Times New Roman" w:eastAsia="宋体" w:cs="Times New Roman"/>
                <w:sz w:val="24"/>
                <w:szCs w:val="24"/>
                <w:highlight w:val="none"/>
              </w:rPr>
              <w:t>t/a，收集在一般固废暂存间暂存后，集中收集后外售；</w:t>
            </w:r>
          </w:p>
          <w:p>
            <w:pPr>
              <w:pStyle w:val="21"/>
              <w:spacing w:line="360" w:lineRule="auto"/>
              <w:ind w:firstLine="480" w:firstLineChars="200"/>
              <w:rPr>
                <w:rFonts w:hint="eastAsia"/>
                <w:color w:val="auto"/>
                <w:sz w:val="24"/>
              </w:rPr>
            </w:pPr>
            <w:r>
              <w:rPr>
                <w:rFonts w:hint="default" w:ascii="Times New Roman" w:hAnsi="Times New Roman" w:cs="Times New Roman"/>
                <w:color w:val="auto"/>
                <w:sz w:val="24"/>
                <w:highlight w:val="none"/>
              </w:rPr>
              <w:t>②</w:t>
            </w:r>
            <w:r>
              <w:rPr>
                <w:rFonts w:hint="eastAsia"/>
                <w:color w:val="auto"/>
                <w:sz w:val="24"/>
                <w:highlight w:val="none"/>
              </w:rPr>
              <w:t>除尘器收集的粉尘：根据工程分析</w:t>
            </w:r>
            <w:r>
              <w:rPr>
                <w:rFonts w:hint="eastAsia"/>
                <w:color w:val="auto"/>
                <w:sz w:val="24"/>
              </w:rPr>
              <w:t>，</w:t>
            </w:r>
            <w:r>
              <w:rPr>
                <w:rFonts w:hint="eastAsia"/>
                <w:color w:val="auto"/>
                <w:sz w:val="24"/>
                <w:highlight w:val="none"/>
              </w:rPr>
              <w:t>除尘器收集的粉尘约</w:t>
            </w:r>
            <w:r>
              <w:rPr>
                <w:rFonts w:hint="eastAsia"/>
                <w:color w:val="auto"/>
                <w:sz w:val="24"/>
                <w:highlight w:val="none"/>
                <w:lang w:val="en-US" w:eastAsia="zh-CN"/>
              </w:rPr>
              <w:t>15.783</w:t>
            </w:r>
            <w:r>
              <w:rPr>
                <w:rFonts w:hint="eastAsia"/>
                <w:color w:val="auto"/>
                <w:sz w:val="24"/>
                <w:highlight w:val="none"/>
              </w:rPr>
              <w:t>t/a</w:t>
            </w:r>
            <w:r>
              <w:rPr>
                <w:rFonts w:hint="eastAsia"/>
                <w:color w:val="auto"/>
                <w:sz w:val="24"/>
                <w:highlight w:val="none"/>
                <w:lang w:eastAsia="zh-CN"/>
              </w:rPr>
              <w:t>，</w:t>
            </w:r>
            <w:r>
              <w:rPr>
                <w:rFonts w:ascii="Times New Roman" w:hAnsi="Times New Roman" w:eastAsia="宋体" w:cs="Times New Roman"/>
                <w:sz w:val="24"/>
                <w:szCs w:val="24"/>
              </w:rPr>
              <w:t>集中收集后外售</w:t>
            </w:r>
            <w:r>
              <w:rPr>
                <w:rFonts w:hint="eastAsia"/>
                <w:color w:val="auto"/>
                <w:sz w:val="24"/>
              </w:rPr>
              <w:t>。</w:t>
            </w:r>
          </w:p>
          <w:p>
            <w:pPr>
              <w:spacing w:line="360" w:lineRule="auto"/>
              <w:ind w:firstLine="480" w:firstLineChars="200"/>
              <w:rPr>
                <w:rFonts w:ascii="Times New Roman" w:hAnsi="Times New Roman" w:eastAsia="宋体" w:cs="Times New Roman"/>
                <w:sz w:val="24"/>
                <w:szCs w:val="24"/>
              </w:rPr>
            </w:pPr>
            <w:r>
              <w:rPr>
                <w:rFonts w:hint="default" w:ascii="Times New Roman" w:hAnsi="Times New Roman" w:cs="Times New Roman"/>
                <w:b w:val="0"/>
                <w:bCs w:val="0"/>
                <w:color w:val="auto"/>
                <w:sz w:val="24"/>
              </w:rPr>
              <w:t>③</w:t>
            </w:r>
            <w:r>
              <w:rPr>
                <w:rFonts w:hint="eastAsia"/>
                <w:color w:val="auto"/>
                <w:sz w:val="24"/>
                <w:lang w:eastAsia="zh-CN"/>
              </w:rPr>
              <w:t>灰渣</w:t>
            </w:r>
            <w:r>
              <w:rPr>
                <w:rFonts w:hint="eastAsia"/>
                <w:color w:val="auto"/>
                <w:sz w:val="24"/>
              </w:rPr>
              <w:t>：</w:t>
            </w:r>
            <w:r>
              <w:rPr>
                <w:rFonts w:ascii="Times New Roman" w:hAnsi="Times New Roman" w:eastAsia="宋体" w:cs="Times New Roman"/>
                <w:sz w:val="24"/>
                <w:szCs w:val="24"/>
              </w:rPr>
              <w:t>在成型生物质颗粒燃烧过程中，会产生炉灰，</w:t>
            </w:r>
            <w:r>
              <w:rPr>
                <w:rFonts w:hint="eastAsia" w:ascii="Times New Roman" w:hAnsi="Times New Roman" w:eastAsia="宋体" w:cs="Times New Roman"/>
                <w:sz w:val="24"/>
                <w:szCs w:val="24"/>
                <w:lang w:eastAsia="zh-CN"/>
              </w:rPr>
              <w:t>约为生物质成型燃料用量的</w:t>
            </w:r>
            <w:r>
              <w:rPr>
                <w:rFonts w:hint="eastAsia" w:ascii="Times New Roman" w:hAnsi="Times New Roman" w:eastAsia="宋体" w:cs="Times New Roman"/>
                <w:sz w:val="24"/>
                <w:szCs w:val="24"/>
                <w:lang w:val="en-US" w:eastAsia="zh-CN"/>
              </w:rPr>
              <w:t>5%，即15.27t/a，</w:t>
            </w:r>
            <w:r>
              <w:rPr>
                <w:rFonts w:ascii="Times New Roman" w:hAnsi="Times New Roman" w:eastAsia="宋体" w:cs="Times New Roman"/>
                <w:sz w:val="24"/>
                <w:szCs w:val="24"/>
              </w:rPr>
              <w:t>集中收集后外售</w:t>
            </w:r>
            <w:r>
              <w:rPr>
                <w:rFonts w:hint="eastAsia" w:ascii="Times New Roman" w:hAnsi="Times New Roman" w:eastAsia="宋体" w:cs="Times New Roman"/>
                <w:sz w:val="24"/>
                <w:szCs w:val="24"/>
              </w:rPr>
              <w:t>；</w:t>
            </w:r>
          </w:p>
          <w:p>
            <w:pPr>
              <w:pStyle w:val="30"/>
              <w:numPr>
                <w:ilvl w:val="1"/>
                <w:numId w:val="0"/>
              </w:numPr>
              <w:spacing w:line="360" w:lineRule="auto"/>
              <w:ind w:firstLine="480" w:firstLineChars="200"/>
              <w:rPr>
                <w:b w:val="0"/>
                <w:bCs w:val="0"/>
                <w:color w:val="auto"/>
                <w:sz w:val="24"/>
              </w:rPr>
            </w:pPr>
            <w:r>
              <w:rPr>
                <w:rFonts w:hint="eastAsia"/>
                <w:b w:val="0"/>
                <w:bCs w:val="0"/>
                <w:color w:val="auto"/>
                <w:sz w:val="24"/>
              </w:rPr>
              <w:t>危险</w:t>
            </w:r>
            <w:r>
              <w:rPr>
                <w:b w:val="0"/>
                <w:bCs w:val="0"/>
                <w:color w:val="auto"/>
                <w:sz w:val="24"/>
              </w:rPr>
              <w:t>废物</w:t>
            </w:r>
          </w:p>
          <w:p>
            <w:pPr>
              <w:pStyle w:val="30"/>
              <w:numPr>
                <w:ilvl w:val="1"/>
                <w:numId w:val="0"/>
              </w:numPr>
              <w:snapToGrid w:val="0"/>
              <w:spacing w:line="360" w:lineRule="auto"/>
              <w:ind w:firstLine="480" w:firstLineChars="200"/>
              <w:rPr>
                <w:rFonts w:ascii="Times New Roman" w:hAnsi="Times New Roman"/>
                <w:b w:val="0"/>
                <w:color w:val="auto"/>
              </w:rPr>
            </w:pPr>
            <w:r>
              <w:rPr>
                <w:rFonts w:hint="default" w:ascii="Times New Roman" w:hAnsi="Times New Roman" w:cs="Times New Roman"/>
                <w:b w:val="0"/>
                <w:color w:val="auto"/>
              </w:rPr>
              <w:t>①</w:t>
            </w:r>
            <w:r>
              <w:rPr>
                <w:rFonts w:ascii="Times New Roman" w:hAnsi="Times New Roman"/>
                <w:b w:val="0"/>
                <w:color w:val="auto"/>
              </w:rPr>
              <w:t>废弃的含油抹布、劳保用品：职工操作过程产生的废含油抹布、手套等劳保用品，产生量约为0.05t/a。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②废润滑油：项目设备保养需要使用润滑油，</w:t>
            </w:r>
            <w:r>
              <w:rPr>
                <w:rFonts w:ascii="Times New Roman" w:hAnsi="Times New Roman" w:cs="Times New Roman"/>
                <w:color w:val="auto"/>
                <w:sz w:val="24"/>
              </w:rPr>
              <w:t>产生量为</w:t>
            </w:r>
            <w:r>
              <w:rPr>
                <w:rFonts w:hint="eastAsia" w:cs="Times New Roman"/>
                <w:color w:val="auto"/>
                <w:sz w:val="24"/>
                <w:lang w:val="en-US" w:eastAsia="zh-CN"/>
              </w:rPr>
              <w:t>0.1</w:t>
            </w:r>
            <w:r>
              <w:rPr>
                <w:rFonts w:ascii="Times New Roman" w:hAnsi="Times New Roman" w:cs="Times New Roman"/>
                <w:color w:val="auto"/>
                <w:sz w:val="24"/>
              </w:rPr>
              <w:t>t/a</w:t>
            </w:r>
            <w:r>
              <w:rPr>
                <w:rFonts w:hint="default" w:ascii="Times New Roman" w:hAnsi="Times New Roman" w:cs="Times New Roman"/>
                <w:color w:val="auto"/>
                <w:sz w:val="24"/>
              </w:rPr>
              <w:t>。</w:t>
            </w:r>
          </w:p>
          <w:p>
            <w:pPr>
              <w:spacing w:line="360" w:lineRule="auto"/>
              <w:ind w:firstLine="480" w:firstLineChars="200"/>
              <w:rPr>
                <w:color w:val="auto"/>
                <w:sz w:val="24"/>
              </w:rPr>
            </w:pPr>
            <w:r>
              <w:rPr>
                <w:rFonts w:hint="default" w:ascii="Times New Roman" w:hAnsi="Times New Roman" w:eastAsia="宋体" w:cs="Times New Roman"/>
                <w:color w:val="auto"/>
                <w:sz w:val="24"/>
              </w:rPr>
              <w:t>③</w:t>
            </w:r>
            <w:r>
              <w:rPr>
                <w:color w:val="auto"/>
                <w:sz w:val="24"/>
              </w:rPr>
              <w:t>废润滑油桶：项目润滑油采用25kg/桶</w:t>
            </w:r>
            <w:r>
              <w:rPr>
                <w:rFonts w:hint="eastAsia"/>
                <w:color w:val="auto"/>
                <w:sz w:val="24"/>
              </w:rPr>
              <w:t>盛</w:t>
            </w:r>
            <w:r>
              <w:rPr>
                <w:color w:val="auto"/>
                <w:sz w:val="24"/>
              </w:rPr>
              <w:t>装，每个废桶约2kg，项目</w:t>
            </w:r>
            <w:r>
              <w:rPr>
                <w:rFonts w:hint="eastAsia"/>
                <w:color w:val="auto"/>
                <w:sz w:val="24"/>
              </w:rPr>
              <w:t>润滑油</w:t>
            </w:r>
            <w:r>
              <w:rPr>
                <w:color w:val="auto"/>
                <w:sz w:val="24"/>
              </w:rPr>
              <w:t>用量</w:t>
            </w:r>
            <w:r>
              <w:rPr>
                <w:rFonts w:hint="eastAsia"/>
                <w:color w:val="auto"/>
                <w:sz w:val="24"/>
                <w:lang w:val="en-US" w:eastAsia="zh-CN"/>
              </w:rPr>
              <w:t>0.1</w:t>
            </w:r>
            <w:r>
              <w:rPr>
                <w:color w:val="auto"/>
                <w:sz w:val="24"/>
              </w:rPr>
              <w:t>t（</w:t>
            </w:r>
            <w:r>
              <w:rPr>
                <w:rFonts w:hint="eastAsia"/>
                <w:color w:val="auto"/>
                <w:sz w:val="24"/>
                <w:lang w:val="en-US" w:eastAsia="zh-CN"/>
              </w:rPr>
              <w:t>4</w:t>
            </w:r>
            <w:r>
              <w:rPr>
                <w:color w:val="auto"/>
                <w:sz w:val="24"/>
              </w:rPr>
              <w:t>桶），因此废桶量为</w:t>
            </w:r>
            <w:r>
              <w:rPr>
                <w:rFonts w:hint="eastAsia"/>
                <w:color w:val="auto"/>
                <w:sz w:val="24"/>
                <w:lang w:val="en-US" w:eastAsia="zh-CN"/>
              </w:rPr>
              <w:t>0.008</w:t>
            </w:r>
            <w:r>
              <w:rPr>
                <w:color w:val="auto"/>
                <w:sz w:val="24"/>
              </w:rPr>
              <w:t>t。</w:t>
            </w:r>
          </w:p>
          <w:p>
            <w:pPr>
              <w:spacing w:line="360" w:lineRule="auto"/>
              <w:ind w:firstLine="480" w:firstLineChars="200"/>
              <w:jc w:val="left"/>
              <w:rPr>
                <w:rFonts w:hint="eastAsia"/>
                <w:color w:val="auto"/>
                <w:sz w:val="24"/>
                <w:highlight w:val="none"/>
              </w:rPr>
            </w:pPr>
            <w:r>
              <w:rPr>
                <w:rFonts w:hint="eastAsia"/>
                <w:color w:val="auto"/>
                <w:sz w:val="24"/>
                <w:highlight w:val="none"/>
              </w:rPr>
              <w:t>危险废物收集后分类暂存于</w:t>
            </w:r>
            <w:r>
              <w:rPr>
                <w:color w:val="auto"/>
                <w:sz w:val="24"/>
                <w:highlight w:val="none"/>
              </w:rPr>
              <w:t>危险废物</w:t>
            </w:r>
            <w:r>
              <w:rPr>
                <w:rFonts w:hint="eastAsia"/>
                <w:color w:val="auto"/>
                <w:sz w:val="24"/>
                <w:highlight w:val="none"/>
              </w:rPr>
              <w:t>贮存库</w:t>
            </w:r>
            <w:r>
              <w:rPr>
                <w:color w:val="auto"/>
                <w:sz w:val="24"/>
                <w:highlight w:val="none"/>
              </w:rPr>
              <w:t>暂存</w:t>
            </w:r>
            <w:r>
              <w:rPr>
                <w:rFonts w:hint="eastAsia"/>
                <w:color w:val="auto"/>
                <w:sz w:val="24"/>
                <w:highlight w:val="none"/>
              </w:rPr>
              <w:t>，委托有危废资质的单位处置。</w:t>
            </w:r>
          </w:p>
          <w:p>
            <w:pPr>
              <w:widowControl/>
              <w:jc w:val="center"/>
              <w:rPr>
                <w:rFonts w:hint="eastAsia"/>
                <w:b/>
                <w:bCs/>
                <w:color w:val="auto"/>
                <w:szCs w:val="21"/>
                <w:highlight w:val="none"/>
              </w:rPr>
            </w:pPr>
          </w:p>
          <w:p>
            <w:pPr>
              <w:widowControl/>
              <w:jc w:val="center"/>
              <w:rPr>
                <w:b/>
                <w:bCs/>
                <w:color w:val="auto"/>
                <w:szCs w:val="21"/>
                <w:highlight w:val="none"/>
              </w:rPr>
            </w:pPr>
            <w:r>
              <w:rPr>
                <w:rFonts w:hint="eastAsia"/>
                <w:b/>
                <w:bCs/>
                <w:color w:val="auto"/>
                <w:szCs w:val="21"/>
                <w:highlight w:val="none"/>
              </w:rPr>
              <w:t>表4-1</w:t>
            </w:r>
            <w:r>
              <w:rPr>
                <w:rFonts w:hint="eastAsia"/>
                <w:b/>
                <w:bCs/>
                <w:color w:val="auto"/>
                <w:szCs w:val="21"/>
                <w:highlight w:val="none"/>
                <w:lang w:val="en-US" w:eastAsia="zh-CN"/>
              </w:rPr>
              <w:t>1</w:t>
            </w:r>
            <w:r>
              <w:rPr>
                <w:rFonts w:hint="eastAsia"/>
                <w:b/>
                <w:bCs/>
                <w:color w:val="auto"/>
                <w:szCs w:val="21"/>
                <w:highlight w:val="none"/>
              </w:rPr>
              <w:t xml:space="preserve"> 项目固体废物产生及处置情况一览表</w:t>
            </w:r>
          </w:p>
          <w:tbl>
            <w:tblPr>
              <w:tblStyle w:val="27"/>
              <w:tblW w:w="8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201"/>
              <w:gridCol w:w="742"/>
              <w:gridCol w:w="641"/>
              <w:gridCol w:w="876"/>
              <w:gridCol w:w="1306"/>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36"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序号</w:t>
                  </w:r>
                </w:p>
              </w:tc>
              <w:tc>
                <w:tcPr>
                  <w:tcW w:w="1201"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固废名称</w:t>
                  </w:r>
                </w:p>
              </w:tc>
              <w:tc>
                <w:tcPr>
                  <w:tcW w:w="742"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产生</w:t>
                  </w:r>
                </w:p>
                <w:p>
                  <w:pPr>
                    <w:pStyle w:val="38"/>
                    <w:spacing w:line="240" w:lineRule="auto"/>
                    <w:ind w:firstLine="0"/>
                    <w:jc w:val="center"/>
                    <w:rPr>
                      <w:rFonts w:ascii="Times New Roman"/>
                      <w:color w:val="auto"/>
                      <w:sz w:val="21"/>
                      <w:szCs w:val="21"/>
                    </w:rPr>
                  </w:pPr>
                  <w:r>
                    <w:rPr>
                      <w:rFonts w:hint="eastAsia" w:ascii="Times New Roman"/>
                      <w:color w:val="auto"/>
                      <w:sz w:val="21"/>
                      <w:szCs w:val="21"/>
                    </w:rPr>
                    <w:t>工序</w:t>
                  </w:r>
                </w:p>
              </w:tc>
              <w:tc>
                <w:tcPr>
                  <w:tcW w:w="641"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形态</w:t>
                  </w:r>
                </w:p>
              </w:tc>
              <w:tc>
                <w:tcPr>
                  <w:tcW w:w="876"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主要</w:t>
                  </w:r>
                </w:p>
                <w:p>
                  <w:pPr>
                    <w:pStyle w:val="38"/>
                    <w:spacing w:line="240" w:lineRule="auto"/>
                    <w:ind w:firstLine="0"/>
                    <w:jc w:val="center"/>
                    <w:rPr>
                      <w:rFonts w:ascii="Times New Roman"/>
                      <w:color w:val="auto"/>
                      <w:sz w:val="21"/>
                      <w:szCs w:val="21"/>
                    </w:rPr>
                  </w:pPr>
                  <w:r>
                    <w:rPr>
                      <w:rFonts w:hint="eastAsia" w:ascii="Times New Roman"/>
                      <w:color w:val="auto"/>
                      <w:sz w:val="21"/>
                      <w:szCs w:val="21"/>
                    </w:rPr>
                    <w:t>成分</w:t>
                  </w:r>
                </w:p>
              </w:tc>
              <w:tc>
                <w:tcPr>
                  <w:tcW w:w="1306"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预测产生量（t/a）</w:t>
                  </w:r>
                </w:p>
              </w:tc>
              <w:tc>
                <w:tcPr>
                  <w:tcW w:w="1688"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分类代码</w:t>
                  </w:r>
                </w:p>
              </w:tc>
              <w:tc>
                <w:tcPr>
                  <w:tcW w:w="169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536"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1</w:t>
                  </w:r>
                </w:p>
              </w:tc>
              <w:tc>
                <w:tcPr>
                  <w:tcW w:w="1201"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清选杂质</w:t>
                  </w:r>
                </w:p>
              </w:tc>
              <w:tc>
                <w:tcPr>
                  <w:tcW w:w="742"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清选</w:t>
                  </w:r>
                </w:p>
              </w:tc>
              <w:tc>
                <w:tcPr>
                  <w:tcW w:w="641"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固态</w:t>
                  </w:r>
                </w:p>
              </w:tc>
              <w:tc>
                <w:tcPr>
                  <w:tcW w:w="876"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杂草、石子</w:t>
                  </w:r>
                </w:p>
              </w:tc>
              <w:tc>
                <w:tcPr>
                  <w:tcW w:w="1306"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66</w:t>
                  </w:r>
                </w:p>
              </w:tc>
              <w:tc>
                <w:tcPr>
                  <w:tcW w:w="1688" w:type="dxa"/>
                  <w:vAlign w:val="center"/>
                </w:tcPr>
                <w:p>
                  <w:pPr>
                    <w:pStyle w:val="38"/>
                    <w:spacing w:line="240" w:lineRule="auto"/>
                    <w:ind w:firstLine="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SW</w:t>
                  </w:r>
                  <w:r>
                    <w:rPr>
                      <w:rFonts w:hint="eastAsia" w:ascii="Times New Roman"/>
                      <w:color w:val="auto"/>
                      <w:sz w:val="21"/>
                      <w:szCs w:val="21"/>
                      <w:highlight w:val="none"/>
                      <w:lang w:val="en-US" w:eastAsia="zh-CN"/>
                    </w:rPr>
                    <w:t>59</w:t>
                  </w:r>
                </w:p>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highlight w:val="none"/>
                    </w:rPr>
                    <w:t>900-0</w:t>
                  </w:r>
                  <w:r>
                    <w:rPr>
                      <w:rFonts w:hint="eastAsia" w:ascii="Times New Roman"/>
                      <w:color w:val="auto"/>
                      <w:sz w:val="21"/>
                      <w:szCs w:val="21"/>
                      <w:highlight w:val="none"/>
                      <w:lang w:val="en-US" w:eastAsia="zh-CN"/>
                    </w:rPr>
                    <w:t>99</w:t>
                  </w:r>
                  <w:r>
                    <w:rPr>
                      <w:rFonts w:hint="eastAsia" w:ascii="Times New Roman"/>
                      <w:color w:val="auto"/>
                      <w:sz w:val="21"/>
                      <w:szCs w:val="21"/>
                      <w:highlight w:val="none"/>
                    </w:rPr>
                    <w:t>-S</w:t>
                  </w:r>
                  <w:r>
                    <w:rPr>
                      <w:rFonts w:hint="eastAsia" w:ascii="Times New Roman"/>
                      <w:color w:val="auto"/>
                      <w:sz w:val="21"/>
                      <w:szCs w:val="21"/>
                      <w:highlight w:val="none"/>
                      <w:lang w:eastAsia="zh-CN"/>
                    </w:rPr>
                    <w:t>5</w:t>
                  </w:r>
                  <w:r>
                    <w:rPr>
                      <w:rFonts w:hint="eastAsia" w:ascii="Times New Roman"/>
                      <w:color w:val="auto"/>
                      <w:sz w:val="21"/>
                      <w:szCs w:val="21"/>
                      <w:highlight w:val="none"/>
                      <w:lang w:val="en-US" w:eastAsia="zh-CN"/>
                    </w:rPr>
                    <w:t>9</w:t>
                  </w:r>
                </w:p>
              </w:tc>
              <w:tc>
                <w:tcPr>
                  <w:tcW w:w="1690" w:type="dxa"/>
                  <w:vMerge w:val="restart"/>
                  <w:vAlign w:val="center"/>
                </w:tcPr>
                <w:p>
                  <w:pPr>
                    <w:pStyle w:val="38"/>
                    <w:spacing w:line="240" w:lineRule="auto"/>
                    <w:ind w:firstLine="0"/>
                    <w:jc w:val="center"/>
                    <w:rPr>
                      <w:rFonts w:hint="eastAsia" w:ascii="Times New Roman"/>
                      <w:color w:val="auto"/>
                      <w:sz w:val="21"/>
                      <w:szCs w:val="21"/>
                    </w:rPr>
                  </w:pPr>
                </w:p>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536"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2</w:t>
                  </w:r>
                </w:p>
              </w:tc>
              <w:tc>
                <w:tcPr>
                  <w:tcW w:w="1201"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除尘器收集的粉尘</w:t>
                  </w:r>
                </w:p>
              </w:tc>
              <w:tc>
                <w:tcPr>
                  <w:tcW w:w="742"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环保设备</w:t>
                  </w:r>
                </w:p>
              </w:tc>
              <w:tc>
                <w:tcPr>
                  <w:tcW w:w="641"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固态</w:t>
                  </w:r>
                </w:p>
              </w:tc>
              <w:tc>
                <w:tcPr>
                  <w:tcW w:w="876"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粉尘</w:t>
                  </w:r>
                </w:p>
              </w:tc>
              <w:tc>
                <w:tcPr>
                  <w:tcW w:w="1306" w:type="dxa"/>
                  <w:vAlign w:val="center"/>
                </w:tcPr>
                <w:p>
                  <w:pPr>
                    <w:pStyle w:val="38"/>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15.783</w:t>
                  </w:r>
                </w:p>
              </w:tc>
              <w:tc>
                <w:tcPr>
                  <w:tcW w:w="1688" w:type="dxa"/>
                  <w:vAlign w:val="center"/>
                </w:tcPr>
                <w:p>
                  <w:pPr>
                    <w:pStyle w:val="38"/>
                    <w:spacing w:line="240" w:lineRule="auto"/>
                    <w:ind w:firstLine="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SW</w:t>
                  </w:r>
                  <w:r>
                    <w:rPr>
                      <w:rFonts w:hint="eastAsia" w:ascii="Times New Roman"/>
                      <w:color w:val="auto"/>
                      <w:sz w:val="21"/>
                      <w:szCs w:val="21"/>
                      <w:highlight w:val="none"/>
                      <w:lang w:val="en-US" w:eastAsia="zh-CN"/>
                    </w:rPr>
                    <w:t>59</w:t>
                  </w:r>
                </w:p>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highlight w:val="none"/>
                    </w:rPr>
                    <w:t>900-0</w:t>
                  </w:r>
                  <w:r>
                    <w:rPr>
                      <w:rFonts w:hint="eastAsia" w:ascii="Times New Roman"/>
                      <w:color w:val="auto"/>
                      <w:sz w:val="21"/>
                      <w:szCs w:val="21"/>
                      <w:highlight w:val="none"/>
                      <w:lang w:val="en-US" w:eastAsia="zh-CN"/>
                    </w:rPr>
                    <w:t>99</w:t>
                  </w:r>
                  <w:r>
                    <w:rPr>
                      <w:rFonts w:hint="eastAsia" w:ascii="Times New Roman"/>
                      <w:color w:val="auto"/>
                      <w:sz w:val="21"/>
                      <w:szCs w:val="21"/>
                      <w:highlight w:val="none"/>
                    </w:rPr>
                    <w:t>-S</w:t>
                  </w:r>
                  <w:r>
                    <w:rPr>
                      <w:rFonts w:hint="eastAsia" w:ascii="Times New Roman"/>
                      <w:color w:val="auto"/>
                      <w:sz w:val="21"/>
                      <w:szCs w:val="21"/>
                      <w:highlight w:val="none"/>
                      <w:lang w:eastAsia="zh-CN"/>
                    </w:rPr>
                    <w:t>5</w:t>
                  </w:r>
                  <w:r>
                    <w:rPr>
                      <w:rFonts w:hint="eastAsia" w:ascii="Times New Roman"/>
                      <w:color w:val="auto"/>
                      <w:sz w:val="21"/>
                      <w:szCs w:val="21"/>
                      <w:highlight w:val="none"/>
                      <w:lang w:val="en-US" w:eastAsia="zh-CN"/>
                    </w:rPr>
                    <w:t>9</w:t>
                  </w:r>
                </w:p>
              </w:tc>
              <w:tc>
                <w:tcPr>
                  <w:tcW w:w="1690" w:type="dxa"/>
                  <w:vMerge w:val="continue"/>
                  <w:vAlign w:val="center"/>
                </w:tcPr>
                <w:p>
                  <w:pPr>
                    <w:pStyle w:val="38"/>
                    <w:spacing w:line="240" w:lineRule="auto"/>
                    <w:ind w:firstLine="0"/>
                    <w:jc w:val="center"/>
                    <w:rPr>
                      <w:rFonts w:hint="eastAsia"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536" w:type="dxa"/>
                  <w:vAlign w:val="center"/>
                </w:tcPr>
                <w:p>
                  <w:pPr>
                    <w:pStyle w:val="38"/>
                    <w:spacing w:line="240" w:lineRule="auto"/>
                    <w:ind w:firstLine="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3</w:t>
                  </w:r>
                </w:p>
              </w:tc>
              <w:tc>
                <w:tcPr>
                  <w:tcW w:w="1201" w:type="dxa"/>
                  <w:vAlign w:val="center"/>
                </w:tcPr>
                <w:p>
                  <w:pPr>
                    <w:pStyle w:val="38"/>
                    <w:spacing w:line="240" w:lineRule="auto"/>
                    <w:ind w:firstLine="0"/>
                    <w:jc w:val="center"/>
                    <w:rPr>
                      <w:rFonts w:hint="eastAsia" w:ascii="Times New Roman"/>
                      <w:color w:val="auto"/>
                      <w:sz w:val="21"/>
                      <w:szCs w:val="21"/>
                      <w:lang w:eastAsia="zh-CN"/>
                    </w:rPr>
                  </w:pPr>
                  <w:r>
                    <w:rPr>
                      <w:rFonts w:hint="eastAsia" w:ascii="Times New Roman"/>
                      <w:color w:val="auto"/>
                      <w:sz w:val="21"/>
                      <w:szCs w:val="21"/>
                      <w:lang w:eastAsia="zh-CN"/>
                    </w:rPr>
                    <w:t>灰渣</w:t>
                  </w:r>
                </w:p>
              </w:tc>
              <w:tc>
                <w:tcPr>
                  <w:tcW w:w="742"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w:t>
                  </w:r>
                </w:p>
              </w:tc>
              <w:tc>
                <w:tcPr>
                  <w:tcW w:w="641"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固态</w:t>
                  </w:r>
                </w:p>
              </w:tc>
              <w:tc>
                <w:tcPr>
                  <w:tcW w:w="876" w:type="dxa"/>
                  <w:vAlign w:val="center"/>
                </w:tcPr>
                <w:p>
                  <w:pPr>
                    <w:pStyle w:val="38"/>
                    <w:spacing w:line="240" w:lineRule="auto"/>
                    <w:ind w:firstLine="0"/>
                    <w:jc w:val="center"/>
                    <w:rPr>
                      <w:rFonts w:hint="eastAsia" w:ascii="Times New Roman"/>
                      <w:color w:val="auto"/>
                      <w:sz w:val="21"/>
                      <w:szCs w:val="21"/>
                      <w:lang w:eastAsia="zh-CN"/>
                    </w:rPr>
                  </w:pPr>
                  <w:r>
                    <w:rPr>
                      <w:rFonts w:hint="eastAsia" w:ascii="Times New Roman"/>
                      <w:color w:val="auto"/>
                      <w:sz w:val="21"/>
                      <w:szCs w:val="21"/>
                      <w:lang w:eastAsia="zh-CN"/>
                    </w:rPr>
                    <w:t>粉尘</w:t>
                  </w:r>
                </w:p>
              </w:tc>
              <w:tc>
                <w:tcPr>
                  <w:tcW w:w="1306"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15.27</w:t>
                  </w:r>
                </w:p>
              </w:tc>
              <w:tc>
                <w:tcPr>
                  <w:tcW w:w="1688" w:type="dxa"/>
                  <w:vAlign w:val="center"/>
                </w:tcPr>
                <w:p>
                  <w:pPr>
                    <w:pStyle w:val="38"/>
                    <w:spacing w:line="240" w:lineRule="auto"/>
                    <w:ind w:firstLine="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SW</w:t>
                  </w:r>
                  <w:r>
                    <w:rPr>
                      <w:rFonts w:hint="eastAsia" w:ascii="Times New Roman"/>
                      <w:color w:val="auto"/>
                      <w:sz w:val="21"/>
                      <w:szCs w:val="21"/>
                      <w:highlight w:val="none"/>
                      <w:lang w:val="en-US" w:eastAsia="zh-CN"/>
                    </w:rPr>
                    <w:t>59</w:t>
                  </w:r>
                </w:p>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highlight w:val="none"/>
                    </w:rPr>
                    <w:t>900-0</w:t>
                  </w:r>
                  <w:r>
                    <w:rPr>
                      <w:rFonts w:hint="eastAsia" w:ascii="Times New Roman"/>
                      <w:color w:val="auto"/>
                      <w:sz w:val="21"/>
                      <w:szCs w:val="21"/>
                      <w:highlight w:val="none"/>
                      <w:lang w:val="en-US" w:eastAsia="zh-CN"/>
                    </w:rPr>
                    <w:t>99</w:t>
                  </w:r>
                  <w:r>
                    <w:rPr>
                      <w:rFonts w:hint="eastAsia" w:ascii="Times New Roman"/>
                      <w:color w:val="auto"/>
                      <w:sz w:val="21"/>
                      <w:szCs w:val="21"/>
                      <w:highlight w:val="none"/>
                    </w:rPr>
                    <w:t>-S</w:t>
                  </w:r>
                  <w:r>
                    <w:rPr>
                      <w:rFonts w:hint="eastAsia" w:ascii="Times New Roman"/>
                      <w:color w:val="auto"/>
                      <w:sz w:val="21"/>
                      <w:szCs w:val="21"/>
                      <w:highlight w:val="none"/>
                      <w:lang w:eastAsia="zh-CN"/>
                    </w:rPr>
                    <w:t>5</w:t>
                  </w:r>
                  <w:r>
                    <w:rPr>
                      <w:rFonts w:hint="eastAsia" w:ascii="Times New Roman"/>
                      <w:color w:val="auto"/>
                      <w:sz w:val="21"/>
                      <w:szCs w:val="21"/>
                      <w:highlight w:val="none"/>
                      <w:lang w:val="en-US" w:eastAsia="zh-CN"/>
                    </w:rPr>
                    <w:t>9</w:t>
                  </w:r>
                </w:p>
              </w:tc>
              <w:tc>
                <w:tcPr>
                  <w:tcW w:w="1690" w:type="dxa"/>
                  <w:vMerge w:val="continue"/>
                  <w:vAlign w:val="center"/>
                </w:tcPr>
                <w:p>
                  <w:pPr>
                    <w:pStyle w:val="38"/>
                    <w:spacing w:line="240" w:lineRule="auto"/>
                    <w:ind w:firstLine="0"/>
                    <w:jc w:val="center"/>
                    <w:rPr>
                      <w:rFonts w:hint="eastAsia"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4</w:t>
                  </w:r>
                </w:p>
              </w:tc>
              <w:tc>
                <w:tcPr>
                  <w:tcW w:w="1201" w:type="dxa"/>
                  <w:vAlign w:val="center"/>
                </w:tcPr>
                <w:p>
                  <w:pPr>
                    <w:jc w:val="center"/>
                    <w:rPr>
                      <w:color w:val="auto"/>
                      <w:szCs w:val="21"/>
                    </w:rPr>
                  </w:pPr>
                  <w:r>
                    <w:rPr>
                      <w:rFonts w:hint="eastAsia"/>
                      <w:color w:val="auto"/>
                      <w:szCs w:val="21"/>
                    </w:rPr>
                    <w:t>生活垃圾</w:t>
                  </w:r>
                </w:p>
              </w:tc>
              <w:tc>
                <w:tcPr>
                  <w:tcW w:w="742"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员工</w:t>
                  </w:r>
                </w:p>
                <w:p>
                  <w:pPr>
                    <w:pStyle w:val="38"/>
                    <w:spacing w:line="240" w:lineRule="auto"/>
                    <w:ind w:firstLine="0"/>
                    <w:jc w:val="center"/>
                    <w:rPr>
                      <w:rFonts w:ascii="Times New Roman"/>
                      <w:color w:val="auto"/>
                      <w:sz w:val="21"/>
                      <w:szCs w:val="21"/>
                    </w:rPr>
                  </w:pPr>
                  <w:r>
                    <w:rPr>
                      <w:rFonts w:hint="eastAsia" w:ascii="Times New Roman"/>
                      <w:color w:val="auto"/>
                      <w:sz w:val="21"/>
                      <w:szCs w:val="21"/>
                    </w:rPr>
                    <w:t>生活</w:t>
                  </w:r>
                </w:p>
              </w:tc>
              <w:tc>
                <w:tcPr>
                  <w:tcW w:w="641" w:type="dxa"/>
                  <w:vAlign w:val="center"/>
                </w:tcPr>
                <w:p>
                  <w:pPr>
                    <w:adjustRightInd w:val="0"/>
                    <w:jc w:val="center"/>
                    <w:rPr>
                      <w:color w:val="auto"/>
                      <w:szCs w:val="21"/>
                    </w:rPr>
                  </w:pPr>
                  <w:r>
                    <w:rPr>
                      <w:rFonts w:hint="eastAsia"/>
                      <w:color w:val="auto"/>
                      <w:szCs w:val="21"/>
                    </w:rPr>
                    <w:t>固态</w:t>
                  </w:r>
                </w:p>
              </w:tc>
              <w:tc>
                <w:tcPr>
                  <w:tcW w:w="876"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w:t>
                  </w:r>
                </w:p>
              </w:tc>
              <w:tc>
                <w:tcPr>
                  <w:tcW w:w="1306" w:type="dxa"/>
                  <w:vAlign w:val="center"/>
                </w:tcPr>
                <w:p>
                  <w:pPr>
                    <w:jc w:val="center"/>
                    <w:rPr>
                      <w:rFonts w:hint="default" w:eastAsia="宋体"/>
                      <w:color w:val="auto"/>
                      <w:szCs w:val="21"/>
                      <w:lang w:val="en-US" w:eastAsia="zh-CN"/>
                    </w:rPr>
                  </w:pPr>
                  <w:r>
                    <w:rPr>
                      <w:rFonts w:hint="eastAsia"/>
                      <w:color w:val="auto"/>
                      <w:szCs w:val="21"/>
                      <w:lang w:val="en-US" w:eastAsia="zh-CN"/>
                    </w:rPr>
                    <w:t>0.375</w:t>
                  </w:r>
                </w:p>
              </w:tc>
              <w:tc>
                <w:tcPr>
                  <w:tcW w:w="1688" w:type="dxa"/>
                  <w:vAlign w:val="center"/>
                </w:tcPr>
                <w:p>
                  <w:pPr>
                    <w:jc w:val="center"/>
                    <w:rPr>
                      <w:color w:val="auto"/>
                      <w:szCs w:val="21"/>
                    </w:rPr>
                  </w:pPr>
                  <w:r>
                    <w:rPr>
                      <w:rFonts w:hint="eastAsia"/>
                      <w:color w:val="auto"/>
                      <w:szCs w:val="21"/>
                    </w:rPr>
                    <w:t>--</w:t>
                  </w:r>
                </w:p>
              </w:tc>
              <w:tc>
                <w:tcPr>
                  <w:tcW w:w="1690" w:type="dxa"/>
                  <w:vAlign w:val="center"/>
                </w:tcPr>
                <w:p>
                  <w:pPr>
                    <w:jc w:val="center"/>
                    <w:rPr>
                      <w:color w:val="auto"/>
                      <w:szCs w:val="21"/>
                    </w:rPr>
                  </w:pPr>
                  <w:r>
                    <w:rPr>
                      <w:rFonts w:hint="eastAsia"/>
                      <w:color w:val="auto"/>
                      <w:szCs w:val="21"/>
                    </w:rPr>
                    <w:t>交环卫部门清运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5</w:t>
                  </w:r>
                </w:p>
              </w:tc>
              <w:tc>
                <w:tcPr>
                  <w:tcW w:w="1201" w:type="dxa"/>
                  <w:vAlign w:val="center"/>
                </w:tcPr>
                <w:p>
                  <w:pPr>
                    <w:jc w:val="center"/>
                    <w:rPr>
                      <w:rFonts w:hint="eastAsia"/>
                      <w:color w:val="auto"/>
                      <w:szCs w:val="21"/>
                    </w:rPr>
                  </w:pPr>
                  <w:r>
                    <w:rPr>
                      <w:rFonts w:hint="eastAsia"/>
                      <w:color w:val="auto"/>
                      <w:szCs w:val="21"/>
                    </w:rPr>
                    <w:t>废弃的含油抹布、劳保用品</w:t>
                  </w:r>
                </w:p>
              </w:tc>
              <w:tc>
                <w:tcPr>
                  <w:tcW w:w="742" w:type="dxa"/>
                  <w:vMerge w:val="restart"/>
                  <w:vAlign w:val="center"/>
                </w:tcPr>
                <w:p>
                  <w:pPr>
                    <w:pStyle w:val="38"/>
                    <w:spacing w:line="240" w:lineRule="auto"/>
                    <w:ind w:firstLine="0"/>
                    <w:jc w:val="center"/>
                    <w:rPr>
                      <w:rFonts w:hint="eastAsia" w:ascii="Times New Roman"/>
                      <w:color w:val="auto"/>
                      <w:sz w:val="21"/>
                      <w:szCs w:val="21"/>
                      <w:lang w:val="en-US" w:eastAsia="zh-CN"/>
                    </w:rPr>
                  </w:pPr>
                </w:p>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设备保养</w:t>
                  </w:r>
                </w:p>
                <w:p>
                  <w:pPr>
                    <w:pStyle w:val="38"/>
                    <w:spacing w:line="240" w:lineRule="auto"/>
                    <w:ind w:firstLine="0"/>
                    <w:jc w:val="center"/>
                    <w:rPr>
                      <w:rFonts w:hint="eastAsia" w:ascii="Times New Roman"/>
                      <w:color w:val="auto"/>
                      <w:sz w:val="21"/>
                      <w:szCs w:val="21"/>
                      <w:lang w:eastAsia="zh-CN"/>
                    </w:rPr>
                  </w:pPr>
                </w:p>
              </w:tc>
              <w:tc>
                <w:tcPr>
                  <w:tcW w:w="641" w:type="dxa"/>
                  <w:vAlign w:val="center"/>
                </w:tcPr>
                <w:p>
                  <w:pPr>
                    <w:adjustRightInd w:val="0"/>
                    <w:jc w:val="center"/>
                    <w:rPr>
                      <w:rFonts w:hint="eastAsia"/>
                      <w:color w:val="auto"/>
                      <w:szCs w:val="21"/>
                    </w:rPr>
                  </w:pPr>
                  <w:r>
                    <w:rPr>
                      <w:rFonts w:hint="eastAsia"/>
                      <w:color w:val="auto"/>
                      <w:szCs w:val="21"/>
                    </w:rPr>
                    <w:t>固态</w:t>
                  </w:r>
                </w:p>
              </w:tc>
              <w:tc>
                <w:tcPr>
                  <w:tcW w:w="876"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有机溶剂</w:t>
                  </w:r>
                </w:p>
              </w:tc>
              <w:tc>
                <w:tcPr>
                  <w:tcW w:w="1306" w:type="dxa"/>
                  <w:vAlign w:val="center"/>
                </w:tcPr>
                <w:p>
                  <w:pPr>
                    <w:jc w:val="center"/>
                    <w:rPr>
                      <w:rFonts w:hint="eastAsia"/>
                      <w:color w:val="auto"/>
                      <w:szCs w:val="21"/>
                    </w:rPr>
                  </w:pPr>
                  <w:r>
                    <w:rPr>
                      <w:rFonts w:hint="eastAsia"/>
                      <w:color w:val="auto"/>
                      <w:szCs w:val="21"/>
                    </w:rPr>
                    <w:t>0.05</w:t>
                  </w:r>
                </w:p>
              </w:tc>
              <w:tc>
                <w:tcPr>
                  <w:tcW w:w="1688" w:type="dxa"/>
                  <w:vAlign w:val="center"/>
                </w:tcPr>
                <w:p>
                  <w:pPr>
                    <w:jc w:val="center"/>
                    <w:rPr>
                      <w:color w:val="auto"/>
                      <w:highlight w:val="none"/>
                    </w:rPr>
                  </w:pPr>
                  <w:r>
                    <w:rPr>
                      <w:color w:val="auto"/>
                      <w:highlight w:val="none"/>
                    </w:rPr>
                    <w:t>HW</w:t>
                  </w:r>
                  <w:r>
                    <w:rPr>
                      <w:rFonts w:hint="eastAsia"/>
                      <w:color w:val="auto"/>
                      <w:highlight w:val="none"/>
                    </w:rPr>
                    <w:t>49</w:t>
                  </w:r>
                </w:p>
                <w:p>
                  <w:pPr>
                    <w:jc w:val="center"/>
                    <w:rPr>
                      <w:rFonts w:hint="eastAsia"/>
                      <w:color w:val="auto"/>
                      <w:szCs w:val="21"/>
                    </w:rPr>
                  </w:pPr>
                  <w:r>
                    <w:rPr>
                      <w:bCs/>
                      <w:color w:val="auto"/>
                      <w:szCs w:val="21"/>
                      <w:highlight w:val="none"/>
                    </w:rPr>
                    <w:t>900-</w:t>
                  </w:r>
                  <w:r>
                    <w:rPr>
                      <w:rFonts w:hint="eastAsia"/>
                      <w:bCs/>
                      <w:color w:val="auto"/>
                      <w:szCs w:val="21"/>
                      <w:highlight w:val="none"/>
                    </w:rPr>
                    <w:t>041</w:t>
                  </w:r>
                  <w:r>
                    <w:rPr>
                      <w:bCs/>
                      <w:color w:val="auto"/>
                      <w:szCs w:val="21"/>
                      <w:highlight w:val="none"/>
                    </w:rPr>
                    <w:t>-</w:t>
                  </w:r>
                  <w:r>
                    <w:rPr>
                      <w:rFonts w:hint="eastAsia"/>
                      <w:bCs/>
                      <w:color w:val="auto"/>
                      <w:szCs w:val="21"/>
                      <w:highlight w:val="none"/>
                    </w:rPr>
                    <w:t>49</w:t>
                  </w:r>
                </w:p>
              </w:tc>
              <w:tc>
                <w:tcPr>
                  <w:tcW w:w="1690" w:type="dxa"/>
                  <w:vMerge w:val="restart"/>
                  <w:vAlign w:val="center"/>
                </w:tcPr>
                <w:p>
                  <w:pPr>
                    <w:jc w:val="center"/>
                    <w:rPr>
                      <w:rFonts w:hint="eastAsia" w:eastAsia="宋体"/>
                      <w:color w:val="auto"/>
                      <w:szCs w:val="21"/>
                      <w:lang w:eastAsia="zh-CN"/>
                    </w:rPr>
                  </w:pPr>
                  <w:r>
                    <w:rPr>
                      <w:rFonts w:hint="eastAsia"/>
                      <w:color w:val="auto"/>
                      <w:szCs w:val="21"/>
                      <w:lang w:eastAsia="zh-CN"/>
                    </w:rPr>
                    <w:t>分类贮存于危废贮存库，定期交有资质单位处理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6</w:t>
                  </w:r>
                </w:p>
              </w:tc>
              <w:tc>
                <w:tcPr>
                  <w:tcW w:w="1201" w:type="dxa"/>
                  <w:vAlign w:val="center"/>
                </w:tcPr>
                <w:p>
                  <w:pPr>
                    <w:rPr>
                      <w:rFonts w:hint="eastAsia"/>
                      <w:color w:val="auto"/>
                      <w:szCs w:val="21"/>
                    </w:rPr>
                  </w:pPr>
                  <w:r>
                    <w:rPr>
                      <w:rFonts w:hint="eastAsia"/>
                      <w:color w:val="auto"/>
                      <w:szCs w:val="21"/>
                    </w:rPr>
                    <w:t>废润滑油</w:t>
                  </w:r>
                </w:p>
              </w:tc>
              <w:tc>
                <w:tcPr>
                  <w:tcW w:w="742" w:type="dxa"/>
                  <w:vMerge w:val="continue"/>
                  <w:vAlign w:val="center"/>
                </w:tcPr>
                <w:p>
                  <w:pPr>
                    <w:pStyle w:val="38"/>
                    <w:spacing w:line="240" w:lineRule="auto"/>
                    <w:ind w:firstLine="0"/>
                    <w:jc w:val="center"/>
                    <w:rPr>
                      <w:rFonts w:ascii="Times New Roman"/>
                      <w:color w:val="auto"/>
                      <w:sz w:val="21"/>
                      <w:szCs w:val="21"/>
                    </w:rPr>
                  </w:pPr>
                </w:p>
              </w:tc>
              <w:tc>
                <w:tcPr>
                  <w:tcW w:w="641" w:type="dxa"/>
                  <w:vAlign w:val="center"/>
                </w:tcPr>
                <w:p>
                  <w:pPr>
                    <w:adjustRightInd w:val="0"/>
                    <w:jc w:val="center"/>
                    <w:rPr>
                      <w:rFonts w:hint="eastAsia"/>
                      <w:color w:val="auto"/>
                      <w:szCs w:val="21"/>
                    </w:rPr>
                  </w:pPr>
                  <w:r>
                    <w:rPr>
                      <w:rFonts w:hint="eastAsia"/>
                      <w:color w:val="auto"/>
                      <w:szCs w:val="21"/>
                    </w:rPr>
                    <w:t>液态</w:t>
                  </w:r>
                </w:p>
              </w:tc>
              <w:tc>
                <w:tcPr>
                  <w:tcW w:w="876" w:type="dxa"/>
                  <w:vAlign w:val="center"/>
                </w:tcPr>
                <w:p>
                  <w:pPr>
                    <w:pStyle w:val="38"/>
                    <w:spacing w:line="240" w:lineRule="auto"/>
                    <w:ind w:firstLine="0"/>
                    <w:jc w:val="center"/>
                    <w:rPr>
                      <w:rFonts w:hint="eastAsia" w:ascii="Times New Roman"/>
                      <w:color w:val="auto"/>
                      <w:sz w:val="21"/>
                      <w:szCs w:val="21"/>
                    </w:rPr>
                  </w:pPr>
                  <w:r>
                    <w:rPr>
                      <w:rFonts w:hint="eastAsia" w:ascii="Times New Roman"/>
                      <w:color w:val="auto"/>
                      <w:sz w:val="21"/>
                      <w:szCs w:val="21"/>
                    </w:rPr>
                    <w:t>润滑油</w:t>
                  </w:r>
                </w:p>
              </w:tc>
              <w:tc>
                <w:tcPr>
                  <w:tcW w:w="1306" w:type="dxa"/>
                  <w:vAlign w:val="center"/>
                </w:tcPr>
                <w:p>
                  <w:pPr>
                    <w:jc w:val="center"/>
                    <w:rPr>
                      <w:rFonts w:hint="default" w:eastAsia="宋体"/>
                      <w:color w:val="auto"/>
                      <w:szCs w:val="21"/>
                      <w:lang w:val="en-US" w:eastAsia="zh-CN"/>
                    </w:rPr>
                  </w:pPr>
                  <w:r>
                    <w:rPr>
                      <w:rFonts w:hint="eastAsia"/>
                      <w:color w:val="auto"/>
                      <w:szCs w:val="21"/>
                      <w:lang w:val="en-US" w:eastAsia="zh-CN"/>
                    </w:rPr>
                    <w:t>0.1</w:t>
                  </w:r>
                </w:p>
              </w:tc>
              <w:tc>
                <w:tcPr>
                  <w:tcW w:w="1688" w:type="dxa"/>
                  <w:vAlign w:val="center"/>
                </w:tcPr>
                <w:p>
                  <w:pPr>
                    <w:jc w:val="center"/>
                    <w:rPr>
                      <w:rFonts w:hint="eastAsia"/>
                      <w:color w:val="auto"/>
                      <w:szCs w:val="21"/>
                    </w:rPr>
                  </w:pPr>
                  <w:r>
                    <w:rPr>
                      <w:rFonts w:hint="eastAsia"/>
                      <w:color w:val="auto"/>
                      <w:szCs w:val="21"/>
                    </w:rPr>
                    <w:t>HW08</w:t>
                  </w:r>
                </w:p>
                <w:p>
                  <w:pPr>
                    <w:jc w:val="center"/>
                    <w:rPr>
                      <w:rFonts w:hint="eastAsia"/>
                      <w:color w:val="auto"/>
                      <w:szCs w:val="21"/>
                    </w:rPr>
                  </w:pPr>
                  <w:r>
                    <w:rPr>
                      <w:rFonts w:hint="eastAsia"/>
                      <w:color w:val="auto"/>
                      <w:szCs w:val="21"/>
                    </w:rPr>
                    <w:t>900-214-08</w:t>
                  </w:r>
                </w:p>
              </w:tc>
              <w:tc>
                <w:tcPr>
                  <w:tcW w:w="1690" w:type="dxa"/>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536" w:type="dxa"/>
                  <w:vAlign w:val="center"/>
                </w:tcPr>
                <w:p>
                  <w:pPr>
                    <w:pStyle w:val="38"/>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7</w:t>
                  </w:r>
                </w:p>
                <w:p>
                  <w:pPr>
                    <w:pStyle w:val="38"/>
                    <w:spacing w:line="240" w:lineRule="auto"/>
                    <w:ind w:firstLine="0"/>
                    <w:jc w:val="center"/>
                    <w:rPr>
                      <w:rFonts w:hint="default" w:ascii="Times New Roman" w:eastAsia="宋体"/>
                      <w:color w:val="auto"/>
                      <w:sz w:val="21"/>
                      <w:szCs w:val="21"/>
                      <w:lang w:val="en-US" w:eastAsia="zh-CN"/>
                    </w:rPr>
                  </w:pPr>
                </w:p>
              </w:tc>
              <w:tc>
                <w:tcPr>
                  <w:tcW w:w="1201" w:type="dxa"/>
                  <w:vAlign w:val="center"/>
                </w:tcPr>
                <w:p>
                  <w:pPr>
                    <w:jc w:val="center"/>
                    <w:rPr>
                      <w:rFonts w:hint="eastAsia"/>
                      <w:color w:val="auto"/>
                      <w:szCs w:val="21"/>
                    </w:rPr>
                  </w:pPr>
                  <w:r>
                    <w:rPr>
                      <w:rFonts w:hint="eastAsia"/>
                      <w:color w:val="auto"/>
                      <w:szCs w:val="21"/>
                    </w:rPr>
                    <w:t>废润滑油桶</w:t>
                  </w:r>
                </w:p>
              </w:tc>
              <w:tc>
                <w:tcPr>
                  <w:tcW w:w="742" w:type="dxa"/>
                  <w:vMerge w:val="continue"/>
                  <w:vAlign w:val="center"/>
                </w:tcPr>
                <w:p>
                  <w:pPr>
                    <w:pStyle w:val="38"/>
                    <w:spacing w:line="240" w:lineRule="auto"/>
                    <w:ind w:firstLine="0"/>
                    <w:jc w:val="center"/>
                    <w:rPr>
                      <w:rFonts w:hint="eastAsia" w:ascii="Times New Roman"/>
                      <w:color w:val="auto"/>
                      <w:sz w:val="21"/>
                      <w:szCs w:val="21"/>
                    </w:rPr>
                  </w:pPr>
                </w:p>
              </w:tc>
              <w:tc>
                <w:tcPr>
                  <w:tcW w:w="641" w:type="dxa"/>
                  <w:vAlign w:val="center"/>
                </w:tcPr>
                <w:p>
                  <w:pPr>
                    <w:adjustRightInd w:val="0"/>
                    <w:jc w:val="center"/>
                    <w:rPr>
                      <w:rFonts w:hint="eastAsia"/>
                      <w:color w:val="auto"/>
                      <w:szCs w:val="21"/>
                      <w:lang w:eastAsia="zh-CN"/>
                    </w:rPr>
                  </w:pPr>
                  <w:r>
                    <w:rPr>
                      <w:rFonts w:hint="eastAsia"/>
                      <w:color w:val="auto"/>
                      <w:szCs w:val="21"/>
                    </w:rPr>
                    <w:t>固态</w:t>
                  </w:r>
                </w:p>
              </w:tc>
              <w:tc>
                <w:tcPr>
                  <w:tcW w:w="876" w:type="dxa"/>
                  <w:vAlign w:val="center"/>
                </w:tcPr>
                <w:p>
                  <w:pPr>
                    <w:pStyle w:val="38"/>
                    <w:spacing w:line="240" w:lineRule="auto"/>
                    <w:ind w:firstLine="0"/>
                    <w:jc w:val="center"/>
                    <w:rPr>
                      <w:rFonts w:hint="eastAsia" w:ascii="Times New Roman"/>
                      <w:color w:val="auto"/>
                      <w:sz w:val="21"/>
                      <w:szCs w:val="21"/>
                      <w:lang w:val="en-US" w:eastAsia="zh-CN"/>
                    </w:rPr>
                  </w:pPr>
                  <w:r>
                    <w:rPr>
                      <w:rFonts w:hint="eastAsia" w:ascii="Times New Roman"/>
                      <w:color w:val="auto"/>
                      <w:sz w:val="21"/>
                      <w:szCs w:val="21"/>
                    </w:rPr>
                    <w:t>润滑油</w:t>
                  </w:r>
                </w:p>
              </w:tc>
              <w:tc>
                <w:tcPr>
                  <w:tcW w:w="1306" w:type="dxa"/>
                  <w:vAlign w:val="center"/>
                </w:tcPr>
                <w:p>
                  <w:pPr>
                    <w:jc w:val="center"/>
                    <w:rPr>
                      <w:rFonts w:hint="default"/>
                      <w:color w:val="auto"/>
                      <w:szCs w:val="21"/>
                      <w:lang w:val="en-US" w:eastAsia="zh-CN"/>
                    </w:rPr>
                  </w:pPr>
                  <w:r>
                    <w:rPr>
                      <w:rFonts w:hint="eastAsia"/>
                      <w:color w:val="auto"/>
                      <w:szCs w:val="21"/>
                      <w:lang w:val="en-US" w:eastAsia="zh-CN"/>
                    </w:rPr>
                    <w:t>0.008</w:t>
                  </w:r>
                </w:p>
              </w:tc>
              <w:tc>
                <w:tcPr>
                  <w:tcW w:w="1688" w:type="dxa"/>
                  <w:vAlign w:val="center"/>
                </w:tcPr>
                <w:p>
                  <w:pPr>
                    <w:jc w:val="center"/>
                    <w:rPr>
                      <w:color w:val="auto"/>
                      <w:szCs w:val="21"/>
                    </w:rPr>
                  </w:pPr>
                  <w:r>
                    <w:rPr>
                      <w:rFonts w:hint="eastAsia"/>
                      <w:color w:val="auto"/>
                      <w:szCs w:val="21"/>
                    </w:rPr>
                    <w:t>HW49</w:t>
                  </w:r>
                </w:p>
                <w:p>
                  <w:pPr>
                    <w:jc w:val="center"/>
                    <w:rPr>
                      <w:rFonts w:hint="eastAsia"/>
                      <w:color w:val="auto"/>
                      <w:szCs w:val="21"/>
                    </w:rPr>
                  </w:pPr>
                  <w:r>
                    <w:rPr>
                      <w:rFonts w:hint="eastAsia"/>
                      <w:color w:val="auto"/>
                      <w:szCs w:val="21"/>
                    </w:rPr>
                    <w:t>900-041-49</w:t>
                  </w:r>
                </w:p>
              </w:tc>
              <w:tc>
                <w:tcPr>
                  <w:tcW w:w="1690" w:type="dxa"/>
                  <w:vMerge w:val="continue"/>
                  <w:vAlign w:val="center"/>
                </w:tcPr>
                <w:p>
                  <w:pPr>
                    <w:jc w:val="center"/>
                    <w:rPr>
                      <w:rFonts w:hint="eastAsia"/>
                      <w:color w:val="auto"/>
                      <w:szCs w:val="21"/>
                    </w:rPr>
                  </w:pPr>
                </w:p>
              </w:tc>
            </w:tr>
          </w:tbl>
          <w:p>
            <w:pPr>
              <w:spacing w:line="360" w:lineRule="auto"/>
              <w:ind w:firstLine="480" w:firstLineChars="200"/>
              <w:rPr>
                <w:rFonts w:ascii="宋体" w:hAnsi="宋体" w:cs="宋体"/>
                <w:color w:val="auto"/>
                <w:sz w:val="24"/>
              </w:rPr>
            </w:pPr>
            <w:r>
              <w:rPr>
                <w:rFonts w:ascii="宋体" w:hAnsi="宋体" w:cs="宋体"/>
                <w:color w:val="auto"/>
                <w:sz w:val="24"/>
              </w:rPr>
              <w:t>根据《建设项目危险废物环境影响评价指南》，分析拟建项目危险废物的产生、贮存、处置情况见下表。</w:t>
            </w:r>
          </w:p>
          <w:p>
            <w:pPr>
              <w:widowControl/>
              <w:jc w:val="center"/>
              <w:rPr>
                <w:b/>
                <w:bCs/>
                <w:color w:val="auto"/>
                <w:szCs w:val="21"/>
              </w:rPr>
            </w:pPr>
            <w:r>
              <w:rPr>
                <w:rFonts w:hint="eastAsia"/>
                <w:b/>
                <w:bCs/>
                <w:color w:val="auto"/>
                <w:szCs w:val="21"/>
              </w:rPr>
              <w:t>表4-1</w:t>
            </w:r>
            <w:r>
              <w:rPr>
                <w:rFonts w:hint="eastAsia"/>
                <w:b/>
                <w:bCs/>
                <w:color w:val="auto"/>
                <w:szCs w:val="21"/>
                <w:lang w:val="en-US" w:eastAsia="zh-CN"/>
              </w:rPr>
              <w:t>2</w:t>
            </w:r>
            <w:r>
              <w:rPr>
                <w:rFonts w:hint="eastAsia"/>
                <w:b/>
                <w:bCs/>
                <w:color w:val="auto"/>
                <w:szCs w:val="21"/>
              </w:rPr>
              <w:t xml:space="preserve"> 危险废物</w:t>
            </w:r>
            <w:r>
              <w:rPr>
                <w:rFonts w:hint="eastAsia"/>
                <w:b/>
                <w:bCs/>
                <w:color w:val="auto"/>
                <w:szCs w:val="21"/>
                <w:lang w:eastAsia="zh-CN"/>
              </w:rPr>
              <w:t>汇总表</w:t>
            </w:r>
          </w:p>
          <w:tbl>
            <w:tblPr>
              <w:tblStyle w:val="27"/>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31"/>
              <w:gridCol w:w="1281"/>
              <w:gridCol w:w="725"/>
              <w:gridCol w:w="588"/>
              <w:gridCol w:w="590"/>
              <w:gridCol w:w="831"/>
              <w:gridCol w:w="1283"/>
              <w:gridCol w:w="591"/>
              <w:gridCol w:w="599"/>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危废名称</w:t>
                  </w:r>
                </w:p>
              </w:tc>
              <w:tc>
                <w:tcPr>
                  <w:tcW w:w="831"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危废类别</w:t>
                  </w:r>
                </w:p>
              </w:tc>
              <w:tc>
                <w:tcPr>
                  <w:tcW w:w="1281"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危废代码</w:t>
                  </w:r>
                </w:p>
              </w:tc>
              <w:tc>
                <w:tcPr>
                  <w:tcW w:w="725"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预测产生量t/a</w:t>
                  </w:r>
                </w:p>
              </w:tc>
              <w:tc>
                <w:tcPr>
                  <w:tcW w:w="588"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产生工序</w:t>
                  </w:r>
                </w:p>
              </w:tc>
              <w:tc>
                <w:tcPr>
                  <w:tcW w:w="590"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形态</w:t>
                  </w:r>
                </w:p>
              </w:tc>
              <w:tc>
                <w:tcPr>
                  <w:tcW w:w="831"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主要成分</w:t>
                  </w:r>
                </w:p>
              </w:tc>
              <w:tc>
                <w:tcPr>
                  <w:tcW w:w="1283"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有害成分</w:t>
                  </w:r>
                </w:p>
              </w:tc>
              <w:tc>
                <w:tcPr>
                  <w:tcW w:w="591"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产废周期</w:t>
                  </w:r>
                </w:p>
              </w:tc>
              <w:tc>
                <w:tcPr>
                  <w:tcW w:w="599"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危险特性</w:t>
                  </w:r>
                </w:p>
              </w:tc>
              <w:tc>
                <w:tcPr>
                  <w:tcW w:w="683" w:type="dxa"/>
                  <w:vAlign w:val="center"/>
                </w:tcPr>
                <w:p>
                  <w:pPr>
                    <w:pStyle w:val="30"/>
                    <w:spacing w:line="240" w:lineRule="auto"/>
                    <w:ind w:firstLine="0"/>
                    <w:jc w:val="center"/>
                    <w:rPr>
                      <w:rFonts w:ascii="Times New Roman" w:hAnsi="Times New Roman"/>
                      <w:sz w:val="21"/>
                      <w:szCs w:val="21"/>
                    </w:rPr>
                  </w:pPr>
                  <w:r>
                    <w:rPr>
                      <w:rFonts w:ascii="Times New Roman" w:hAnsi="Times New Roman"/>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jc w:val="center"/>
                    <w:rPr>
                      <w:rFonts w:hint="eastAsia"/>
                      <w:szCs w:val="21"/>
                    </w:rPr>
                  </w:pPr>
                  <w:r>
                    <w:rPr>
                      <w:rFonts w:hint="eastAsia"/>
                      <w:szCs w:val="21"/>
                    </w:rPr>
                    <w:t>废弃的含油抹布、劳保用品</w:t>
                  </w:r>
                </w:p>
              </w:tc>
              <w:tc>
                <w:tcPr>
                  <w:tcW w:w="831" w:type="dxa"/>
                  <w:vAlign w:val="center"/>
                </w:tcPr>
                <w:p>
                  <w:pPr>
                    <w:jc w:val="center"/>
                    <w:rPr>
                      <w:rFonts w:hint="eastAsia"/>
                      <w:szCs w:val="21"/>
                    </w:rPr>
                  </w:pPr>
                  <w:r>
                    <w:rPr>
                      <w:rFonts w:hint="eastAsia"/>
                      <w:szCs w:val="21"/>
                    </w:rPr>
                    <w:t>HW49</w:t>
                  </w:r>
                </w:p>
              </w:tc>
              <w:tc>
                <w:tcPr>
                  <w:tcW w:w="1281" w:type="dxa"/>
                  <w:vAlign w:val="center"/>
                </w:tcPr>
                <w:p>
                  <w:pPr>
                    <w:jc w:val="center"/>
                    <w:rPr>
                      <w:rFonts w:hint="eastAsia"/>
                      <w:szCs w:val="21"/>
                    </w:rPr>
                  </w:pPr>
                  <w:r>
                    <w:rPr>
                      <w:bCs/>
                      <w:szCs w:val="21"/>
                    </w:rPr>
                    <w:t>900-</w:t>
                  </w:r>
                  <w:r>
                    <w:rPr>
                      <w:rFonts w:hint="eastAsia"/>
                      <w:bCs/>
                      <w:szCs w:val="21"/>
                    </w:rPr>
                    <w:t>041</w:t>
                  </w:r>
                  <w:r>
                    <w:rPr>
                      <w:bCs/>
                      <w:szCs w:val="21"/>
                    </w:rPr>
                    <w:t>-</w:t>
                  </w:r>
                  <w:r>
                    <w:rPr>
                      <w:rFonts w:hint="eastAsia"/>
                      <w:bCs/>
                      <w:szCs w:val="21"/>
                    </w:rPr>
                    <w:t>49</w:t>
                  </w:r>
                </w:p>
              </w:tc>
              <w:tc>
                <w:tcPr>
                  <w:tcW w:w="725" w:type="dxa"/>
                  <w:vAlign w:val="center"/>
                </w:tcPr>
                <w:p>
                  <w:pPr>
                    <w:jc w:val="center"/>
                    <w:rPr>
                      <w:rFonts w:hint="eastAsia"/>
                      <w:szCs w:val="21"/>
                    </w:rPr>
                  </w:pPr>
                  <w:r>
                    <w:rPr>
                      <w:rFonts w:hint="eastAsia"/>
                      <w:szCs w:val="21"/>
                    </w:rPr>
                    <w:t>0.05</w:t>
                  </w:r>
                </w:p>
              </w:tc>
              <w:tc>
                <w:tcPr>
                  <w:tcW w:w="588" w:type="dxa"/>
                  <w:vMerge w:val="restart"/>
                  <w:vAlign w:val="center"/>
                </w:tcPr>
                <w:p>
                  <w:pPr>
                    <w:adjustRightInd w:val="0"/>
                    <w:jc w:val="center"/>
                    <w:rPr>
                      <w:rFonts w:hint="eastAsia"/>
                      <w:szCs w:val="21"/>
                    </w:rPr>
                  </w:pPr>
                  <w:r>
                    <w:rPr>
                      <w:rFonts w:hint="eastAsia"/>
                      <w:szCs w:val="21"/>
                    </w:rPr>
                    <w:t>设备保养</w:t>
                  </w:r>
                </w:p>
                <w:p>
                  <w:pPr>
                    <w:pStyle w:val="30"/>
                    <w:spacing w:line="240" w:lineRule="auto"/>
                    <w:ind w:firstLine="0"/>
                    <w:jc w:val="center"/>
                    <w:rPr>
                      <w:rFonts w:hint="eastAsia"/>
                      <w:szCs w:val="21"/>
                    </w:rPr>
                  </w:pPr>
                  <w:r>
                    <w:rPr>
                      <w:rFonts w:hint="eastAsia" w:ascii="Times New Roman" w:hAnsi="Times New Roman"/>
                      <w:b w:val="0"/>
                      <w:bCs/>
                      <w:sz w:val="21"/>
                      <w:szCs w:val="21"/>
                    </w:rPr>
                    <w:t>固态</w:t>
                  </w:r>
                </w:p>
              </w:tc>
              <w:tc>
                <w:tcPr>
                  <w:tcW w:w="590" w:type="dxa"/>
                  <w:vAlign w:val="center"/>
                </w:tcPr>
                <w:p>
                  <w:pPr>
                    <w:pStyle w:val="38"/>
                    <w:spacing w:line="240" w:lineRule="auto"/>
                    <w:ind w:firstLine="0"/>
                    <w:jc w:val="center"/>
                    <w:rPr>
                      <w:rFonts w:hint="eastAsia" w:ascii="Times New Roman"/>
                      <w:sz w:val="21"/>
                      <w:szCs w:val="21"/>
                    </w:rPr>
                  </w:pPr>
                  <w:r>
                    <w:rPr>
                      <w:rFonts w:hint="eastAsia" w:ascii="Times New Roman"/>
                      <w:sz w:val="21"/>
                      <w:szCs w:val="21"/>
                    </w:rPr>
                    <w:t>有机溶剂</w:t>
                  </w:r>
                </w:p>
              </w:tc>
              <w:tc>
                <w:tcPr>
                  <w:tcW w:w="831" w:type="dxa"/>
                  <w:vAlign w:val="center"/>
                </w:tcPr>
                <w:p>
                  <w:pPr>
                    <w:pStyle w:val="38"/>
                    <w:spacing w:line="240" w:lineRule="auto"/>
                    <w:ind w:firstLine="0"/>
                    <w:jc w:val="center"/>
                    <w:rPr>
                      <w:rFonts w:hint="eastAsia" w:ascii="Times New Roman"/>
                      <w:sz w:val="21"/>
                      <w:szCs w:val="21"/>
                    </w:rPr>
                  </w:pPr>
                  <w:r>
                    <w:rPr>
                      <w:rFonts w:hint="eastAsia" w:ascii="Times New Roman"/>
                      <w:sz w:val="21"/>
                      <w:szCs w:val="21"/>
                    </w:rPr>
                    <w:t>有机溶剂</w:t>
                  </w:r>
                </w:p>
              </w:tc>
              <w:tc>
                <w:tcPr>
                  <w:tcW w:w="1283" w:type="dxa"/>
                  <w:vAlign w:val="center"/>
                </w:tcPr>
                <w:p>
                  <w:pPr>
                    <w:pStyle w:val="30"/>
                    <w:spacing w:line="240" w:lineRule="auto"/>
                    <w:ind w:firstLine="0"/>
                    <w:jc w:val="center"/>
                    <w:rPr>
                      <w:rFonts w:hint="eastAsia" w:ascii="Times New Roman" w:hAnsi="Times New Roman"/>
                      <w:b w:val="0"/>
                      <w:bCs/>
                      <w:sz w:val="21"/>
                      <w:szCs w:val="21"/>
                    </w:rPr>
                  </w:pPr>
                  <w:r>
                    <w:rPr>
                      <w:rFonts w:hint="eastAsia" w:ascii="Times New Roman" w:hAnsi="Times New Roman"/>
                      <w:b w:val="0"/>
                      <w:bCs/>
                      <w:sz w:val="21"/>
                      <w:szCs w:val="21"/>
                    </w:rPr>
                    <w:t>年</w:t>
                  </w:r>
                </w:p>
              </w:tc>
              <w:tc>
                <w:tcPr>
                  <w:tcW w:w="591" w:type="dxa"/>
                  <w:vAlign w:val="center"/>
                </w:tcPr>
                <w:p>
                  <w:pPr>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年</w:t>
                  </w:r>
                </w:p>
              </w:tc>
              <w:tc>
                <w:tcPr>
                  <w:tcW w:w="599" w:type="dxa"/>
                  <w:vAlign w:val="center"/>
                </w:tcPr>
                <w:p>
                  <w:pPr>
                    <w:pStyle w:val="30"/>
                    <w:spacing w:line="240" w:lineRule="auto"/>
                    <w:ind w:firstLine="0"/>
                    <w:jc w:val="center"/>
                    <w:rPr>
                      <w:rFonts w:hint="eastAsia" w:ascii="Times New Roman" w:hAnsi="Times New Roman"/>
                      <w:b/>
                      <w:sz w:val="21"/>
                      <w:szCs w:val="21"/>
                    </w:rPr>
                  </w:pPr>
                  <w:r>
                    <w:rPr>
                      <w:rFonts w:hint="default" w:ascii="Times New Roman" w:hAnsi="Times New Roman"/>
                      <w:kern w:val="0"/>
                      <w:szCs w:val="21"/>
                    </w:rPr>
                    <w:t>T,I</w:t>
                  </w:r>
                </w:p>
              </w:tc>
              <w:tc>
                <w:tcPr>
                  <w:tcW w:w="683" w:type="dxa"/>
                  <w:vMerge w:val="restart"/>
                  <w:vAlign w:val="center"/>
                </w:tcPr>
                <w:p>
                  <w:pPr>
                    <w:pStyle w:val="30"/>
                    <w:spacing w:line="240" w:lineRule="auto"/>
                    <w:ind w:firstLine="0"/>
                    <w:jc w:val="center"/>
                    <w:rPr>
                      <w:rFonts w:hint="eastAsia" w:ascii="Times New Roman" w:hAnsi="Times New Roman" w:eastAsia="宋体"/>
                      <w:b/>
                      <w:sz w:val="21"/>
                      <w:szCs w:val="21"/>
                      <w:lang w:eastAsia="zh-CN"/>
                    </w:rPr>
                  </w:pPr>
                  <w:r>
                    <w:rPr>
                      <w:rFonts w:hint="eastAsia" w:ascii="Times New Roman" w:hAnsi="Times New Roman"/>
                      <w:b w:val="0"/>
                      <w:bCs/>
                      <w:sz w:val="21"/>
                      <w:szCs w:val="21"/>
                      <w:lang w:eastAsia="zh-CN"/>
                    </w:rPr>
                    <w:t>分类贮存于危废贮存库，定期交有资质单位处理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jc w:val="center"/>
                    <w:rPr>
                      <w:rFonts w:hint="eastAsia"/>
                      <w:szCs w:val="21"/>
                    </w:rPr>
                  </w:pPr>
                  <w:r>
                    <w:rPr>
                      <w:rFonts w:hint="eastAsia"/>
                      <w:szCs w:val="21"/>
                    </w:rPr>
                    <w:t>废润滑油</w:t>
                  </w:r>
                </w:p>
              </w:tc>
              <w:tc>
                <w:tcPr>
                  <w:tcW w:w="831" w:type="dxa"/>
                  <w:vAlign w:val="center"/>
                </w:tcPr>
                <w:p>
                  <w:pPr>
                    <w:jc w:val="center"/>
                    <w:rPr>
                      <w:rFonts w:hint="eastAsia"/>
                      <w:szCs w:val="21"/>
                    </w:rPr>
                  </w:pPr>
                  <w:r>
                    <w:rPr>
                      <w:rFonts w:hint="eastAsia"/>
                      <w:szCs w:val="21"/>
                    </w:rPr>
                    <w:t>HW08</w:t>
                  </w:r>
                </w:p>
              </w:tc>
              <w:tc>
                <w:tcPr>
                  <w:tcW w:w="1281" w:type="dxa"/>
                  <w:vAlign w:val="center"/>
                </w:tcPr>
                <w:p>
                  <w:pPr>
                    <w:jc w:val="center"/>
                    <w:rPr>
                      <w:rFonts w:hint="eastAsia"/>
                      <w:szCs w:val="21"/>
                    </w:rPr>
                  </w:pPr>
                  <w:r>
                    <w:rPr>
                      <w:rFonts w:hint="eastAsia"/>
                      <w:szCs w:val="21"/>
                    </w:rPr>
                    <w:t>900-214-08</w:t>
                  </w:r>
                </w:p>
              </w:tc>
              <w:tc>
                <w:tcPr>
                  <w:tcW w:w="725" w:type="dxa"/>
                  <w:vAlign w:val="center"/>
                </w:tcPr>
                <w:p>
                  <w:pPr>
                    <w:jc w:val="center"/>
                    <w:rPr>
                      <w:rFonts w:hint="default" w:eastAsia="宋体"/>
                      <w:szCs w:val="21"/>
                      <w:lang w:val="en-US" w:eastAsia="zh-CN"/>
                    </w:rPr>
                  </w:pPr>
                  <w:r>
                    <w:rPr>
                      <w:rFonts w:hint="eastAsia"/>
                      <w:szCs w:val="21"/>
                      <w:lang w:val="en-US" w:eastAsia="zh-CN"/>
                    </w:rPr>
                    <w:t>0.1</w:t>
                  </w:r>
                </w:p>
              </w:tc>
              <w:tc>
                <w:tcPr>
                  <w:tcW w:w="588" w:type="dxa"/>
                  <w:vMerge w:val="continue"/>
                  <w:vAlign w:val="center"/>
                </w:tcPr>
                <w:p>
                  <w:pPr>
                    <w:adjustRightInd w:val="0"/>
                    <w:jc w:val="center"/>
                    <w:rPr>
                      <w:rFonts w:hint="eastAsia"/>
                      <w:szCs w:val="21"/>
                    </w:rPr>
                  </w:pPr>
                </w:p>
              </w:tc>
              <w:tc>
                <w:tcPr>
                  <w:tcW w:w="590" w:type="dxa"/>
                  <w:vAlign w:val="center"/>
                </w:tcPr>
                <w:p>
                  <w:pPr>
                    <w:adjustRightInd w:val="0"/>
                    <w:jc w:val="center"/>
                    <w:rPr>
                      <w:rFonts w:hint="eastAsia"/>
                      <w:szCs w:val="21"/>
                    </w:rPr>
                  </w:pPr>
                  <w:r>
                    <w:rPr>
                      <w:rFonts w:hint="eastAsia"/>
                      <w:szCs w:val="21"/>
                    </w:rPr>
                    <w:t>液态</w:t>
                  </w:r>
                </w:p>
              </w:tc>
              <w:tc>
                <w:tcPr>
                  <w:tcW w:w="831" w:type="dxa"/>
                  <w:vAlign w:val="center"/>
                </w:tcPr>
                <w:p>
                  <w:pPr>
                    <w:pStyle w:val="38"/>
                    <w:spacing w:line="240" w:lineRule="auto"/>
                    <w:ind w:firstLine="0"/>
                    <w:jc w:val="center"/>
                    <w:rPr>
                      <w:rFonts w:hint="eastAsia" w:ascii="Times New Roman"/>
                      <w:sz w:val="21"/>
                      <w:szCs w:val="21"/>
                    </w:rPr>
                  </w:pPr>
                  <w:r>
                    <w:rPr>
                      <w:rFonts w:hint="eastAsia" w:ascii="Times New Roman"/>
                      <w:sz w:val="21"/>
                      <w:szCs w:val="21"/>
                    </w:rPr>
                    <w:t>润滑油</w:t>
                  </w:r>
                </w:p>
              </w:tc>
              <w:tc>
                <w:tcPr>
                  <w:tcW w:w="1283" w:type="dxa"/>
                  <w:vAlign w:val="center"/>
                </w:tcPr>
                <w:p>
                  <w:pPr>
                    <w:pStyle w:val="38"/>
                    <w:spacing w:line="240" w:lineRule="auto"/>
                    <w:ind w:firstLine="0"/>
                    <w:jc w:val="center"/>
                    <w:rPr>
                      <w:rFonts w:hint="eastAsia" w:ascii="Times New Roman"/>
                      <w:sz w:val="21"/>
                      <w:szCs w:val="21"/>
                    </w:rPr>
                  </w:pPr>
                  <w:r>
                    <w:rPr>
                      <w:rFonts w:hint="eastAsia" w:ascii="Times New Roman"/>
                      <w:sz w:val="21"/>
                      <w:szCs w:val="21"/>
                    </w:rPr>
                    <w:t>润滑油</w:t>
                  </w:r>
                </w:p>
              </w:tc>
              <w:tc>
                <w:tcPr>
                  <w:tcW w:w="591" w:type="dxa"/>
                  <w:vAlign w:val="center"/>
                </w:tcPr>
                <w:p>
                  <w:pPr>
                    <w:pStyle w:val="30"/>
                    <w:spacing w:line="240" w:lineRule="auto"/>
                    <w:ind w:firstLine="0"/>
                    <w:jc w:val="center"/>
                    <w:rPr>
                      <w:rFonts w:hint="eastAsia" w:ascii="Times New Roman" w:hAnsi="Times New Roman"/>
                      <w:b w:val="0"/>
                      <w:bCs/>
                      <w:sz w:val="21"/>
                      <w:szCs w:val="21"/>
                    </w:rPr>
                  </w:pPr>
                  <w:r>
                    <w:rPr>
                      <w:rFonts w:hint="eastAsia" w:ascii="Times New Roman" w:hAnsi="Times New Roman"/>
                      <w:b w:val="0"/>
                      <w:bCs/>
                      <w:sz w:val="21"/>
                      <w:szCs w:val="21"/>
                    </w:rPr>
                    <w:t>年</w:t>
                  </w:r>
                </w:p>
              </w:tc>
              <w:tc>
                <w:tcPr>
                  <w:tcW w:w="599"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T,I</w:t>
                  </w:r>
                </w:p>
              </w:tc>
              <w:tc>
                <w:tcPr>
                  <w:tcW w:w="683" w:type="dxa"/>
                  <w:vMerge w:val="continue"/>
                  <w:vAlign w:val="center"/>
                </w:tcPr>
                <w:p>
                  <w:pPr>
                    <w:pStyle w:val="30"/>
                    <w:spacing w:line="240" w:lineRule="auto"/>
                    <w:ind w:firstLine="0"/>
                    <w:jc w:val="center"/>
                    <w:rPr>
                      <w:rFonts w:hint="eastAsia" w:ascii="Times New Roman" w:hAnsi="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trPr>
              <w:tc>
                <w:tcPr>
                  <w:tcW w:w="679" w:type="dxa"/>
                  <w:vAlign w:val="center"/>
                </w:tcPr>
                <w:p>
                  <w:pPr>
                    <w:jc w:val="center"/>
                    <w:rPr>
                      <w:rFonts w:hint="eastAsia"/>
                      <w:szCs w:val="21"/>
                    </w:rPr>
                  </w:pPr>
                  <w:r>
                    <w:rPr>
                      <w:rFonts w:hint="eastAsia"/>
                      <w:szCs w:val="21"/>
                    </w:rPr>
                    <w:t>废润滑油桶</w:t>
                  </w:r>
                </w:p>
                <w:p>
                  <w:pPr>
                    <w:jc w:val="center"/>
                  </w:pPr>
                </w:p>
                <w:p>
                  <w:pPr>
                    <w:jc w:val="center"/>
                  </w:pPr>
                </w:p>
                <w:p>
                  <w:pPr>
                    <w:jc w:val="center"/>
                    <w:rPr>
                      <w:rFonts w:hint="eastAsia"/>
                      <w:szCs w:val="21"/>
                    </w:rPr>
                  </w:pPr>
                </w:p>
              </w:tc>
              <w:tc>
                <w:tcPr>
                  <w:tcW w:w="831" w:type="dxa"/>
                  <w:vAlign w:val="center"/>
                </w:tcPr>
                <w:p>
                  <w:pPr>
                    <w:jc w:val="center"/>
                    <w:rPr>
                      <w:rFonts w:hint="eastAsia"/>
                      <w:szCs w:val="21"/>
                    </w:rPr>
                  </w:pPr>
                  <w:r>
                    <w:rPr>
                      <w:rFonts w:hint="eastAsia"/>
                      <w:szCs w:val="21"/>
                    </w:rPr>
                    <w:t>HW49</w:t>
                  </w:r>
                </w:p>
                <w:p>
                  <w:pPr>
                    <w:jc w:val="center"/>
                  </w:pPr>
                </w:p>
                <w:p>
                  <w:pPr>
                    <w:jc w:val="center"/>
                  </w:pPr>
                </w:p>
                <w:p>
                  <w:pPr>
                    <w:jc w:val="center"/>
                    <w:rPr>
                      <w:rFonts w:hint="eastAsia"/>
                      <w:szCs w:val="21"/>
                    </w:rPr>
                  </w:pPr>
                </w:p>
              </w:tc>
              <w:tc>
                <w:tcPr>
                  <w:tcW w:w="1281" w:type="dxa"/>
                  <w:vAlign w:val="center"/>
                </w:tcPr>
                <w:p>
                  <w:pPr>
                    <w:jc w:val="center"/>
                    <w:rPr>
                      <w:rFonts w:hint="eastAsia"/>
                      <w:szCs w:val="21"/>
                    </w:rPr>
                  </w:pPr>
                  <w:r>
                    <w:rPr>
                      <w:rFonts w:hint="eastAsia"/>
                      <w:szCs w:val="21"/>
                    </w:rPr>
                    <w:t>900-041-49</w:t>
                  </w:r>
                </w:p>
                <w:p>
                  <w:pPr>
                    <w:jc w:val="center"/>
                  </w:pPr>
                </w:p>
                <w:p>
                  <w:pPr>
                    <w:jc w:val="center"/>
                  </w:pPr>
                </w:p>
                <w:p>
                  <w:pPr>
                    <w:jc w:val="center"/>
                    <w:rPr>
                      <w:rFonts w:hint="eastAsia"/>
                      <w:szCs w:val="21"/>
                    </w:rPr>
                  </w:pPr>
                </w:p>
              </w:tc>
              <w:tc>
                <w:tcPr>
                  <w:tcW w:w="725" w:type="dxa"/>
                  <w:vAlign w:val="center"/>
                </w:tcPr>
                <w:p>
                  <w:pPr>
                    <w:jc w:val="center"/>
                  </w:pPr>
                </w:p>
                <w:p>
                  <w:pPr>
                    <w:jc w:val="center"/>
                    <w:rPr>
                      <w:rFonts w:hint="default" w:eastAsia="宋体"/>
                      <w:lang w:val="en-US" w:eastAsia="zh-CN"/>
                    </w:rPr>
                  </w:pPr>
                  <w:r>
                    <w:rPr>
                      <w:rFonts w:hint="eastAsia"/>
                      <w:lang w:val="en-US" w:eastAsia="zh-CN"/>
                    </w:rPr>
                    <w:t>0.008</w:t>
                  </w:r>
                </w:p>
                <w:p>
                  <w:pPr>
                    <w:jc w:val="center"/>
                    <w:rPr>
                      <w:rFonts w:hint="default" w:eastAsia="宋体"/>
                      <w:szCs w:val="21"/>
                      <w:lang w:val="en-US" w:eastAsia="zh-CN"/>
                    </w:rPr>
                  </w:pPr>
                </w:p>
              </w:tc>
              <w:tc>
                <w:tcPr>
                  <w:tcW w:w="588" w:type="dxa"/>
                  <w:vMerge w:val="continue"/>
                  <w:vAlign w:val="center"/>
                </w:tcPr>
                <w:p>
                  <w:pPr>
                    <w:adjustRightInd w:val="0"/>
                    <w:jc w:val="center"/>
                    <w:rPr>
                      <w:rFonts w:hint="eastAsia"/>
                      <w:szCs w:val="21"/>
                      <w:lang w:eastAsia="zh-CN"/>
                    </w:rPr>
                  </w:pPr>
                </w:p>
              </w:tc>
              <w:tc>
                <w:tcPr>
                  <w:tcW w:w="590" w:type="dxa"/>
                  <w:vAlign w:val="center"/>
                </w:tcPr>
                <w:p>
                  <w:pPr>
                    <w:jc w:val="center"/>
                  </w:pPr>
                  <w:r>
                    <w:rPr>
                      <w:rFonts w:hint="eastAsia"/>
                      <w:szCs w:val="21"/>
                    </w:rPr>
                    <w:t>废润滑油桶</w:t>
                  </w:r>
                </w:p>
                <w:p>
                  <w:pPr>
                    <w:jc w:val="center"/>
                    <w:rPr>
                      <w:rFonts w:hint="eastAsia"/>
                      <w:szCs w:val="21"/>
                    </w:rPr>
                  </w:pPr>
                </w:p>
              </w:tc>
              <w:tc>
                <w:tcPr>
                  <w:tcW w:w="831" w:type="dxa"/>
                  <w:vAlign w:val="center"/>
                </w:tcPr>
                <w:p>
                  <w:pPr>
                    <w:pStyle w:val="38"/>
                    <w:spacing w:line="240" w:lineRule="auto"/>
                    <w:ind w:firstLine="0" w:firstLineChars="0"/>
                    <w:jc w:val="center"/>
                    <w:rPr>
                      <w:rFonts w:hint="eastAsia" w:ascii="Times New Roman"/>
                      <w:sz w:val="21"/>
                      <w:szCs w:val="21"/>
                    </w:rPr>
                  </w:pPr>
                  <w:r>
                    <w:rPr>
                      <w:rFonts w:hint="eastAsia" w:ascii="Times New Roman"/>
                      <w:sz w:val="21"/>
                      <w:szCs w:val="21"/>
                    </w:rPr>
                    <w:t>润滑油</w:t>
                  </w:r>
                </w:p>
              </w:tc>
              <w:tc>
                <w:tcPr>
                  <w:tcW w:w="1283" w:type="dxa"/>
                  <w:vAlign w:val="center"/>
                </w:tcPr>
                <w:p>
                  <w:pPr>
                    <w:pStyle w:val="38"/>
                    <w:spacing w:line="240" w:lineRule="auto"/>
                    <w:ind w:firstLine="0" w:firstLineChars="0"/>
                    <w:jc w:val="center"/>
                    <w:rPr>
                      <w:rFonts w:hint="eastAsia" w:ascii="Times New Roman"/>
                      <w:sz w:val="21"/>
                      <w:szCs w:val="21"/>
                    </w:rPr>
                  </w:pPr>
                  <w:r>
                    <w:rPr>
                      <w:rFonts w:hint="eastAsia" w:ascii="Times New Roman"/>
                      <w:sz w:val="21"/>
                      <w:szCs w:val="21"/>
                    </w:rPr>
                    <w:t>润滑油</w:t>
                  </w:r>
                </w:p>
              </w:tc>
              <w:tc>
                <w:tcPr>
                  <w:tcW w:w="591" w:type="dxa"/>
                  <w:vAlign w:val="center"/>
                </w:tcPr>
                <w:p>
                  <w:pPr>
                    <w:pStyle w:val="30"/>
                    <w:spacing w:line="240" w:lineRule="auto"/>
                    <w:ind w:firstLine="0" w:firstLineChars="0"/>
                    <w:jc w:val="center"/>
                    <w:rPr>
                      <w:rFonts w:hint="eastAsia" w:ascii="Times New Roman" w:hAnsi="Times New Roman"/>
                      <w:b/>
                      <w:sz w:val="21"/>
                      <w:szCs w:val="21"/>
                    </w:rPr>
                  </w:pPr>
                  <w:r>
                    <w:rPr>
                      <w:rFonts w:hint="default" w:ascii="Times New Roman" w:hAnsi="Times New Roman"/>
                      <w:b w:val="0"/>
                      <w:bCs/>
                      <w:sz w:val="21"/>
                      <w:szCs w:val="21"/>
                    </w:rPr>
                    <w:t>年</w:t>
                  </w:r>
                </w:p>
              </w:tc>
              <w:tc>
                <w:tcPr>
                  <w:tcW w:w="599"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T,I</w:t>
                  </w:r>
                </w:p>
              </w:tc>
              <w:tc>
                <w:tcPr>
                  <w:tcW w:w="683" w:type="dxa"/>
                  <w:vMerge w:val="continue"/>
                  <w:vAlign w:val="center"/>
                </w:tcPr>
                <w:p>
                  <w:pPr>
                    <w:pStyle w:val="30"/>
                    <w:spacing w:line="240" w:lineRule="auto"/>
                    <w:ind w:firstLine="0"/>
                    <w:jc w:val="center"/>
                    <w:rPr>
                      <w:rFonts w:hint="eastAsia" w:ascii="Times New Roman" w:hAnsi="Times New Roman" w:eastAsia="宋体"/>
                      <w:b/>
                      <w:sz w:val="21"/>
                      <w:szCs w:val="21"/>
                      <w:lang w:eastAsia="zh-CN"/>
                    </w:rPr>
                  </w:pPr>
                </w:p>
              </w:tc>
            </w:tr>
          </w:tbl>
          <w:p>
            <w:pPr>
              <w:spacing w:line="360" w:lineRule="auto"/>
              <w:ind w:firstLine="482" w:firstLineChars="200"/>
              <w:rPr>
                <w:rFonts w:hint="eastAsia"/>
                <w:b/>
                <w:bCs/>
                <w:color w:val="auto"/>
                <w:sz w:val="24"/>
              </w:rPr>
            </w:pPr>
          </w:p>
          <w:p>
            <w:pPr>
              <w:spacing w:line="360" w:lineRule="auto"/>
              <w:ind w:firstLine="482" w:firstLineChars="200"/>
              <w:rPr>
                <w:rFonts w:hint="eastAsia"/>
                <w:b/>
                <w:bCs/>
                <w:color w:val="auto"/>
                <w:sz w:val="24"/>
              </w:rPr>
            </w:pPr>
            <w:r>
              <w:rPr>
                <w:rFonts w:hint="eastAsia"/>
                <w:b/>
                <w:bCs/>
                <w:color w:val="auto"/>
                <w:sz w:val="24"/>
              </w:rPr>
              <w:t>4.2</w:t>
            </w:r>
            <w:r>
              <w:rPr>
                <w:b/>
                <w:bCs/>
                <w:color w:val="auto"/>
                <w:sz w:val="24"/>
              </w:rPr>
              <w:t>固体废弃物环境影响分析</w:t>
            </w:r>
          </w:p>
          <w:p>
            <w:pPr>
              <w:spacing w:line="360" w:lineRule="auto"/>
              <w:ind w:firstLine="482" w:firstLineChars="200"/>
              <w:rPr>
                <w:b/>
                <w:bCs/>
                <w:color w:val="auto"/>
                <w:sz w:val="24"/>
              </w:rPr>
            </w:pPr>
            <w:r>
              <w:rPr>
                <w:rFonts w:hint="eastAsia"/>
                <w:b/>
                <w:bCs/>
                <w:color w:val="auto"/>
                <w:sz w:val="24"/>
              </w:rPr>
              <w:t>（1）</w:t>
            </w:r>
            <w:r>
              <w:rPr>
                <w:b/>
                <w:bCs/>
                <w:color w:val="auto"/>
                <w:sz w:val="24"/>
              </w:rPr>
              <w:t>生活垃圾污染防治措施</w:t>
            </w:r>
          </w:p>
          <w:p>
            <w:pPr>
              <w:spacing w:line="360" w:lineRule="auto"/>
              <w:ind w:firstLine="480" w:firstLineChars="200"/>
              <w:rPr>
                <w:color w:val="auto"/>
                <w:sz w:val="24"/>
              </w:rPr>
            </w:pPr>
            <w:r>
              <w:rPr>
                <w:color w:val="auto"/>
                <w:sz w:val="24"/>
              </w:rPr>
              <w:t>生活垃圾用垃圾桶集中收集，委托环卫部门每日清运处理。</w:t>
            </w:r>
          </w:p>
          <w:p>
            <w:pPr>
              <w:spacing w:line="360" w:lineRule="auto"/>
              <w:ind w:firstLine="482" w:firstLineChars="200"/>
              <w:rPr>
                <w:b/>
                <w:bCs/>
                <w:color w:val="auto"/>
                <w:sz w:val="24"/>
              </w:rPr>
            </w:pPr>
            <w:r>
              <w:rPr>
                <w:rFonts w:hint="eastAsia"/>
                <w:b/>
                <w:bCs/>
                <w:color w:val="auto"/>
                <w:sz w:val="24"/>
              </w:rPr>
              <w:t>（2）</w:t>
            </w:r>
            <w:r>
              <w:rPr>
                <w:b/>
                <w:bCs/>
                <w:color w:val="auto"/>
                <w:sz w:val="24"/>
              </w:rPr>
              <w:t>一般固废污染防治措施</w:t>
            </w:r>
          </w:p>
          <w:p>
            <w:pPr>
              <w:pStyle w:val="30"/>
              <w:numPr>
                <w:ilvl w:val="0"/>
                <w:numId w:val="0"/>
              </w:numPr>
              <w:spacing w:line="360" w:lineRule="auto"/>
              <w:ind w:firstLine="480" w:firstLineChars="200"/>
              <w:rPr>
                <w:rFonts w:ascii="Times New Roman" w:hAnsi="Times New Roman"/>
                <w:b w:val="0"/>
                <w:bCs/>
                <w:color w:val="auto"/>
              </w:rPr>
            </w:pPr>
            <w:r>
              <w:rPr>
                <w:rFonts w:ascii="Times New Roman" w:hAnsi="Times New Roman"/>
                <w:b w:val="0"/>
                <w:bCs/>
                <w:color w:val="auto"/>
              </w:rPr>
              <w:t>本项目建成后，固体废物处理处置及综合利用率达到100%，不会对厂区外环境产生影响。根据国家对工业固废，尤其是危险废物处置减量化、资源化和无害化的技术政策，建设单位应优先对各类可回收工业固废进行回收利用，对无法利用的部分交由专业单位处理或处置。</w:t>
            </w:r>
          </w:p>
          <w:p>
            <w:pPr>
              <w:pStyle w:val="30"/>
              <w:numPr>
                <w:ilvl w:val="0"/>
                <w:numId w:val="4"/>
              </w:numPr>
              <w:spacing w:line="360" w:lineRule="auto"/>
              <w:ind w:firstLine="480" w:firstLineChars="200"/>
              <w:rPr>
                <w:rFonts w:ascii="Times New Roman" w:hAnsi="Times New Roman"/>
                <w:color w:val="auto"/>
              </w:rPr>
            </w:pPr>
            <w:r>
              <w:rPr>
                <w:rFonts w:ascii="Times New Roman" w:hAnsi="Times New Roman"/>
                <w:color w:val="auto"/>
              </w:rPr>
              <w:t xml:space="preserve">危险固废污染防治措施 </w:t>
            </w:r>
          </w:p>
          <w:p>
            <w:pPr>
              <w:pStyle w:val="20"/>
              <w:spacing w:line="360" w:lineRule="auto"/>
              <w:ind w:left="0" w:firstLine="480" w:firstLineChars="200"/>
              <w:rPr>
                <w:color w:val="auto"/>
                <w:sz w:val="24"/>
                <w:szCs w:val="24"/>
              </w:rPr>
            </w:pPr>
            <w:r>
              <w:rPr>
                <w:rFonts w:hint="eastAsia"/>
                <w:color w:val="auto"/>
                <w:sz w:val="24"/>
                <w:szCs w:val="24"/>
              </w:rPr>
              <w:t>本项目在</w:t>
            </w:r>
            <w:r>
              <w:rPr>
                <w:rFonts w:hint="eastAsia"/>
                <w:color w:val="auto"/>
                <w:sz w:val="24"/>
                <w:szCs w:val="24"/>
                <w:lang w:eastAsia="zh-CN"/>
              </w:rPr>
              <w:t>成品仓库北侧</w:t>
            </w:r>
            <w:r>
              <w:rPr>
                <w:rFonts w:hint="eastAsia"/>
                <w:color w:val="auto"/>
                <w:sz w:val="24"/>
                <w:szCs w:val="24"/>
              </w:rPr>
              <w:t>设置危废贮存库一间，约</w:t>
            </w:r>
            <w:r>
              <w:rPr>
                <w:rFonts w:hint="eastAsia"/>
                <w:color w:val="auto"/>
                <w:sz w:val="24"/>
                <w:szCs w:val="24"/>
                <w:lang w:val="en-US" w:eastAsia="zh-CN"/>
              </w:rPr>
              <w:t>10</w:t>
            </w:r>
            <w:r>
              <w:rPr>
                <w:rFonts w:hint="eastAsia"/>
                <w:color w:val="auto"/>
                <w:sz w:val="24"/>
                <w:szCs w:val="24"/>
              </w:rPr>
              <w:t>m</w:t>
            </w:r>
            <w:r>
              <w:rPr>
                <w:rFonts w:hint="eastAsia"/>
                <w:color w:val="auto"/>
                <w:sz w:val="24"/>
                <w:szCs w:val="24"/>
                <w:vertAlign w:val="superscript"/>
              </w:rPr>
              <w:t>2</w:t>
            </w:r>
            <w:r>
              <w:rPr>
                <w:rFonts w:hint="eastAsia"/>
                <w:color w:val="auto"/>
                <w:sz w:val="24"/>
                <w:szCs w:val="24"/>
              </w:rPr>
              <w:t>。危废间按照如下要求设置：</w:t>
            </w:r>
          </w:p>
          <w:p>
            <w:pPr>
              <w:spacing w:line="360" w:lineRule="auto"/>
              <w:ind w:firstLine="480" w:firstLineChars="200"/>
              <w:rPr>
                <w:rFonts w:hint="eastAsia"/>
                <w:color w:val="auto"/>
                <w:sz w:val="24"/>
              </w:rPr>
            </w:pPr>
            <w:r>
              <w:rPr>
                <w:rFonts w:hint="eastAsia"/>
                <w:color w:val="auto"/>
                <w:sz w:val="24"/>
              </w:rPr>
              <w:t>1）厂区内的危险废物临时贮存应严格按照</w:t>
            </w:r>
            <w:r>
              <w:rPr>
                <w:color w:val="auto"/>
                <w:sz w:val="24"/>
              </w:rPr>
              <w:t>《危险废物贮存污染控制标准》 （GB18597-2023）</w:t>
            </w:r>
            <w:r>
              <w:rPr>
                <w:rFonts w:hint="eastAsia"/>
                <w:color w:val="auto"/>
                <w:sz w:val="24"/>
              </w:rPr>
              <w:t>的规定执行，应建有堵截泄漏的裙脚，地面与裙脚要用坚固防渗的材料建造。应有隔离设施、报警装置和防风、防晒、防雨设施；</w:t>
            </w:r>
          </w:p>
          <w:p>
            <w:pPr>
              <w:spacing w:line="360" w:lineRule="auto"/>
              <w:ind w:firstLine="480" w:firstLineChars="200"/>
              <w:rPr>
                <w:rFonts w:hint="eastAsia"/>
                <w:color w:val="auto"/>
                <w:sz w:val="24"/>
              </w:rPr>
            </w:pPr>
            <w:r>
              <w:rPr>
                <w:rFonts w:hint="eastAsia"/>
                <w:color w:val="auto"/>
                <w:sz w:val="24"/>
              </w:rPr>
              <w:t>2）所有产生的危险废物均应适用符合标准要求的容器盛装，装载危险废物的容器及材质要满足相应的强度要求，且必须完好无损，用于存放液体、半固体危险废物的地方，还须有耐腐蚀的硬化地面，地面无裂隙，不相容的危险废物堆放区必须有隔离间隔断。</w:t>
            </w:r>
          </w:p>
          <w:p>
            <w:pPr>
              <w:spacing w:line="360" w:lineRule="auto"/>
              <w:ind w:firstLine="480" w:firstLineChars="200"/>
              <w:rPr>
                <w:rFonts w:hint="eastAsia"/>
                <w:color w:val="auto"/>
                <w:sz w:val="24"/>
              </w:rPr>
            </w:pPr>
            <w:r>
              <w:rPr>
                <w:rFonts w:hint="eastAsia"/>
                <w:color w:val="auto"/>
                <w:sz w:val="24"/>
              </w:rPr>
              <w:t>3）厂内建立危险废物台账管理制度，做好危险废物情况的记录，记录上须注明危险废物的名称、来源、数量、特性和包装容器的类别、入库日期、存放库位、废物出库日期及</w:t>
            </w:r>
            <w:r>
              <w:rPr>
                <w:rFonts w:hint="eastAsia"/>
                <w:color w:val="auto"/>
                <w:sz w:val="24"/>
                <w:lang w:eastAsia="zh-CN"/>
              </w:rPr>
              <w:t>接收单位</w:t>
            </w:r>
            <w:r>
              <w:rPr>
                <w:rFonts w:hint="eastAsia"/>
                <w:color w:val="auto"/>
                <w:sz w:val="24"/>
              </w:rPr>
              <w:t>名称，危险废物的记录和货单在危险废物回取后应继续保留三年。</w:t>
            </w:r>
          </w:p>
          <w:p>
            <w:pPr>
              <w:spacing w:line="360" w:lineRule="auto"/>
              <w:ind w:firstLine="480" w:firstLineChars="200"/>
              <w:rPr>
                <w:rFonts w:hint="eastAsia"/>
                <w:color w:val="auto"/>
                <w:sz w:val="24"/>
              </w:rPr>
            </w:pPr>
            <w:r>
              <w:rPr>
                <w:rFonts w:hint="eastAsia"/>
                <w:color w:val="auto"/>
                <w:sz w:val="24"/>
              </w:rPr>
              <w:t>4）必须定期对贮存的危险废物包装容器及贮存设施进行检查，发现破损，应及时采取措施清理更换。</w:t>
            </w:r>
          </w:p>
          <w:p>
            <w:pPr>
              <w:spacing w:line="360" w:lineRule="auto"/>
              <w:ind w:firstLine="480" w:firstLineChars="200"/>
              <w:rPr>
                <w:rFonts w:hint="eastAsia"/>
                <w:color w:val="auto"/>
                <w:sz w:val="24"/>
              </w:rPr>
            </w:pPr>
            <w:r>
              <w:rPr>
                <w:rFonts w:hint="eastAsia"/>
                <w:color w:val="auto"/>
                <w:sz w:val="24"/>
              </w:rPr>
              <w:t>5）危险废物贮存设施必须按照《环境保护图形标志固体废物贮存（处置）场》（GB15562.2-1995）的规定设置警示标志。危险废物贮存设施周围应设置围墙或其他防护栅栏，配备通讯设备、照明设施、安全防护服装及工具，并设有应急防护设施。</w:t>
            </w:r>
          </w:p>
          <w:p>
            <w:pPr>
              <w:ind w:firstLine="422" w:firstLineChars="200"/>
              <w:jc w:val="center"/>
              <w:rPr>
                <w:rFonts w:hint="eastAsia"/>
                <w:b/>
                <w:bCs/>
                <w:color w:val="auto"/>
                <w:szCs w:val="21"/>
              </w:rPr>
            </w:pPr>
          </w:p>
          <w:p>
            <w:pPr>
              <w:ind w:firstLine="422" w:firstLineChars="200"/>
              <w:jc w:val="center"/>
              <w:rPr>
                <w:rFonts w:hint="eastAsia"/>
                <w:b/>
                <w:bCs/>
                <w:color w:val="auto"/>
                <w:szCs w:val="21"/>
              </w:rPr>
            </w:pPr>
            <w:r>
              <w:rPr>
                <w:rFonts w:hint="eastAsia"/>
                <w:b/>
                <w:bCs/>
                <w:color w:val="auto"/>
                <w:szCs w:val="21"/>
              </w:rPr>
              <w:t>表4-</w:t>
            </w:r>
            <w:r>
              <w:rPr>
                <w:rFonts w:hint="eastAsia"/>
                <w:b/>
                <w:bCs/>
                <w:color w:val="auto"/>
                <w:szCs w:val="21"/>
                <w:lang w:val="en-US" w:eastAsia="zh-CN"/>
              </w:rPr>
              <w:t>13</w:t>
            </w:r>
            <w:r>
              <w:rPr>
                <w:rFonts w:hint="eastAsia"/>
                <w:b/>
                <w:bCs/>
                <w:color w:val="auto"/>
                <w:szCs w:val="21"/>
              </w:rPr>
              <w:t xml:space="preserve">  危险废物标志牌式样及说明</w:t>
            </w:r>
          </w:p>
          <w:tbl>
            <w:tblPr>
              <w:tblStyle w:val="27"/>
              <w:tblW w:w="86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01" w:type="dxa"/>
                  <w:vAlign w:val="center"/>
                </w:tcPr>
                <w:p>
                  <w:pPr>
                    <w:pStyle w:val="38"/>
                    <w:spacing w:line="240" w:lineRule="auto"/>
                    <w:jc w:val="center"/>
                    <w:rPr>
                      <w:b w:val="0"/>
                      <w:bCs w:val="0"/>
                      <w:color w:val="auto"/>
                      <w:sz w:val="21"/>
                      <w:szCs w:val="21"/>
                    </w:rPr>
                  </w:pPr>
                  <w:r>
                    <w:rPr>
                      <w:rFonts w:hint="eastAsia"/>
                      <w:b w:val="0"/>
                      <w:bCs w:val="0"/>
                      <w:color w:val="auto"/>
                      <w:sz w:val="21"/>
                      <w:szCs w:val="21"/>
                    </w:rPr>
                    <w:t>样式</w:t>
                  </w:r>
                </w:p>
              </w:tc>
              <w:tc>
                <w:tcPr>
                  <w:tcW w:w="4183" w:type="dxa"/>
                  <w:vAlign w:val="center"/>
                </w:tcPr>
                <w:p>
                  <w:pPr>
                    <w:pStyle w:val="30"/>
                    <w:jc w:val="center"/>
                    <w:rPr>
                      <w:bCs w:val="0"/>
                      <w:color w:val="auto"/>
                      <w:sz w:val="21"/>
                      <w:szCs w:val="21"/>
                    </w:rPr>
                  </w:pPr>
                  <w:r>
                    <w:rPr>
                      <w:rFonts w:hint="eastAsia"/>
                      <w:bCs w:val="0"/>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01" w:type="dxa"/>
                  <w:vAlign w:val="center"/>
                </w:tcPr>
                <w:p>
                  <w:pPr>
                    <w:pStyle w:val="38"/>
                    <w:ind w:firstLine="0"/>
                    <w:rPr>
                      <w:rFonts w:hint="eastAsia"/>
                      <w:b w:val="0"/>
                      <w:bCs w:val="0"/>
                      <w:color w:val="auto"/>
                      <w:sz w:val="21"/>
                      <w:szCs w:val="21"/>
                    </w:rPr>
                  </w:pPr>
                  <w:r>
                    <w:rPr>
                      <w:color w:val="auto"/>
                    </w:rPr>
                    <w:drawing>
                      <wp:inline distT="0" distB="0" distL="114300" distR="114300">
                        <wp:extent cx="2552700" cy="1604645"/>
                        <wp:effectExtent l="0" t="0" r="0" b="1460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7"/>
                                <a:srcRect t="4762"/>
                                <a:stretch>
                                  <a:fillRect/>
                                </a:stretch>
                              </pic:blipFill>
                              <pic:spPr>
                                <a:xfrm>
                                  <a:off x="0" y="0"/>
                                  <a:ext cx="2552700" cy="1604645"/>
                                </a:xfrm>
                                <a:prstGeom prst="rect">
                                  <a:avLst/>
                                </a:prstGeom>
                                <a:noFill/>
                                <a:ln>
                                  <a:noFill/>
                                </a:ln>
                              </pic:spPr>
                            </pic:pic>
                          </a:graphicData>
                        </a:graphic>
                      </wp:inline>
                    </w:drawing>
                  </w:r>
                </w:p>
              </w:tc>
              <w:tc>
                <w:tcPr>
                  <w:tcW w:w="4183" w:type="dxa"/>
                  <w:vAlign w:val="center"/>
                </w:tcPr>
                <w:p>
                  <w:pPr>
                    <w:pStyle w:val="30"/>
                    <w:jc w:val="center"/>
                    <w:rPr>
                      <w:rFonts w:ascii="Times New Roman" w:hAnsi="Times New Roman"/>
                      <w:b w:val="0"/>
                      <w:color w:val="auto"/>
                      <w:sz w:val="21"/>
                      <w:szCs w:val="21"/>
                    </w:rPr>
                  </w:pPr>
                  <w:r>
                    <w:rPr>
                      <w:rFonts w:hint="eastAsia" w:ascii="Times New Roman" w:hAnsi="Times New Roman"/>
                      <w:b w:val="0"/>
                      <w:color w:val="auto"/>
                      <w:sz w:val="21"/>
                      <w:szCs w:val="21"/>
                      <w:lang w:eastAsia="zh-CN"/>
                    </w:rPr>
                    <w:t>1.</w:t>
                  </w:r>
                  <w:r>
                    <w:rPr>
                      <w:rFonts w:ascii="Times New Roman" w:hAnsi="Times New Roman"/>
                      <w:b w:val="0"/>
                      <w:color w:val="auto"/>
                      <w:sz w:val="21"/>
                      <w:szCs w:val="21"/>
                    </w:rPr>
                    <w:t>危险废物贮存区标志牌背景色应采用黄色，RGB 颜色值为（255, 255, 0）。</w:t>
                  </w:r>
                </w:p>
                <w:p>
                  <w:pPr>
                    <w:pStyle w:val="30"/>
                    <w:jc w:val="center"/>
                    <w:rPr>
                      <w:rFonts w:ascii="Times New Roman" w:hAnsi="Times New Roman"/>
                      <w:b w:val="0"/>
                      <w:color w:val="auto"/>
                      <w:sz w:val="21"/>
                      <w:szCs w:val="21"/>
                    </w:rPr>
                  </w:pPr>
                  <w:r>
                    <w:rPr>
                      <w:rFonts w:hint="eastAsia" w:ascii="Times New Roman" w:hAnsi="Times New Roman"/>
                      <w:b w:val="0"/>
                      <w:color w:val="auto"/>
                      <w:sz w:val="21"/>
                      <w:szCs w:val="21"/>
                      <w:lang w:eastAsia="zh-CN"/>
                    </w:rPr>
                    <w:t>2.</w:t>
                  </w:r>
                  <w:r>
                    <w:rPr>
                      <w:rFonts w:ascii="Times New Roman" w:hAnsi="Times New Roman"/>
                      <w:b w:val="0"/>
                      <w:color w:val="auto"/>
                      <w:sz w:val="21"/>
                      <w:szCs w:val="21"/>
                    </w:rPr>
                    <w:t>废物种类信息应采用醒目的 橘黄色，RGB 颜色值为（255,150, 0）。字体颜色为黑色，RGB 颜色值为（0,0,0）。</w:t>
                  </w:r>
                  <w:r>
                    <w:rPr>
                      <w:rFonts w:hint="eastAsia" w:ascii="Times New Roman" w:hAnsi="Times New Roman"/>
                      <w:b w:val="0"/>
                      <w:color w:val="auto"/>
                      <w:sz w:val="21"/>
                      <w:szCs w:val="21"/>
                      <w:lang w:eastAsia="zh-CN"/>
                    </w:rPr>
                    <w:t>图形</w:t>
                  </w:r>
                  <w:r>
                    <w:rPr>
                      <w:rFonts w:ascii="Times New Roman" w:hAnsi="Times New Roman"/>
                      <w:b w:val="0"/>
                      <w:color w:val="auto"/>
                      <w:sz w:val="21"/>
                      <w:szCs w:val="21"/>
                    </w:rPr>
                    <w:t>和文字应清晰、完整，保证在足够的</w:t>
                  </w:r>
                </w:p>
                <w:p>
                  <w:pPr>
                    <w:pStyle w:val="30"/>
                    <w:jc w:val="center"/>
                    <w:rPr>
                      <w:rFonts w:hint="eastAsia"/>
                      <w:b w:val="0"/>
                      <w:color w:val="auto"/>
                      <w:sz w:val="21"/>
                      <w:szCs w:val="21"/>
                    </w:rPr>
                  </w:pPr>
                  <w:r>
                    <w:rPr>
                      <w:rFonts w:ascii="Times New Roman" w:hAnsi="Times New Roman"/>
                      <w:b w:val="0"/>
                      <w:color w:val="auto"/>
                      <w:sz w:val="21"/>
                      <w:szCs w:val="21"/>
                    </w:rPr>
                    <w:t>观察距离条件下不影响阅读。“危险废物贮存分区标志”字样与其他信息宜加黑色分界线区分，分界线的宽度不小于2mm。危险废物贮存分区标志宜设置在该贮存分区前的通道位置或墙壁、栏杆等易于观察的位置</w:t>
                  </w:r>
                  <w:r>
                    <w:rPr>
                      <w:rFonts w:hint="eastAsia" w:ascii="Times New Roman" w:hAnsi="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01" w:type="dxa"/>
                  <w:vAlign w:val="center"/>
                </w:tcPr>
                <w:p>
                  <w:pPr>
                    <w:pStyle w:val="30"/>
                    <w:ind w:firstLine="0"/>
                    <w:jc w:val="both"/>
                    <w:rPr>
                      <w:color w:val="auto"/>
                    </w:rPr>
                  </w:pPr>
                  <w:r>
                    <w:rPr>
                      <w:color w:val="auto"/>
                    </w:rPr>
                    <w:drawing>
                      <wp:inline distT="0" distB="0" distL="114300" distR="114300">
                        <wp:extent cx="2554605" cy="2625725"/>
                        <wp:effectExtent l="0" t="0" r="17145" b="317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8"/>
                                <a:srcRect l="2580" t="2934" r="1291"/>
                                <a:stretch>
                                  <a:fillRect/>
                                </a:stretch>
                              </pic:blipFill>
                              <pic:spPr>
                                <a:xfrm>
                                  <a:off x="0" y="0"/>
                                  <a:ext cx="2554605" cy="2625725"/>
                                </a:xfrm>
                                <a:prstGeom prst="rect">
                                  <a:avLst/>
                                </a:prstGeom>
                                <a:noFill/>
                                <a:ln>
                                  <a:noFill/>
                                </a:ln>
                              </pic:spPr>
                            </pic:pic>
                          </a:graphicData>
                        </a:graphic>
                      </wp:inline>
                    </w:drawing>
                  </w:r>
                </w:p>
                <w:p>
                  <w:pPr>
                    <w:pStyle w:val="38"/>
                    <w:jc w:val="center"/>
                    <w:rPr>
                      <w:color w:val="auto"/>
                    </w:rPr>
                  </w:pPr>
                  <w:r>
                    <w:rPr>
                      <w:rFonts w:hint="eastAsia"/>
                      <w:color w:val="auto"/>
                      <w:sz w:val="21"/>
                      <w:szCs w:val="21"/>
                    </w:rPr>
                    <w:t>危险废物标签样式示意图</w:t>
                  </w:r>
                </w:p>
              </w:tc>
              <w:tc>
                <w:tcPr>
                  <w:tcW w:w="4183" w:type="dxa"/>
                  <w:vAlign w:val="center"/>
                </w:tcPr>
                <w:p>
                  <w:pPr>
                    <w:pStyle w:val="30"/>
                    <w:jc w:val="center"/>
                    <w:rPr>
                      <w:rFonts w:hint="eastAsia"/>
                      <w:b w:val="0"/>
                      <w:color w:val="auto"/>
                      <w:sz w:val="21"/>
                      <w:szCs w:val="21"/>
                    </w:rPr>
                  </w:pPr>
                  <w:r>
                    <w:rPr>
                      <w:rFonts w:hint="eastAsia"/>
                      <w:b w:val="0"/>
                      <w:color w:val="auto"/>
                      <w:sz w:val="21"/>
                      <w:szCs w:val="21"/>
                      <w:lang w:eastAsia="zh-CN"/>
                    </w:rPr>
                    <w:t>1.</w:t>
                  </w:r>
                  <w:r>
                    <w:rPr>
                      <w:rFonts w:hint="eastAsia"/>
                      <w:b w:val="0"/>
                      <w:color w:val="auto"/>
                      <w:sz w:val="21"/>
                      <w:szCs w:val="21"/>
                    </w:rPr>
                    <w:t>危险废物标志设置位置应明显可见且易读，不应被容器、包装物自身的任何部分或其他标签遮挡。对箱类包装危险废物</w:t>
                  </w:r>
                  <w:r>
                    <w:rPr>
                      <w:rFonts w:hint="eastAsia"/>
                      <w:b w:val="0"/>
                      <w:color w:val="auto"/>
                      <w:sz w:val="21"/>
                      <w:szCs w:val="21"/>
                      <w:lang w:eastAsia="zh-CN"/>
                    </w:rPr>
                    <w:t>的</w:t>
                  </w:r>
                  <w:r>
                    <w:rPr>
                      <w:rFonts w:hint="eastAsia"/>
                      <w:b w:val="0"/>
                      <w:color w:val="auto"/>
                      <w:sz w:val="21"/>
                      <w:szCs w:val="21"/>
                    </w:rPr>
                    <w:t>标签应置于包装端面或侧面；</w:t>
                  </w:r>
                </w:p>
                <w:p>
                  <w:pPr>
                    <w:pStyle w:val="30"/>
                    <w:jc w:val="center"/>
                    <w:rPr>
                      <w:rFonts w:hint="eastAsia"/>
                      <w:b w:val="0"/>
                      <w:color w:val="auto"/>
                      <w:sz w:val="21"/>
                      <w:szCs w:val="21"/>
                    </w:rPr>
                  </w:pPr>
                  <w:r>
                    <w:rPr>
                      <w:rFonts w:hint="eastAsia"/>
                      <w:b w:val="0"/>
                      <w:color w:val="auto"/>
                      <w:sz w:val="21"/>
                      <w:szCs w:val="21"/>
                      <w:lang w:eastAsia="zh-CN"/>
                    </w:rPr>
                    <w:t>2.</w:t>
                  </w:r>
                  <w:r>
                    <w:rPr>
                      <w:rFonts w:hint="eastAsia"/>
                      <w:b w:val="0"/>
                      <w:color w:val="auto"/>
                      <w:sz w:val="21"/>
                      <w:szCs w:val="21"/>
                    </w:rPr>
                    <w:t>袋类包装危险废物</w:t>
                  </w:r>
                  <w:r>
                    <w:rPr>
                      <w:rFonts w:hint="eastAsia"/>
                      <w:b w:val="0"/>
                      <w:color w:val="auto"/>
                      <w:sz w:val="21"/>
                      <w:szCs w:val="21"/>
                      <w:lang w:eastAsia="zh-CN"/>
                    </w:rPr>
                    <w:t>的</w:t>
                  </w:r>
                  <w:r>
                    <w:rPr>
                      <w:rFonts w:hint="eastAsia"/>
                      <w:b w:val="0"/>
                      <w:color w:val="auto"/>
                      <w:sz w:val="21"/>
                      <w:szCs w:val="21"/>
                    </w:rPr>
                    <w:t>标签应置于包装明显处；</w:t>
                  </w:r>
                </w:p>
                <w:p>
                  <w:pPr>
                    <w:pStyle w:val="30"/>
                    <w:jc w:val="center"/>
                    <w:rPr>
                      <w:rFonts w:hint="eastAsia"/>
                      <w:b w:val="0"/>
                      <w:color w:val="auto"/>
                      <w:sz w:val="21"/>
                      <w:szCs w:val="21"/>
                    </w:rPr>
                  </w:pPr>
                  <w:r>
                    <w:rPr>
                      <w:rFonts w:hint="eastAsia"/>
                      <w:b w:val="0"/>
                      <w:color w:val="auto"/>
                      <w:sz w:val="21"/>
                      <w:szCs w:val="21"/>
                      <w:lang w:eastAsia="zh-CN"/>
                    </w:rPr>
                    <w:t>3.</w:t>
                  </w:r>
                  <w:r>
                    <w:rPr>
                      <w:rFonts w:hint="eastAsia"/>
                      <w:b w:val="0"/>
                      <w:color w:val="auto"/>
                      <w:sz w:val="21"/>
                      <w:szCs w:val="21"/>
                    </w:rPr>
                    <w:t>桶类包装危险废物</w:t>
                  </w:r>
                  <w:r>
                    <w:rPr>
                      <w:rFonts w:hint="eastAsia"/>
                      <w:b w:val="0"/>
                      <w:color w:val="auto"/>
                      <w:sz w:val="21"/>
                      <w:szCs w:val="21"/>
                      <w:lang w:eastAsia="zh-CN"/>
                    </w:rPr>
                    <w:t>的</w:t>
                  </w:r>
                  <w:r>
                    <w:rPr>
                      <w:rFonts w:hint="eastAsia"/>
                      <w:b w:val="0"/>
                      <w:color w:val="auto"/>
                      <w:sz w:val="21"/>
                      <w:szCs w:val="21"/>
                    </w:rPr>
                    <w:t>标签应置于桶身或桶盖；</w:t>
                  </w:r>
                </w:p>
                <w:p>
                  <w:pPr>
                    <w:pStyle w:val="30"/>
                    <w:jc w:val="center"/>
                    <w:rPr>
                      <w:rFonts w:hint="eastAsia"/>
                      <w:b w:val="0"/>
                      <w:color w:val="auto"/>
                      <w:sz w:val="21"/>
                      <w:szCs w:val="21"/>
                    </w:rPr>
                  </w:pPr>
                  <w:r>
                    <w:rPr>
                      <w:rFonts w:hint="eastAsia"/>
                      <w:b w:val="0"/>
                      <w:color w:val="auto"/>
                      <w:sz w:val="21"/>
                      <w:szCs w:val="21"/>
                      <w:lang w:eastAsia="zh-CN"/>
                    </w:rPr>
                    <w:t>4.</w:t>
                  </w:r>
                  <w:r>
                    <w:rPr>
                      <w:rFonts w:hint="eastAsia"/>
                      <w:b w:val="0"/>
                      <w:color w:val="auto"/>
                      <w:sz w:val="21"/>
                      <w:szCs w:val="21"/>
                    </w:rPr>
                    <w:t>其他包装危险废物</w:t>
                  </w:r>
                  <w:r>
                    <w:rPr>
                      <w:rFonts w:hint="eastAsia"/>
                      <w:b w:val="0"/>
                      <w:color w:val="auto"/>
                      <w:sz w:val="21"/>
                      <w:szCs w:val="21"/>
                      <w:lang w:eastAsia="zh-CN"/>
                    </w:rPr>
                    <w:t>的</w:t>
                  </w:r>
                  <w:r>
                    <w:rPr>
                      <w:rFonts w:hint="eastAsia"/>
                      <w:b w:val="0"/>
                      <w:color w:val="auto"/>
                      <w:sz w:val="21"/>
                      <w:szCs w:val="21"/>
                    </w:rPr>
                    <w:t>标签应置</w:t>
                  </w:r>
                  <w:r>
                    <w:rPr>
                      <w:rFonts w:hint="eastAsia"/>
                      <w:b w:val="0"/>
                      <w:color w:val="auto"/>
                      <w:sz w:val="21"/>
                      <w:szCs w:val="21"/>
                      <w:lang w:eastAsia="zh-CN"/>
                    </w:rPr>
                    <w:t>于</w:t>
                  </w:r>
                  <w:r>
                    <w:rPr>
                      <w:rFonts w:hint="eastAsia"/>
                      <w:b w:val="0"/>
                      <w:color w:val="auto"/>
                      <w:sz w:val="21"/>
                      <w:szCs w:val="21"/>
                    </w:rPr>
                    <w:t>明显处。</w:t>
                  </w:r>
                </w:p>
                <w:p>
                  <w:pPr>
                    <w:pStyle w:val="30"/>
                    <w:jc w:val="center"/>
                    <w:rPr>
                      <w:b w:val="0"/>
                      <w:color w:val="auto"/>
                    </w:rPr>
                  </w:pPr>
                </w:p>
              </w:tc>
            </w:tr>
          </w:tbl>
          <w:p>
            <w:pPr>
              <w:ind w:firstLine="422" w:firstLineChars="200"/>
              <w:jc w:val="center"/>
              <w:rPr>
                <w:rFonts w:hint="eastAsia"/>
                <w:b/>
                <w:bCs/>
                <w:color w:val="auto"/>
                <w:szCs w:val="21"/>
              </w:rPr>
            </w:pPr>
          </w:p>
          <w:p>
            <w:pPr>
              <w:ind w:firstLine="422" w:firstLineChars="200"/>
              <w:jc w:val="center"/>
              <w:rPr>
                <w:rFonts w:hint="eastAsia"/>
                <w:b/>
                <w:bCs/>
                <w:color w:val="auto"/>
                <w:szCs w:val="21"/>
              </w:rPr>
            </w:pPr>
          </w:p>
          <w:p>
            <w:pPr>
              <w:spacing w:line="360" w:lineRule="auto"/>
              <w:ind w:firstLine="482" w:firstLineChars="200"/>
              <w:rPr>
                <w:b/>
                <w:bCs/>
                <w:color w:val="auto"/>
                <w:sz w:val="24"/>
              </w:rPr>
            </w:pPr>
            <w:r>
              <w:rPr>
                <w:rFonts w:hint="eastAsia"/>
                <w:b/>
                <w:bCs/>
                <w:color w:val="auto"/>
                <w:sz w:val="24"/>
              </w:rPr>
              <w:t>5地下水、土壤影响分析</w:t>
            </w:r>
          </w:p>
          <w:p>
            <w:pPr>
              <w:spacing w:line="360" w:lineRule="auto"/>
              <w:ind w:firstLine="482" w:firstLineChars="200"/>
              <w:rPr>
                <w:rFonts w:hint="eastAsia"/>
                <w:b/>
                <w:bCs/>
                <w:color w:val="auto"/>
                <w:sz w:val="24"/>
              </w:rPr>
            </w:pPr>
            <w:r>
              <w:rPr>
                <w:rFonts w:hint="eastAsia"/>
                <w:b/>
                <w:bCs/>
                <w:color w:val="auto"/>
                <w:sz w:val="24"/>
              </w:rPr>
              <w:t>5.1污染源分析</w:t>
            </w:r>
          </w:p>
          <w:p>
            <w:pPr>
              <w:spacing w:line="360" w:lineRule="auto"/>
              <w:ind w:firstLine="480" w:firstLineChars="200"/>
              <w:rPr>
                <w:rFonts w:hint="eastAsia"/>
                <w:color w:val="auto"/>
                <w:sz w:val="24"/>
              </w:rPr>
            </w:pPr>
            <w:r>
              <w:rPr>
                <w:rFonts w:hint="eastAsia"/>
                <w:color w:val="auto"/>
                <w:sz w:val="24"/>
              </w:rPr>
              <w:t>本项目存在的可能污染地下水和土壤的物质主要为润滑油。主要污染类型及污染途径为：</w:t>
            </w:r>
            <w:r>
              <w:rPr>
                <w:rFonts w:hint="eastAsia"/>
                <w:color w:val="auto"/>
                <w:sz w:val="24"/>
                <w:lang w:eastAsia="zh-CN"/>
              </w:rPr>
              <w:t>润滑油</w:t>
            </w:r>
            <w:r>
              <w:rPr>
                <w:rFonts w:hint="eastAsia"/>
                <w:color w:val="auto"/>
                <w:sz w:val="24"/>
              </w:rPr>
              <w:t>发生渗漏后下渗污染土壤、地下水。</w:t>
            </w:r>
          </w:p>
          <w:p>
            <w:pPr>
              <w:spacing w:line="360" w:lineRule="auto"/>
              <w:ind w:firstLine="482" w:firstLineChars="200"/>
              <w:rPr>
                <w:rFonts w:hint="eastAsia"/>
                <w:b/>
                <w:bCs/>
                <w:color w:val="auto"/>
                <w:sz w:val="24"/>
              </w:rPr>
            </w:pPr>
            <w:r>
              <w:rPr>
                <w:rFonts w:hint="eastAsia"/>
                <w:b/>
                <w:bCs/>
                <w:color w:val="auto"/>
                <w:sz w:val="24"/>
              </w:rPr>
              <w:t>5.2分区防渗</w:t>
            </w:r>
          </w:p>
          <w:p>
            <w:pPr>
              <w:spacing w:line="360" w:lineRule="auto"/>
              <w:ind w:firstLine="480" w:firstLineChars="200"/>
              <w:rPr>
                <w:rFonts w:hint="eastAsia"/>
                <w:color w:val="auto"/>
                <w:sz w:val="24"/>
              </w:rPr>
            </w:pPr>
            <w:r>
              <w:rPr>
                <w:rFonts w:hint="eastAsia"/>
                <w:color w:val="auto"/>
                <w:sz w:val="24"/>
              </w:rPr>
              <w:t>地下水、土壤污染防治措施坚持“源头控制、末端防治、污染监控、应急响应相结合” 的原则。即采取主动控制和被动控制相结合的措施。</w:t>
            </w:r>
          </w:p>
          <w:p>
            <w:pPr>
              <w:spacing w:line="360" w:lineRule="auto"/>
              <w:ind w:firstLine="480" w:firstLineChars="200"/>
              <w:rPr>
                <w:rFonts w:hint="eastAsia"/>
                <w:color w:val="auto"/>
                <w:sz w:val="24"/>
              </w:rPr>
            </w:pPr>
            <w:r>
              <w:rPr>
                <w:rFonts w:hint="eastAsia"/>
                <w:color w:val="auto"/>
                <w:sz w:val="24"/>
              </w:rPr>
              <w:t>主动控制，分区防渗。从源头控制，主要包括在工艺、管道、设备、污水储存及处理构筑物采取相应的措施，防止和降低污染物跑、冒、滴、漏，将污染物泄漏的环境风险事故降到最低程度。</w:t>
            </w:r>
          </w:p>
          <w:p>
            <w:pPr>
              <w:spacing w:line="360" w:lineRule="auto"/>
              <w:ind w:firstLine="480" w:firstLineChars="200"/>
              <w:rPr>
                <w:rFonts w:hint="eastAsia"/>
                <w:color w:val="auto"/>
                <w:sz w:val="24"/>
              </w:rPr>
            </w:pPr>
            <w:r>
              <w:rPr>
                <w:rFonts w:hint="eastAsia"/>
                <w:color w:val="auto"/>
                <w:sz w:val="24"/>
              </w:rPr>
              <w:t>根据《环境影响评价技术导则 地下水环境》（HJ610-2016）中污染防治区分的规定，根据装置、单元的特点和所处的区域及部位，可将建设场地划分为一般防渗区和重点防渗区。参照《环境影响评价技术导则 地下水环境》（HJ610-2016）、《危险废物贮存污染控制标准》</w:t>
            </w:r>
            <w:r>
              <w:rPr>
                <w:rFonts w:hint="eastAsia"/>
                <w:color w:val="auto"/>
                <w:sz w:val="24"/>
                <w:lang w:eastAsia="zh-CN"/>
              </w:rPr>
              <w:t>（</w:t>
            </w:r>
            <w:r>
              <w:rPr>
                <w:rFonts w:hint="eastAsia"/>
                <w:color w:val="auto"/>
                <w:sz w:val="24"/>
              </w:rPr>
              <w:t>GB 18597-2023</w:t>
            </w:r>
            <w:r>
              <w:rPr>
                <w:rFonts w:hint="eastAsia"/>
                <w:color w:val="auto"/>
                <w:sz w:val="24"/>
                <w:lang w:eastAsia="zh-CN"/>
              </w:rPr>
              <w:t>）</w:t>
            </w:r>
            <w:r>
              <w:rPr>
                <w:rFonts w:hint="eastAsia"/>
                <w:color w:val="auto"/>
                <w:sz w:val="24"/>
              </w:rPr>
              <w:t>等要求，项目防渗分区的划分情况和具体要求见下表：</w:t>
            </w:r>
          </w:p>
          <w:p>
            <w:pPr>
              <w:pStyle w:val="30"/>
              <w:spacing w:line="240" w:lineRule="auto"/>
              <w:jc w:val="center"/>
              <w:rPr>
                <w:rFonts w:ascii="Times New Roman" w:hAnsi="Times New Roman"/>
                <w:b/>
                <w:bCs w:val="0"/>
                <w:color w:val="auto"/>
                <w:sz w:val="21"/>
                <w:szCs w:val="21"/>
              </w:rPr>
            </w:pPr>
          </w:p>
          <w:p>
            <w:pPr>
              <w:pStyle w:val="30"/>
              <w:spacing w:line="240" w:lineRule="auto"/>
              <w:jc w:val="center"/>
              <w:rPr>
                <w:rFonts w:ascii="Times New Roman" w:hAnsi="Times New Roman"/>
                <w:b/>
                <w:bCs w:val="0"/>
                <w:color w:val="auto"/>
                <w:sz w:val="21"/>
                <w:szCs w:val="21"/>
              </w:rPr>
            </w:pPr>
          </w:p>
          <w:p>
            <w:pPr>
              <w:pStyle w:val="30"/>
              <w:spacing w:line="240" w:lineRule="auto"/>
              <w:jc w:val="center"/>
              <w:rPr>
                <w:rFonts w:ascii="Times New Roman" w:hAnsi="Times New Roman"/>
                <w:b/>
                <w:bCs w:val="0"/>
                <w:color w:val="auto"/>
                <w:sz w:val="21"/>
                <w:szCs w:val="21"/>
              </w:rPr>
            </w:pPr>
          </w:p>
          <w:p>
            <w:pPr>
              <w:pStyle w:val="30"/>
              <w:spacing w:line="240" w:lineRule="auto"/>
              <w:jc w:val="center"/>
              <w:rPr>
                <w:rFonts w:hint="eastAsia"/>
                <w:b/>
                <w:bCs w:val="0"/>
                <w:color w:val="auto"/>
                <w:sz w:val="21"/>
                <w:szCs w:val="21"/>
              </w:rPr>
            </w:pPr>
            <w:r>
              <w:rPr>
                <w:rFonts w:ascii="Times New Roman" w:hAnsi="Times New Roman"/>
                <w:b/>
                <w:bCs w:val="0"/>
                <w:color w:val="auto"/>
                <w:sz w:val="21"/>
                <w:szCs w:val="21"/>
              </w:rPr>
              <w:t>表4-</w:t>
            </w:r>
            <w:r>
              <w:rPr>
                <w:rFonts w:hint="eastAsia" w:ascii="Times New Roman" w:hAnsi="Times New Roman"/>
                <w:b/>
                <w:bCs w:val="0"/>
                <w:color w:val="auto"/>
                <w:sz w:val="21"/>
                <w:szCs w:val="21"/>
                <w:lang w:val="en-US" w:eastAsia="zh-CN"/>
              </w:rPr>
              <w:t>14</w:t>
            </w:r>
            <w:r>
              <w:rPr>
                <w:rFonts w:ascii="Times New Roman" w:hAnsi="Times New Roman"/>
                <w:b/>
                <w:bCs w:val="0"/>
                <w:color w:val="auto"/>
                <w:sz w:val="21"/>
                <w:szCs w:val="21"/>
              </w:rPr>
              <w:t xml:space="preserve"> </w:t>
            </w:r>
            <w:r>
              <w:rPr>
                <w:rFonts w:hint="eastAsia"/>
                <w:b/>
                <w:bCs w:val="0"/>
                <w:color w:val="auto"/>
                <w:sz w:val="21"/>
                <w:szCs w:val="21"/>
              </w:rPr>
              <w:t>项目污染防渗分区及要求</w:t>
            </w:r>
          </w:p>
          <w:tbl>
            <w:tblPr>
              <w:tblStyle w:val="27"/>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678"/>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8"/>
                    <w:spacing w:line="240" w:lineRule="auto"/>
                    <w:ind w:firstLine="0"/>
                    <w:jc w:val="center"/>
                    <w:rPr>
                      <w:rFonts w:hint="eastAsia"/>
                      <w:color w:val="auto"/>
                      <w:sz w:val="21"/>
                      <w:szCs w:val="21"/>
                    </w:rPr>
                  </w:pPr>
                  <w:r>
                    <w:rPr>
                      <w:rFonts w:hint="eastAsia"/>
                      <w:color w:val="auto"/>
                      <w:sz w:val="21"/>
                      <w:szCs w:val="21"/>
                    </w:rPr>
                    <w:t>防渗分区</w:t>
                  </w:r>
                </w:p>
              </w:tc>
              <w:tc>
                <w:tcPr>
                  <w:tcW w:w="2678" w:type="dxa"/>
                  <w:vAlign w:val="center"/>
                </w:tcPr>
                <w:p>
                  <w:pPr>
                    <w:pStyle w:val="38"/>
                    <w:spacing w:line="240" w:lineRule="auto"/>
                    <w:ind w:firstLine="0"/>
                    <w:jc w:val="center"/>
                    <w:rPr>
                      <w:rFonts w:hint="eastAsia"/>
                      <w:color w:val="auto"/>
                      <w:sz w:val="21"/>
                      <w:szCs w:val="21"/>
                    </w:rPr>
                  </w:pPr>
                  <w:r>
                    <w:rPr>
                      <w:rFonts w:hint="eastAsia"/>
                      <w:color w:val="auto"/>
                      <w:sz w:val="21"/>
                      <w:szCs w:val="21"/>
                    </w:rPr>
                    <w:t>装置设施</w:t>
                  </w:r>
                </w:p>
              </w:tc>
              <w:tc>
                <w:tcPr>
                  <w:tcW w:w="4646" w:type="dxa"/>
                  <w:vAlign w:val="center"/>
                </w:tcPr>
                <w:p>
                  <w:pPr>
                    <w:pStyle w:val="38"/>
                    <w:spacing w:line="240" w:lineRule="auto"/>
                    <w:jc w:val="center"/>
                    <w:rPr>
                      <w:rFonts w:hint="eastAsia"/>
                      <w:color w:val="auto"/>
                      <w:sz w:val="21"/>
                      <w:szCs w:val="21"/>
                    </w:rPr>
                  </w:pPr>
                  <w:r>
                    <w:rPr>
                      <w:rFonts w:hint="eastAsia"/>
                      <w:color w:val="auto"/>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重点防渗区</w:t>
                  </w:r>
                </w:p>
              </w:tc>
              <w:tc>
                <w:tcPr>
                  <w:tcW w:w="2678" w:type="dxa"/>
                  <w:vAlign w:val="center"/>
                </w:tcPr>
                <w:p>
                  <w:pPr>
                    <w:pStyle w:val="38"/>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rPr>
                    <w:t>危废贮存库</w:t>
                  </w:r>
                </w:p>
              </w:tc>
              <w:tc>
                <w:tcPr>
                  <w:tcW w:w="4646" w:type="dxa"/>
                  <w:vAlign w:val="center"/>
                </w:tcPr>
                <w:p>
                  <w:pPr>
                    <w:pStyle w:val="38"/>
                    <w:spacing w:line="240" w:lineRule="auto"/>
                    <w:ind w:firstLine="0"/>
                    <w:jc w:val="center"/>
                    <w:rPr>
                      <w:rFonts w:ascii="Times New Roman"/>
                      <w:color w:val="auto"/>
                      <w:sz w:val="21"/>
                      <w:szCs w:val="21"/>
                    </w:rPr>
                  </w:pPr>
                  <w:r>
                    <w:rPr>
                      <w:rFonts w:ascii="Times New Roman"/>
                      <w:color w:val="auto"/>
                      <w:sz w:val="21"/>
                      <w:szCs w:val="21"/>
                    </w:rPr>
                    <w:t>等效黏土防渗层 Mb≥6.0m，K≤1×10</w:t>
                  </w:r>
                  <w:r>
                    <w:rPr>
                      <w:rFonts w:ascii="Times New Roman"/>
                      <w:color w:val="auto"/>
                      <w:sz w:val="21"/>
                      <w:szCs w:val="21"/>
                      <w:vertAlign w:val="superscript"/>
                    </w:rPr>
                    <w:t>-7</w:t>
                  </w:r>
                  <w:r>
                    <w:rPr>
                      <w:rFonts w:ascii="Times New Roman"/>
                      <w:color w:val="auto"/>
                      <w:sz w:val="21"/>
                      <w:szCs w:val="21"/>
                    </w:rPr>
                    <w:t>cm/s；或参照GB18597 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8"/>
                    <w:spacing w:line="240" w:lineRule="auto"/>
                    <w:ind w:firstLine="0"/>
                    <w:jc w:val="center"/>
                    <w:rPr>
                      <w:rFonts w:hint="eastAsia"/>
                      <w:color w:val="auto"/>
                      <w:sz w:val="21"/>
                      <w:szCs w:val="21"/>
                    </w:rPr>
                  </w:pPr>
                  <w:r>
                    <w:rPr>
                      <w:rFonts w:hint="eastAsia"/>
                      <w:color w:val="auto"/>
                      <w:sz w:val="21"/>
                      <w:szCs w:val="21"/>
                    </w:rPr>
                    <w:t>简单防渗</w:t>
                  </w:r>
                </w:p>
              </w:tc>
              <w:tc>
                <w:tcPr>
                  <w:tcW w:w="2678" w:type="dxa"/>
                  <w:vAlign w:val="center"/>
                </w:tcPr>
                <w:p>
                  <w:pPr>
                    <w:pStyle w:val="38"/>
                    <w:spacing w:line="240" w:lineRule="auto"/>
                    <w:ind w:firstLine="0"/>
                    <w:jc w:val="center"/>
                    <w:rPr>
                      <w:rFonts w:hint="eastAsia" w:eastAsia="宋体"/>
                      <w:color w:val="auto"/>
                      <w:sz w:val="21"/>
                      <w:szCs w:val="21"/>
                      <w:lang w:eastAsia="zh-CN"/>
                    </w:rPr>
                  </w:pPr>
                  <w:r>
                    <w:rPr>
                      <w:rFonts w:hint="eastAsia"/>
                      <w:color w:val="auto"/>
                      <w:sz w:val="21"/>
                      <w:szCs w:val="21"/>
                      <w:lang w:eastAsia="zh-CN"/>
                    </w:rPr>
                    <w:t>厂房其他区域</w:t>
                  </w:r>
                </w:p>
              </w:tc>
              <w:tc>
                <w:tcPr>
                  <w:tcW w:w="4646" w:type="dxa"/>
                  <w:vAlign w:val="center"/>
                </w:tcPr>
                <w:p>
                  <w:pPr>
                    <w:pStyle w:val="38"/>
                    <w:spacing w:line="240" w:lineRule="auto"/>
                    <w:jc w:val="center"/>
                    <w:rPr>
                      <w:color w:val="auto"/>
                      <w:sz w:val="21"/>
                      <w:szCs w:val="21"/>
                    </w:rPr>
                  </w:pPr>
                  <w:r>
                    <w:rPr>
                      <w:rFonts w:hint="eastAsia"/>
                      <w:color w:val="auto"/>
                      <w:sz w:val="21"/>
                      <w:szCs w:val="21"/>
                    </w:rPr>
                    <w:t>一般地面硬化</w:t>
                  </w:r>
                </w:p>
              </w:tc>
            </w:tr>
          </w:tbl>
          <w:p>
            <w:pPr>
              <w:spacing w:line="360" w:lineRule="auto"/>
              <w:ind w:firstLine="480" w:firstLineChars="200"/>
              <w:rPr>
                <w:rFonts w:ascii="宋体" w:hAnsi="宋体" w:cs="宋体"/>
                <w:color w:val="auto"/>
                <w:sz w:val="24"/>
              </w:rPr>
            </w:pPr>
            <w:r>
              <w:rPr>
                <w:rFonts w:ascii="宋体" w:hAnsi="宋体" w:cs="宋体"/>
                <w:color w:val="auto"/>
                <w:sz w:val="24"/>
              </w:rPr>
              <w:t>综上所述，本项目在采取上述防渗措施后，可有效防止营运期对区域地下水、 土壤环境的影响。</w:t>
            </w:r>
          </w:p>
          <w:p>
            <w:pPr>
              <w:spacing w:line="360" w:lineRule="auto"/>
              <w:ind w:firstLine="482" w:firstLineChars="200"/>
              <w:rPr>
                <w:rFonts w:hint="eastAsia"/>
                <w:b/>
                <w:bCs/>
                <w:color w:val="auto"/>
                <w:sz w:val="24"/>
              </w:rPr>
            </w:pPr>
            <w:r>
              <w:rPr>
                <w:rFonts w:hint="eastAsia"/>
                <w:b/>
                <w:bCs/>
                <w:color w:val="auto"/>
                <w:sz w:val="24"/>
                <w:lang w:eastAsia="zh-CN"/>
              </w:rPr>
              <w:t>6.</w:t>
            </w:r>
            <w:r>
              <w:rPr>
                <w:rFonts w:hint="eastAsia"/>
                <w:b/>
                <w:bCs/>
                <w:color w:val="auto"/>
                <w:sz w:val="24"/>
              </w:rPr>
              <w:t>环境风险分析</w:t>
            </w:r>
          </w:p>
          <w:p>
            <w:pPr>
              <w:pStyle w:val="21"/>
              <w:spacing w:line="360" w:lineRule="auto"/>
              <w:ind w:firstLine="482" w:firstLineChars="200"/>
              <w:rPr>
                <w:rFonts w:hint="eastAsia"/>
                <w:color w:val="auto"/>
                <w:sz w:val="24"/>
              </w:rPr>
            </w:pPr>
            <w:r>
              <w:rPr>
                <w:rFonts w:hint="eastAsia"/>
                <w:b/>
                <w:bCs/>
                <w:color w:val="auto"/>
                <w:sz w:val="24"/>
              </w:rPr>
              <w:t>6.1风险源调查及可能影响途径</w:t>
            </w:r>
          </w:p>
          <w:p>
            <w:pPr>
              <w:pStyle w:val="21"/>
              <w:spacing w:line="360" w:lineRule="auto"/>
              <w:ind w:firstLine="480" w:firstLineChars="200"/>
              <w:rPr>
                <w:b/>
                <w:bCs/>
                <w:color w:val="auto"/>
                <w:sz w:val="21"/>
                <w:szCs w:val="21"/>
              </w:rPr>
            </w:pPr>
            <w:r>
              <w:rPr>
                <w:rFonts w:hint="eastAsia"/>
                <w:color w:val="auto"/>
                <w:sz w:val="24"/>
              </w:rPr>
              <w:t>本评价按照《建设项目环境风险评价技术导则》（HJ169-2018）（简称“导则”）表B.1突发环境事件风险物质临界量和《环境风险评价实用技术和方法》（简称“方法”）中的相关规定，项目风险源为危废贮存库等。</w:t>
            </w:r>
          </w:p>
          <w:p>
            <w:pPr>
              <w:pStyle w:val="21"/>
              <w:spacing w:line="360" w:lineRule="auto"/>
              <w:ind w:firstLine="482" w:firstLineChars="200"/>
              <w:rPr>
                <w:rFonts w:hint="eastAsia"/>
                <w:b/>
                <w:bCs/>
                <w:color w:val="auto"/>
                <w:sz w:val="24"/>
              </w:rPr>
            </w:pPr>
            <w:r>
              <w:rPr>
                <w:rFonts w:hint="eastAsia"/>
                <w:b/>
                <w:bCs/>
                <w:color w:val="auto"/>
                <w:sz w:val="24"/>
              </w:rPr>
              <w:t>6.2主要风险源</w:t>
            </w:r>
          </w:p>
          <w:p>
            <w:pPr>
              <w:pStyle w:val="21"/>
              <w:spacing w:line="360" w:lineRule="auto"/>
              <w:ind w:firstLine="480" w:firstLineChars="200"/>
              <w:rPr>
                <w:rFonts w:hint="eastAsia"/>
                <w:color w:val="auto"/>
                <w:sz w:val="24"/>
              </w:rPr>
            </w:pPr>
            <w:r>
              <w:rPr>
                <w:rFonts w:hint="eastAsia"/>
                <w:color w:val="auto"/>
                <w:sz w:val="24"/>
              </w:rPr>
              <w:t>泄漏污染风险源：危废贮存库等。</w:t>
            </w:r>
          </w:p>
          <w:p>
            <w:pPr>
              <w:pStyle w:val="21"/>
              <w:spacing w:line="360" w:lineRule="auto"/>
              <w:ind w:firstLine="480" w:firstLineChars="200"/>
              <w:rPr>
                <w:rFonts w:hint="eastAsia"/>
                <w:b/>
                <w:bCs/>
                <w:color w:val="auto"/>
                <w:sz w:val="24"/>
              </w:rPr>
            </w:pPr>
            <w:r>
              <w:rPr>
                <w:rFonts w:hint="eastAsia"/>
                <w:color w:val="auto"/>
                <w:sz w:val="24"/>
              </w:rPr>
              <w:t>火灾风险源：主要为危废贮存库等</w:t>
            </w:r>
            <w:r>
              <w:rPr>
                <w:rFonts w:hint="eastAsia"/>
                <w:color w:val="auto"/>
                <w:sz w:val="24"/>
                <w:lang w:eastAsia="zh-CN"/>
              </w:rPr>
              <w:t>其他</w:t>
            </w:r>
            <w:r>
              <w:rPr>
                <w:rFonts w:hint="eastAsia"/>
                <w:color w:val="auto"/>
                <w:sz w:val="24"/>
              </w:rPr>
              <w:t>可燃物料区。</w:t>
            </w:r>
          </w:p>
          <w:p>
            <w:pPr>
              <w:pStyle w:val="21"/>
              <w:spacing w:line="360" w:lineRule="auto"/>
              <w:ind w:firstLine="482" w:firstLineChars="200"/>
              <w:rPr>
                <w:rFonts w:hint="eastAsia"/>
                <w:b/>
                <w:bCs/>
                <w:color w:val="auto"/>
                <w:sz w:val="24"/>
              </w:rPr>
            </w:pPr>
            <w:r>
              <w:rPr>
                <w:rFonts w:hint="eastAsia"/>
                <w:b/>
                <w:bCs/>
                <w:color w:val="auto"/>
                <w:sz w:val="24"/>
              </w:rPr>
              <w:t>6.3可能影响途径</w:t>
            </w:r>
          </w:p>
          <w:p>
            <w:pPr>
              <w:pStyle w:val="21"/>
              <w:spacing w:line="360" w:lineRule="auto"/>
              <w:ind w:firstLine="480" w:firstLineChars="200"/>
              <w:rPr>
                <w:rFonts w:hint="eastAsia"/>
                <w:color w:val="auto"/>
                <w:sz w:val="24"/>
              </w:rPr>
            </w:pPr>
            <w:r>
              <w:rPr>
                <w:rFonts w:hint="eastAsia"/>
                <w:color w:val="auto"/>
                <w:sz w:val="24"/>
              </w:rPr>
              <w:t>不同风险源可能污染环境的途径如下：</w:t>
            </w:r>
          </w:p>
          <w:p>
            <w:pPr>
              <w:pStyle w:val="21"/>
              <w:spacing w:line="240" w:lineRule="auto"/>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15</w:t>
            </w:r>
            <w:r>
              <w:rPr>
                <w:rFonts w:hint="eastAsia"/>
                <w:b/>
                <w:bCs/>
                <w:color w:val="auto"/>
                <w:sz w:val="21"/>
                <w:szCs w:val="21"/>
              </w:rPr>
              <w:t xml:space="preserve"> 项目风险物质可能污染环境的影响途径</w:t>
            </w:r>
          </w:p>
          <w:tbl>
            <w:tblPr>
              <w:tblStyle w:val="27"/>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458"/>
              <w:gridCol w:w="1853"/>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Align w:val="center"/>
                </w:tcPr>
                <w:p>
                  <w:pPr>
                    <w:pStyle w:val="21"/>
                    <w:spacing w:line="240" w:lineRule="auto"/>
                    <w:jc w:val="center"/>
                    <w:rPr>
                      <w:rFonts w:hint="eastAsia"/>
                      <w:color w:val="auto"/>
                      <w:sz w:val="21"/>
                      <w:szCs w:val="21"/>
                    </w:rPr>
                  </w:pPr>
                  <w:r>
                    <w:rPr>
                      <w:rFonts w:hint="eastAsia"/>
                      <w:color w:val="auto"/>
                      <w:sz w:val="21"/>
                      <w:szCs w:val="21"/>
                    </w:rPr>
                    <w:t>风险源</w:t>
                  </w:r>
                </w:p>
              </w:tc>
              <w:tc>
                <w:tcPr>
                  <w:tcW w:w="1458" w:type="dxa"/>
                  <w:vAlign w:val="center"/>
                </w:tcPr>
                <w:p>
                  <w:pPr>
                    <w:pStyle w:val="21"/>
                    <w:spacing w:line="240" w:lineRule="auto"/>
                    <w:jc w:val="center"/>
                    <w:rPr>
                      <w:rFonts w:hint="eastAsia"/>
                      <w:color w:val="auto"/>
                      <w:sz w:val="21"/>
                      <w:szCs w:val="21"/>
                    </w:rPr>
                  </w:pPr>
                  <w:r>
                    <w:rPr>
                      <w:rFonts w:hint="eastAsia"/>
                      <w:color w:val="auto"/>
                      <w:sz w:val="21"/>
                      <w:szCs w:val="21"/>
                    </w:rPr>
                    <w:t>主要风险</w:t>
                  </w:r>
                </w:p>
                <w:p>
                  <w:pPr>
                    <w:pStyle w:val="21"/>
                    <w:spacing w:line="240" w:lineRule="auto"/>
                    <w:jc w:val="center"/>
                    <w:rPr>
                      <w:rFonts w:hint="eastAsia"/>
                      <w:color w:val="auto"/>
                      <w:sz w:val="21"/>
                      <w:szCs w:val="21"/>
                    </w:rPr>
                  </w:pPr>
                  <w:r>
                    <w:rPr>
                      <w:rFonts w:hint="eastAsia"/>
                      <w:color w:val="auto"/>
                      <w:sz w:val="21"/>
                      <w:szCs w:val="21"/>
                    </w:rPr>
                    <w:t>物质</w:t>
                  </w:r>
                </w:p>
              </w:tc>
              <w:tc>
                <w:tcPr>
                  <w:tcW w:w="1853" w:type="dxa"/>
                  <w:vAlign w:val="center"/>
                </w:tcPr>
                <w:p>
                  <w:pPr>
                    <w:pStyle w:val="21"/>
                    <w:spacing w:line="240" w:lineRule="auto"/>
                    <w:jc w:val="center"/>
                    <w:rPr>
                      <w:rFonts w:hint="eastAsia"/>
                      <w:color w:val="auto"/>
                      <w:sz w:val="21"/>
                      <w:szCs w:val="21"/>
                    </w:rPr>
                  </w:pPr>
                  <w:r>
                    <w:rPr>
                      <w:rFonts w:hint="eastAsia"/>
                      <w:color w:val="auto"/>
                      <w:sz w:val="21"/>
                      <w:szCs w:val="21"/>
                    </w:rPr>
                    <w:t>可能影响途径</w:t>
                  </w:r>
                </w:p>
              </w:tc>
              <w:tc>
                <w:tcPr>
                  <w:tcW w:w="4012" w:type="dxa"/>
                  <w:vAlign w:val="center"/>
                </w:tcPr>
                <w:p>
                  <w:pPr>
                    <w:pStyle w:val="21"/>
                    <w:spacing w:line="240" w:lineRule="auto"/>
                    <w:jc w:val="center"/>
                    <w:rPr>
                      <w:rFonts w:hint="eastAsia"/>
                      <w:color w:val="auto"/>
                      <w:sz w:val="21"/>
                      <w:szCs w:val="21"/>
                    </w:rPr>
                  </w:pPr>
                  <w:r>
                    <w:rPr>
                      <w:rFonts w:hint="eastAsia"/>
                      <w:color w:val="auto"/>
                      <w:sz w:val="21"/>
                      <w:szCs w:val="21"/>
                    </w:rPr>
                    <w:t>污染类型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358" w:type="dxa"/>
                  <w:vAlign w:val="center"/>
                </w:tcPr>
                <w:p>
                  <w:pPr>
                    <w:pStyle w:val="21"/>
                    <w:spacing w:line="240" w:lineRule="auto"/>
                    <w:jc w:val="center"/>
                    <w:rPr>
                      <w:rFonts w:hint="eastAsia"/>
                      <w:color w:val="auto"/>
                      <w:sz w:val="21"/>
                      <w:szCs w:val="21"/>
                    </w:rPr>
                  </w:pPr>
                  <w:r>
                    <w:rPr>
                      <w:rFonts w:hint="eastAsia"/>
                      <w:color w:val="auto"/>
                      <w:sz w:val="21"/>
                      <w:szCs w:val="21"/>
                    </w:rPr>
                    <w:t>危废贮存库</w:t>
                  </w:r>
                </w:p>
              </w:tc>
              <w:tc>
                <w:tcPr>
                  <w:tcW w:w="1458" w:type="dxa"/>
                  <w:vAlign w:val="center"/>
                </w:tcPr>
                <w:p>
                  <w:pPr>
                    <w:pStyle w:val="21"/>
                    <w:spacing w:line="240" w:lineRule="auto"/>
                    <w:jc w:val="center"/>
                    <w:rPr>
                      <w:rFonts w:hint="eastAsia" w:eastAsia="宋体"/>
                      <w:color w:val="auto"/>
                      <w:sz w:val="21"/>
                      <w:szCs w:val="21"/>
                      <w:lang w:eastAsia="zh-CN"/>
                    </w:rPr>
                  </w:pPr>
                  <w:r>
                    <w:rPr>
                      <w:rFonts w:hint="eastAsia"/>
                      <w:color w:val="auto"/>
                      <w:sz w:val="21"/>
                      <w:szCs w:val="21"/>
                      <w:lang w:eastAsia="zh-CN"/>
                    </w:rPr>
                    <w:t>废润滑油</w:t>
                  </w:r>
                </w:p>
              </w:tc>
              <w:tc>
                <w:tcPr>
                  <w:tcW w:w="1853" w:type="dxa"/>
                  <w:vAlign w:val="center"/>
                </w:tcPr>
                <w:p>
                  <w:pPr>
                    <w:pStyle w:val="21"/>
                    <w:spacing w:line="240" w:lineRule="auto"/>
                    <w:ind w:firstLine="210" w:firstLineChars="100"/>
                    <w:jc w:val="center"/>
                    <w:rPr>
                      <w:color w:val="auto"/>
                      <w:sz w:val="21"/>
                      <w:szCs w:val="21"/>
                    </w:rPr>
                  </w:pPr>
                  <w:r>
                    <w:rPr>
                      <w:rFonts w:hint="eastAsia"/>
                      <w:color w:val="auto"/>
                      <w:sz w:val="21"/>
                      <w:szCs w:val="21"/>
                    </w:rPr>
                    <w:t>渗漏进入地下水和土壤</w:t>
                  </w:r>
                </w:p>
              </w:tc>
              <w:tc>
                <w:tcPr>
                  <w:tcW w:w="4012" w:type="dxa"/>
                  <w:vAlign w:val="center"/>
                </w:tcPr>
                <w:p>
                  <w:pPr>
                    <w:pStyle w:val="21"/>
                    <w:spacing w:line="240" w:lineRule="auto"/>
                    <w:jc w:val="center"/>
                    <w:rPr>
                      <w:rFonts w:hint="eastAsia"/>
                      <w:color w:val="auto"/>
                      <w:sz w:val="21"/>
                      <w:szCs w:val="21"/>
                    </w:rPr>
                  </w:pPr>
                  <w:r>
                    <w:rPr>
                      <w:rFonts w:hint="eastAsia"/>
                      <w:color w:val="auto"/>
                      <w:sz w:val="21"/>
                      <w:szCs w:val="21"/>
                    </w:rPr>
                    <w:t>危险固废遗失或者危废贮存库发生破损，泄漏</w:t>
                  </w:r>
                  <w:r>
                    <w:rPr>
                      <w:rFonts w:hint="eastAsia"/>
                      <w:color w:val="auto"/>
                      <w:sz w:val="21"/>
                      <w:szCs w:val="21"/>
                      <w:lang w:eastAsia="zh-CN"/>
                    </w:rPr>
                    <w:t>进入</w:t>
                  </w:r>
                  <w:r>
                    <w:rPr>
                      <w:rFonts w:hint="eastAsia"/>
                      <w:color w:val="auto"/>
                      <w:sz w:val="21"/>
                      <w:szCs w:val="21"/>
                    </w:rPr>
                    <w:t>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Align w:val="center"/>
                </w:tcPr>
                <w:p>
                  <w:pPr>
                    <w:pStyle w:val="21"/>
                    <w:spacing w:line="240" w:lineRule="auto"/>
                    <w:jc w:val="center"/>
                    <w:rPr>
                      <w:rFonts w:hint="eastAsia"/>
                      <w:color w:val="auto"/>
                      <w:sz w:val="21"/>
                      <w:szCs w:val="21"/>
                    </w:rPr>
                  </w:pPr>
                  <w:r>
                    <w:rPr>
                      <w:rFonts w:hint="eastAsia"/>
                      <w:color w:val="auto"/>
                      <w:sz w:val="21"/>
                      <w:szCs w:val="21"/>
                    </w:rPr>
                    <w:t>厂区火灾</w:t>
                  </w:r>
                </w:p>
              </w:tc>
              <w:tc>
                <w:tcPr>
                  <w:tcW w:w="1458" w:type="dxa"/>
                  <w:vAlign w:val="center"/>
                </w:tcPr>
                <w:p>
                  <w:pPr>
                    <w:jc w:val="center"/>
                    <w:rPr>
                      <w:color w:val="auto"/>
                      <w:szCs w:val="21"/>
                    </w:rPr>
                  </w:pPr>
                  <w:r>
                    <w:rPr>
                      <w:color w:val="auto"/>
                      <w:szCs w:val="21"/>
                    </w:rPr>
                    <w:t>消防废水、火灾烟气</w:t>
                  </w:r>
                </w:p>
              </w:tc>
              <w:tc>
                <w:tcPr>
                  <w:tcW w:w="1853" w:type="dxa"/>
                  <w:vAlign w:val="center"/>
                </w:tcPr>
                <w:p>
                  <w:pPr>
                    <w:jc w:val="center"/>
                    <w:rPr>
                      <w:rFonts w:hint="eastAsia"/>
                      <w:color w:val="auto"/>
                      <w:szCs w:val="21"/>
                    </w:rPr>
                  </w:pPr>
                  <w:r>
                    <w:rPr>
                      <w:color w:val="auto"/>
                      <w:szCs w:val="21"/>
                    </w:rPr>
                    <w:t>渗漏、经雨水管网进入地表水，大气输送等</w:t>
                  </w:r>
                </w:p>
              </w:tc>
              <w:tc>
                <w:tcPr>
                  <w:tcW w:w="4012" w:type="dxa"/>
                  <w:vAlign w:val="center"/>
                </w:tcPr>
                <w:p>
                  <w:pPr>
                    <w:jc w:val="center"/>
                    <w:rPr>
                      <w:rFonts w:hint="eastAsia"/>
                      <w:color w:val="auto"/>
                      <w:szCs w:val="21"/>
                    </w:rPr>
                  </w:pPr>
                  <w:r>
                    <w:rPr>
                      <w:color w:val="auto"/>
                      <w:szCs w:val="21"/>
                    </w:rPr>
                    <w:t>消防废水</w:t>
                  </w:r>
                  <w:r>
                    <w:rPr>
                      <w:rFonts w:hint="eastAsia"/>
                      <w:color w:val="auto"/>
                      <w:szCs w:val="21"/>
                      <w:lang w:eastAsia="zh-CN"/>
                    </w:rPr>
                    <w:t>进入</w:t>
                  </w:r>
                  <w:r>
                    <w:rPr>
                      <w:rFonts w:hint="eastAsia"/>
                      <w:color w:val="auto"/>
                      <w:szCs w:val="21"/>
                    </w:rPr>
                    <w:t>雨水管网中</w:t>
                  </w:r>
                  <w:r>
                    <w:rPr>
                      <w:color w:val="auto"/>
                      <w:szCs w:val="21"/>
                    </w:rPr>
                    <w:t>造成地表水、地下水、土壤环境影响；火灾烟气可能造成大气环境污染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Align w:val="center"/>
                </w:tcPr>
                <w:p>
                  <w:pPr>
                    <w:pStyle w:val="21"/>
                    <w:spacing w:line="240" w:lineRule="auto"/>
                    <w:jc w:val="center"/>
                    <w:rPr>
                      <w:rFonts w:hint="eastAsia"/>
                      <w:color w:val="auto"/>
                      <w:sz w:val="21"/>
                      <w:szCs w:val="21"/>
                    </w:rPr>
                  </w:pPr>
                  <w:r>
                    <w:rPr>
                      <w:rFonts w:hint="eastAsia"/>
                      <w:color w:val="auto"/>
                      <w:sz w:val="21"/>
                      <w:szCs w:val="21"/>
                    </w:rPr>
                    <w:t>废气处理设施</w:t>
                  </w:r>
                </w:p>
              </w:tc>
              <w:tc>
                <w:tcPr>
                  <w:tcW w:w="1458" w:type="dxa"/>
                  <w:vAlign w:val="center"/>
                </w:tcPr>
                <w:p>
                  <w:pPr>
                    <w:pStyle w:val="21"/>
                    <w:spacing w:line="240" w:lineRule="auto"/>
                    <w:jc w:val="center"/>
                    <w:rPr>
                      <w:color w:val="auto"/>
                      <w:szCs w:val="21"/>
                    </w:rPr>
                  </w:pPr>
                  <w:r>
                    <w:rPr>
                      <w:rFonts w:hint="eastAsia"/>
                      <w:color w:val="auto"/>
                      <w:sz w:val="21"/>
                      <w:szCs w:val="21"/>
                    </w:rPr>
                    <w:t>颗粒物</w:t>
                  </w:r>
                </w:p>
              </w:tc>
              <w:tc>
                <w:tcPr>
                  <w:tcW w:w="1853" w:type="dxa"/>
                  <w:vAlign w:val="center"/>
                </w:tcPr>
                <w:p>
                  <w:pPr>
                    <w:pStyle w:val="21"/>
                    <w:spacing w:line="240" w:lineRule="auto"/>
                    <w:jc w:val="center"/>
                    <w:rPr>
                      <w:color w:val="auto"/>
                      <w:szCs w:val="21"/>
                    </w:rPr>
                  </w:pPr>
                  <w:r>
                    <w:rPr>
                      <w:rFonts w:hint="eastAsia"/>
                      <w:color w:val="auto"/>
                      <w:sz w:val="21"/>
                      <w:szCs w:val="21"/>
                    </w:rPr>
                    <w:t>未达标等事故排放</w:t>
                  </w:r>
                </w:p>
              </w:tc>
              <w:tc>
                <w:tcPr>
                  <w:tcW w:w="4012" w:type="dxa"/>
                  <w:vAlign w:val="center"/>
                </w:tcPr>
                <w:p>
                  <w:pPr>
                    <w:pStyle w:val="21"/>
                    <w:spacing w:line="240" w:lineRule="auto"/>
                    <w:jc w:val="center"/>
                    <w:rPr>
                      <w:color w:val="auto"/>
                      <w:szCs w:val="21"/>
                    </w:rPr>
                  </w:pPr>
                  <w:r>
                    <w:rPr>
                      <w:rFonts w:hint="eastAsia"/>
                      <w:color w:val="auto"/>
                      <w:sz w:val="21"/>
                      <w:szCs w:val="21"/>
                    </w:rPr>
                    <w:t>造成大气环境污染</w:t>
                  </w:r>
                </w:p>
              </w:tc>
            </w:tr>
          </w:tbl>
          <w:p>
            <w:pPr>
              <w:spacing w:line="360" w:lineRule="auto"/>
              <w:ind w:left="567"/>
              <w:rPr>
                <w:rFonts w:hint="eastAsia"/>
                <w:b/>
                <w:bCs/>
                <w:color w:val="auto"/>
                <w:sz w:val="24"/>
              </w:rPr>
            </w:pPr>
            <w:r>
              <w:rPr>
                <w:rFonts w:hint="eastAsia"/>
                <w:b/>
                <w:bCs/>
                <w:color w:val="auto"/>
                <w:sz w:val="24"/>
              </w:rPr>
              <w:t>6.3评价等级确定</w:t>
            </w:r>
          </w:p>
          <w:p>
            <w:pPr>
              <w:pStyle w:val="20"/>
              <w:spacing w:line="360" w:lineRule="auto"/>
              <w:ind w:left="0" w:firstLine="480" w:firstLineChars="200"/>
              <w:rPr>
                <w:rFonts w:hint="eastAsia"/>
                <w:color w:val="auto"/>
                <w:sz w:val="24"/>
                <w:szCs w:val="24"/>
              </w:rPr>
            </w:pPr>
            <w:r>
              <w:rPr>
                <w:rFonts w:hint="eastAsia"/>
                <w:color w:val="auto"/>
                <w:sz w:val="24"/>
                <w:szCs w:val="24"/>
              </w:rPr>
              <w:t>根据《建设项目环境风险评价技术导则》（HJ 169-2018），本项目使用润滑油，计算本项目所涉及的每种危险物质在厂界内的最大存在总量与其在附录B中对应临界量的比值Q。在不同厂区的同一种物质，按其在厂界内的最大存在总量计算。按照根据《建设项目环境风险评价技术导则》</w:t>
            </w:r>
            <w:r>
              <w:rPr>
                <w:rFonts w:hint="eastAsia"/>
                <w:color w:val="auto"/>
                <w:sz w:val="24"/>
                <w:szCs w:val="24"/>
                <w:lang w:eastAsia="zh-CN"/>
              </w:rPr>
              <w:t>（</w:t>
            </w:r>
            <w:r>
              <w:rPr>
                <w:rFonts w:hint="eastAsia"/>
                <w:color w:val="auto"/>
                <w:sz w:val="24"/>
                <w:szCs w:val="24"/>
              </w:rPr>
              <w:t>HJ169-2018</w:t>
            </w:r>
            <w:r>
              <w:rPr>
                <w:rFonts w:hint="eastAsia"/>
                <w:color w:val="auto"/>
                <w:sz w:val="24"/>
                <w:szCs w:val="24"/>
                <w:lang w:eastAsia="zh-CN"/>
              </w:rPr>
              <w:t>）</w:t>
            </w:r>
            <w:r>
              <w:rPr>
                <w:rFonts w:hint="eastAsia"/>
                <w:color w:val="auto"/>
                <w:sz w:val="24"/>
                <w:szCs w:val="24"/>
              </w:rPr>
              <w:t>附录C，当存在多种危险物质时，Q按下式进行计算：</w:t>
            </w:r>
          </w:p>
          <w:p>
            <w:pPr>
              <w:pStyle w:val="20"/>
              <w:spacing w:line="360" w:lineRule="auto"/>
              <w:ind w:left="0"/>
              <w:jc w:val="center"/>
              <w:rPr>
                <w:rFonts w:hint="eastAsia"/>
                <w:color w:val="auto"/>
                <w:sz w:val="24"/>
                <w:szCs w:val="24"/>
              </w:rPr>
            </w:pPr>
            <w:r>
              <w:rPr>
                <w:rFonts w:hint="eastAsia"/>
                <w:color w:val="auto"/>
                <w:sz w:val="24"/>
                <w:szCs w:val="24"/>
              </w:rPr>
              <w:t>Q=q</w:t>
            </w:r>
            <w:r>
              <w:rPr>
                <w:rFonts w:hint="eastAsia"/>
                <w:color w:val="auto"/>
                <w:sz w:val="24"/>
                <w:szCs w:val="24"/>
                <w:vertAlign w:val="subscript"/>
              </w:rPr>
              <w:t>1/</w:t>
            </w:r>
            <w:r>
              <w:rPr>
                <w:rFonts w:hint="eastAsia"/>
                <w:color w:val="auto"/>
                <w:sz w:val="24"/>
                <w:szCs w:val="24"/>
              </w:rPr>
              <w:t>Q</w:t>
            </w:r>
            <w:r>
              <w:rPr>
                <w:rFonts w:hint="eastAsia"/>
                <w:color w:val="auto"/>
                <w:sz w:val="24"/>
                <w:szCs w:val="24"/>
                <w:vertAlign w:val="subscript"/>
              </w:rPr>
              <w:t>1</w:t>
            </w:r>
            <w:r>
              <w:rPr>
                <w:rFonts w:hint="eastAsia"/>
                <w:color w:val="auto"/>
                <w:sz w:val="24"/>
                <w:szCs w:val="24"/>
              </w:rPr>
              <w:t>+ q</w:t>
            </w:r>
            <w:r>
              <w:rPr>
                <w:rFonts w:hint="eastAsia"/>
                <w:color w:val="auto"/>
                <w:sz w:val="24"/>
                <w:szCs w:val="24"/>
                <w:vertAlign w:val="subscript"/>
              </w:rPr>
              <w:t>2</w:t>
            </w:r>
            <w:r>
              <w:rPr>
                <w:rFonts w:hint="eastAsia"/>
                <w:color w:val="auto"/>
                <w:sz w:val="24"/>
                <w:szCs w:val="24"/>
              </w:rPr>
              <w:t>/Q</w:t>
            </w:r>
            <w:r>
              <w:rPr>
                <w:rFonts w:hint="eastAsia"/>
                <w:color w:val="auto"/>
                <w:sz w:val="24"/>
                <w:szCs w:val="24"/>
                <w:vertAlign w:val="subscript"/>
              </w:rPr>
              <w:t xml:space="preserve">2 </w:t>
            </w:r>
            <w:r>
              <w:rPr>
                <w:rFonts w:hint="eastAsia"/>
                <w:color w:val="auto"/>
                <w:sz w:val="24"/>
                <w:szCs w:val="24"/>
              </w:rPr>
              <w:t>+…+q</w:t>
            </w:r>
            <w:r>
              <w:rPr>
                <w:rFonts w:hint="eastAsia"/>
                <w:color w:val="auto"/>
                <w:sz w:val="24"/>
                <w:szCs w:val="24"/>
                <w:vertAlign w:val="subscript"/>
              </w:rPr>
              <w:t>n</w:t>
            </w:r>
            <w:r>
              <w:rPr>
                <w:rFonts w:hint="eastAsia"/>
                <w:color w:val="auto"/>
                <w:sz w:val="24"/>
                <w:szCs w:val="24"/>
              </w:rPr>
              <w:t>/Q</w:t>
            </w:r>
            <w:r>
              <w:rPr>
                <w:rFonts w:hint="eastAsia"/>
                <w:color w:val="auto"/>
                <w:sz w:val="24"/>
                <w:szCs w:val="24"/>
                <w:vertAlign w:val="subscript"/>
              </w:rPr>
              <w:t>n</w:t>
            </w:r>
          </w:p>
          <w:p>
            <w:pPr>
              <w:pStyle w:val="20"/>
              <w:spacing w:line="360" w:lineRule="auto"/>
              <w:ind w:left="0" w:firstLine="480" w:firstLineChars="200"/>
              <w:rPr>
                <w:rFonts w:hint="eastAsia"/>
                <w:color w:val="auto"/>
                <w:sz w:val="24"/>
                <w:szCs w:val="24"/>
              </w:rPr>
            </w:pPr>
            <w:r>
              <w:rPr>
                <w:rFonts w:hint="eastAsia"/>
                <w:color w:val="auto"/>
                <w:sz w:val="24"/>
                <w:szCs w:val="24"/>
              </w:rPr>
              <w:t>式中：q</w:t>
            </w:r>
            <w:r>
              <w:rPr>
                <w:rFonts w:hint="eastAsia"/>
                <w:color w:val="auto"/>
                <w:sz w:val="24"/>
                <w:szCs w:val="24"/>
                <w:vertAlign w:val="subscript"/>
              </w:rPr>
              <w:t>1</w:t>
            </w:r>
            <w:r>
              <w:rPr>
                <w:rFonts w:hint="eastAsia"/>
                <w:color w:val="auto"/>
                <w:sz w:val="24"/>
                <w:szCs w:val="24"/>
              </w:rPr>
              <w:t>，q</w:t>
            </w:r>
            <w:r>
              <w:rPr>
                <w:rFonts w:hint="eastAsia"/>
                <w:color w:val="auto"/>
                <w:sz w:val="24"/>
                <w:szCs w:val="24"/>
                <w:vertAlign w:val="subscript"/>
              </w:rPr>
              <w:t>2</w:t>
            </w:r>
            <w:r>
              <w:rPr>
                <w:rFonts w:hint="eastAsia"/>
                <w:color w:val="auto"/>
                <w:sz w:val="24"/>
                <w:szCs w:val="24"/>
              </w:rPr>
              <w:t>……q</w:t>
            </w:r>
            <w:r>
              <w:rPr>
                <w:rFonts w:hint="eastAsia"/>
                <w:color w:val="auto"/>
                <w:sz w:val="24"/>
                <w:szCs w:val="24"/>
                <w:vertAlign w:val="subscript"/>
              </w:rPr>
              <w:t>n</w:t>
            </w:r>
            <w:r>
              <w:rPr>
                <w:rFonts w:hint="eastAsia"/>
                <w:color w:val="auto"/>
                <w:sz w:val="24"/>
                <w:szCs w:val="24"/>
              </w:rPr>
              <w:t>——每种危险物质的最大存在量，t；</w:t>
            </w:r>
          </w:p>
          <w:p>
            <w:pPr>
              <w:pStyle w:val="20"/>
              <w:spacing w:line="360" w:lineRule="auto"/>
              <w:ind w:left="0" w:firstLine="480" w:firstLineChars="200"/>
              <w:rPr>
                <w:rFonts w:hint="eastAsia"/>
                <w:color w:val="auto"/>
                <w:sz w:val="24"/>
                <w:szCs w:val="24"/>
              </w:rPr>
            </w:pPr>
            <w:r>
              <w:rPr>
                <w:rFonts w:hint="eastAsia"/>
                <w:color w:val="auto"/>
                <w:sz w:val="24"/>
                <w:szCs w:val="24"/>
              </w:rPr>
              <w:t>Q</w:t>
            </w:r>
            <w:r>
              <w:rPr>
                <w:rFonts w:hint="eastAsia"/>
                <w:color w:val="auto"/>
                <w:sz w:val="24"/>
                <w:szCs w:val="24"/>
                <w:vertAlign w:val="subscript"/>
              </w:rPr>
              <w:t>1</w:t>
            </w:r>
            <w:r>
              <w:rPr>
                <w:rFonts w:hint="eastAsia"/>
                <w:color w:val="auto"/>
                <w:sz w:val="24"/>
                <w:szCs w:val="24"/>
              </w:rPr>
              <w:t>，Q</w:t>
            </w:r>
            <w:r>
              <w:rPr>
                <w:rFonts w:hint="eastAsia"/>
                <w:color w:val="auto"/>
                <w:sz w:val="24"/>
                <w:szCs w:val="24"/>
                <w:vertAlign w:val="subscript"/>
              </w:rPr>
              <w:t>2</w:t>
            </w:r>
            <w:r>
              <w:rPr>
                <w:rFonts w:hint="eastAsia"/>
                <w:color w:val="auto"/>
                <w:sz w:val="24"/>
                <w:szCs w:val="24"/>
              </w:rPr>
              <w:t>…Q</w:t>
            </w:r>
            <w:r>
              <w:rPr>
                <w:rFonts w:hint="eastAsia"/>
                <w:color w:val="auto"/>
                <w:sz w:val="24"/>
                <w:szCs w:val="24"/>
                <w:vertAlign w:val="subscript"/>
              </w:rPr>
              <w:t>n</w:t>
            </w:r>
            <w:r>
              <w:rPr>
                <w:rFonts w:hint="eastAsia"/>
                <w:color w:val="auto"/>
                <w:sz w:val="24"/>
                <w:szCs w:val="24"/>
              </w:rPr>
              <w:t>—每种危险物质的临界量，t。</w:t>
            </w:r>
          </w:p>
          <w:p>
            <w:pPr>
              <w:pStyle w:val="20"/>
              <w:spacing w:line="360" w:lineRule="auto"/>
              <w:ind w:left="0" w:firstLine="480" w:firstLineChars="200"/>
              <w:rPr>
                <w:rFonts w:hint="eastAsia"/>
                <w:color w:val="auto"/>
                <w:sz w:val="24"/>
                <w:szCs w:val="24"/>
              </w:rPr>
            </w:pPr>
            <w:r>
              <w:rPr>
                <w:rFonts w:hint="eastAsia"/>
                <w:color w:val="auto"/>
                <w:sz w:val="24"/>
                <w:szCs w:val="24"/>
              </w:rPr>
              <w:t>当 Q＜1 时，该项目环境风险潜势为I。</w:t>
            </w:r>
          </w:p>
          <w:p>
            <w:pPr>
              <w:pStyle w:val="20"/>
              <w:spacing w:line="360" w:lineRule="auto"/>
              <w:ind w:left="0" w:firstLine="480" w:firstLineChars="200"/>
              <w:rPr>
                <w:rFonts w:hint="eastAsia"/>
                <w:color w:val="auto"/>
                <w:sz w:val="24"/>
                <w:szCs w:val="24"/>
              </w:rPr>
            </w:pPr>
            <w:r>
              <w:rPr>
                <w:rFonts w:hint="eastAsia"/>
                <w:color w:val="auto"/>
                <w:sz w:val="24"/>
                <w:szCs w:val="24"/>
              </w:rPr>
              <w:t>当 Q≥1 时，将Q值划分为：</w:t>
            </w:r>
            <w:r>
              <w:rPr>
                <w:rFonts w:hint="eastAsia"/>
                <w:color w:val="auto"/>
                <w:sz w:val="24"/>
                <w:szCs w:val="24"/>
                <w:lang w:eastAsia="zh-CN"/>
              </w:rPr>
              <w:t>（</w:t>
            </w:r>
            <w:r>
              <w:rPr>
                <w:rFonts w:hint="eastAsia"/>
                <w:color w:val="auto"/>
                <w:sz w:val="24"/>
                <w:szCs w:val="24"/>
              </w:rPr>
              <w:t>1</w:t>
            </w:r>
            <w:r>
              <w:rPr>
                <w:rFonts w:hint="eastAsia"/>
                <w:color w:val="auto"/>
                <w:sz w:val="24"/>
                <w:szCs w:val="24"/>
                <w:lang w:eastAsia="zh-CN"/>
              </w:rPr>
              <w:t>）</w:t>
            </w:r>
            <w:r>
              <w:rPr>
                <w:rFonts w:hint="eastAsia"/>
                <w:color w:val="auto"/>
                <w:sz w:val="24"/>
                <w:szCs w:val="24"/>
              </w:rPr>
              <w:t>1≤Q＜10；</w:t>
            </w:r>
            <w:r>
              <w:rPr>
                <w:rFonts w:hint="eastAsia"/>
                <w:color w:val="auto"/>
                <w:sz w:val="24"/>
                <w:szCs w:val="24"/>
                <w:lang w:eastAsia="zh-CN"/>
              </w:rPr>
              <w:t>（</w:t>
            </w:r>
            <w:r>
              <w:rPr>
                <w:rFonts w:hint="eastAsia"/>
                <w:color w:val="auto"/>
                <w:sz w:val="24"/>
                <w:szCs w:val="24"/>
              </w:rPr>
              <w:t>2</w:t>
            </w:r>
            <w:r>
              <w:rPr>
                <w:rFonts w:hint="eastAsia"/>
                <w:color w:val="auto"/>
                <w:sz w:val="24"/>
                <w:szCs w:val="24"/>
                <w:lang w:eastAsia="zh-CN"/>
              </w:rPr>
              <w:t>）</w:t>
            </w:r>
            <w:r>
              <w:rPr>
                <w:rFonts w:hint="eastAsia"/>
                <w:color w:val="auto"/>
                <w:sz w:val="24"/>
                <w:szCs w:val="24"/>
              </w:rPr>
              <w:t>10≤Q＜100；</w:t>
            </w:r>
            <w:r>
              <w:rPr>
                <w:rFonts w:hint="eastAsia"/>
                <w:color w:val="auto"/>
                <w:sz w:val="24"/>
                <w:szCs w:val="24"/>
                <w:lang w:eastAsia="zh-CN"/>
              </w:rPr>
              <w:t>（</w:t>
            </w:r>
            <w:r>
              <w:rPr>
                <w:rFonts w:hint="eastAsia"/>
                <w:color w:val="auto"/>
                <w:sz w:val="24"/>
                <w:szCs w:val="24"/>
              </w:rPr>
              <w:t>3</w:t>
            </w:r>
            <w:r>
              <w:rPr>
                <w:rFonts w:hint="eastAsia"/>
                <w:color w:val="auto"/>
                <w:sz w:val="24"/>
                <w:szCs w:val="24"/>
                <w:lang w:eastAsia="zh-CN"/>
              </w:rPr>
              <w:t>）</w:t>
            </w:r>
            <w:r>
              <w:rPr>
                <w:rFonts w:hint="eastAsia"/>
                <w:color w:val="auto"/>
                <w:sz w:val="24"/>
                <w:szCs w:val="24"/>
              </w:rPr>
              <w:t>Q≥100。</w:t>
            </w:r>
          </w:p>
          <w:p>
            <w:pPr>
              <w:pStyle w:val="20"/>
              <w:spacing w:line="360" w:lineRule="auto"/>
              <w:ind w:left="0" w:firstLine="480" w:firstLineChars="200"/>
              <w:rPr>
                <w:color w:val="auto"/>
                <w:sz w:val="24"/>
                <w:szCs w:val="24"/>
              </w:rPr>
            </w:pPr>
            <w:r>
              <w:rPr>
                <w:rFonts w:hint="eastAsia"/>
                <w:color w:val="auto"/>
                <w:sz w:val="24"/>
                <w:szCs w:val="24"/>
              </w:rPr>
              <w:t>结合风险物质调查及识别过程结果，拟建项目危险物质数量与临界量具体判定结果见下表。</w:t>
            </w:r>
          </w:p>
          <w:tbl>
            <w:tblPr>
              <w:tblStyle w:val="27"/>
              <w:tblpPr w:leftFromText="180" w:rightFromText="180" w:vertAnchor="text" w:horzAnchor="page" w:tblpXSpec="center" w:tblpY="368"/>
              <w:tblOverlap w:val="never"/>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31"/>
              <w:gridCol w:w="1544"/>
              <w:gridCol w:w="2301"/>
              <w:gridCol w:w="133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Align w:val="center"/>
                </w:tcPr>
                <w:p>
                  <w:pPr>
                    <w:pStyle w:val="30"/>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序号</w:t>
                  </w:r>
                </w:p>
              </w:tc>
              <w:tc>
                <w:tcPr>
                  <w:tcW w:w="1431" w:type="dxa"/>
                  <w:vAlign w:val="center"/>
                </w:tcPr>
                <w:p>
                  <w:pPr>
                    <w:pStyle w:val="30"/>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化学品名称</w:t>
                  </w:r>
                </w:p>
              </w:tc>
              <w:tc>
                <w:tcPr>
                  <w:tcW w:w="1544" w:type="dxa"/>
                  <w:vAlign w:val="center"/>
                </w:tcPr>
                <w:p>
                  <w:pPr>
                    <w:pStyle w:val="30"/>
                    <w:spacing w:line="240" w:lineRule="auto"/>
                    <w:ind w:firstLine="0"/>
                    <w:jc w:val="center"/>
                    <w:rPr>
                      <w:rFonts w:ascii="Times New Roman" w:hAnsi="Times New Roman"/>
                      <w:bCs/>
                      <w:color w:val="auto"/>
                      <w:sz w:val="21"/>
                      <w:szCs w:val="21"/>
                    </w:rPr>
                  </w:pPr>
                  <w:r>
                    <w:rPr>
                      <w:rFonts w:hint="eastAsia" w:ascii="Times New Roman" w:hAnsi="Times New Roman"/>
                      <w:bCs/>
                      <w:color w:val="auto"/>
                      <w:sz w:val="21"/>
                      <w:szCs w:val="21"/>
                    </w:rPr>
                    <w:t>CAS号</w:t>
                  </w:r>
                </w:p>
              </w:tc>
              <w:tc>
                <w:tcPr>
                  <w:tcW w:w="2301" w:type="dxa"/>
                  <w:vAlign w:val="center"/>
                </w:tcPr>
                <w:p>
                  <w:pPr>
                    <w:pStyle w:val="30"/>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厂区最大储存量q</w:t>
                  </w:r>
                  <w:r>
                    <w:rPr>
                      <w:rFonts w:ascii="Times New Roman" w:hAnsi="Times New Roman"/>
                      <w:bCs/>
                      <w:color w:val="auto"/>
                      <w:sz w:val="21"/>
                      <w:szCs w:val="21"/>
                      <w:vertAlign w:val="subscript"/>
                    </w:rPr>
                    <w:t>n</w:t>
                  </w:r>
                  <w:r>
                    <w:rPr>
                      <w:rFonts w:ascii="Times New Roman" w:hAnsi="Times New Roman"/>
                      <w:bCs/>
                      <w:color w:val="auto"/>
                      <w:sz w:val="21"/>
                      <w:szCs w:val="21"/>
                    </w:rPr>
                    <w:t>/t</w:t>
                  </w:r>
                </w:p>
              </w:tc>
              <w:tc>
                <w:tcPr>
                  <w:tcW w:w="1338" w:type="dxa"/>
                  <w:vAlign w:val="center"/>
                </w:tcPr>
                <w:p>
                  <w:pPr>
                    <w:pStyle w:val="30"/>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临界量Qn/t</w:t>
                  </w:r>
                </w:p>
              </w:tc>
              <w:tc>
                <w:tcPr>
                  <w:tcW w:w="1323" w:type="dxa"/>
                  <w:vAlign w:val="center"/>
                </w:tcPr>
                <w:p>
                  <w:pPr>
                    <w:pStyle w:val="30"/>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Align w:val="center"/>
                </w:tcPr>
                <w:p>
                  <w:pPr>
                    <w:pStyle w:val="30"/>
                    <w:spacing w:line="240" w:lineRule="auto"/>
                    <w:ind w:firstLine="0"/>
                    <w:jc w:val="center"/>
                    <w:rPr>
                      <w:rFonts w:hint="eastAsia" w:ascii="Times New Roman" w:hAnsi="Times New Roman"/>
                      <w:b/>
                      <w:color w:val="auto"/>
                      <w:sz w:val="21"/>
                      <w:szCs w:val="21"/>
                    </w:rPr>
                  </w:pPr>
                  <w:r>
                    <w:rPr>
                      <w:rFonts w:hint="eastAsia" w:ascii="Times New Roman" w:hAnsi="Times New Roman"/>
                      <w:b/>
                      <w:color w:val="auto"/>
                      <w:sz w:val="21"/>
                      <w:szCs w:val="21"/>
                    </w:rPr>
                    <w:t>1</w:t>
                  </w:r>
                </w:p>
              </w:tc>
              <w:tc>
                <w:tcPr>
                  <w:tcW w:w="1431" w:type="dxa"/>
                  <w:vAlign w:val="center"/>
                </w:tcPr>
                <w:p>
                  <w:pPr>
                    <w:tabs>
                      <w:tab w:val="left" w:pos="3900"/>
                    </w:tabs>
                    <w:jc w:val="center"/>
                    <w:rPr>
                      <w:rFonts w:hint="eastAsia"/>
                      <w:bCs/>
                      <w:color w:val="auto"/>
                      <w:szCs w:val="21"/>
                    </w:rPr>
                  </w:pPr>
                  <w:r>
                    <w:rPr>
                      <w:rFonts w:hint="eastAsia"/>
                      <w:bCs/>
                      <w:color w:val="auto"/>
                      <w:szCs w:val="21"/>
                    </w:rPr>
                    <w:t>润滑油</w:t>
                  </w:r>
                </w:p>
              </w:tc>
              <w:tc>
                <w:tcPr>
                  <w:tcW w:w="1544" w:type="dxa"/>
                  <w:vAlign w:val="center"/>
                </w:tcPr>
                <w:p>
                  <w:pPr>
                    <w:tabs>
                      <w:tab w:val="left" w:pos="3900"/>
                    </w:tabs>
                    <w:jc w:val="center"/>
                    <w:rPr>
                      <w:rFonts w:hint="eastAsia"/>
                      <w:bCs/>
                      <w:color w:val="auto"/>
                      <w:szCs w:val="21"/>
                    </w:rPr>
                  </w:pPr>
                  <w:r>
                    <w:rPr>
                      <w:rFonts w:hint="eastAsia"/>
                      <w:bCs/>
                      <w:color w:val="auto"/>
                      <w:szCs w:val="21"/>
                    </w:rPr>
                    <w:t>/</w:t>
                  </w:r>
                </w:p>
              </w:tc>
              <w:tc>
                <w:tcPr>
                  <w:tcW w:w="2301" w:type="dxa"/>
                  <w:vAlign w:val="center"/>
                </w:tcPr>
                <w:p>
                  <w:pPr>
                    <w:pStyle w:val="30"/>
                    <w:spacing w:line="240" w:lineRule="auto"/>
                    <w:ind w:firstLine="0"/>
                    <w:jc w:val="center"/>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0.1</w:t>
                  </w:r>
                </w:p>
              </w:tc>
              <w:tc>
                <w:tcPr>
                  <w:tcW w:w="1338" w:type="dxa"/>
                  <w:vAlign w:val="center"/>
                </w:tcPr>
                <w:p>
                  <w:pPr>
                    <w:pStyle w:val="30"/>
                    <w:spacing w:line="240" w:lineRule="auto"/>
                    <w:ind w:firstLine="0"/>
                    <w:jc w:val="center"/>
                    <w:rPr>
                      <w:rFonts w:ascii="Times New Roman" w:hAnsi="Times New Roman"/>
                      <w:b w:val="0"/>
                      <w:bCs/>
                      <w:color w:val="auto"/>
                      <w:sz w:val="21"/>
                      <w:szCs w:val="21"/>
                    </w:rPr>
                  </w:pPr>
                  <w:r>
                    <w:rPr>
                      <w:rFonts w:hint="eastAsia" w:ascii="Times New Roman" w:hAnsi="Times New Roman"/>
                      <w:b w:val="0"/>
                      <w:bCs/>
                      <w:color w:val="auto"/>
                      <w:sz w:val="21"/>
                      <w:szCs w:val="21"/>
                    </w:rPr>
                    <w:t>2500</w:t>
                  </w:r>
                </w:p>
              </w:tc>
              <w:tc>
                <w:tcPr>
                  <w:tcW w:w="1323" w:type="dxa"/>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Align w:val="center"/>
                </w:tcPr>
                <w:p>
                  <w:pPr>
                    <w:pStyle w:val="30"/>
                    <w:spacing w:line="240" w:lineRule="auto"/>
                    <w:ind w:firstLine="0"/>
                    <w:jc w:val="center"/>
                    <w:rPr>
                      <w:rFonts w:hint="eastAsia" w:ascii="Times New Roman" w:hAnsi="Times New Roman"/>
                      <w:b/>
                      <w:color w:val="auto"/>
                      <w:sz w:val="21"/>
                      <w:szCs w:val="21"/>
                    </w:rPr>
                  </w:pPr>
                  <w:r>
                    <w:rPr>
                      <w:rFonts w:hint="eastAsia" w:ascii="Times New Roman" w:hAnsi="Times New Roman"/>
                      <w:b/>
                      <w:color w:val="auto"/>
                      <w:sz w:val="21"/>
                      <w:szCs w:val="21"/>
                    </w:rPr>
                    <w:t>2</w:t>
                  </w:r>
                </w:p>
              </w:tc>
              <w:tc>
                <w:tcPr>
                  <w:tcW w:w="1431" w:type="dxa"/>
                  <w:vAlign w:val="center"/>
                </w:tcPr>
                <w:p>
                  <w:pPr>
                    <w:tabs>
                      <w:tab w:val="left" w:pos="3900"/>
                    </w:tabs>
                    <w:jc w:val="center"/>
                    <w:rPr>
                      <w:rFonts w:hint="eastAsia"/>
                      <w:bCs/>
                      <w:color w:val="auto"/>
                      <w:szCs w:val="21"/>
                    </w:rPr>
                  </w:pPr>
                  <w:r>
                    <w:rPr>
                      <w:rFonts w:hint="eastAsia"/>
                      <w:bCs/>
                      <w:color w:val="auto"/>
                      <w:szCs w:val="21"/>
                    </w:rPr>
                    <w:t>废润滑油</w:t>
                  </w:r>
                </w:p>
              </w:tc>
              <w:tc>
                <w:tcPr>
                  <w:tcW w:w="1544" w:type="dxa"/>
                  <w:vAlign w:val="center"/>
                </w:tcPr>
                <w:p>
                  <w:pPr>
                    <w:tabs>
                      <w:tab w:val="left" w:pos="3900"/>
                    </w:tabs>
                    <w:jc w:val="center"/>
                    <w:rPr>
                      <w:rFonts w:hint="eastAsia"/>
                      <w:bCs/>
                      <w:color w:val="auto"/>
                      <w:szCs w:val="21"/>
                    </w:rPr>
                  </w:pPr>
                  <w:r>
                    <w:rPr>
                      <w:rFonts w:hint="eastAsia"/>
                      <w:bCs/>
                      <w:color w:val="auto"/>
                      <w:szCs w:val="21"/>
                    </w:rPr>
                    <w:t>/</w:t>
                  </w:r>
                </w:p>
              </w:tc>
              <w:tc>
                <w:tcPr>
                  <w:tcW w:w="2301" w:type="dxa"/>
                  <w:vAlign w:val="center"/>
                </w:tcPr>
                <w:p>
                  <w:pPr>
                    <w:pStyle w:val="30"/>
                    <w:spacing w:line="240" w:lineRule="auto"/>
                    <w:ind w:firstLine="0"/>
                    <w:jc w:val="center"/>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0.1</w:t>
                  </w:r>
                </w:p>
              </w:tc>
              <w:tc>
                <w:tcPr>
                  <w:tcW w:w="1338" w:type="dxa"/>
                  <w:vAlign w:val="center"/>
                </w:tcPr>
                <w:p>
                  <w:pPr>
                    <w:pStyle w:val="30"/>
                    <w:spacing w:line="240" w:lineRule="auto"/>
                    <w:ind w:firstLine="0"/>
                    <w:jc w:val="center"/>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50</w:t>
                  </w:r>
                </w:p>
              </w:tc>
              <w:tc>
                <w:tcPr>
                  <w:tcW w:w="1323" w:type="dxa"/>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59" w:type="dxa"/>
                  <w:gridSpan w:val="5"/>
                  <w:vAlign w:val="center"/>
                </w:tcPr>
                <w:p>
                  <w:pPr>
                    <w:pStyle w:val="30"/>
                    <w:spacing w:line="240" w:lineRule="auto"/>
                    <w:ind w:firstLine="0"/>
                    <w:jc w:val="center"/>
                    <w:rPr>
                      <w:rFonts w:hint="eastAsia"/>
                      <w:bCs/>
                      <w:color w:val="auto"/>
                      <w:sz w:val="21"/>
                      <w:szCs w:val="21"/>
                    </w:rPr>
                  </w:pPr>
                  <w:r>
                    <w:rPr>
                      <w:rFonts w:hint="eastAsia"/>
                      <w:bCs/>
                      <w:color w:val="auto"/>
                      <w:sz w:val="21"/>
                      <w:szCs w:val="21"/>
                    </w:rPr>
                    <w:t>项目Q值∑</w:t>
                  </w:r>
                </w:p>
              </w:tc>
              <w:tc>
                <w:tcPr>
                  <w:tcW w:w="1323" w:type="dxa"/>
                  <w:vAlign w:val="center"/>
                </w:tcPr>
                <w:p>
                  <w:pPr>
                    <w:widowControl/>
                    <w:jc w:val="center"/>
                    <w:textAlignment w:val="center"/>
                    <w:rPr>
                      <w:rFonts w:hint="default" w:eastAsia="宋体"/>
                      <w:b/>
                      <w:bCs/>
                      <w:color w:val="auto"/>
                      <w:szCs w:val="21"/>
                      <w:lang w:val="en-US" w:eastAsia="zh-CN"/>
                    </w:rPr>
                  </w:pPr>
                  <w:r>
                    <w:rPr>
                      <w:rFonts w:hint="eastAsia"/>
                      <w:color w:val="auto"/>
                      <w:szCs w:val="21"/>
                      <w:lang w:val="en-US" w:eastAsia="zh-CN"/>
                    </w:rPr>
                    <w:t>0.00204</w:t>
                  </w:r>
                </w:p>
              </w:tc>
            </w:tr>
          </w:tbl>
          <w:p>
            <w:pPr>
              <w:jc w:val="center"/>
              <w:rPr>
                <w:b/>
                <w:color w:val="auto"/>
              </w:rPr>
            </w:pPr>
            <w:r>
              <w:rPr>
                <w:rFonts w:hint="eastAsia"/>
                <w:b/>
                <w:bCs/>
                <w:color w:val="auto"/>
                <w:szCs w:val="21"/>
              </w:rPr>
              <w:t>表4-</w:t>
            </w:r>
            <w:r>
              <w:rPr>
                <w:rFonts w:hint="eastAsia"/>
                <w:b/>
                <w:bCs/>
                <w:color w:val="auto"/>
                <w:szCs w:val="21"/>
                <w:lang w:val="en-US" w:eastAsia="zh-CN"/>
              </w:rPr>
              <w:t>16</w:t>
            </w:r>
            <w:r>
              <w:rPr>
                <w:rFonts w:hint="eastAsia"/>
                <w:b/>
                <w:bCs/>
                <w:color w:val="auto"/>
                <w:szCs w:val="21"/>
              </w:rPr>
              <w:t xml:space="preserve"> 建设项目Q值确定表</w:t>
            </w:r>
          </w:p>
          <w:p>
            <w:pPr>
              <w:pStyle w:val="30"/>
              <w:spacing w:line="360" w:lineRule="auto"/>
              <w:ind w:firstLine="480" w:firstLineChars="200"/>
              <w:rPr>
                <w:rFonts w:ascii="Times New Roman" w:hAnsi="Times New Roman"/>
                <w:b w:val="0"/>
                <w:bCs/>
                <w:color w:val="auto"/>
              </w:rPr>
            </w:pPr>
            <w:r>
              <w:rPr>
                <w:rFonts w:ascii="Times New Roman" w:hAnsi="Times New Roman"/>
                <w:b w:val="0"/>
                <w:bCs/>
                <w:color w:val="auto"/>
              </w:rPr>
              <w:t>Q&lt;1，项目环境风险评价工作等级为简单分析。</w:t>
            </w:r>
          </w:p>
          <w:p>
            <w:pPr>
              <w:spacing w:line="360" w:lineRule="auto"/>
              <w:ind w:left="567"/>
              <w:rPr>
                <w:rFonts w:hint="eastAsia"/>
                <w:b/>
                <w:bCs/>
                <w:color w:val="auto"/>
                <w:sz w:val="24"/>
              </w:rPr>
            </w:pPr>
            <w:r>
              <w:rPr>
                <w:rFonts w:hint="eastAsia"/>
                <w:b/>
                <w:bCs/>
                <w:color w:val="auto"/>
                <w:sz w:val="24"/>
              </w:rPr>
              <w:t>6.4环境风险防范措施</w:t>
            </w:r>
          </w:p>
          <w:p>
            <w:pPr>
              <w:pStyle w:val="30"/>
              <w:numPr>
                <w:ilvl w:val="0"/>
                <w:numId w:val="5"/>
              </w:numPr>
              <w:spacing w:line="360" w:lineRule="auto"/>
              <w:ind w:firstLine="480" w:firstLineChars="200"/>
              <w:rPr>
                <w:rFonts w:hint="eastAsia"/>
                <w:b w:val="0"/>
                <w:bCs w:val="0"/>
                <w:color w:val="auto"/>
                <w:lang w:eastAsia="zh-CN"/>
              </w:rPr>
            </w:pPr>
            <w:r>
              <w:rPr>
                <w:rFonts w:hint="eastAsia"/>
                <w:b w:val="0"/>
                <w:bCs w:val="0"/>
                <w:color w:val="auto"/>
                <w:lang w:eastAsia="zh-CN"/>
              </w:rPr>
              <w:t>危险物质泄漏风险</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项目主要可能泄漏的主要为危废暂存间存放的废</w:t>
            </w:r>
            <w:r>
              <w:rPr>
                <w:rFonts w:hint="eastAsia" w:ascii="Times New Roman" w:hAnsi="Times New Roman" w:cs="Times New Roman"/>
                <w:color w:val="auto"/>
                <w:kern w:val="0"/>
                <w:sz w:val="24"/>
                <w:lang w:eastAsia="zh-CN"/>
              </w:rPr>
              <w:t>润滑油</w:t>
            </w:r>
            <w:r>
              <w:rPr>
                <w:rFonts w:hint="default" w:ascii="Times New Roman" w:hAnsi="Times New Roman" w:cs="Times New Roman"/>
                <w:color w:val="auto"/>
                <w:kern w:val="0"/>
                <w:sz w:val="24"/>
              </w:rPr>
              <w:t>，一旦泄漏、下渗，可能造成地表水、地下水、土壤环境的污染。危废暂存间按照重点防渗要求防渗，专人管理，建立物料台账，应做好防雨、防风、防渗漏、防扬散措施，应设置围堰及渗出液收集设施，按照《危险废物识别标志设置技术规范》（HJ 1276-2022）</w:t>
            </w:r>
            <w:r>
              <w:rPr>
                <w:rFonts w:hint="eastAsia" w:cs="Times New Roman"/>
                <w:color w:val="auto"/>
                <w:kern w:val="0"/>
                <w:sz w:val="24"/>
                <w:lang w:val="en-US" w:eastAsia="zh-CN"/>
              </w:rPr>
              <w:t>等标准</w:t>
            </w:r>
            <w:r>
              <w:rPr>
                <w:rFonts w:hint="default" w:ascii="Times New Roman" w:hAnsi="Times New Roman" w:cs="Times New Roman"/>
                <w:color w:val="auto"/>
                <w:kern w:val="0"/>
                <w:sz w:val="24"/>
              </w:rPr>
              <w:t>的要求设立危险废物</w:t>
            </w:r>
            <w:r>
              <w:rPr>
                <w:rFonts w:hint="eastAsia" w:cs="Times New Roman"/>
                <w:color w:val="auto"/>
                <w:kern w:val="0"/>
                <w:sz w:val="24"/>
                <w:lang w:eastAsia="zh-CN"/>
              </w:rPr>
              <w:t>标识牌</w:t>
            </w:r>
            <w:r>
              <w:rPr>
                <w:rFonts w:hint="default" w:ascii="Times New Roman" w:hAnsi="Times New Roman" w:cs="Times New Roman"/>
                <w:color w:val="auto"/>
                <w:kern w:val="0"/>
                <w:sz w:val="24"/>
              </w:rPr>
              <w:t>，采用专用密闭容器贮存危险废物，容器上必须粘贴符合标准的标签，定期将危险废物交由有资质单位处置，不私自非法处置，在提出的防范措施下物料泄漏风险可控，环境风险的可能性较小。</w:t>
            </w:r>
          </w:p>
          <w:p>
            <w:pPr>
              <w:pStyle w:val="30"/>
              <w:spacing w:line="360" w:lineRule="auto"/>
              <w:ind w:firstLine="480" w:firstLineChars="200"/>
              <w:rPr>
                <w:rFonts w:hint="eastAsia"/>
                <w:b w:val="0"/>
                <w:bCs w:val="0"/>
                <w:color w:val="auto"/>
              </w:rPr>
            </w:pPr>
            <w:r>
              <w:rPr>
                <w:rFonts w:hint="eastAsia"/>
                <w:b w:val="0"/>
                <w:bCs w:val="0"/>
                <w:color w:val="auto"/>
                <w:lang w:eastAsia="zh-CN"/>
              </w:rPr>
              <w:t>（</w:t>
            </w:r>
            <w:r>
              <w:rPr>
                <w:rFonts w:hint="eastAsia"/>
                <w:b w:val="0"/>
                <w:bCs w:val="0"/>
                <w:color w:val="auto"/>
                <w:lang w:val="en-US" w:eastAsia="zh-CN"/>
              </w:rPr>
              <w:t>2</w:t>
            </w:r>
            <w:r>
              <w:rPr>
                <w:rFonts w:hint="eastAsia"/>
                <w:b w:val="0"/>
                <w:bCs w:val="0"/>
                <w:color w:val="auto"/>
                <w:lang w:eastAsia="zh-CN"/>
              </w:rPr>
              <w:t>）</w:t>
            </w:r>
            <w:r>
              <w:rPr>
                <w:rFonts w:hint="eastAsia"/>
                <w:b w:val="0"/>
                <w:bCs w:val="0"/>
                <w:color w:val="auto"/>
              </w:rPr>
              <w:t>火灾次生风险</w:t>
            </w:r>
          </w:p>
          <w:p>
            <w:pPr>
              <w:pStyle w:val="30"/>
              <w:spacing w:line="360" w:lineRule="auto"/>
              <w:ind w:firstLine="480" w:firstLineChars="200"/>
              <w:rPr>
                <w:rFonts w:hint="eastAsia"/>
                <w:b w:val="0"/>
                <w:bCs w:val="0"/>
                <w:color w:val="auto"/>
              </w:rPr>
            </w:pPr>
            <w:r>
              <w:rPr>
                <w:rFonts w:hint="eastAsia"/>
                <w:b w:val="0"/>
                <w:bCs w:val="0"/>
                <w:color w:val="auto"/>
              </w:rPr>
              <w:t>根据《建设项目环境风险评价技术导则</w:t>
            </w:r>
            <w:r>
              <w:rPr>
                <w:rFonts w:ascii="Times New Roman" w:hAnsi="Times New Roman"/>
                <w:b w:val="0"/>
                <w:bCs w:val="0"/>
                <w:color w:val="auto"/>
              </w:rPr>
              <w:t>》（HJ169-2018）</w:t>
            </w:r>
            <w:r>
              <w:rPr>
                <w:rFonts w:hint="eastAsia"/>
                <w:b w:val="0"/>
                <w:bCs w:val="0"/>
                <w:color w:val="auto"/>
              </w:rPr>
              <w:t>，项目风险物质为</w:t>
            </w:r>
            <w:r>
              <w:rPr>
                <w:rFonts w:hint="eastAsia"/>
                <w:b w:val="0"/>
                <w:bCs w:val="0"/>
                <w:color w:val="auto"/>
                <w:lang w:eastAsia="zh-CN"/>
              </w:rPr>
              <w:t>废润滑油</w:t>
            </w:r>
            <w:r>
              <w:rPr>
                <w:rFonts w:hint="eastAsia"/>
                <w:b w:val="0"/>
                <w:bCs w:val="0"/>
                <w:color w:val="auto"/>
              </w:rPr>
              <w:t>，采用桶装封盖盛装，项目厂区严禁烟火，严格执行三级动火证制度，加强可燃物料的管理，加强电气、电线保养与防爆等措施，项目火灾风险可以避免。</w:t>
            </w:r>
          </w:p>
          <w:p>
            <w:pPr>
              <w:spacing w:line="360" w:lineRule="auto"/>
              <w:ind w:left="420" w:leftChars="200"/>
              <w:rPr>
                <w:rFonts w:hint="eastAsia"/>
                <w:color w:val="auto"/>
                <w:sz w:val="24"/>
              </w:rPr>
            </w:pPr>
            <w:r>
              <w:rPr>
                <w:rFonts w:hint="eastAsia"/>
                <w:color w:val="auto"/>
                <w:sz w:val="24"/>
              </w:rPr>
              <w:t>（</w:t>
            </w:r>
            <w:r>
              <w:rPr>
                <w:rFonts w:hint="eastAsia"/>
                <w:color w:val="auto"/>
                <w:sz w:val="24"/>
                <w:lang w:val="en-US" w:eastAsia="zh-CN"/>
              </w:rPr>
              <w:t>3</w:t>
            </w:r>
            <w:r>
              <w:rPr>
                <w:rFonts w:hint="eastAsia"/>
                <w:color w:val="auto"/>
                <w:sz w:val="24"/>
              </w:rPr>
              <w:t>）工艺废气风险</w:t>
            </w:r>
          </w:p>
          <w:p>
            <w:pPr>
              <w:spacing w:line="360" w:lineRule="auto"/>
              <w:ind w:firstLine="480" w:firstLineChars="200"/>
              <w:rPr>
                <w:rFonts w:hint="eastAsia"/>
                <w:color w:val="auto"/>
                <w:sz w:val="24"/>
              </w:rPr>
            </w:pPr>
            <w:r>
              <w:rPr>
                <w:rFonts w:hint="eastAsia"/>
                <w:color w:val="auto"/>
                <w:sz w:val="24"/>
              </w:rPr>
              <w:t>项目主要产生颗粒物，如不进行有效</w:t>
            </w:r>
            <w:r>
              <w:rPr>
                <w:rFonts w:hint="eastAsia"/>
                <w:color w:val="auto"/>
                <w:sz w:val="24"/>
                <w:lang w:eastAsia="zh-CN"/>
              </w:rPr>
              <w:t>地</w:t>
            </w:r>
            <w:r>
              <w:rPr>
                <w:rFonts w:hint="eastAsia"/>
                <w:color w:val="auto"/>
                <w:sz w:val="24"/>
              </w:rPr>
              <w:t>收集治理，超标排放，造成大气环境污染。项目废气处理措施必须委托具有资质的有经验的单位设计、施工。运营时，项目应在开班、交接班前，必须认真检查废气的收集、处理措施，确保达到设计的效率，从而避免废气事故排放对大气环境的影响。如活性炭吸附装置，根据说明书与环评要求定期更换。同时根据监测计划，跟踪监测。</w:t>
            </w:r>
          </w:p>
          <w:p>
            <w:pPr>
              <w:spacing w:line="360" w:lineRule="auto"/>
              <w:ind w:firstLine="480" w:firstLineChars="200"/>
              <w:rPr>
                <w:rFonts w:hint="eastAsia"/>
                <w:color w:val="auto"/>
                <w:sz w:val="24"/>
              </w:rPr>
            </w:pPr>
            <w:r>
              <w:rPr>
                <w:rFonts w:hint="eastAsia"/>
                <w:color w:val="auto"/>
                <w:sz w:val="24"/>
              </w:rPr>
              <w:t>综上，项目在确保废气有效收集，有效处理，确保废气达标排放，项目废气事故排放环境风险较小。</w:t>
            </w:r>
          </w:p>
          <w:p>
            <w:pPr>
              <w:spacing w:line="360" w:lineRule="auto"/>
              <w:ind w:firstLine="480" w:firstLineChars="200"/>
              <w:rPr>
                <w:rFonts w:hint="eastAsia"/>
                <w:color w:val="auto"/>
                <w:sz w:val="24"/>
              </w:rPr>
            </w:pPr>
            <w:r>
              <w:rPr>
                <w:rFonts w:hint="eastAsia"/>
                <w:color w:val="auto"/>
                <w:sz w:val="24"/>
              </w:rPr>
              <w:t>（4）其他风险防范措施</w:t>
            </w:r>
          </w:p>
          <w:p>
            <w:pPr>
              <w:spacing w:line="360" w:lineRule="auto"/>
              <w:ind w:firstLine="480" w:firstLineChars="200"/>
              <w:rPr>
                <w:rFonts w:hint="eastAsia"/>
                <w:b/>
                <w:color w:val="auto"/>
              </w:rPr>
            </w:pPr>
            <w:r>
              <w:rPr>
                <w:rFonts w:hint="eastAsia"/>
                <w:color w:val="auto"/>
                <w:sz w:val="24"/>
              </w:rPr>
              <w:t>项目应全厂严禁烟火，并加强车间、风险源的标识标牌，加强员工培训</w:t>
            </w:r>
            <w:r>
              <w:rPr>
                <w:rFonts w:hint="eastAsia"/>
                <w:color w:val="auto"/>
                <w:sz w:val="24"/>
                <w:lang w:eastAsia="zh-CN"/>
              </w:rPr>
              <w:t>与</w:t>
            </w:r>
            <w:r>
              <w:rPr>
                <w:rFonts w:hint="eastAsia"/>
                <w:color w:val="auto"/>
                <w:sz w:val="24"/>
              </w:rPr>
              <w:t>教育。</w:t>
            </w:r>
          </w:p>
          <w:p>
            <w:pPr>
              <w:spacing w:line="360" w:lineRule="auto"/>
              <w:ind w:firstLine="482" w:firstLineChars="200"/>
              <w:rPr>
                <w:rFonts w:hint="eastAsia"/>
                <w:b/>
                <w:bCs/>
                <w:color w:val="auto"/>
                <w:sz w:val="24"/>
              </w:rPr>
            </w:pPr>
            <w:r>
              <w:rPr>
                <w:rFonts w:hint="eastAsia"/>
                <w:b/>
                <w:bCs/>
                <w:color w:val="auto"/>
                <w:sz w:val="24"/>
              </w:rPr>
              <w:t>7排污口规范化</w:t>
            </w:r>
          </w:p>
          <w:p>
            <w:pPr>
              <w:pStyle w:val="38"/>
              <w:spacing w:line="360" w:lineRule="auto"/>
              <w:ind w:firstLine="480" w:firstLineChars="200"/>
              <w:rPr>
                <w:rFonts w:hint="eastAsia" w:ascii="Times New Roman"/>
                <w:color w:val="auto"/>
                <w:sz w:val="24"/>
                <w:szCs w:val="24"/>
              </w:rPr>
            </w:pPr>
            <w:r>
              <w:rPr>
                <w:rFonts w:ascii="Times New Roman"/>
                <w:color w:val="auto"/>
                <w:sz w:val="24"/>
                <w:szCs w:val="24"/>
              </w:rPr>
              <w:t>根据《环境保护图形标志—排放口（源）》和</w:t>
            </w:r>
            <w:r>
              <w:rPr>
                <w:rFonts w:hint="eastAsia" w:ascii="Times New Roman"/>
                <w:color w:val="auto"/>
                <w:sz w:val="24"/>
                <w:szCs w:val="24"/>
                <w:lang w:eastAsia="zh-CN"/>
              </w:rPr>
              <w:t>《排污口规范化整治要求（试行）》</w:t>
            </w:r>
            <w:r>
              <w:rPr>
                <w:rFonts w:ascii="Times New Roman"/>
                <w:color w:val="auto"/>
                <w:sz w:val="24"/>
                <w:szCs w:val="24"/>
              </w:rPr>
              <w:t>的技术要求，项目得气排放口必须按照“便于采样、便于计量检测、便于日常监督检查”的原则来规范化要求，设置相应的环境保护图形标志</w:t>
            </w:r>
            <w:r>
              <w:rPr>
                <w:rFonts w:hint="eastAsia" w:ascii="Times New Roman"/>
                <w:color w:val="auto"/>
                <w:sz w:val="24"/>
                <w:szCs w:val="24"/>
              </w:rPr>
              <w:t>。</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按照《排污口规范化整治技术要求（试行）</w:t>
            </w:r>
            <w:r>
              <w:rPr>
                <w:rFonts w:hint="eastAsia" w:ascii="Times New Roman"/>
                <w:color w:val="auto"/>
                <w:sz w:val="24"/>
                <w:szCs w:val="24"/>
                <w:lang w:eastAsia="zh-CN"/>
              </w:rPr>
              <w:t>》《</w:t>
            </w:r>
            <w:r>
              <w:rPr>
                <w:rFonts w:hint="eastAsia" w:ascii="Times New Roman"/>
                <w:color w:val="auto"/>
                <w:sz w:val="24"/>
                <w:szCs w:val="24"/>
              </w:rPr>
              <w:t>关于开展排放口规范化整治工作的通知》等文件中有关规定设置与管理废气、废水排放口。</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（1）废气排气筒高度应符合国家大气污染物排放标准的有关规定，应安装采样监测平台，并设置永久采样孔。监测采样孔附近地面醒目处设置环保图形标志牌，标明排气筒高度、出口</w:t>
            </w:r>
            <w:r>
              <w:rPr>
                <w:rFonts w:hint="eastAsia" w:ascii="Times New Roman"/>
                <w:color w:val="auto"/>
                <w:sz w:val="24"/>
                <w:szCs w:val="24"/>
                <w:lang w:eastAsia="zh-CN"/>
              </w:rPr>
              <w:t>内径</w:t>
            </w:r>
            <w:r>
              <w:rPr>
                <w:rFonts w:hint="eastAsia" w:ascii="Times New Roman"/>
                <w:color w:val="auto"/>
                <w:sz w:val="24"/>
                <w:szCs w:val="24"/>
              </w:rPr>
              <w:t>、排放污染物种类等。</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（2）厂区的排水体制必须实施雨污分流制。</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（3）按规定对固定噪声进行治理</w:t>
            </w:r>
            <w:r>
              <w:rPr>
                <w:rFonts w:hint="eastAsia" w:ascii="Times New Roman"/>
                <w:color w:val="auto"/>
                <w:sz w:val="24"/>
                <w:szCs w:val="24"/>
                <w:lang w:eastAsia="zh-CN"/>
              </w:rPr>
              <w:t>，在</w:t>
            </w:r>
            <w:r>
              <w:rPr>
                <w:rFonts w:hint="eastAsia" w:ascii="Times New Roman"/>
                <w:color w:val="auto"/>
                <w:sz w:val="24"/>
                <w:szCs w:val="24"/>
              </w:rPr>
              <w:t>噪声设备附近醒目处设置环保图形标志牌。</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 xml:space="preserve">（4）固体废物暂存期间应按固废相关规定加强管理，存放场所严格按照 </w:t>
            </w:r>
            <w:r>
              <w:rPr>
                <w:color w:val="auto"/>
                <w:sz w:val="24"/>
              </w:rPr>
              <w:t>《一般工业固体废物贮存和填埋污染控</w:t>
            </w:r>
            <w:r>
              <w:rPr>
                <w:rFonts w:ascii="Times New Roman"/>
                <w:color w:val="auto"/>
                <w:sz w:val="24"/>
              </w:rPr>
              <w:t>制标准》（GB18599-2020）</w:t>
            </w:r>
            <w:r>
              <w:rPr>
                <w:rFonts w:hint="eastAsia" w:ascii="Times New Roman"/>
                <w:color w:val="auto"/>
                <w:sz w:val="24"/>
                <w:szCs w:val="24"/>
              </w:rPr>
              <w:t>标准要求设计、施工及运行</w:t>
            </w:r>
            <w:r>
              <w:rPr>
                <w:rFonts w:hint="eastAsia" w:ascii="Times New Roman"/>
                <w:color w:val="auto"/>
                <w:sz w:val="24"/>
                <w:szCs w:val="24"/>
                <w:lang w:eastAsia="zh-CN"/>
              </w:rPr>
              <w:t>，在</w:t>
            </w:r>
            <w:r>
              <w:rPr>
                <w:rFonts w:hint="eastAsia" w:ascii="Times New Roman"/>
                <w:color w:val="auto"/>
                <w:sz w:val="24"/>
                <w:szCs w:val="24"/>
              </w:rPr>
              <w:t>存放场所边界和进出口位置设置环保标志牌。</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（5）项目建设单位应对上述所有污染排放口的名称、位置、数量，以及排放污染物名称、数量等内容进行统计，以便进行验收和排放口的规范化管理。</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（6）排污口的有关设置（如图形标志牌、计量装置、监控装置等）</w:t>
            </w:r>
            <w:r>
              <w:rPr>
                <w:rFonts w:hint="eastAsia" w:ascii="Times New Roman"/>
                <w:color w:val="auto"/>
                <w:sz w:val="24"/>
                <w:szCs w:val="24"/>
                <w:lang w:eastAsia="zh-CN"/>
              </w:rPr>
              <w:t>属于</w:t>
            </w:r>
            <w:r>
              <w:rPr>
                <w:rFonts w:hint="eastAsia" w:ascii="Times New Roman"/>
                <w:color w:val="auto"/>
                <w:sz w:val="24"/>
                <w:szCs w:val="24"/>
              </w:rPr>
              <w:t>环保设施，排污单位必须负责日常的维护保养，任何单位和个人不得擅自拆除，如需要变更的须报当地环境监理部门同意并办理变更手续。</w:t>
            </w:r>
          </w:p>
          <w:p>
            <w:pPr>
              <w:pStyle w:val="38"/>
              <w:spacing w:line="360" w:lineRule="auto"/>
              <w:ind w:firstLine="480" w:firstLineChars="200"/>
              <w:rPr>
                <w:rFonts w:hint="eastAsia" w:ascii="Times New Roman"/>
                <w:color w:val="auto"/>
                <w:sz w:val="24"/>
                <w:szCs w:val="24"/>
              </w:rPr>
            </w:pPr>
            <w:r>
              <w:rPr>
                <w:rFonts w:hint="eastAsia" w:ascii="Times New Roman"/>
                <w:color w:val="auto"/>
                <w:sz w:val="24"/>
                <w:szCs w:val="24"/>
              </w:rPr>
              <w:t>（7）废气排放口、废水排放口和噪声排放源、固体废物贮存（处置）场图形符号分别为提示图形符号和警告图形符号两种，图形符号的设置按 GB15562.1-1995、GB15562.2-1995 执行。</w:t>
            </w:r>
          </w:p>
          <w:p>
            <w:pPr>
              <w:pStyle w:val="38"/>
              <w:spacing w:line="240" w:lineRule="auto"/>
              <w:ind w:firstLine="422" w:firstLineChars="200"/>
              <w:jc w:val="center"/>
              <w:rPr>
                <w:rFonts w:hint="eastAsia" w:ascii="Times New Roman"/>
                <w:b/>
                <w:bCs/>
                <w:color w:val="auto"/>
                <w:sz w:val="21"/>
                <w:szCs w:val="21"/>
              </w:rPr>
            </w:pPr>
            <w:r>
              <w:rPr>
                <w:rFonts w:hint="eastAsia" w:ascii="Times New Roman"/>
                <w:b/>
                <w:bCs/>
                <w:color w:val="auto"/>
                <w:sz w:val="21"/>
                <w:szCs w:val="21"/>
              </w:rPr>
              <w:t>表4-</w:t>
            </w:r>
            <w:r>
              <w:rPr>
                <w:rFonts w:hint="eastAsia" w:ascii="Times New Roman"/>
                <w:b/>
                <w:bCs/>
                <w:color w:val="auto"/>
                <w:sz w:val="21"/>
                <w:szCs w:val="21"/>
                <w:lang w:val="en-US" w:eastAsia="zh-CN"/>
              </w:rPr>
              <w:t>17</w:t>
            </w:r>
            <w:r>
              <w:rPr>
                <w:rFonts w:hint="eastAsia" w:ascii="Times New Roman"/>
                <w:b/>
                <w:bCs/>
                <w:color w:val="auto"/>
                <w:sz w:val="21"/>
                <w:szCs w:val="21"/>
              </w:rPr>
              <w:t xml:space="preserve"> 环境保护图形标志的形状及颜色表</w:t>
            </w:r>
          </w:p>
          <w:tbl>
            <w:tblPr>
              <w:tblStyle w:val="27"/>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2169"/>
              <w:gridCol w:w="2171"/>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69"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标志名称</w:t>
                  </w:r>
                </w:p>
              </w:tc>
              <w:tc>
                <w:tcPr>
                  <w:tcW w:w="2169"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形状</w:t>
                  </w:r>
                </w:p>
              </w:tc>
              <w:tc>
                <w:tcPr>
                  <w:tcW w:w="2171"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背景颜色</w:t>
                  </w:r>
                </w:p>
              </w:tc>
              <w:tc>
                <w:tcPr>
                  <w:tcW w:w="2172"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69"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警告标志</w:t>
                  </w:r>
                </w:p>
              </w:tc>
              <w:tc>
                <w:tcPr>
                  <w:tcW w:w="2169" w:type="dxa"/>
                  <w:vAlign w:val="top"/>
                </w:tcPr>
                <w:p>
                  <w:pPr>
                    <w:pStyle w:val="38"/>
                    <w:spacing w:line="240" w:lineRule="auto"/>
                    <w:ind w:firstLine="0"/>
                    <w:jc w:val="center"/>
                    <w:rPr>
                      <w:rFonts w:ascii="Times New Roman"/>
                      <w:color w:val="auto"/>
                      <w:sz w:val="21"/>
                      <w:szCs w:val="21"/>
                    </w:rPr>
                  </w:pPr>
                  <w:r>
                    <w:rPr>
                      <w:rFonts w:ascii="Times New Roman"/>
                      <w:color w:val="auto"/>
                      <w:sz w:val="21"/>
                      <w:szCs w:val="21"/>
                    </w:rPr>
                    <w:t>三角形边框</w:t>
                  </w:r>
                </w:p>
              </w:tc>
              <w:tc>
                <w:tcPr>
                  <w:tcW w:w="2171" w:type="dxa"/>
                  <w:vAlign w:val="top"/>
                </w:tcPr>
                <w:p>
                  <w:pPr>
                    <w:pStyle w:val="38"/>
                    <w:spacing w:line="240" w:lineRule="auto"/>
                    <w:ind w:firstLine="0"/>
                    <w:jc w:val="center"/>
                    <w:rPr>
                      <w:rFonts w:ascii="Times New Roman"/>
                      <w:color w:val="auto"/>
                      <w:sz w:val="21"/>
                      <w:szCs w:val="21"/>
                    </w:rPr>
                  </w:pPr>
                  <w:r>
                    <w:rPr>
                      <w:rFonts w:ascii="Times New Roman"/>
                      <w:color w:val="auto"/>
                      <w:sz w:val="21"/>
                      <w:szCs w:val="21"/>
                    </w:rPr>
                    <w:t>黄色</w:t>
                  </w:r>
                </w:p>
              </w:tc>
              <w:tc>
                <w:tcPr>
                  <w:tcW w:w="2172"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69" w:type="dxa"/>
                  <w:vAlign w:val="top"/>
                </w:tcPr>
                <w:p>
                  <w:pPr>
                    <w:pStyle w:val="38"/>
                    <w:spacing w:line="240" w:lineRule="auto"/>
                    <w:ind w:firstLine="0"/>
                    <w:jc w:val="center"/>
                    <w:rPr>
                      <w:rFonts w:ascii="Times New Roman"/>
                      <w:color w:val="auto"/>
                      <w:sz w:val="21"/>
                      <w:szCs w:val="21"/>
                    </w:rPr>
                  </w:pPr>
                  <w:r>
                    <w:rPr>
                      <w:rFonts w:ascii="Times New Roman"/>
                      <w:color w:val="auto"/>
                      <w:sz w:val="21"/>
                      <w:szCs w:val="21"/>
                    </w:rPr>
                    <w:t>提示标志</w:t>
                  </w:r>
                </w:p>
              </w:tc>
              <w:tc>
                <w:tcPr>
                  <w:tcW w:w="2169" w:type="dxa"/>
                  <w:vAlign w:val="top"/>
                </w:tcPr>
                <w:p>
                  <w:pPr>
                    <w:pStyle w:val="38"/>
                    <w:spacing w:line="240" w:lineRule="auto"/>
                    <w:ind w:firstLine="0"/>
                    <w:jc w:val="center"/>
                    <w:rPr>
                      <w:rFonts w:ascii="Times New Roman"/>
                      <w:color w:val="auto"/>
                      <w:sz w:val="21"/>
                      <w:szCs w:val="21"/>
                    </w:rPr>
                  </w:pPr>
                  <w:r>
                    <w:rPr>
                      <w:rFonts w:ascii="Times New Roman"/>
                      <w:color w:val="auto"/>
                      <w:sz w:val="21"/>
                      <w:szCs w:val="21"/>
                    </w:rPr>
                    <w:t>正方形边框</w:t>
                  </w:r>
                </w:p>
              </w:tc>
              <w:tc>
                <w:tcPr>
                  <w:tcW w:w="2171" w:type="dxa"/>
                  <w:vAlign w:val="top"/>
                </w:tcPr>
                <w:p>
                  <w:pPr>
                    <w:pStyle w:val="38"/>
                    <w:spacing w:line="240" w:lineRule="auto"/>
                    <w:ind w:firstLine="0"/>
                    <w:jc w:val="center"/>
                    <w:rPr>
                      <w:rFonts w:ascii="Times New Roman"/>
                      <w:color w:val="auto"/>
                      <w:sz w:val="21"/>
                      <w:szCs w:val="21"/>
                    </w:rPr>
                  </w:pPr>
                  <w:r>
                    <w:rPr>
                      <w:rFonts w:ascii="Times New Roman"/>
                      <w:color w:val="auto"/>
                      <w:sz w:val="21"/>
                      <w:szCs w:val="21"/>
                    </w:rPr>
                    <w:t>绿色</w:t>
                  </w:r>
                </w:p>
              </w:tc>
              <w:tc>
                <w:tcPr>
                  <w:tcW w:w="2172" w:type="dxa"/>
                  <w:vAlign w:val="top"/>
                </w:tcPr>
                <w:p>
                  <w:pPr>
                    <w:pStyle w:val="38"/>
                    <w:spacing w:line="240" w:lineRule="auto"/>
                    <w:ind w:firstLine="0"/>
                    <w:jc w:val="center"/>
                    <w:rPr>
                      <w:rFonts w:ascii="Times New Roman"/>
                      <w:color w:val="auto"/>
                      <w:sz w:val="21"/>
                      <w:szCs w:val="21"/>
                    </w:rPr>
                  </w:pPr>
                  <w:r>
                    <w:rPr>
                      <w:rFonts w:hint="eastAsia" w:ascii="Times New Roman"/>
                      <w:color w:val="auto"/>
                      <w:sz w:val="21"/>
                      <w:szCs w:val="21"/>
                    </w:rPr>
                    <w:t>白色</w:t>
                  </w:r>
                </w:p>
              </w:tc>
            </w:tr>
          </w:tbl>
          <w:p>
            <w:pPr>
              <w:pStyle w:val="38"/>
              <w:spacing w:line="240" w:lineRule="auto"/>
              <w:ind w:firstLine="422" w:firstLineChars="200"/>
              <w:jc w:val="center"/>
              <w:rPr>
                <w:rFonts w:hint="eastAsia" w:ascii="Times New Roman"/>
                <w:b/>
                <w:bCs/>
                <w:color w:val="auto"/>
                <w:sz w:val="21"/>
                <w:szCs w:val="21"/>
              </w:rPr>
            </w:pPr>
            <w:r>
              <w:rPr>
                <w:rFonts w:hint="eastAsia" w:ascii="Times New Roman"/>
                <w:b/>
                <w:bCs/>
                <w:color w:val="auto"/>
                <w:sz w:val="21"/>
                <w:szCs w:val="21"/>
              </w:rPr>
              <w:t>表4-</w:t>
            </w:r>
            <w:r>
              <w:rPr>
                <w:rFonts w:hint="eastAsia" w:ascii="Times New Roman"/>
                <w:b/>
                <w:bCs/>
                <w:color w:val="auto"/>
                <w:sz w:val="21"/>
                <w:szCs w:val="21"/>
                <w:lang w:val="en-US" w:eastAsia="zh-CN"/>
              </w:rPr>
              <w:t>18</w:t>
            </w:r>
            <w:r>
              <w:rPr>
                <w:rFonts w:hint="eastAsia" w:ascii="Times New Roman"/>
                <w:b/>
                <w:bCs/>
                <w:color w:val="auto"/>
                <w:sz w:val="21"/>
                <w:szCs w:val="21"/>
              </w:rPr>
              <w:t>环境保护图形符号一览表</w:t>
            </w:r>
          </w:p>
          <w:tbl>
            <w:tblPr>
              <w:tblStyle w:val="27"/>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986"/>
              <w:gridCol w:w="279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序号</w:t>
                  </w:r>
                </w:p>
              </w:tc>
              <w:tc>
                <w:tcPr>
                  <w:tcW w:w="2986"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提示图形符号</w:t>
                  </w:r>
                </w:p>
              </w:tc>
              <w:tc>
                <w:tcPr>
                  <w:tcW w:w="279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警告图形符号</w:t>
                  </w:r>
                </w:p>
              </w:tc>
              <w:tc>
                <w:tcPr>
                  <w:tcW w:w="214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1</w:t>
                  </w:r>
                </w:p>
              </w:tc>
              <w:tc>
                <w:tcPr>
                  <w:tcW w:w="2986" w:type="dxa"/>
                  <w:vAlign w:val="center"/>
                </w:tcPr>
                <w:p>
                  <w:pPr>
                    <w:pStyle w:val="38"/>
                    <w:spacing w:line="240" w:lineRule="auto"/>
                    <w:ind w:firstLine="0"/>
                    <w:jc w:val="center"/>
                    <w:rPr>
                      <w:rFonts w:ascii="Times New Roman"/>
                      <w:color w:val="auto"/>
                      <w:sz w:val="21"/>
                      <w:szCs w:val="21"/>
                    </w:rPr>
                  </w:pPr>
                  <w:r>
                    <w:rPr>
                      <w:color w:val="auto"/>
                    </w:rPr>
                    <w:drawing>
                      <wp:inline distT="0" distB="0" distL="114300" distR="114300">
                        <wp:extent cx="1468755" cy="1026160"/>
                        <wp:effectExtent l="0" t="0" r="17145" b="25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9"/>
                                <a:stretch>
                                  <a:fillRect/>
                                </a:stretch>
                              </pic:blipFill>
                              <pic:spPr>
                                <a:xfrm>
                                  <a:off x="0" y="0"/>
                                  <a:ext cx="1468755" cy="1026160"/>
                                </a:xfrm>
                                <a:prstGeom prst="rect">
                                  <a:avLst/>
                                </a:prstGeom>
                                <a:noFill/>
                                <a:ln>
                                  <a:noFill/>
                                </a:ln>
                              </pic:spPr>
                            </pic:pic>
                          </a:graphicData>
                        </a:graphic>
                      </wp:inline>
                    </w:drawing>
                  </w:r>
                </w:p>
              </w:tc>
              <w:tc>
                <w:tcPr>
                  <w:tcW w:w="2790" w:type="dxa"/>
                  <w:vAlign w:val="center"/>
                </w:tcPr>
                <w:p>
                  <w:pPr>
                    <w:pStyle w:val="38"/>
                    <w:spacing w:line="240" w:lineRule="auto"/>
                    <w:ind w:firstLine="0"/>
                    <w:jc w:val="center"/>
                    <w:rPr>
                      <w:rFonts w:ascii="Times New Roman"/>
                      <w:color w:val="auto"/>
                      <w:sz w:val="21"/>
                      <w:szCs w:val="21"/>
                    </w:rPr>
                  </w:pPr>
                  <w:r>
                    <w:rPr>
                      <w:color w:val="auto"/>
                    </w:rPr>
                    <w:drawing>
                      <wp:inline distT="0" distB="0" distL="114300" distR="114300">
                        <wp:extent cx="1568450" cy="1062355"/>
                        <wp:effectExtent l="0" t="0" r="12700" b="4445"/>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20"/>
                                <a:srcRect l="6343" r="5602"/>
                                <a:stretch>
                                  <a:fillRect/>
                                </a:stretch>
                              </pic:blipFill>
                              <pic:spPr>
                                <a:xfrm>
                                  <a:off x="0" y="0"/>
                                  <a:ext cx="1568450" cy="1062355"/>
                                </a:xfrm>
                                <a:prstGeom prst="rect">
                                  <a:avLst/>
                                </a:prstGeom>
                                <a:noFill/>
                                <a:ln>
                                  <a:noFill/>
                                </a:ln>
                              </pic:spPr>
                            </pic:pic>
                          </a:graphicData>
                        </a:graphic>
                      </wp:inline>
                    </w:drawing>
                  </w:r>
                </w:p>
              </w:tc>
              <w:tc>
                <w:tcPr>
                  <w:tcW w:w="214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2</w:t>
                  </w:r>
                </w:p>
              </w:tc>
              <w:tc>
                <w:tcPr>
                  <w:tcW w:w="2986" w:type="dxa"/>
                  <w:vAlign w:val="center"/>
                </w:tcPr>
                <w:p>
                  <w:pPr>
                    <w:pStyle w:val="38"/>
                    <w:spacing w:line="240" w:lineRule="auto"/>
                    <w:ind w:firstLine="0"/>
                    <w:jc w:val="center"/>
                    <w:rPr>
                      <w:color w:val="auto"/>
                    </w:rPr>
                  </w:pPr>
                  <w:r>
                    <w:rPr>
                      <w:color w:val="auto"/>
                    </w:rPr>
                    <w:drawing>
                      <wp:inline distT="0" distB="0" distL="114300" distR="114300">
                        <wp:extent cx="1438275" cy="1207135"/>
                        <wp:effectExtent l="0" t="0" r="9525" b="1206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1"/>
                                <a:srcRect t="10751"/>
                                <a:stretch>
                                  <a:fillRect/>
                                </a:stretch>
                              </pic:blipFill>
                              <pic:spPr>
                                <a:xfrm>
                                  <a:off x="0" y="0"/>
                                  <a:ext cx="1438275" cy="1207135"/>
                                </a:xfrm>
                                <a:prstGeom prst="rect">
                                  <a:avLst/>
                                </a:prstGeom>
                                <a:noFill/>
                                <a:ln>
                                  <a:noFill/>
                                </a:ln>
                              </pic:spPr>
                            </pic:pic>
                          </a:graphicData>
                        </a:graphic>
                      </wp:inline>
                    </w:drawing>
                  </w:r>
                </w:p>
              </w:tc>
              <w:tc>
                <w:tcPr>
                  <w:tcW w:w="2790" w:type="dxa"/>
                  <w:vAlign w:val="center"/>
                </w:tcPr>
                <w:p>
                  <w:pPr>
                    <w:pStyle w:val="38"/>
                    <w:spacing w:line="240" w:lineRule="auto"/>
                    <w:ind w:firstLine="0"/>
                    <w:jc w:val="center"/>
                    <w:rPr>
                      <w:rFonts w:hint="eastAsia"/>
                      <w:color w:val="auto"/>
                    </w:rPr>
                  </w:pPr>
                  <w:r>
                    <w:rPr>
                      <w:rFonts w:hint="eastAsia"/>
                      <w:color w:val="auto"/>
                    </w:rPr>
                    <w:t>/</w:t>
                  </w:r>
                </w:p>
              </w:tc>
              <w:tc>
                <w:tcPr>
                  <w:tcW w:w="214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雨水排放口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3</w:t>
                  </w:r>
                </w:p>
              </w:tc>
              <w:tc>
                <w:tcPr>
                  <w:tcW w:w="2986" w:type="dxa"/>
                  <w:vAlign w:val="center"/>
                </w:tcPr>
                <w:p>
                  <w:pPr>
                    <w:pStyle w:val="38"/>
                    <w:spacing w:line="240" w:lineRule="auto"/>
                    <w:ind w:firstLine="0"/>
                    <w:jc w:val="center"/>
                    <w:rPr>
                      <w:rFonts w:ascii="Times New Roman"/>
                      <w:color w:val="auto"/>
                      <w:sz w:val="21"/>
                      <w:szCs w:val="21"/>
                    </w:rPr>
                  </w:pPr>
                  <w:r>
                    <w:rPr>
                      <w:color w:val="auto"/>
                    </w:rPr>
                    <w:drawing>
                      <wp:inline distT="0" distB="0" distL="114300" distR="114300">
                        <wp:extent cx="1447800" cy="1067435"/>
                        <wp:effectExtent l="0" t="0" r="0" b="1841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22"/>
                                <a:srcRect t="6995" b="12019"/>
                                <a:stretch>
                                  <a:fillRect/>
                                </a:stretch>
                              </pic:blipFill>
                              <pic:spPr>
                                <a:xfrm>
                                  <a:off x="0" y="0"/>
                                  <a:ext cx="1447800" cy="1067435"/>
                                </a:xfrm>
                                <a:prstGeom prst="rect">
                                  <a:avLst/>
                                </a:prstGeom>
                                <a:noFill/>
                                <a:ln>
                                  <a:noFill/>
                                </a:ln>
                              </pic:spPr>
                            </pic:pic>
                          </a:graphicData>
                        </a:graphic>
                      </wp:inline>
                    </w:drawing>
                  </w:r>
                </w:p>
              </w:tc>
              <w:tc>
                <w:tcPr>
                  <w:tcW w:w="2790" w:type="dxa"/>
                  <w:vAlign w:val="center"/>
                </w:tcPr>
                <w:p>
                  <w:pPr>
                    <w:pStyle w:val="38"/>
                    <w:spacing w:line="240" w:lineRule="auto"/>
                    <w:ind w:firstLine="0"/>
                    <w:jc w:val="center"/>
                    <w:rPr>
                      <w:rFonts w:ascii="Times New Roman"/>
                      <w:color w:val="auto"/>
                      <w:sz w:val="21"/>
                      <w:szCs w:val="21"/>
                    </w:rPr>
                  </w:pPr>
                  <w:r>
                    <w:rPr>
                      <w:color w:val="auto"/>
                    </w:rPr>
                    <w:drawing>
                      <wp:inline distT="0" distB="0" distL="114300" distR="114300">
                        <wp:extent cx="1541145" cy="1104265"/>
                        <wp:effectExtent l="0" t="0" r="1905" b="635"/>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23"/>
                                <a:stretch>
                                  <a:fillRect/>
                                </a:stretch>
                              </pic:blipFill>
                              <pic:spPr>
                                <a:xfrm>
                                  <a:off x="0" y="0"/>
                                  <a:ext cx="1541145" cy="1104265"/>
                                </a:xfrm>
                                <a:prstGeom prst="rect">
                                  <a:avLst/>
                                </a:prstGeom>
                                <a:noFill/>
                                <a:ln>
                                  <a:noFill/>
                                </a:ln>
                              </pic:spPr>
                            </pic:pic>
                          </a:graphicData>
                        </a:graphic>
                      </wp:inline>
                    </w:drawing>
                  </w:r>
                </w:p>
              </w:tc>
              <w:tc>
                <w:tcPr>
                  <w:tcW w:w="214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噪声排放源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4</w:t>
                  </w:r>
                </w:p>
              </w:tc>
              <w:tc>
                <w:tcPr>
                  <w:tcW w:w="2986" w:type="dxa"/>
                  <w:vAlign w:val="center"/>
                </w:tcPr>
                <w:p>
                  <w:pPr>
                    <w:pStyle w:val="38"/>
                    <w:spacing w:line="240" w:lineRule="auto"/>
                    <w:ind w:firstLine="0"/>
                    <w:jc w:val="center"/>
                    <w:rPr>
                      <w:color w:val="auto"/>
                    </w:rPr>
                  </w:pPr>
                  <w:r>
                    <w:rPr>
                      <w:color w:val="auto"/>
                    </w:rPr>
                    <w:drawing>
                      <wp:inline distT="0" distB="0" distL="114300" distR="114300">
                        <wp:extent cx="1439545" cy="1285875"/>
                        <wp:effectExtent l="0" t="0" r="8255" b="9525"/>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24"/>
                                <a:stretch>
                                  <a:fillRect/>
                                </a:stretch>
                              </pic:blipFill>
                              <pic:spPr>
                                <a:xfrm>
                                  <a:off x="0" y="0"/>
                                  <a:ext cx="1439545" cy="1285875"/>
                                </a:xfrm>
                                <a:prstGeom prst="rect">
                                  <a:avLst/>
                                </a:prstGeom>
                                <a:noFill/>
                                <a:ln>
                                  <a:noFill/>
                                </a:ln>
                              </pic:spPr>
                            </pic:pic>
                          </a:graphicData>
                        </a:graphic>
                      </wp:inline>
                    </w:drawing>
                  </w:r>
                </w:p>
              </w:tc>
              <w:tc>
                <w:tcPr>
                  <w:tcW w:w="2790" w:type="dxa"/>
                  <w:vAlign w:val="center"/>
                </w:tcPr>
                <w:p>
                  <w:pPr>
                    <w:pStyle w:val="38"/>
                    <w:spacing w:line="240" w:lineRule="auto"/>
                    <w:ind w:firstLine="0"/>
                    <w:jc w:val="center"/>
                    <w:rPr>
                      <w:color w:val="auto"/>
                    </w:rPr>
                  </w:pPr>
                  <w:r>
                    <w:rPr>
                      <w:color w:val="auto"/>
                    </w:rPr>
                    <w:drawing>
                      <wp:inline distT="0" distB="0" distL="114300" distR="114300">
                        <wp:extent cx="1542415" cy="1102995"/>
                        <wp:effectExtent l="0" t="0" r="635" b="190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25"/>
                                <a:stretch>
                                  <a:fillRect/>
                                </a:stretch>
                              </pic:blipFill>
                              <pic:spPr>
                                <a:xfrm>
                                  <a:off x="0" y="0"/>
                                  <a:ext cx="1542415" cy="1102995"/>
                                </a:xfrm>
                                <a:prstGeom prst="rect">
                                  <a:avLst/>
                                </a:prstGeom>
                                <a:noFill/>
                                <a:ln>
                                  <a:noFill/>
                                </a:ln>
                              </pic:spPr>
                            </pic:pic>
                          </a:graphicData>
                        </a:graphic>
                      </wp:inline>
                    </w:drawing>
                  </w:r>
                </w:p>
              </w:tc>
              <w:tc>
                <w:tcPr>
                  <w:tcW w:w="214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5</w:t>
                  </w:r>
                </w:p>
              </w:tc>
              <w:tc>
                <w:tcPr>
                  <w:tcW w:w="2986" w:type="dxa"/>
                  <w:vAlign w:val="center"/>
                </w:tcPr>
                <w:p>
                  <w:pPr>
                    <w:pStyle w:val="38"/>
                    <w:spacing w:line="240" w:lineRule="auto"/>
                    <w:ind w:firstLine="0"/>
                    <w:jc w:val="center"/>
                    <w:rPr>
                      <w:rFonts w:hint="eastAsia"/>
                      <w:color w:val="auto"/>
                    </w:rPr>
                  </w:pPr>
                  <w:r>
                    <w:rPr>
                      <w:rFonts w:hint="eastAsia"/>
                      <w:color w:val="auto"/>
                    </w:rPr>
                    <w:t>/</w:t>
                  </w:r>
                </w:p>
              </w:tc>
              <w:tc>
                <w:tcPr>
                  <w:tcW w:w="2790" w:type="dxa"/>
                  <w:vAlign w:val="center"/>
                </w:tcPr>
                <w:p>
                  <w:pPr>
                    <w:pStyle w:val="38"/>
                    <w:spacing w:line="240" w:lineRule="auto"/>
                    <w:ind w:firstLine="0"/>
                    <w:jc w:val="center"/>
                    <w:rPr>
                      <w:color w:val="auto"/>
                    </w:rPr>
                  </w:pPr>
                  <w:r>
                    <w:rPr>
                      <w:color w:val="auto"/>
                    </w:rPr>
                    <w:drawing>
                      <wp:inline distT="0" distB="0" distL="114300" distR="114300">
                        <wp:extent cx="1295400" cy="1323975"/>
                        <wp:effectExtent l="0" t="0" r="0" b="952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26"/>
                                <a:srcRect t="3917" b="9209"/>
                                <a:stretch>
                                  <a:fillRect/>
                                </a:stretch>
                              </pic:blipFill>
                              <pic:spPr>
                                <a:xfrm>
                                  <a:off x="0" y="0"/>
                                  <a:ext cx="1295400" cy="1323975"/>
                                </a:xfrm>
                                <a:prstGeom prst="rect">
                                  <a:avLst/>
                                </a:prstGeom>
                                <a:noFill/>
                                <a:ln>
                                  <a:noFill/>
                                </a:ln>
                              </pic:spPr>
                            </pic:pic>
                          </a:graphicData>
                        </a:graphic>
                      </wp:inline>
                    </w:drawing>
                  </w:r>
                </w:p>
              </w:tc>
              <w:tc>
                <w:tcPr>
                  <w:tcW w:w="2140" w:type="dxa"/>
                  <w:vAlign w:val="center"/>
                </w:tcPr>
                <w:p>
                  <w:pPr>
                    <w:pStyle w:val="38"/>
                    <w:spacing w:line="240" w:lineRule="auto"/>
                    <w:ind w:firstLine="0"/>
                    <w:jc w:val="center"/>
                    <w:rPr>
                      <w:rFonts w:ascii="Times New Roman"/>
                      <w:color w:val="auto"/>
                      <w:sz w:val="21"/>
                      <w:szCs w:val="21"/>
                    </w:rPr>
                  </w:pPr>
                  <w:r>
                    <w:rPr>
                      <w:rFonts w:hint="eastAsia" w:ascii="Times New Roman"/>
                      <w:color w:val="auto"/>
                      <w:sz w:val="21"/>
                      <w:szCs w:val="21"/>
                    </w:rPr>
                    <w:t>危险废物</w:t>
                  </w:r>
                </w:p>
              </w:tc>
            </w:tr>
          </w:tbl>
          <w:p>
            <w:pPr>
              <w:spacing w:line="360" w:lineRule="auto"/>
              <w:rPr>
                <w:rFonts w:hint="eastAsia"/>
                <w:b/>
                <w:bCs/>
                <w:color w:val="auto"/>
                <w:sz w:val="24"/>
              </w:rPr>
            </w:pPr>
          </w:p>
          <w:p>
            <w:pPr>
              <w:spacing w:line="360" w:lineRule="auto"/>
              <w:ind w:firstLine="482" w:firstLineChars="200"/>
              <w:rPr>
                <w:b/>
                <w:bCs/>
                <w:color w:val="auto"/>
                <w:sz w:val="24"/>
                <w:highlight w:val="none"/>
              </w:rPr>
            </w:pPr>
            <w:r>
              <w:rPr>
                <w:rFonts w:hint="eastAsia"/>
                <w:b/>
                <w:bCs/>
                <w:color w:val="auto"/>
                <w:sz w:val="24"/>
                <w:highlight w:val="none"/>
              </w:rPr>
              <w:t>8</w:t>
            </w:r>
            <w:r>
              <w:rPr>
                <w:b/>
                <w:bCs/>
                <w:color w:val="auto"/>
                <w:sz w:val="24"/>
                <w:highlight w:val="none"/>
              </w:rPr>
              <w:t>环保投资估算</w:t>
            </w:r>
          </w:p>
          <w:p>
            <w:pPr>
              <w:spacing w:line="360" w:lineRule="auto"/>
              <w:ind w:firstLine="480" w:firstLineChars="200"/>
              <w:rPr>
                <w:color w:val="auto"/>
                <w:sz w:val="24"/>
                <w:highlight w:val="none"/>
              </w:rPr>
            </w:pPr>
            <w:r>
              <w:rPr>
                <w:rFonts w:hint="eastAsia"/>
                <w:color w:val="auto"/>
                <w:sz w:val="24"/>
                <w:highlight w:val="none"/>
              </w:rPr>
              <w:t>本项目</w:t>
            </w:r>
            <w:r>
              <w:rPr>
                <w:color w:val="auto"/>
                <w:sz w:val="24"/>
                <w:highlight w:val="none"/>
              </w:rPr>
              <w:t>总投资</w:t>
            </w:r>
            <w:r>
              <w:rPr>
                <w:rFonts w:hint="eastAsia"/>
                <w:color w:val="auto"/>
                <w:sz w:val="24"/>
                <w:highlight w:val="none"/>
                <w:lang w:val="en-US" w:eastAsia="zh-CN"/>
              </w:rPr>
              <w:t>500</w:t>
            </w:r>
            <w:r>
              <w:rPr>
                <w:color w:val="auto"/>
                <w:sz w:val="24"/>
                <w:highlight w:val="none"/>
              </w:rPr>
              <w:t>万元，其中环保投资约</w:t>
            </w:r>
            <w:r>
              <w:rPr>
                <w:rFonts w:hint="eastAsia"/>
                <w:color w:val="auto"/>
                <w:sz w:val="24"/>
                <w:highlight w:val="none"/>
                <w:lang w:val="en-US" w:eastAsia="zh-CN"/>
              </w:rPr>
              <w:t>19</w:t>
            </w:r>
            <w:r>
              <w:rPr>
                <w:color w:val="auto"/>
                <w:sz w:val="24"/>
                <w:highlight w:val="none"/>
              </w:rPr>
              <w:t>万元，占项目总投资的</w:t>
            </w:r>
            <w:r>
              <w:rPr>
                <w:rFonts w:hint="eastAsia"/>
                <w:color w:val="auto"/>
                <w:sz w:val="24"/>
                <w:highlight w:val="none"/>
                <w:lang w:val="en-US" w:eastAsia="zh-CN"/>
              </w:rPr>
              <w:t>3.8</w:t>
            </w:r>
            <w:r>
              <w:rPr>
                <w:color w:val="auto"/>
                <w:sz w:val="24"/>
                <w:highlight w:val="none"/>
              </w:rPr>
              <w:t>%。具体如下表所示。</w:t>
            </w:r>
          </w:p>
          <w:p>
            <w:pPr>
              <w:autoSpaceDE w:val="0"/>
              <w:autoSpaceDN w:val="0"/>
              <w:adjustRightInd w:val="0"/>
              <w:jc w:val="center"/>
              <w:rPr>
                <w:b/>
                <w:color w:val="auto"/>
                <w:szCs w:val="21"/>
                <w:highlight w:val="none"/>
              </w:rPr>
            </w:pPr>
            <w:r>
              <w:rPr>
                <w:b/>
                <w:color w:val="auto"/>
                <w:szCs w:val="21"/>
                <w:highlight w:val="none"/>
              </w:rPr>
              <w:t>表</w:t>
            </w:r>
            <w:r>
              <w:rPr>
                <w:rFonts w:hint="eastAsia"/>
                <w:b/>
                <w:color w:val="auto"/>
                <w:szCs w:val="21"/>
                <w:highlight w:val="none"/>
              </w:rPr>
              <w:t>4-</w:t>
            </w:r>
            <w:r>
              <w:rPr>
                <w:rFonts w:hint="eastAsia"/>
                <w:b/>
                <w:color w:val="auto"/>
                <w:szCs w:val="21"/>
                <w:highlight w:val="none"/>
                <w:lang w:val="en-US" w:eastAsia="zh-CN"/>
              </w:rPr>
              <w:t>19</w:t>
            </w:r>
            <w:r>
              <w:rPr>
                <w:rFonts w:hint="eastAsia"/>
                <w:b/>
                <w:color w:val="auto"/>
                <w:szCs w:val="21"/>
                <w:highlight w:val="none"/>
              </w:rPr>
              <w:t xml:space="preserve"> </w:t>
            </w:r>
            <w:r>
              <w:rPr>
                <w:b/>
                <w:color w:val="auto"/>
                <w:szCs w:val="21"/>
                <w:highlight w:val="none"/>
              </w:rPr>
              <w:t>环保设施及环保投资一览表</w:t>
            </w:r>
          </w:p>
          <w:tbl>
            <w:tblPr>
              <w:tblStyle w:val="27"/>
              <w:tblW w:w="85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484"/>
              <w:gridCol w:w="535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550" w:type="dxa"/>
                  <w:vAlign w:val="center"/>
                </w:tcPr>
                <w:p>
                  <w:pPr>
                    <w:adjustRightInd w:val="0"/>
                    <w:snapToGrid w:val="0"/>
                    <w:jc w:val="center"/>
                    <w:rPr>
                      <w:b/>
                      <w:color w:val="auto"/>
                      <w:szCs w:val="21"/>
                      <w:highlight w:val="none"/>
                    </w:rPr>
                  </w:pPr>
                  <w:r>
                    <w:rPr>
                      <w:rFonts w:hint="eastAsia"/>
                      <w:b/>
                      <w:color w:val="auto"/>
                      <w:szCs w:val="21"/>
                      <w:highlight w:val="none"/>
                    </w:rPr>
                    <w:t>类别</w:t>
                  </w:r>
                </w:p>
              </w:tc>
              <w:tc>
                <w:tcPr>
                  <w:tcW w:w="1484" w:type="dxa"/>
                  <w:vAlign w:val="center"/>
                </w:tcPr>
                <w:p>
                  <w:pPr>
                    <w:adjustRightInd w:val="0"/>
                    <w:snapToGrid w:val="0"/>
                    <w:jc w:val="center"/>
                    <w:rPr>
                      <w:b/>
                      <w:color w:val="auto"/>
                      <w:szCs w:val="21"/>
                      <w:highlight w:val="none"/>
                    </w:rPr>
                  </w:pPr>
                  <w:r>
                    <w:rPr>
                      <w:rFonts w:hint="eastAsia"/>
                      <w:b/>
                      <w:color w:val="auto"/>
                      <w:szCs w:val="21"/>
                      <w:highlight w:val="none"/>
                    </w:rPr>
                    <w:t>污染源</w:t>
                  </w:r>
                </w:p>
              </w:tc>
              <w:tc>
                <w:tcPr>
                  <w:tcW w:w="5350" w:type="dxa"/>
                  <w:vAlign w:val="center"/>
                </w:tcPr>
                <w:p>
                  <w:pPr>
                    <w:adjustRightInd w:val="0"/>
                    <w:snapToGrid w:val="0"/>
                    <w:jc w:val="center"/>
                    <w:rPr>
                      <w:b/>
                      <w:color w:val="auto"/>
                      <w:szCs w:val="21"/>
                      <w:highlight w:val="none"/>
                    </w:rPr>
                  </w:pPr>
                  <w:r>
                    <w:rPr>
                      <w:b/>
                      <w:color w:val="auto"/>
                      <w:szCs w:val="21"/>
                      <w:highlight w:val="none"/>
                    </w:rPr>
                    <w:t>治理措施</w:t>
                  </w:r>
                </w:p>
              </w:tc>
              <w:tc>
                <w:tcPr>
                  <w:tcW w:w="1213" w:type="dxa"/>
                  <w:vAlign w:val="center"/>
                </w:tcPr>
                <w:p>
                  <w:pPr>
                    <w:adjustRightInd w:val="0"/>
                    <w:snapToGrid w:val="0"/>
                    <w:jc w:val="center"/>
                    <w:rPr>
                      <w:b/>
                      <w:color w:val="auto"/>
                      <w:szCs w:val="21"/>
                      <w:highlight w:val="none"/>
                    </w:rPr>
                  </w:pPr>
                  <w:r>
                    <w:rPr>
                      <w:b/>
                      <w:color w:val="auto"/>
                      <w:szCs w:val="21"/>
                      <w:highlight w:val="none"/>
                    </w:rPr>
                    <w:t>投资</w:t>
                  </w:r>
                </w:p>
                <w:p>
                  <w:pPr>
                    <w:adjustRightInd w:val="0"/>
                    <w:snapToGrid w:val="0"/>
                    <w:jc w:val="center"/>
                    <w:rPr>
                      <w:b/>
                      <w:color w:val="auto"/>
                      <w:szCs w:val="21"/>
                      <w:highlight w:val="none"/>
                    </w:rPr>
                  </w:pPr>
                  <w:r>
                    <w:rPr>
                      <w:b/>
                      <w:color w:val="auto"/>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550" w:type="dxa"/>
                  <w:vMerge w:val="restart"/>
                  <w:vAlign w:val="center"/>
                </w:tcPr>
                <w:p>
                  <w:pPr>
                    <w:adjustRightInd w:val="0"/>
                    <w:snapToGrid w:val="0"/>
                    <w:jc w:val="center"/>
                    <w:rPr>
                      <w:color w:val="auto"/>
                      <w:szCs w:val="21"/>
                      <w:highlight w:val="none"/>
                    </w:rPr>
                  </w:pPr>
                  <w:r>
                    <w:rPr>
                      <w:rFonts w:hint="eastAsia"/>
                      <w:color w:val="auto"/>
                      <w:szCs w:val="21"/>
                      <w:highlight w:val="none"/>
                    </w:rPr>
                    <w:t>废气治理</w:t>
                  </w:r>
                </w:p>
              </w:tc>
              <w:tc>
                <w:tcPr>
                  <w:tcW w:w="1484" w:type="dxa"/>
                  <w:vAlign w:val="center"/>
                </w:tcPr>
                <w:p>
                  <w:pPr>
                    <w:adjustRightInd w:val="0"/>
                    <w:snapToGrid w:val="0"/>
                    <w:jc w:val="center"/>
                    <w:rPr>
                      <w:rFonts w:hint="eastAsia"/>
                      <w:color w:val="auto"/>
                      <w:szCs w:val="21"/>
                      <w:highlight w:val="none"/>
                      <w:lang w:eastAsia="zh-CN"/>
                    </w:rPr>
                  </w:pPr>
                </w:p>
                <w:p>
                  <w:pPr>
                    <w:adjustRightInd w:val="0"/>
                    <w:snapToGrid w:val="0"/>
                    <w:jc w:val="center"/>
                    <w:rPr>
                      <w:rFonts w:hint="eastAsia"/>
                      <w:color w:val="auto"/>
                      <w:szCs w:val="21"/>
                      <w:highlight w:val="none"/>
                      <w:lang w:eastAsia="zh-CN"/>
                    </w:rPr>
                  </w:pPr>
                  <w:r>
                    <w:rPr>
                      <w:rFonts w:hint="eastAsia"/>
                      <w:color w:val="auto"/>
                      <w:szCs w:val="21"/>
                      <w:highlight w:val="none"/>
                      <w:lang w:eastAsia="zh-CN"/>
                    </w:rPr>
                    <w:t>卸粮粉尘</w:t>
                  </w:r>
                </w:p>
              </w:tc>
              <w:tc>
                <w:tcPr>
                  <w:tcW w:w="5350" w:type="dxa"/>
                  <w:vAlign w:val="center"/>
                </w:tcPr>
                <w:p>
                  <w:pPr>
                    <w:jc w:val="center"/>
                    <w:rPr>
                      <w:rFonts w:hint="eastAsia" w:ascii="Times New Roman" w:hAnsi="Times New Roman"/>
                      <w:b w:val="0"/>
                      <w:bCs/>
                      <w:color w:val="auto"/>
                      <w:sz w:val="21"/>
                      <w:szCs w:val="21"/>
                      <w:highlight w:val="none"/>
                    </w:rPr>
                  </w:pPr>
                  <w:r>
                    <w:rPr>
                      <w:rFonts w:hint="eastAsia"/>
                      <w:color w:val="auto"/>
                      <w:sz w:val="21"/>
                      <w:szCs w:val="21"/>
                      <w:highlight w:val="none"/>
                    </w:rPr>
                    <w:t>卸粮时车间封闭、苫布遮盖、降低卸粮高度、定期清扫</w:t>
                  </w:r>
                </w:p>
              </w:tc>
              <w:tc>
                <w:tcPr>
                  <w:tcW w:w="1213" w:type="dxa"/>
                  <w:vAlign w:val="center"/>
                </w:tcPr>
                <w:p>
                  <w:pPr>
                    <w:adjustRightInd w:val="0"/>
                    <w:snapToGrid w:val="0"/>
                    <w:jc w:val="center"/>
                    <w:rPr>
                      <w:rFonts w:hint="eastAsia"/>
                      <w:color w:val="auto"/>
                      <w:szCs w:val="21"/>
                      <w:highlight w:val="none"/>
                      <w:lang w:val="en-US" w:eastAsia="zh-CN"/>
                    </w:rPr>
                  </w:pPr>
                </w:p>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50" w:type="dxa"/>
                  <w:vMerge w:val="continue"/>
                  <w:vAlign w:val="center"/>
                </w:tcPr>
                <w:p>
                  <w:pPr>
                    <w:adjustRightInd w:val="0"/>
                    <w:snapToGrid w:val="0"/>
                    <w:jc w:val="center"/>
                    <w:rPr>
                      <w:rFonts w:hint="eastAsia"/>
                      <w:color w:val="auto"/>
                      <w:szCs w:val="21"/>
                    </w:rPr>
                  </w:pPr>
                </w:p>
              </w:tc>
              <w:tc>
                <w:tcPr>
                  <w:tcW w:w="1484" w:type="dxa"/>
                  <w:vAlign w:val="center"/>
                </w:tcPr>
                <w:p>
                  <w:pPr>
                    <w:adjustRightInd w:val="0"/>
                    <w:snapToGrid w:val="0"/>
                    <w:jc w:val="center"/>
                    <w:rPr>
                      <w:rFonts w:hint="eastAsia"/>
                      <w:color w:val="auto"/>
                      <w:szCs w:val="21"/>
                      <w:lang w:eastAsia="zh-CN"/>
                    </w:rPr>
                  </w:pPr>
                  <w:r>
                    <w:rPr>
                      <w:rFonts w:hint="eastAsia"/>
                      <w:color w:val="auto"/>
                      <w:szCs w:val="21"/>
                      <w:lang w:eastAsia="zh-CN"/>
                    </w:rPr>
                    <w:t>转运和运输粉尘</w:t>
                  </w:r>
                </w:p>
              </w:tc>
              <w:tc>
                <w:tcPr>
                  <w:tcW w:w="5350" w:type="dxa"/>
                  <w:vAlign w:val="center"/>
                </w:tcPr>
                <w:p>
                  <w:pPr>
                    <w:jc w:val="center"/>
                    <w:rPr>
                      <w:rFonts w:hint="default" w:eastAsia="宋体"/>
                      <w:b w:val="0"/>
                      <w:bCs/>
                      <w:color w:val="auto"/>
                      <w:sz w:val="21"/>
                      <w:szCs w:val="21"/>
                      <w:lang w:val="en-US" w:eastAsia="zh-CN"/>
                    </w:rPr>
                  </w:pPr>
                  <w:r>
                    <w:rPr>
                      <w:rFonts w:hint="eastAsia"/>
                      <w:color w:val="auto"/>
                      <w:sz w:val="21"/>
                      <w:szCs w:val="21"/>
                      <w:lang w:eastAsia="zh-CN"/>
                    </w:rPr>
                    <w:t>采取在传送带加罩的方式加强密闭性</w:t>
                  </w:r>
                </w:p>
              </w:tc>
              <w:tc>
                <w:tcPr>
                  <w:tcW w:w="1213"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50" w:type="dxa"/>
                  <w:vMerge w:val="continue"/>
                  <w:vAlign w:val="center"/>
                </w:tcPr>
                <w:p>
                  <w:pPr>
                    <w:adjustRightInd w:val="0"/>
                    <w:snapToGrid w:val="0"/>
                    <w:jc w:val="center"/>
                    <w:rPr>
                      <w:rFonts w:hint="eastAsia"/>
                      <w:color w:val="auto"/>
                      <w:szCs w:val="21"/>
                    </w:rPr>
                  </w:pPr>
                </w:p>
              </w:tc>
              <w:tc>
                <w:tcPr>
                  <w:tcW w:w="1484" w:type="dxa"/>
                  <w:vAlign w:val="center"/>
                </w:tcPr>
                <w:p>
                  <w:pPr>
                    <w:adjustRightInd w:val="0"/>
                    <w:snapToGrid w:val="0"/>
                    <w:jc w:val="center"/>
                    <w:rPr>
                      <w:rFonts w:hint="eastAsia"/>
                      <w:color w:val="auto"/>
                      <w:szCs w:val="21"/>
                      <w:lang w:eastAsia="zh-CN"/>
                    </w:rPr>
                  </w:pPr>
                  <w:r>
                    <w:rPr>
                      <w:rFonts w:hint="eastAsia"/>
                      <w:color w:val="auto"/>
                      <w:szCs w:val="21"/>
                      <w:lang w:eastAsia="zh-CN"/>
                    </w:rPr>
                    <w:t>清选粉尘</w:t>
                  </w:r>
                </w:p>
              </w:tc>
              <w:tc>
                <w:tcPr>
                  <w:tcW w:w="5350" w:type="dxa"/>
                  <w:vAlign w:val="center"/>
                </w:tcPr>
                <w:p>
                  <w:pPr>
                    <w:jc w:val="center"/>
                    <w:rPr>
                      <w:rFonts w:hint="default" w:eastAsia="宋体"/>
                      <w:color w:val="auto"/>
                      <w:sz w:val="21"/>
                      <w:szCs w:val="21"/>
                      <w:lang w:val="en-US" w:eastAsia="zh-CN"/>
                    </w:rPr>
                  </w:pPr>
                  <w:r>
                    <w:rPr>
                      <w:rFonts w:hint="eastAsia"/>
                      <w:color w:val="auto"/>
                      <w:sz w:val="21"/>
                      <w:szCs w:val="21"/>
                      <w:lang w:eastAsia="zh-CN"/>
                    </w:rPr>
                    <w:t>设备密闭</w:t>
                  </w:r>
                  <w:r>
                    <w:rPr>
                      <w:rFonts w:hint="eastAsia"/>
                      <w:color w:val="auto"/>
                      <w:sz w:val="21"/>
                      <w:szCs w:val="21"/>
                      <w:lang w:val="en-US" w:eastAsia="zh-CN"/>
                    </w:rPr>
                    <w:t>+自带旋风除尘器+1根15m高排气筒（DA001）</w:t>
                  </w:r>
                </w:p>
              </w:tc>
              <w:tc>
                <w:tcPr>
                  <w:tcW w:w="1213"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550" w:type="dxa"/>
                  <w:vMerge w:val="continue"/>
                  <w:vAlign w:val="center"/>
                </w:tcPr>
                <w:p>
                  <w:pPr>
                    <w:adjustRightInd w:val="0"/>
                    <w:snapToGrid w:val="0"/>
                    <w:jc w:val="center"/>
                    <w:rPr>
                      <w:rFonts w:hint="eastAsia"/>
                      <w:color w:val="auto"/>
                      <w:szCs w:val="21"/>
                    </w:rPr>
                  </w:pPr>
                </w:p>
              </w:tc>
              <w:tc>
                <w:tcPr>
                  <w:tcW w:w="1484" w:type="dxa"/>
                  <w:vAlign w:val="center"/>
                </w:tcPr>
                <w:p>
                  <w:pPr>
                    <w:adjustRightInd w:val="0"/>
                    <w:snapToGrid w:val="0"/>
                    <w:jc w:val="center"/>
                    <w:rPr>
                      <w:rFonts w:hint="eastAsia"/>
                      <w:color w:val="auto"/>
                      <w:szCs w:val="21"/>
                      <w:lang w:eastAsia="zh-CN"/>
                    </w:rPr>
                  </w:pPr>
                  <w:r>
                    <w:rPr>
                      <w:rFonts w:hint="eastAsia"/>
                      <w:color w:val="auto"/>
                      <w:szCs w:val="21"/>
                      <w:lang w:eastAsia="zh-CN"/>
                    </w:rPr>
                    <w:t>烘干粉尘</w:t>
                  </w:r>
                </w:p>
              </w:tc>
              <w:tc>
                <w:tcPr>
                  <w:tcW w:w="5350" w:type="dxa"/>
                  <w:vAlign w:val="center"/>
                </w:tcPr>
                <w:p>
                  <w:pPr>
                    <w:jc w:val="center"/>
                    <w:rPr>
                      <w:rFonts w:hint="eastAsia"/>
                      <w:color w:val="auto"/>
                      <w:sz w:val="21"/>
                      <w:szCs w:val="21"/>
                      <w:lang w:eastAsia="zh-CN"/>
                    </w:rPr>
                  </w:pPr>
                  <w:r>
                    <w:rPr>
                      <w:rFonts w:hint="eastAsia"/>
                      <w:color w:val="auto"/>
                      <w:sz w:val="21"/>
                      <w:szCs w:val="21"/>
                      <w:lang w:eastAsia="zh-CN"/>
                    </w:rPr>
                    <w:t>烘干机机身设置内外腔，内腔的侧壁上开设有连通内腔与外腔的排潮口，</w:t>
                  </w:r>
                </w:p>
                <w:p>
                  <w:pPr>
                    <w:jc w:val="center"/>
                    <w:rPr>
                      <w:rFonts w:hint="default"/>
                      <w:color w:val="auto"/>
                      <w:sz w:val="21"/>
                      <w:szCs w:val="21"/>
                      <w:lang w:val="en-US" w:eastAsia="zh-CN"/>
                    </w:rPr>
                  </w:pPr>
                  <w:r>
                    <w:rPr>
                      <w:rFonts w:hint="eastAsia"/>
                      <w:color w:val="auto"/>
                      <w:sz w:val="21"/>
                      <w:szCs w:val="21"/>
                      <w:lang w:eastAsia="zh-CN"/>
                    </w:rPr>
                    <w:t>在外腔的侧壁上开设有排潮口，排潮口四周设置防尘罩</w:t>
                  </w:r>
                </w:p>
              </w:tc>
              <w:tc>
                <w:tcPr>
                  <w:tcW w:w="1213"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550" w:type="dxa"/>
                  <w:vMerge w:val="continue"/>
                  <w:vAlign w:val="center"/>
                </w:tcPr>
                <w:p>
                  <w:pPr>
                    <w:adjustRightInd w:val="0"/>
                    <w:snapToGrid w:val="0"/>
                    <w:jc w:val="center"/>
                    <w:rPr>
                      <w:rFonts w:hint="eastAsia"/>
                      <w:color w:val="auto"/>
                      <w:szCs w:val="21"/>
                    </w:rPr>
                  </w:pPr>
                </w:p>
              </w:tc>
              <w:tc>
                <w:tcPr>
                  <w:tcW w:w="1484" w:type="dxa"/>
                  <w:vAlign w:val="center"/>
                </w:tcPr>
                <w:p>
                  <w:pPr>
                    <w:adjustRightInd w:val="0"/>
                    <w:snapToGrid w:val="0"/>
                    <w:jc w:val="center"/>
                    <w:rPr>
                      <w:rFonts w:hint="eastAsia"/>
                      <w:color w:val="auto"/>
                      <w:szCs w:val="21"/>
                      <w:lang w:eastAsia="zh-CN"/>
                    </w:rPr>
                  </w:pPr>
                  <w:r>
                    <w:rPr>
                      <w:rFonts w:hint="eastAsia"/>
                      <w:color w:val="auto"/>
                      <w:szCs w:val="21"/>
                      <w:lang w:eastAsia="zh-CN"/>
                    </w:rPr>
                    <w:t>生物质热风炉燃烧废气</w:t>
                  </w:r>
                </w:p>
              </w:tc>
              <w:tc>
                <w:tcPr>
                  <w:tcW w:w="5350" w:type="dxa"/>
                  <w:vAlign w:val="center"/>
                </w:tcPr>
                <w:p>
                  <w:pPr>
                    <w:jc w:val="center"/>
                    <w:rPr>
                      <w:rFonts w:hint="default" w:ascii="Times New Roman" w:hAnsi="Times New Roman"/>
                      <w:b w:val="0"/>
                      <w:bCs/>
                      <w:color w:val="auto"/>
                      <w:sz w:val="21"/>
                      <w:szCs w:val="21"/>
                      <w:lang w:val="en-US"/>
                    </w:rPr>
                  </w:pPr>
                  <w:r>
                    <w:rPr>
                      <w:rFonts w:hint="eastAsia"/>
                      <w:color w:val="auto"/>
                      <w:kern w:val="0"/>
                      <w:lang w:eastAsia="zh-CN"/>
                    </w:rPr>
                    <w:t>管道收集</w:t>
                  </w:r>
                  <w:r>
                    <w:rPr>
                      <w:rFonts w:hint="eastAsia"/>
                      <w:color w:val="auto"/>
                      <w:kern w:val="0"/>
                      <w:lang w:val="en-US" w:eastAsia="zh-CN"/>
                    </w:rPr>
                    <w:t>+旋风除尘器+袋式除尘器+1根15m高排气筒（DA002）</w:t>
                  </w:r>
                </w:p>
              </w:tc>
              <w:tc>
                <w:tcPr>
                  <w:tcW w:w="1213"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0" w:type="dxa"/>
                  <w:vAlign w:val="center"/>
                </w:tcPr>
                <w:p>
                  <w:pPr>
                    <w:adjustRightInd w:val="0"/>
                    <w:snapToGrid w:val="0"/>
                    <w:jc w:val="center"/>
                    <w:rPr>
                      <w:color w:val="auto"/>
                      <w:szCs w:val="21"/>
                    </w:rPr>
                  </w:pPr>
                  <w:r>
                    <w:rPr>
                      <w:rFonts w:hint="eastAsia"/>
                      <w:color w:val="auto"/>
                      <w:szCs w:val="21"/>
                    </w:rPr>
                    <w:t>废水治理</w:t>
                  </w:r>
                </w:p>
              </w:tc>
              <w:tc>
                <w:tcPr>
                  <w:tcW w:w="1484" w:type="dxa"/>
                  <w:vAlign w:val="center"/>
                </w:tcPr>
                <w:p>
                  <w:pPr>
                    <w:adjustRightInd w:val="0"/>
                    <w:snapToGrid w:val="0"/>
                    <w:jc w:val="center"/>
                    <w:rPr>
                      <w:rFonts w:hint="eastAsia"/>
                      <w:color w:val="auto"/>
                      <w:szCs w:val="21"/>
                    </w:rPr>
                  </w:pPr>
                  <w:r>
                    <w:rPr>
                      <w:rFonts w:hint="eastAsia"/>
                      <w:color w:val="auto"/>
                      <w:szCs w:val="21"/>
                    </w:rPr>
                    <w:t>生活污水</w:t>
                  </w:r>
                </w:p>
              </w:tc>
              <w:tc>
                <w:tcPr>
                  <w:tcW w:w="5350" w:type="dxa"/>
                  <w:vAlign w:val="center"/>
                </w:tcPr>
                <w:p>
                  <w:pPr>
                    <w:pStyle w:val="38"/>
                    <w:spacing w:line="240" w:lineRule="auto"/>
                    <w:ind w:firstLine="0"/>
                    <w:jc w:val="center"/>
                    <w:rPr>
                      <w:rFonts w:hint="eastAsia" w:eastAsia="宋体"/>
                      <w:color w:val="auto"/>
                      <w:szCs w:val="21"/>
                      <w:lang w:eastAsia="zh-CN"/>
                    </w:rPr>
                  </w:pPr>
                  <w:r>
                    <w:rPr>
                      <w:rFonts w:hint="eastAsia"/>
                      <w:color w:val="auto"/>
                      <w:sz w:val="21"/>
                      <w:szCs w:val="21"/>
                    </w:rPr>
                    <w:t>雨污管网、化粪池</w:t>
                  </w:r>
                  <w:r>
                    <w:rPr>
                      <w:rFonts w:hint="eastAsia"/>
                      <w:color w:val="auto"/>
                      <w:sz w:val="21"/>
                      <w:szCs w:val="21"/>
                      <w:lang w:eastAsia="zh-CN"/>
                    </w:rPr>
                    <w:t>、一体化污水处理设施（生物接触氧化+二沉池+石英砂过滤+次氯酸钠消毒）</w:t>
                  </w:r>
                </w:p>
              </w:tc>
              <w:tc>
                <w:tcPr>
                  <w:tcW w:w="1213"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50" w:type="dxa"/>
                  <w:vAlign w:val="center"/>
                </w:tcPr>
                <w:p>
                  <w:pPr>
                    <w:adjustRightInd w:val="0"/>
                    <w:snapToGrid w:val="0"/>
                    <w:jc w:val="center"/>
                    <w:rPr>
                      <w:rFonts w:hint="eastAsia"/>
                      <w:color w:val="auto"/>
                      <w:szCs w:val="21"/>
                    </w:rPr>
                  </w:pPr>
                  <w:r>
                    <w:rPr>
                      <w:rFonts w:hint="eastAsia"/>
                      <w:color w:val="auto"/>
                      <w:szCs w:val="21"/>
                    </w:rPr>
                    <w:t>噪声</w:t>
                  </w:r>
                </w:p>
              </w:tc>
              <w:tc>
                <w:tcPr>
                  <w:tcW w:w="1484" w:type="dxa"/>
                  <w:vAlign w:val="center"/>
                </w:tcPr>
                <w:p>
                  <w:pPr>
                    <w:adjustRightInd w:val="0"/>
                    <w:snapToGrid w:val="0"/>
                    <w:jc w:val="center"/>
                    <w:rPr>
                      <w:color w:val="auto"/>
                      <w:szCs w:val="21"/>
                    </w:rPr>
                  </w:pPr>
                  <w:r>
                    <w:rPr>
                      <w:rFonts w:hint="eastAsia"/>
                      <w:color w:val="auto"/>
                      <w:szCs w:val="21"/>
                    </w:rPr>
                    <w:t>设备噪声</w:t>
                  </w:r>
                </w:p>
              </w:tc>
              <w:tc>
                <w:tcPr>
                  <w:tcW w:w="5350" w:type="dxa"/>
                  <w:vAlign w:val="center"/>
                </w:tcPr>
                <w:p>
                  <w:pPr>
                    <w:adjustRightInd w:val="0"/>
                    <w:snapToGrid w:val="0"/>
                    <w:jc w:val="center"/>
                    <w:rPr>
                      <w:rFonts w:hint="eastAsia" w:eastAsia="宋体"/>
                      <w:color w:val="auto"/>
                      <w:kern w:val="0"/>
                      <w:lang w:eastAsia="zh-CN"/>
                    </w:rPr>
                  </w:pPr>
                  <w:r>
                    <w:rPr>
                      <w:rFonts w:hint="eastAsia"/>
                      <w:color w:val="auto"/>
                      <w:kern w:val="0"/>
                    </w:rPr>
                    <w:t>基础减振，厂房隔声</w:t>
                  </w:r>
                  <w:r>
                    <w:rPr>
                      <w:rFonts w:hint="eastAsia"/>
                      <w:color w:val="auto"/>
                      <w:kern w:val="0"/>
                      <w:lang w:eastAsia="zh-CN"/>
                    </w:rPr>
                    <w:t>，风机</w:t>
                  </w:r>
                  <w:r>
                    <w:rPr>
                      <w:rFonts w:hint="eastAsia"/>
                      <w:color w:val="auto"/>
                      <w:szCs w:val="21"/>
                      <w:lang w:eastAsia="zh-CN"/>
                    </w:rPr>
                    <w:t>选取低噪声设备，加装轻量化隔声罩</w:t>
                  </w:r>
                </w:p>
              </w:tc>
              <w:tc>
                <w:tcPr>
                  <w:tcW w:w="1213"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550" w:type="dxa"/>
                  <w:vMerge w:val="restart"/>
                  <w:vAlign w:val="center"/>
                </w:tcPr>
                <w:p>
                  <w:pPr>
                    <w:adjustRightInd w:val="0"/>
                    <w:snapToGrid w:val="0"/>
                    <w:jc w:val="center"/>
                    <w:rPr>
                      <w:color w:val="auto"/>
                      <w:szCs w:val="21"/>
                    </w:rPr>
                  </w:pPr>
                  <w:r>
                    <w:rPr>
                      <w:rFonts w:hint="eastAsia"/>
                      <w:color w:val="auto"/>
                      <w:szCs w:val="21"/>
                    </w:rPr>
                    <w:t>固废处理</w:t>
                  </w:r>
                </w:p>
              </w:tc>
              <w:tc>
                <w:tcPr>
                  <w:tcW w:w="1484" w:type="dxa"/>
                  <w:vMerge w:val="restart"/>
                  <w:vAlign w:val="center"/>
                </w:tcPr>
                <w:p>
                  <w:pPr>
                    <w:adjustRightInd w:val="0"/>
                    <w:snapToGrid w:val="0"/>
                    <w:jc w:val="center"/>
                    <w:rPr>
                      <w:rFonts w:hint="eastAsia"/>
                      <w:color w:val="auto"/>
                      <w:szCs w:val="21"/>
                    </w:rPr>
                  </w:pPr>
                  <w:r>
                    <w:rPr>
                      <w:rFonts w:hint="eastAsia"/>
                      <w:color w:val="auto"/>
                      <w:szCs w:val="21"/>
                    </w:rPr>
                    <w:t>固废处理</w:t>
                  </w:r>
                </w:p>
              </w:tc>
              <w:tc>
                <w:tcPr>
                  <w:tcW w:w="5350" w:type="dxa"/>
                  <w:vAlign w:val="center"/>
                </w:tcPr>
                <w:p>
                  <w:pPr>
                    <w:adjustRightInd w:val="0"/>
                    <w:snapToGrid w:val="0"/>
                    <w:jc w:val="center"/>
                    <w:rPr>
                      <w:rFonts w:hint="eastAsia" w:eastAsia="宋体"/>
                      <w:color w:val="auto"/>
                      <w:lang w:eastAsia="zh-CN"/>
                    </w:rPr>
                  </w:pPr>
                  <w:r>
                    <w:rPr>
                      <w:rFonts w:hint="eastAsia"/>
                      <w:color w:val="auto"/>
                    </w:rPr>
                    <w:t>在</w:t>
                  </w:r>
                  <w:r>
                    <w:rPr>
                      <w:rFonts w:hint="eastAsia"/>
                      <w:color w:val="auto"/>
                      <w:lang w:eastAsia="zh-CN"/>
                    </w:rPr>
                    <w:t>厂区中部设置</w:t>
                  </w:r>
                  <w:r>
                    <w:rPr>
                      <w:rFonts w:hint="eastAsia"/>
                      <w:color w:val="auto"/>
                    </w:rPr>
                    <w:t>一般固废暂存区</w:t>
                  </w:r>
                  <w:r>
                    <w:rPr>
                      <w:rFonts w:hint="eastAsia"/>
                      <w:color w:val="auto"/>
                      <w:lang w:eastAsia="zh-CN"/>
                    </w:rPr>
                    <w:t>，</w:t>
                  </w:r>
                  <w:r>
                    <w:rPr>
                      <w:rFonts w:hint="eastAsia"/>
                      <w:color w:val="auto"/>
                    </w:rPr>
                    <w:t>面积约</w:t>
                  </w:r>
                  <w:r>
                    <w:rPr>
                      <w:rFonts w:hint="eastAsia"/>
                      <w:color w:val="auto"/>
                      <w:lang w:val="en-US" w:eastAsia="zh-CN"/>
                    </w:rPr>
                    <w:t>3</w:t>
                  </w:r>
                  <w:r>
                    <w:rPr>
                      <w:rFonts w:hint="eastAsia"/>
                      <w:color w:val="auto"/>
                    </w:rPr>
                    <w:t>0m</w:t>
                  </w:r>
                  <w:r>
                    <w:rPr>
                      <w:rFonts w:hint="eastAsia"/>
                      <w:color w:val="auto"/>
                      <w:vertAlign w:val="superscript"/>
                    </w:rPr>
                    <w:t>2</w:t>
                  </w:r>
                  <w:r>
                    <w:rPr>
                      <w:rFonts w:hint="eastAsia"/>
                      <w:color w:val="auto"/>
                    </w:rPr>
                    <w:t>，暂存一般固废</w:t>
                  </w:r>
                  <w:r>
                    <w:rPr>
                      <w:rFonts w:hint="eastAsia"/>
                      <w:color w:val="auto"/>
                      <w:lang w:eastAsia="zh-CN"/>
                    </w:rPr>
                    <w:t>。</w:t>
                  </w:r>
                </w:p>
              </w:tc>
              <w:tc>
                <w:tcPr>
                  <w:tcW w:w="1213"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0" w:type="dxa"/>
                  <w:vMerge w:val="continue"/>
                  <w:vAlign w:val="center"/>
                </w:tcPr>
                <w:p>
                  <w:pPr>
                    <w:adjustRightInd w:val="0"/>
                    <w:snapToGrid w:val="0"/>
                    <w:jc w:val="center"/>
                    <w:rPr>
                      <w:color w:val="auto"/>
                      <w:szCs w:val="21"/>
                    </w:rPr>
                  </w:pPr>
                </w:p>
              </w:tc>
              <w:tc>
                <w:tcPr>
                  <w:tcW w:w="1484" w:type="dxa"/>
                  <w:vMerge w:val="continue"/>
                  <w:vAlign w:val="center"/>
                </w:tcPr>
                <w:p>
                  <w:pPr>
                    <w:adjustRightInd w:val="0"/>
                    <w:snapToGrid w:val="0"/>
                    <w:jc w:val="center"/>
                    <w:rPr>
                      <w:color w:val="auto"/>
                      <w:szCs w:val="21"/>
                    </w:rPr>
                  </w:pPr>
                </w:p>
              </w:tc>
              <w:tc>
                <w:tcPr>
                  <w:tcW w:w="5350" w:type="dxa"/>
                  <w:vAlign w:val="center"/>
                </w:tcPr>
                <w:p>
                  <w:pPr>
                    <w:pStyle w:val="30"/>
                    <w:spacing w:line="240" w:lineRule="auto"/>
                    <w:jc w:val="center"/>
                    <w:rPr>
                      <w:rFonts w:hint="eastAsia" w:eastAsia="宋体"/>
                      <w:color w:val="auto"/>
                      <w:lang w:val="en-US" w:eastAsia="zh-CN"/>
                    </w:rPr>
                  </w:pPr>
                  <w:r>
                    <w:rPr>
                      <w:rFonts w:hint="eastAsia"/>
                      <w:b w:val="0"/>
                      <w:bCs w:val="0"/>
                      <w:color w:val="auto"/>
                      <w:sz w:val="21"/>
                      <w:szCs w:val="21"/>
                    </w:rPr>
                    <w:t>危废废物：</w:t>
                  </w:r>
                  <w:r>
                    <w:rPr>
                      <w:rFonts w:ascii="Times New Roman" w:hAnsi="Times New Roman"/>
                      <w:b w:val="0"/>
                      <w:bCs w:val="0"/>
                      <w:color w:val="auto"/>
                      <w:sz w:val="21"/>
                      <w:szCs w:val="21"/>
                    </w:rPr>
                    <w:t>在</w:t>
                  </w:r>
                  <w:r>
                    <w:rPr>
                      <w:rFonts w:hint="eastAsia" w:ascii="Times New Roman" w:hAnsi="Times New Roman"/>
                      <w:b w:val="0"/>
                      <w:bCs w:val="0"/>
                      <w:color w:val="auto"/>
                      <w:sz w:val="21"/>
                      <w:szCs w:val="21"/>
                      <w:lang w:eastAsia="zh-CN"/>
                    </w:rPr>
                    <w:t>成品仓库北侧设置</w:t>
                  </w:r>
                  <w:r>
                    <w:rPr>
                      <w:rFonts w:hint="eastAsia" w:ascii="Times New Roman" w:hAnsi="Times New Roman"/>
                      <w:b w:val="0"/>
                      <w:bCs w:val="0"/>
                      <w:color w:val="auto"/>
                      <w:sz w:val="21"/>
                      <w:szCs w:val="21"/>
                      <w:lang w:val="en-US" w:eastAsia="zh-CN"/>
                    </w:rPr>
                    <w:t>10</w:t>
                  </w:r>
                  <w:r>
                    <w:rPr>
                      <w:rFonts w:ascii="Times New Roman" w:hAnsi="Times New Roman"/>
                      <w:b w:val="0"/>
                      <w:bCs w:val="0"/>
                      <w:color w:val="auto"/>
                      <w:sz w:val="21"/>
                      <w:szCs w:val="21"/>
                    </w:rPr>
                    <w:t>m</w:t>
                  </w:r>
                  <w:r>
                    <w:rPr>
                      <w:rFonts w:ascii="Times New Roman" w:hAnsi="Times New Roman"/>
                      <w:b w:val="0"/>
                      <w:bCs w:val="0"/>
                      <w:color w:val="auto"/>
                      <w:sz w:val="21"/>
                      <w:szCs w:val="21"/>
                      <w:vertAlign w:val="superscript"/>
                    </w:rPr>
                    <w:t>2</w:t>
                  </w:r>
                  <w:r>
                    <w:rPr>
                      <w:rFonts w:ascii="Times New Roman" w:hAnsi="Times New Roman"/>
                      <w:b w:val="0"/>
                      <w:bCs w:val="0"/>
                      <w:color w:val="auto"/>
                      <w:sz w:val="21"/>
                      <w:szCs w:val="21"/>
                    </w:rPr>
                    <w:t>的危废</w:t>
                  </w:r>
                  <w:r>
                    <w:rPr>
                      <w:rFonts w:hint="eastAsia" w:ascii="Times New Roman" w:hAnsi="Times New Roman"/>
                      <w:b w:val="0"/>
                      <w:bCs w:val="0"/>
                      <w:color w:val="auto"/>
                      <w:sz w:val="21"/>
                      <w:szCs w:val="21"/>
                    </w:rPr>
                    <w:t>贮存库</w:t>
                  </w:r>
                  <w:r>
                    <w:rPr>
                      <w:rFonts w:ascii="Times New Roman" w:hAnsi="Times New Roman"/>
                      <w:b w:val="0"/>
                      <w:bCs w:val="0"/>
                      <w:color w:val="auto"/>
                      <w:sz w:val="21"/>
                      <w:szCs w:val="21"/>
                    </w:rPr>
                    <w:t>，暂存产生的危险固废，</w:t>
                  </w:r>
                  <w:r>
                    <w:rPr>
                      <w:rFonts w:hint="eastAsia" w:ascii="Times New Roman" w:hAnsi="Times New Roman"/>
                      <w:b w:val="0"/>
                      <w:bCs w:val="0"/>
                      <w:color w:val="auto"/>
                      <w:sz w:val="21"/>
                      <w:szCs w:val="21"/>
                      <w:lang w:eastAsia="zh-CN"/>
                    </w:rPr>
                    <w:t>交由</w:t>
                  </w:r>
                  <w:r>
                    <w:rPr>
                      <w:rFonts w:ascii="Times New Roman" w:hAnsi="Times New Roman"/>
                      <w:b w:val="0"/>
                      <w:bCs w:val="0"/>
                      <w:color w:val="auto"/>
                      <w:sz w:val="21"/>
                      <w:szCs w:val="21"/>
                    </w:rPr>
                    <w:t>资质单位进行处理</w:t>
                  </w:r>
                </w:p>
              </w:tc>
              <w:tc>
                <w:tcPr>
                  <w:tcW w:w="1213" w:type="dxa"/>
                  <w:vAlign w:val="center"/>
                </w:tcPr>
                <w:p>
                  <w:pPr>
                    <w:adjustRightInd w:val="0"/>
                    <w:snapToGrid w:val="0"/>
                    <w:jc w:val="center"/>
                    <w:rPr>
                      <w:rFonts w:hint="eastAsia"/>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0" w:type="dxa"/>
                  <w:vMerge w:val="continue"/>
                  <w:vAlign w:val="center"/>
                </w:tcPr>
                <w:p>
                  <w:pPr>
                    <w:adjustRightInd w:val="0"/>
                    <w:snapToGrid w:val="0"/>
                    <w:jc w:val="center"/>
                    <w:rPr>
                      <w:color w:val="auto"/>
                      <w:szCs w:val="21"/>
                    </w:rPr>
                  </w:pPr>
                </w:p>
              </w:tc>
              <w:tc>
                <w:tcPr>
                  <w:tcW w:w="1484" w:type="dxa"/>
                  <w:vMerge w:val="continue"/>
                  <w:vAlign w:val="center"/>
                </w:tcPr>
                <w:p>
                  <w:pPr>
                    <w:adjustRightInd w:val="0"/>
                    <w:snapToGrid w:val="0"/>
                    <w:jc w:val="center"/>
                    <w:rPr>
                      <w:color w:val="auto"/>
                      <w:szCs w:val="21"/>
                    </w:rPr>
                  </w:pPr>
                </w:p>
              </w:tc>
              <w:tc>
                <w:tcPr>
                  <w:tcW w:w="5350" w:type="dxa"/>
                  <w:vAlign w:val="center"/>
                </w:tcPr>
                <w:p>
                  <w:pPr>
                    <w:adjustRightInd w:val="0"/>
                    <w:snapToGrid w:val="0"/>
                    <w:jc w:val="center"/>
                    <w:rPr>
                      <w:rFonts w:hint="eastAsia"/>
                      <w:color w:val="auto"/>
                      <w:szCs w:val="21"/>
                    </w:rPr>
                  </w:pPr>
                  <w:r>
                    <w:rPr>
                      <w:rFonts w:hint="eastAsia"/>
                      <w:color w:val="auto"/>
                      <w:szCs w:val="21"/>
                    </w:rPr>
                    <w:t>生活垃圾设置垃圾桶进行分类收集</w:t>
                  </w:r>
                </w:p>
              </w:tc>
              <w:tc>
                <w:tcPr>
                  <w:tcW w:w="1213"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4" w:type="dxa"/>
                  <w:gridSpan w:val="2"/>
                  <w:vAlign w:val="center"/>
                </w:tcPr>
                <w:p>
                  <w:pPr>
                    <w:adjustRightInd w:val="0"/>
                    <w:snapToGrid w:val="0"/>
                    <w:jc w:val="center"/>
                    <w:rPr>
                      <w:color w:val="auto"/>
                      <w:szCs w:val="21"/>
                    </w:rPr>
                  </w:pPr>
                  <w:r>
                    <w:rPr>
                      <w:rFonts w:hint="eastAsia"/>
                      <w:color w:val="auto"/>
                      <w:szCs w:val="21"/>
                    </w:rPr>
                    <w:t>环境风险</w:t>
                  </w:r>
                </w:p>
              </w:tc>
              <w:tc>
                <w:tcPr>
                  <w:tcW w:w="5350" w:type="dxa"/>
                  <w:vAlign w:val="center"/>
                </w:tcPr>
                <w:p>
                  <w:pPr>
                    <w:adjustRightInd w:val="0"/>
                    <w:snapToGrid w:val="0"/>
                    <w:jc w:val="center"/>
                    <w:rPr>
                      <w:rFonts w:hint="eastAsia"/>
                      <w:color w:val="auto"/>
                      <w:szCs w:val="21"/>
                    </w:rPr>
                  </w:pPr>
                  <w:r>
                    <w:rPr>
                      <w:rFonts w:hint="eastAsia"/>
                      <w:bCs/>
                      <w:color w:val="auto"/>
                      <w:szCs w:val="21"/>
                    </w:rPr>
                    <w:t>设置灭火器等防火器材，加强员工风险意识</w:t>
                  </w:r>
                </w:p>
              </w:tc>
              <w:tc>
                <w:tcPr>
                  <w:tcW w:w="1213" w:type="dxa"/>
                  <w:vAlign w:val="center"/>
                </w:tcPr>
                <w:p>
                  <w:pPr>
                    <w:adjustRightInd w:val="0"/>
                    <w:snapToGrid w:val="0"/>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84" w:type="dxa"/>
                  <w:gridSpan w:val="3"/>
                  <w:vAlign w:val="center"/>
                </w:tcPr>
                <w:p>
                  <w:pPr>
                    <w:adjustRightInd w:val="0"/>
                    <w:snapToGrid w:val="0"/>
                    <w:jc w:val="center"/>
                    <w:rPr>
                      <w:color w:val="auto"/>
                      <w:szCs w:val="21"/>
                    </w:rPr>
                  </w:pPr>
                  <w:r>
                    <w:rPr>
                      <w:rFonts w:hint="eastAsia"/>
                      <w:color w:val="auto"/>
                      <w:szCs w:val="21"/>
                    </w:rPr>
                    <w:t>总计</w:t>
                  </w:r>
                </w:p>
              </w:tc>
              <w:tc>
                <w:tcPr>
                  <w:tcW w:w="1213"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19</w:t>
                  </w:r>
                </w:p>
              </w:tc>
            </w:tr>
          </w:tbl>
          <w:p>
            <w:pPr>
              <w:spacing w:line="360" w:lineRule="auto"/>
              <w:rPr>
                <w:rFonts w:hint="eastAsia"/>
                <w:b/>
                <w:bCs/>
                <w:color w:val="auto"/>
                <w:sz w:val="24"/>
              </w:rPr>
            </w:pPr>
          </w:p>
          <w:p>
            <w:pPr>
              <w:pStyle w:val="38"/>
              <w:ind w:firstLine="0"/>
              <w:rPr>
                <w:rFonts w:ascii="Times New Roman"/>
                <w:color w:val="auto"/>
                <w:sz w:val="24"/>
                <w:szCs w:val="24"/>
              </w:rPr>
            </w:pPr>
          </w:p>
        </w:tc>
      </w:tr>
    </w:tbl>
    <w:p>
      <w:pPr>
        <w:pStyle w:val="2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3" w:name="_Hlk54167917"/>
      <w:r>
        <w:rPr>
          <w:rFonts w:hint="eastAsia" w:ascii="黑体" w:hAnsi="黑体" w:eastAsia="黑体"/>
          <w:snapToGrid w:val="0"/>
          <w:color w:val="auto"/>
          <w:sz w:val="30"/>
          <w:szCs w:val="30"/>
        </w:rPr>
        <w:t>环境保护措施监督检查清单</w:t>
      </w:r>
      <w:bookmarkEnd w:id="3"/>
    </w:p>
    <w:tbl>
      <w:tblPr>
        <w:tblStyle w:val="27"/>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658"/>
        <w:gridCol w:w="885"/>
        <w:gridCol w:w="3795"/>
        <w:gridCol w:w="1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8" w:type="dxa"/>
            <w:tcBorders>
              <w:tl2br w:val="single" w:color="auto" w:sz="4" w:space="0"/>
            </w:tcBorders>
            <w:vAlign w:val="top"/>
          </w:tcPr>
          <w:p>
            <w:pPr>
              <w:adjustRightInd w:val="0"/>
              <w:snapToGrid w:val="0"/>
              <w:ind w:firstLine="630" w:firstLineChars="300"/>
              <w:rPr>
                <w:rFonts w:hint="eastAsia" w:ascii="宋体" w:hAnsi="宋体" w:cs="宋体"/>
                <w:color w:val="auto"/>
                <w:szCs w:val="21"/>
              </w:rPr>
            </w:pPr>
            <w:r>
              <w:rPr>
                <w:rFonts w:hint="eastAsia" w:ascii="宋体" w:hAnsi="宋体" w:cs="宋体"/>
                <w:color w:val="auto"/>
                <w:szCs w:val="21"/>
              </w:rPr>
              <w:t>内容</w:t>
            </w:r>
          </w:p>
          <w:p>
            <w:pPr>
              <w:adjustRightInd w:val="0"/>
              <w:snapToGrid w:val="0"/>
              <w:rPr>
                <w:rFonts w:hint="eastAsia" w:ascii="宋体" w:hAnsi="宋体" w:cs="宋体"/>
                <w:color w:val="auto"/>
                <w:szCs w:val="21"/>
              </w:rPr>
            </w:pPr>
            <w:r>
              <w:rPr>
                <w:rFonts w:hint="eastAsia" w:ascii="宋体" w:hAnsi="宋体" w:cs="宋体"/>
                <w:color w:val="auto"/>
                <w:szCs w:val="21"/>
              </w:rPr>
              <w:t>要素</w:t>
            </w:r>
          </w:p>
        </w:tc>
        <w:tc>
          <w:tcPr>
            <w:tcW w:w="165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排放口(编号、</w:t>
            </w:r>
          </w:p>
          <w:p>
            <w:pPr>
              <w:adjustRightInd w:val="0"/>
              <w:snapToGrid w:val="0"/>
              <w:jc w:val="center"/>
              <w:rPr>
                <w:rFonts w:hint="eastAsia" w:ascii="宋体" w:hAnsi="宋体" w:cs="宋体"/>
                <w:color w:val="auto"/>
                <w:szCs w:val="21"/>
              </w:rPr>
            </w:pPr>
            <w:r>
              <w:rPr>
                <w:rFonts w:hint="eastAsia" w:ascii="宋体" w:hAnsi="宋体" w:cs="宋体"/>
                <w:color w:val="auto"/>
                <w:szCs w:val="21"/>
              </w:rPr>
              <w:t>名称)/污染源</w:t>
            </w:r>
          </w:p>
        </w:tc>
        <w:tc>
          <w:tcPr>
            <w:tcW w:w="88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污染物项目</w:t>
            </w:r>
          </w:p>
        </w:tc>
        <w:tc>
          <w:tcPr>
            <w:tcW w:w="379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环境保护措施</w:t>
            </w:r>
          </w:p>
        </w:tc>
        <w:tc>
          <w:tcPr>
            <w:tcW w:w="11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1288" w:type="dxa"/>
            <w:vMerge w:val="restart"/>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大气环境</w:t>
            </w: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卸粮粉尘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rPr>
            </w:pPr>
            <w:r>
              <w:rPr>
                <w:rFonts w:hint="eastAsia"/>
                <w:color w:val="auto"/>
                <w:sz w:val="21"/>
                <w:szCs w:val="21"/>
                <w:highlight w:val="none"/>
              </w:rPr>
              <w:t>卸粮时车间封闭、苫布遮盖、降低卸粮高度、定期清扫</w:t>
            </w:r>
          </w:p>
        </w:tc>
        <w:tc>
          <w:tcPr>
            <w:tcW w:w="1174" w:type="dxa"/>
            <w:vMerge w:val="restart"/>
            <w:vAlign w:val="center"/>
          </w:tcPr>
          <w:p>
            <w:pPr>
              <w:jc w:val="center"/>
              <w:rPr>
                <w:rFonts w:hint="eastAsia" w:ascii="宋体" w:hAnsi="宋体" w:cs="宋体"/>
                <w:color w:val="auto"/>
                <w:szCs w:val="21"/>
              </w:rPr>
            </w:pPr>
            <w:r>
              <w:rPr>
                <w:rFonts w:hint="default" w:ascii="Times New Roman" w:hAnsi="Times New Roman" w:cs="Times New Roman"/>
                <w:color w:val="auto"/>
                <w:szCs w:val="21"/>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转运和运输粉尘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rPr>
            </w:pPr>
            <w:r>
              <w:rPr>
                <w:rFonts w:hint="eastAsia"/>
                <w:color w:val="auto"/>
                <w:sz w:val="21"/>
                <w:szCs w:val="21"/>
                <w:lang w:eastAsia="zh-CN"/>
              </w:rPr>
              <w:t>采取在传送带加罩的方式加强密闭性</w:t>
            </w:r>
          </w:p>
        </w:tc>
        <w:tc>
          <w:tcPr>
            <w:tcW w:w="1174" w:type="dxa"/>
            <w:vMerge w:val="continue"/>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清选粉尘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lang w:eastAsia="zh-CN"/>
              </w:rPr>
            </w:pPr>
            <w:r>
              <w:rPr>
                <w:rFonts w:hint="eastAsia"/>
                <w:color w:val="auto"/>
                <w:sz w:val="21"/>
                <w:szCs w:val="21"/>
                <w:lang w:eastAsia="zh-CN"/>
              </w:rPr>
              <w:t>设备密闭</w:t>
            </w:r>
            <w:r>
              <w:rPr>
                <w:rFonts w:hint="eastAsia"/>
                <w:color w:val="auto"/>
                <w:sz w:val="21"/>
                <w:szCs w:val="21"/>
                <w:lang w:val="en-US" w:eastAsia="zh-CN"/>
              </w:rPr>
              <w:t>+自带旋风除尘器+1根15m高排气筒（DA001）</w:t>
            </w:r>
          </w:p>
        </w:tc>
        <w:tc>
          <w:tcPr>
            <w:tcW w:w="1174" w:type="dxa"/>
            <w:vMerge w:val="continue"/>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烘干粉尘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color w:val="auto"/>
                <w:sz w:val="21"/>
                <w:szCs w:val="21"/>
                <w:lang w:eastAsia="zh-CN"/>
              </w:rPr>
            </w:pPr>
            <w:r>
              <w:rPr>
                <w:rFonts w:hint="eastAsia"/>
                <w:color w:val="auto"/>
                <w:sz w:val="21"/>
                <w:szCs w:val="21"/>
                <w:lang w:eastAsia="zh-CN"/>
              </w:rPr>
              <w:t>烘干机机身设置内外腔，内腔的侧壁上开设有连通内腔与外腔的排潮口，</w:t>
            </w:r>
          </w:p>
          <w:p>
            <w:pPr>
              <w:jc w:val="center"/>
              <w:rPr>
                <w:rFonts w:hint="eastAsia" w:ascii="Times New Roman" w:hAnsi="Times New Roman"/>
                <w:b w:val="0"/>
                <w:bCs/>
                <w:color w:val="auto"/>
                <w:sz w:val="21"/>
                <w:szCs w:val="21"/>
                <w:lang w:eastAsia="zh-CN"/>
              </w:rPr>
            </w:pPr>
            <w:r>
              <w:rPr>
                <w:rFonts w:hint="eastAsia"/>
                <w:color w:val="auto"/>
                <w:sz w:val="21"/>
                <w:szCs w:val="21"/>
                <w:lang w:eastAsia="zh-CN"/>
              </w:rPr>
              <w:t>在外腔的侧壁上开设有排潮口，排潮口四周设置防尘罩</w:t>
            </w:r>
          </w:p>
        </w:tc>
        <w:tc>
          <w:tcPr>
            <w:tcW w:w="1174" w:type="dxa"/>
            <w:vMerge w:val="continue"/>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color w:val="auto"/>
                <w:szCs w:val="21"/>
              </w:rPr>
            </w:pPr>
            <w:r>
              <w:rPr>
                <w:rFonts w:hint="eastAsia"/>
                <w:color w:val="auto"/>
                <w:szCs w:val="21"/>
                <w:lang w:eastAsia="zh-CN"/>
              </w:rPr>
              <w:t>生物质热风炉燃烧废气</w:t>
            </w:r>
          </w:p>
        </w:tc>
        <w:tc>
          <w:tcPr>
            <w:tcW w:w="885" w:type="dxa"/>
            <w:vAlign w:val="center"/>
          </w:tcPr>
          <w:p>
            <w:pPr>
              <w:jc w:val="center"/>
              <w:rPr>
                <w:rFonts w:hint="eastAsia" w:eastAsia="宋体"/>
                <w:color w:val="auto"/>
                <w:szCs w:val="21"/>
                <w:lang w:eastAsia="zh-CN"/>
              </w:rPr>
            </w:pPr>
            <w:r>
              <w:rPr>
                <w:rFonts w:hint="eastAsia"/>
                <w:color w:val="auto"/>
                <w:szCs w:val="21"/>
                <w:lang w:eastAsia="zh-CN"/>
              </w:rPr>
              <w:t>颗粒物、二氧化硫、氮氧化物</w:t>
            </w:r>
          </w:p>
        </w:tc>
        <w:tc>
          <w:tcPr>
            <w:tcW w:w="3795" w:type="dxa"/>
            <w:vAlign w:val="center"/>
          </w:tcPr>
          <w:p>
            <w:pPr>
              <w:jc w:val="center"/>
              <w:rPr>
                <w:rFonts w:hint="eastAsia" w:eastAsia="宋体"/>
                <w:color w:val="auto"/>
                <w:szCs w:val="21"/>
                <w:lang w:eastAsia="zh-CN"/>
              </w:rPr>
            </w:pPr>
            <w:r>
              <w:rPr>
                <w:rFonts w:hint="eastAsia"/>
                <w:color w:val="auto"/>
                <w:kern w:val="0"/>
                <w:lang w:eastAsia="zh-CN"/>
              </w:rPr>
              <w:t>管道收集</w:t>
            </w:r>
            <w:r>
              <w:rPr>
                <w:rFonts w:hint="eastAsia"/>
                <w:color w:val="auto"/>
                <w:kern w:val="0"/>
                <w:lang w:val="en-US" w:eastAsia="zh-CN"/>
              </w:rPr>
              <w:t>+旋风除尘器+袋式除尘器+1根15m高排气筒（DA002）</w:t>
            </w:r>
          </w:p>
        </w:tc>
        <w:tc>
          <w:tcPr>
            <w:tcW w:w="1174" w:type="dxa"/>
            <w:vAlign w:val="center"/>
          </w:tcPr>
          <w:p>
            <w:pPr>
              <w:jc w:val="center"/>
              <w:rPr>
                <w:color w:val="auto"/>
                <w:szCs w:val="21"/>
              </w:rPr>
            </w:pPr>
            <w:r>
              <w:rPr>
                <w:rFonts w:hint="eastAsia"/>
                <w:color w:val="auto"/>
                <w:szCs w:val="21"/>
              </w:rPr>
              <w:t>《工业窑炉大气污染综合治理方案》（环大气</w:t>
            </w:r>
            <w:r>
              <w:rPr>
                <w:rFonts w:hint="eastAsia"/>
                <w:color w:val="auto"/>
                <w:szCs w:val="21"/>
                <w:lang w:eastAsia="zh-CN"/>
              </w:rPr>
              <w:t>〔2019〕56号</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地表水环境</w:t>
            </w:r>
          </w:p>
        </w:tc>
        <w:tc>
          <w:tcPr>
            <w:tcW w:w="1658" w:type="dxa"/>
            <w:vAlign w:val="center"/>
          </w:tcPr>
          <w:p>
            <w:pPr>
              <w:adjustRightInd w:val="0"/>
              <w:snapToGrid w:val="0"/>
              <w:ind w:firstLine="210" w:firstLineChars="100"/>
              <w:jc w:val="both"/>
              <w:rPr>
                <w:rFonts w:hint="eastAsia" w:ascii="宋体" w:hAnsi="宋体" w:cs="宋体"/>
                <w:color w:val="auto"/>
                <w:szCs w:val="21"/>
              </w:rPr>
            </w:pPr>
            <w:r>
              <w:rPr>
                <w:rFonts w:hint="eastAsia" w:ascii="宋体" w:hAnsi="宋体" w:cs="宋体"/>
                <w:color w:val="auto"/>
                <w:szCs w:val="21"/>
              </w:rPr>
              <w:t>生活污水</w:t>
            </w:r>
          </w:p>
        </w:tc>
        <w:tc>
          <w:tcPr>
            <w:tcW w:w="885" w:type="dxa"/>
            <w:vAlign w:val="center"/>
          </w:tcPr>
          <w:p>
            <w:pPr>
              <w:widowControl/>
              <w:textAlignment w:val="center"/>
              <w:rPr>
                <w:rFonts w:hint="eastAsia"/>
                <w:b/>
                <w:color w:val="auto"/>
                <w:szCs w:val="21"/>
              </w:rPr>
            </w:pPr>
            <w:r>
              <w:rPr>
                <w:color w:val="auto"/>
                <w:kern w:val="0"/>
                <w:szCs w:val="21"/>
                <w:lang w:bidi="ar"/>
              </w:rPr>
              <w:t>COD</w:t>
            </w:r>
            <w:r>
              <w:rPr>
                <w:rFonts w:hint="eastAsia"/>
                <w:color w:val="auto"/>
                <w:kern w:val="0"/>
                <w:szCs w:val="21"/>
                <w:lang w:bidi="ar"/>
              </w:rPr>
              <w:t>、</w:t>
            </w:r>
            <w:r>
              <w:rPr>
                <w:color w:val="auto"/>
                <w:kern w:val="0"/>
                <w:szCs w:val="21"/>
                <w:lang w:bidi="ar"/>
              </w:rPr>
              <w:t>BOD</w:t>
            </w:r>
            <w:r>
              <w:rPr>
                <w:color w:val="auto"/>
                <w:kern w:val="0"/>
                <w:szCs w:val="21"/>
                <w:vertAlign w:val="subscript"/>
                <w:lang w:bidi="ar"/>
              </w:rPr>
              <w:t>5</w:t>
            </w:r>
            <w:r>
              <w:rPr>
                <w:rFonts w:hint="eastAsia"/>
                <w:color w:val="auto"/>
                <w:kern w:val="0"/>
                <w:szCs w:val="21"/>
                <w:lang w:bidi="ar"/>
              </w:rPr>
              <w:t>、</w:t>
            </w:r>
            <w:r>
              <w:rPr>
                <w:color w:val="auto"/>
                <w:kern w:val="0"/>
                <w:szCs w:val="21"/>
                <w:lang w:bidi="ar"/>
              </w:rPr>
              <w:t>SS</w:t>
            </w:r>
            <w:r>
              <w:rPr>
                <w:rFonts w:hint="eastAsia"/>
                <w:color w:val="auto"/>
                <w:kern w:val="0"/>
                <w:szCs w:val="21"/>
                <w:lang w:bidi="ar"/>
              </w:rPr>
              <w:t>、</w:t>
            </w: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795" w:type="dxa"/>
            <w:vAlign w:val="center"/>
          </w:tcPr>
          <w:p>
            <w:pPr>
              <w:jc w:val="center"/>
              <w:rPr>
                <w:rFonts w:hint="eastAsia" w:ascii="宋体" w:hAnsi="宋体" w:eastAsia="宋体" w:cs="宋体"/>
                <w:color w:val="auto"/>
                <w:szCs w:val="21"/>
                <w:lang w:eastAsia="zh-CN"/>
              </w:rPr>
            </w:pPr>
            <w:r>
              <w:rPr>
                <w:rFonts w:hint="eastAsia"/>
                <w:color w:val="auto"/>
                <w:szCs w:val="21"/>
              </w:rPr>
              <w:t>雨污分流管网、化粪池</w:t>
            </w:r>
            <w:r>
              <w:rPr>
                <w:rFonts w:hint="eastAsia"/>
                <w:color w:val="auto"/>
                <w:szCs w:val="21"/>
                <w:lang w:eastAsia="zh-CN"/>
              </w:rPr>
              <w:t>、</w:t>
            </w:r>
            <w:r>
              <w:rPr>
                <w:rFonts w:hint="eastAsia"/>
                <w:color w:val="auto"/>
                <w:sz w:val="21"/>
                <w:szCs w:val="21"/>
                <w:lang w:eastAsia="zh-CN"/>
              </w:rPr>
              <w:t>一体化污水处理设施（处理工艺：生物接触氧化+二沉池+石英砂过滤+次氯酸钠消毒，处理能力</w:t>
            </w:r>
            <w:r>
              <w:rPr>
                <w:rFonts w:hint="eastAsia"/>
                <w:color w:val="auto"/>
                <w:sz w:val="21"/>
                <w:szCs w:val="21"/>
                <w:lang w:val="en-US" w:eastAsia="zh-CN"/>
              </w:rPr>
              <w:t>1t/d</w:t>
            </w:r>
            <w:r>
              <w:rPr>
                <w:rFonts w:hint="eastAsia"/>
                <w:color w:val="auto"/>
                <w:sz w:val="21"/>
                <w:szCs w:val="21"/>
                <w:lang w:eastAsia="zh-CN"/>
              </w:rPr>
              <w:t>）</w:t>
            </w:r>
          </w:p>
        </w:tc>
        <w:tc>
          <w:tcPr>
            <w:tcW w:w="1174" w:type="dxa"/>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eastAsia="zh-CN"/>
              </w:rPr>
              <w:t>回用于厂区抑尘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658"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设备运行</w:t>
            </w:r>
          </w:p>
        </w:tc>
        <w:tc>
          <w:tcPr>
            <w:tcW w:w="88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机械噪声</w:t>
            </w:r>
          </w:p>
        </w:tc>
        <w:tc>
          <w:tcPr>
            <w:tcW w:w="3795" w:type="dxa"/>
            <w:vAlign w:val="center"/>
          </w:tcPr>
          <w:p>
            <w:pPr>
              <w:adjustRightInd w:val="0"/>
              <w:snapToGrid w:val="0"/>
              <w:jc w:val="center"/>
              <w:rPr>
                <w:rFonts w:hint="eastAsia" w:ascii="宋体" w:hAnsi="宋体" w:eastAsia="宋体" w:cs="宋体"/>
                <w:color w:val="auto"/>
                <w:szCs w:val="21"/>
                <w:lang w:eastAsia="zh-CN"/>
              </w:rPr>
            </w:pPr>
            <w:r>
              <w:rPr>
                <w:color w:val="auto"/>
                <w:szCs w:val="21"/>
                <w:highlight w:val="none"/>
              </w:rPr>
              <w:t>选取低噪声设备，厂房隔声，基础减</w:t>
            </w:r>
            <w:r>
              <w:rPr>
                <w:rFonts w:hint="eastAsia"/>
                <w:color w:val="auto"/>
                <w:szCs w:val="21"/>
                <w:highlight w:val="none"/>
              </w:rPr>
              <w:t>振</w:t>
            </w:r>
            <w:r>
              <w:rPr>
                <w:rFonts w:hint="eastAsia"/>
                <w:color w:val="auto"/>
                <w:szCs w:val="21"/>
                <w:highlight w:val="none"/>
                <w:lang w:eastAsia="zh-CN"/>
              </w:rPr>
              <w:t>，</w:t>
            </w:r>
            <w:r>
              <w:rPr>
                <w:rFonts w:hint="eastAsia"/>
                <w:color w:val="auto"/>
                <w:szCs w:val="21"/>
                <w:lang w:eastAsia="zh-CN"/>
              </w:rPr>
              <w:t>加装轻量化隔声罩</w:t>
            </w:r>
          </w:p>
        </w:tc>
        <w:tc>
          <w:tcPr>
            <w:tcW w:w="11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《工业企业厂界环境噪</w:t>
            </w:r>
            <w:r>
              <w:rPr>
                <w:color w:val="auto"/>
                <w:szCs w:val="21"/>
              </w:rPr>
              <w:t>声排放标准》（GB12348-2008）标准中</w:t>
            </w:r>
            <w:r>
              <w:rPr>
                <w:rFonts w:hint="eastAsia"/>
                <w:color w:val="auto"/>
                <w:szCs w:val="21"/>
                <w:lang w:val="en-US" w:eastAsia="zh-CN"/>
              </w:rPr>
              <w:t>2</w:t>
            </w:r>
            <w:r>
              <w:rPr>
                <w:color w:val="auto"/>
                <w:szCs w:val="21"/>
              </w:rPr>
              <w:t>类标准</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165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88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379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11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59"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固体废物</w:t>
            </w:r>
          </w:p>
        </w:tc>
        <w:tc>
          <w:tcPr>
            <w:tcW w:w="7512" w:type="dxa"/>
            <w:gridSpan w:val="4"/>
            <w:vAlign w:val="center"/>
          </w:tcPr>
          <w:p>
            <w:pPr>
              <w:adjustRightInd w:val="0"/>
              <w:snapToGrid w:val="0"/>
              <w:jc w:val="center"/>
              <w:rPr>
                <w:color w:val="auto"/>
              </w:rPr>
            </w:pPr>
          </w:p>
          <w:p>
            <w:pPr>
              <w:adjustRightInd w:val="0"/>
              <w:snapToGrid w:val="0"/>
              <w:jc w:val="center"/>
              <w:rPr>
                <w:color w:val="auto"/>
              </w:rPr>
            </w:pPr>
            <w:r>
              <w:rPr>
                <w:color w:val="auto"/>
              </w:rPr>
              <w:t>一</w:t>
            </w:r>
            <w:r>
              <w:rPr>
                <w:color w:val="auto"/>
                <w:szCs w:val="21"/>
              </w:rPr>
              <w:t>般固废：</w:t>
            </w:r>
            <w:r>
              <w:rPr>
                <w:rFonts w:hint="eastAsia"/>
                <w:color w:val="auto"/>
              </w:rPr>
              <w:t>在</w:t>
            </w:r>
            <w:r>
              <w:rPr>
                <w:rFonts w:hint="eastAsia"/>
                <w:color w:val="auto"/>
                <w:lang w:eastAsia="zh-CN"/>
              </w:rPr>
              <w:t>厂区中部</w:t>
            </w:r>
            <w:r>
              <w:rPr>
                <w:rFonts w:hint="eastAsia"/>
                <w:color w:val="auto"/>
              </w:rPr>
              <w:t>设置</w:t>
            </w:r>
            <w:r>
              <w:rPr>
                <w:rFonts w:hint="eastAsia"/>
                <w:color w:val="auto"/>
                <w:lang w:eastAsia="zh-CN"/>
              </w:rPr>
              <w:t>一般</w:t>
            </w:r>
            <w:r>
              <w:rPr>
                <w:rFonts w:hint="eastAsia"/>
                <w:color w:val="auto"/>
              </w:rPr>
              <w:t>固废暂存区，面积约30m</w:t>
            </w:r>
            <w:r>
              <w:rPr>
                <w:rFonts w:hint="eastAsia"/>
                <w:color w:val="auto"/>
                <w:vertAlign w:val="superscript"/>
              </w:rPr>
              <w:t>2</w:t>
            </w:r>
            <w:r>
              <w:rPr>
                <w:rFonts w:hint="eastAsia"/>
                <w:color w:val="auto"/>
              </w:rPr>
              <w:t>，暂存一般固废，进行综合利用，</w:t>
            </w:r>
            <w:r>
              <w:rPr>
                <w:color w:val="auto"/>
                <w:szCs w:val="21"/>
              </w:rPr>
              <w:t>不产生二次污染，满足《</w:t>
            </w:r>
            <w:r>
              <w:rPr>
                <w:rFonts w:hint="eastAsia"/>
                <w:color w:val="auto"/>
                <w:szCs w:val="21"/>
              </w:rPr>
              <w:t>一般工业固体废物贮存和填埋污染控制标准</w:t>
            </w:r>
            <w:r>
              <w:rPr>
                <w:color w:val="auto"/>
                <w:szCs w:val="21"/>
              </w:rPr>
              <w:t>》（</w:t>
            </w:r>
            <w:r>
              <w:rPr>
                <w:rFonts w:hint="eastAsia"/>
                <w:color w:val="auto"/>
                <w:szCs w:val="21"/>
              </w:rPr>
              <w:t>GB 18599-2020</w:t>
            </w:r>
            <w:r>
              <w:rPr>
                <w:color w:val="auto"/>
                <w:szCs w:val="21"/>
              </w:rPr>
              <w:t>）要求</w:t>
            </w:r>
            <w:r>
              <w:rPr>
                <w:rFonts w:hint="eastAsia"/>
                <w:color w:val="auto"/>
                <w:szCs w:val="21"/>
              </w:rPr>
              <w:t>；</w:t>
            </w:r>
            <w:r>
              <w:rPr>
                <w:rFonts w:ascii="Times New Roman" w:hAnsi="Times New Roman"/>
                <w:b w:val="0"/>
                <w:bCs w:val="0"/>
                <w:color w:val="auto"/>
                <w:sz w:val="21"/>
                <w:szCs w:val="21"/>
              </w:rPr>
              <w:t>在</w:t>
            </w:r>
            <w:r>
              <w:rPr>
                <w:rFonts w:hint="eastAsia"/>
                <w:b w:val="0"/>
                <w:bCs w:val="0"/>
                <w:color w:val="auto"/>
                <w:sz w:val="21"/>
                <w:szCs w:val="21"/>
                <w:lang w:eastAsia="zh-CN"/>
              </w:rPr>
              <w:t>成品仓库北侧</w:t>
            </w:r>
            <w:r>
              <w:rPr>
                <w:rFonts w:hint="eastAsia" w:ascii="Times New Roman" w:hAnsi="Times New Roman"/>
                <w:b w:val="0"/>
                <w:bCs w:val="0"/>
                <w:color w:val="auto"/>
                <w:sz w:val="21"/>
                <w:szCs w:val="21"/>
                <w:lang w:eastAsia="zh-CN"/>
              </w:rPr>
              <w:t>设置</w:t>
            </w:r>
            <w:r>
              <w:rPr>
                <w:rFonts w:hint="eastAsia"/>
                <w:b w:val="0"/>
                <w:bCs w:val="0"/>
                <w:color w:val="auto"/>
                <w:sz w:val="21"/>
                <w:szCs w:val="21"/>
                <w:lang w:val="en-US" w:eastAsia="zh-CN"/>
              </w:rPr>
              <w:t>10</w:t>
            </w:r>
            <w:r>
              <w:rPr>
                <w:rFonts w:ascii="Times New Roman" w:hAnsi="Times New Roman"/>
                <w:b w:val="0"/>
                <w:bCs w:val="0"/>
                <w:color w:val="auto"/>
                <w:sz w:val="21"/>
                <w:szCs w:val="21"/>
              </w:rPr>
              <w:t>m</w:t>
            </w:r>
            <w:r>
              <w:rPr>
                <w:rFonts w:ascii="Times New Roman" w:hAnsi="Times New Roman"/>
                <w:b w:val="0"/>
                <w:bCs w:val="0"/>
                <w:color w:val="auto"/>
                <w:sz w:val="21"/>
                <w:szCs w:val="21"/>
                <w:vertAlign w:val="superscript"/>
              </w:rPr>
              <w:t>2</w:t>
            </w:r>
            <w:r>
              <w:rPr>
                <w:rFonts w:ascii="Times New Roman" w:hAnsi="Times New Roman"/>
                <w:b w:val="0"/>
                <w:bCs w:val="0"/>
                <w:color w:val="auto"/>
                <w:sz w:val="21"/>
                <w:szCs w:val="21"/>
              </w:rPr>
              <w:t>的危废</w:t>
            </w:r>
            <w:r>
              <w:rPr>
                <w:rFonts w:hint="eastAsia" w:ascii="Times New Roman" w:hAnsi="Times New Roman"/>
                <w:b w:val="0"/>
                <w:bCs w:val="0"/>
                <w:color w:val="auto"/>
                <w:sz w:val="21"/>
                <w:szCs w:val="21"/>
              </w:rPr>
              <w:t>贮存库</w:t>
            </w:r>
            <w:r>
              <w:rPr>
                <w:rFonts w:hint="eastAsia" w:ascii="Times New Roman" w:hAnsi="Times New Roman"/>
                <w:b w:val="0"/>
                <w:bCs w:val="0"/>
                <w:color w:val="auto"/>
                <w:sz w:val="21"/>
                <w:szCs w:val="21"/>
                <w:lang w:eastAsia="zh-CN"/>
              </w:rPr>
              <w:t>，</w:t>
            </w:r>
            <w:r>
              <w:rPr>
                <w:rFonts w:hint="eastAsia"/>
                <w:color w:val="auto"/>
                <w:szCs w:val="21"/>
              </w:rPr>
              <w:t>危险废物暂存执行《危险废物贮存污染控制标准》（GB18597-2023）。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土壤及地下水污染防治措施</w:t>
            </w:r>
          </w:p>
        </w:tc>
        <w:tc>
          <w:tcPr>
            <w:tcW w:w="7512" w:type="dxa"/>
            <w:gridSpan w:val="4"/>
            <w:vAlign w:val="center"/>
          </w:tcPr>
          <w:p>
            <w:pPr>
              <w:adjustRightInd w:val="0"/>
              <w:snapToGrid w:val="0"/>
              <w:ind w:firstLine="420" w:firstLineChars="200"/>
              <w:rPr>
                <w:b w:val="0"/>
                <w:bCs w:val="0"/>
                <w:color w:val="auto"/>
                <w:szCs w:val="21"/>
              </w:rPr>
            </w:pPr>
            <w:r>
              <w:rPr>
                <w:b w:val="0"/>
                <w:bCs w:val="0"/>
                <w:color w:val="auto"/>
                <w:szCs w:val="21"/>
              </w:rPr>
              <w:t>分区防渗。</w:t>
            </w:r>
          </w:p>
          <w:p>
            <w:pPr>
              <w:pStyle w:val="30"/>
              <w:spacing w:line="240" w:lineRule="auto"/>
              <w:ind w:firstLine="420" w:firstLineChars="200"/>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简单</w:t>
            </w:r>
            <w:r>
              <w:rPr>
                <w:rFonts w:ascii="Times New Roman" w:hAnsi="Times New Roman"/>
                <w:b w:val="0"/>
                <w:bCs w:val="0"/>
                <w:color w:val="auto"/>
                <w:sz w:val="21"/>
                <w:szCs w:val="21"/>
              </w:rPr>
              <w:t>防渗区：</w:t>
            </w:r>
            <w:r>
              <w:rPr>
                <w:rFonts w:hint="eastAsia" w:ascii="Times New Roman" w:hAnsi="Times New Roman"/>
                <w:b w:val="0"/>
                <w:bCs w:val="0"/>
                <w:color w:val="auto"/>
                <w:sz w:val="21"/>
                <w:szCs w:val="21"/>
              </w:rPr>
              <w:t>厂区其他区域</w:t>
            </w:r>
          </w:p>
          <w:p>
            <w:pPr>
              <w:pStyle w:val="30"/>
              <w:spacing w:line="240" w:lineRule="auto"/>
              <w:ind w:firstLine="420" w:firstLineChars="200"/>
              <w:rPr>
                <w:b/>
                <w:color w:val="auto"/>
              </w:rPr>
            </w:pPr>
            <w:r>
              <w:rPr>
                <w:rFonts w:ascii="Times New Roman" w:hAnsi="Times New Roman"/>
                <w:b w:val="0"/>
                <w:bCs w:val="0"/>
                <w:color w:val="auto"/>
                <w:sz w:val="21"/>
                <w:szCs w:val="21"/>
              </w:rPr>
              <w:t>重点防渗区：</w:t>
            </w:r>
            <w:r>
              <w:rPr>
                <w:rFonts w:hint="eastAsia" w:ascii="Times New Roman" w:hAnsi="Times New Roman"/>
                <w:b w:val="0"/>
                <w:bCs w:val="0"/>
                <w:color w:val="auto"/>
                <w:sz w:val="21"/>
                <w:szCs w:val="21"/>
              </w:rPr>
              <w:t>危险贮存库，</w:t>
            </w:r>
            <w:r>
              <w:rPr>
                <w:rFonts w:ascii="Times New Roman" w:hAnsi="Times New Roman"/>
                <w:b w:val="0"/>
                <w:bCs w:val="0"/>
                <w:color w:val="auto"/>
                <w:kern w:val="0"/>
                <w:sz w:val="21"/>
                <w:szCs w:val="21"/>
              </w:rPr>
              <w:t>等效黏土防渗层 Mb≥6.0m、渗透系数K≤1.0×10</w:t>
            </w:r>
            <w:r>
              <w:rPr>
                <w:rFonts w:ascii="Times New Roman" w:hAnsi="Times New Roman"/>
                <w:b w:val="0"/>
                <w:bCs w:val="0"/>
                <w:color w:val="auto"/>
                <w:kern w:val="0"/>
                <w:sz w:val="21"/>
                <w:szCs w:val="21"/>
                <w:vertAlign w:val="superscript"/>
              </w:rPr>
              <w:t>-7</w:t>
            </w:r>
            <w:r>
              <w:rPr>
                <w:rFonts w:ascii="Times New Roman" w:hAnsi="Times New Roman"/>
                <w:b w:val="0"/>
                <w:bCs w:val="0"/>
                <w:color w:val="auto"/>
                <w:kern w:val="0"/>
                <w:sz w:val="21"/>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512" w:type="dxa"/>
            <w:gridSpan w:val="4"/>
            <w:vAlign w:val="center"/>
          </w:tcPr>
          <w:p>
            <w:pPr>
              <w:adjustRightInd w:val="0"/>
              <w:snapToGrid w:val="0"/>
              <w:jc w:val="center"/>
              <w:rPr>
                <w:rFonts w:hint="eastAsia"/>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288" w:type="dxa"/>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512" w:type="dxa"/>
            <w:gridSpan w:val="4"/>
            <w:vAlign w:val="center"/>
          </w:tcPr>
          <w:p>
            <w:pPr>
              <w:adjustRightInd w:val="0"/>
              <w:snapToGrid w:val="0"/>
              <w:ind w:firstLine="420" w:firstLineChars="200"/>
              <w:rPr>
                <w:rFonts w:hint="eastAsia"/>
                <w:color w:val="auto"/>
              </w:rPr>
            </w:pPr>
            <w:r>
              <w:rPr>
                <w:rFonts w:hint="eastAsia"/>
                <w:bCs/>
                <w:color w:val="auto"/>
                <w:szCs w:val="21"/>
              </w:rPr>
              <w:t>设置灭火器等防火器材，加强员工风险意识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288" w:type="dxa"/>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512" w:type="dxa"/>
            <w:gridSpan w:val="4"/>
            <w:vAlign w:val="center"/>
          </w:tcPr>
          <w:p>
            <w:pPr>
              <w:adjustRightInd w:val="0"/>
              <w:snapToGrid w:val="0"/>
              <w:ind w:firstLine="420" w:firstLineChars="200"/>
              <w:jc w:val="center"/>
              <w:rPr>
                <w:rFonts w:hint="eastAsia"/>
                <w:color w:val="auto"/>
              </w:rPr>
            </w:pPr>
            <w:r>
              <w:rPr>
                <w:rFonts w:hint="eastAsia"/>
                <w:color w:val="auto"/>
                <w:szCs w:val="21"/>
              </w:rPr>
              <w:t>/</w:t>
            </w:r>
          </w:p>
        </w:tc>
      </w:tr>
    </w:tbl>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hint="eastAsia" w:ascii="黑体" w:hAnsi="黑体" w:eastAsia="黑体"/>
          <w:snapToGrid w:val="0"/>
          <w:color w:val="auto"/>
          <w:sz w:val="30"/>
          <w:szCs w:val="30"/>
        </w:rPr>
      </w:pPr>
    </w:p>
    <w:p>
      <w:pPr>
        <w:pStyle w:val="2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27"/>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top"/>
          </w:tcPr>
          <w:p>
            <w:pPr>
              <w:pStyle w:val="6"/>
              <w:spacing w:before="0" w:after="0" w:line="360" w:lineRule="auto"/>
              <w:ind w:right="0" w:firstLine="480" w:firstLineChars="200"/>
              <w:rPr>
                <w:color w:val="auto"/>
              </w:rPr>
            </w:pPr>
            <w:r>
              <w:rPr>
                <w:rFonts w:hint="eastAsia" w:ascii="宋体" w:cs="宋体"/>
                <w:color w:val="auto"/>
                <w:sz w:val="24"/>
              </w:rPr>
              <w:t>综上所述，项目建设符合国家和地方相关产业政策，选址符合“三线一单”，所采取的污染治理技术可行，可确保污染物稳定达标排放，处理达标后排放的污染物对周围环境影响较小，不会改变当地环境功能区划，项目的环境风险较小且可接受，在落实本报告表提出的各项污染物防治措施，严格执行“三同时”制度的情况下，从环保角度考虑，本项目建设可行。</w:t>
            </w:r>
          </w:p>
        </w:tc>
      </w:tr>
    </w:tbl>
    <w:p>
      <w:pPr>
        <w:adjustRightInd w:val="0"/>
        <w:snapToGrid w:val="0"/>
        <w:spacing w:line="360" w:lineRule="auto"/>
        <w:rPr>
          <w:rFonts w:hint="eastAsia" w:ascii="宋体" w:cs="宋体"/>
          <w:b/>
          <w:color w:val="auto"/>
          <w:kern w:val="0"/>
          <w:sz w:val="28"/>
          <w:szCs w:val="28"/>
        </w:rPr>
        <w:sectPr>
          <w:pgSz w:w="11905" w:h="16838"/>
          <w:pgMar w:top="1701" w:right="1531" w:bottom="2126" w:left="1531" w:header="851" w:footer="850" w:gutter="0"/>
          <w:cols w:space="720" w:num="1"/>
          <w:docGrid w:linePitch="312" w:charSpace="0"/>
        </w:sectPr>
      </w:pPr>
    </w:p>
    <w:p>
      <w:pPr>
        <w:pStyle w:val="22"/>
        <w:adjustRightInd w:val="0"/>
        <w:snapToGrid w:val="0"/>
        <w:spacing w:before="0" w:beforeAutospacing="0" w:after="0" w:afterAutospacing="0" w:line="360"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2"/>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7"/>
        <w:tblW w:w="130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548"/>
        <w:gridCol w:w="1563"/>
        <w:gridCol w:w="1195"/>
        <w:gridCol w:w="1506"/>
        <w:gridCol w:w="1563"/>
        <w:gridCol w:w="1663"/>
        <w:gridCol w:w="1493"/>
        <w:gridCol w:w="1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234" w:type="dxa"/>
            <w:tcBorders>
              <w:tl2br w:val="single" w:color="auto" w:sz="4" w:space="0"/>
            </w:tcBorders>
            <w:tcMar>
              <w:left w:w="28" w:type="dxa"/>
              <w:right w:w="28" w:type="dxa"/>
            </w:tcMar>
            <w:vAlign w:val="center"/>
          </w:tcPr>
          <w:p>
            <w:pPr>
              <w:pStyle w:val="51"/>
              <w:spacing w:beforeLines="0" w:afterLines="0" w:line="240" w:lineRule="auto"/>
              <w:jc w:val="right"/>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项目</w:t>
            </w:r>
          </w:p>
          <w:p>
            <w:pPr>
              <w:pStyle w:val="51"/>
              <w:spacing w:beforeLines="0" w:afterLines="0" w:line="240" w:lineRule="auto"/>
              <w:jc w:val="left"/>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分类</w:t>
            </w:r>
          </w:p>
        </w:tc>
        <w:tc>
          <w:tcPr>
            <w:tcW w:w="1548" w:type="dxa"/>
            <w:tcMar>
              <w:left w:w="28" w:type="dxa"/>
              <w:right w:w="28" w:type="dxa"/>
            </w:tcMar>
            <w:vAlign w:val="center"/>
          </w:tcPr>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污染物名称</w:t>
            </w:r>
          </w:p>
        </w:tc>
        <w:tc>
          <w:tcPr>
            <w:tcW w:w="1563" w:type="dxa"/>
            <w:tcMar>
              <w:left w:w="28" w:type="dxa"/>
              <w:right w:w="28" w:type="dxa"/>
            </w:tcMar>
            <w:vAlign w:val="center"/>
          </w:tcPr>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现有工程</w:t>
            </w:r>
          </w:p>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1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①</w:t>
            </w:r>
            <w:r>
              <w:rPr>
                <w:rFonts w:ascii="Times New Roman" w:eastAsia="黑体"/>
                <w:snapToGrid w:val="0"/>
                <w:color w:val="auto"/>
                <w:spacing w:val="-6"/>
                <w:kern w:val="21"/>
                <w:sz w:val="21"/>
                <w:szCs w:val="21"/>
                <w:highlight w:val="none"/>
              </w:rPr>
              <w:fldChar w:fldCharType="end"/>
            </w:r>
          </w:p>
        </w:tc>
        <w:tc>
          <w:tcPr>
            <w:tcW w:w="1195" w:type="dxa"/>
            <w:tcMar>
              <w:left w:w="28" w:type="dxa"/>
              <w:right w:w="28" w:type="dxa"/>
            </w:tcMar>
            <w:vAlign w:val="center"/>
          </w:tcPr>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现有工程</w:t>
            </w:r>
          </w:p>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许可排放量</w:t>
            </w:r>
          </w:p>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2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snapToGrid w:val="0"/>
                <w:color w:val="auto"/>
                <w:spacing w:val="-6"/>
                <w:kern w:val="21"/>
                <w:sz w:val="21"/>
                <w:szCs w:val="21"/>
                <w:highlight w:val="none"/>
              </w:rPr>
              <w:t>②</w:t>
            </w:r>
            <w:r>
              <w:rPr>
                <w:rFonts w:ascii="Times New Roman" w:eastAsia="黑体"/>
                <w:snapToGrid w:val="0"/>
                <w:color w:val="auto"/>
                <w:spacing w:val="-6"/>
                <w:kern w:val="21"/>
                <w:sz w:val="21"/>
                <w:szCs w:val="21"/>
                <w:highlight w:val="none"/>
              </w:rPr>
              <w:fldChar w:fldCharType="end"/>
            </w:r>
          </w:p>
        </w:tc>
        <w:tc>
          <w:tcPr>
            <w:tcW w:w="1506" w:type="dxa"/>
            <w:tcMar>
              <w:left w:w="28" w:type="dxa"/>
              <w:right w:w="28" w:type="dxa"/>
            </w:tcMar>
            <w:vAlign w:val="center"/>
          </w:tcPr>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在建工程</w:t>
            </w:r>
          </w:p>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3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③</w:t>
            </w:r>
            <w:r>
              <w:rPr>
                <w:rFonts w:ascii="Times New Roman" w:eastAsia="黑体"/>
                <w:snapToGrid w:val="0"/>
                <w:color w:val="auto"/>
                <w:spacing w:val="-6"/>
                <w:kern w:val="21"/>
                <w:sz w:val="21"/>
                <w:szCs w:val="21"/>
                <w:highlight w:val="none"/>
              </w:rPr>
              <w:fldChar w:fldCharType="end"/>
            </w:r>
          </w:p>
        </w:tc>
        <w:tc>
          <w:tcPr>
            <w:tcW w:w="1563" w:type="dxa"/>
            <w:tcMar>
              <w:left w:w="28" w:type="dxa"/>
              <w:right w:w="28" w:type="dxa"/>
            </w:tcMar>
            <w:vAlign w:val="center"/>
          </w:tcPr>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本项目</w:t>
            </w:r>
          </w:p>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4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④</w:t>
            </w:r>
            <w:r>
              <w:rPr>
                <w:rFonts w:ascii="Times New Roman" w:eastAsia="黑体"/>
                <w:snapToGrid w:val="0"/>
                <w:color w:val="auto"/>
                <w:spacing w:val="-6"/>
                <w:kern w:val="21"/>
                <w:sz w:val="21"/>
                <w:szCs w:val="21"/>
                <w:highlight w:val="none"/>
              </w:rPr>
              <w:fldChar w:fldCharType="end"/>
            </w:r>
          </w:p>
        </w:tc>
        <w:tc>
          <w:tcPr>
            <w:tcW w:w="1663" w:type="dxa"/>
            <w:tcMar>
              <w:left w:w="28" w:type="dxa"/>
              <w:right w:w="28" w:type="dxa"/>
            </w:tcMar>
            <w:vAlign w:val="center"/>
          </w:tcPr>
          <w:p>
            <w:pPr>
              <w:pStyle w:val="51"/>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以新带老削减量</w:t>
            </w:r>
          </w:p>
          <w:p>
            <w:pPr>
              <w:pStyle w:val="51"/>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（新建项目不填）</w:t>
            </w:r>
            <w:r>
              <w:rPr>
                <w:rFonts w:ascii="Times New Roman" w:eastAsia="黑体"/>
                <w:snapToGrid w:val="0"/>
                <w:color w:val="auto"/>
                <w:spacing w:val="-16"/>
                <w:kern w:val="21"/>
                <w:sz w:val="21"/>
                <w:szCs w:val="21"/>
                <w:highlight w:val="none"/>
              </w:rPr>
              <w:fldChar w:fldCharType="begin"/>
            </w:r>
            <w:r>
              <w:rPr>
                <w:rFonts w:ascii="Times New Roman" w:eastAsia="黑体"/>
                <w:snapToGrid w:val="0"/>
                <w:color w:val="auto"/>
                <w:spacing w:val="-16"/>
                <w:kern w:val="21"/>
                <w:sz w:val="21"/>
                <w:szCs w:val="21"/>
                <w:highlight w:val="none"/>
              </w:rPr>
              <w:instrText xml:space="preserve"> = 5 \* GB3 \* MERGEFORMAT </w:instrText>
            </w:r>
            <w:r>
              <w:rPr>
                <w:rFonts w:ascii="Times New Roman" w:eastAsia="黑体"/>
                <w:snapToGrid w:val="0"/>
                <w:color w:val="auto"/>
                <w:spacing w:val="-16"/>
                <w:kern w:val="21"/>
                <w:sz w:val="21"/>
                <w:szCs w:val="21"/>
                <w:highlight w:val="none"/>
              </w:rPr>
              <w:fldChar w:fldCharType="separate"/>
            </w:r>
            <w:r>
              <w:rPr>
                <w:rFonts w:ascii="Times New Roman" w:eastAsia="黑体"/>
                <w:color w:val="auto"/>
                <w:kern w:val="2"/>
                <w:sz w:val="21"/>
                <w:szCs w:val="21"/>
                <w:highlight w:val="none"/>
              </w:rPr>
              <w:t>⑤</w:t>
            </w:r>
            <w:r>
              <w:rPr>
                <w:rFonts w:ascii="Times New Roman" w:eastAsia="黑体"/>
                <w:snapToGrid w:val="0"/>
                <w:color w:val="auto"/>
                <w:spacing w:val="-16"/>
                <w:kern w:val="21"/>
                <w:sz w:val="21"/>
                <w:szCs w:val="21"/>
                <w:highlight w:val="none"/>
              </w:rPr>
              <w:fldChar w:fldCharType="end"/>
            </w:r>
          </w:p>
        </w:tc>
        <w:tc>
          <w:tcPr>
            <w:tcW w:w="1493" w:type="dxa"/>
            <w:tcMar>
              <w:left w:w="28" w:type="dxa"/>
              <w:right w:w="28" w:type="dxa"/>
            </w:tcMar>
            <w:vAlign w:val="center"/>
          </w:tcPr>
          <w:p>
            <w:pPr>
              <w:pStyle w:val="51"/>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本项目建成后</w:t>
            </w:r>
          </w:p>
          <w:p>
            <w:pPr>
              <w:pStyle w:val="51"/>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全厂排放量（固体废物产生量）</w:t>
            </w:r>
            <w:r>
              <w:rPr>
                <w:rFonts w:ascii="Times New Roman" w:eastAsia="黑体"/>
                <w:snapToGrid w:val="0"/>
                <w:color w:val="auto"/>
                <w:spacing w:val="-16"/>
                <w:kern w:val="21"/>
                <w:sz w:val="21"/>
                <w:szCs w:val="21"/>
                <w:highlight w:val="none"/>
              </w:rPr>
              <w:fldChar w:fldCharType="begin"/>
            </w:r>
            <w:r>
              <w:rPr>
                <w:rFonts w:ascii="Times New Roman" w:eastAsia="黑体"/>
                <w:snapToGrid w:val="0"/>
                <w:color w:val="auto"/>
                <w:spacing w:val="-16"/>
                <w:kern w:val="21"/>
                <w:sz w:val="21"/>
                <w:szCs w:val="21"/>
                <w:highlight w:val="none"/>
              </w:rPr>
              <w:instrText xml:space="preserve"> = 6 \* GB3 \* MERGEFORMAT </w:instrText>
            </w:r>
            <w:r>
              <w:rPr>
                <w:rFonts w:ascii="Times New Roman" w:eastAsia="黑体"/>
                <w:snapToGrid w:val="0"/>
                <w:color w:val="auto"/>
                <w:spacing w:val="-16"/>
                <w:kern w:val="21"/>
                <w:sz w:val="21"/>
                <w:szCs w:val="21"/>
                <w:highlight w:val="none"/>
              </w:rPr>
              <w:fldChar w:fldCharType="separate"/>
            </w:r>
            <w:r>
              <w:rPr>
                <w:rFonts w:ascii="Times New Roman" w:eastAsia="黑体"/>
                <w:color w:val="auto"/>
                <w:kern w:val="2"/>
                <w:sz w:val="21"/>
                <w:szCs w:val="21"/>
                <w:highlight w:val="none"/>
              </w:rPr>
              <w:t>⑥</w:t>
            </w:r>
            <w:r>
              <w:rPr>
                <w:rFonts w:ascii="Times New Roman" w:eastAsia="黑体"/>
                <w:snapToGrid w:val="0"/>
                <w:color w:val="auto"/>
                <w:spacing w:val="-16"/>
                <w:kern w:val="21"/>
                <w:sz w:val="21"/>
                <w:szCs w:val="21"/>
                <w:highlight w:val="none"/>
              </w:rPr>
              <w:fldChar w:fldCharType="end"/>
            </w:r>
          </w:p>
        </w:tc>
        <w:tc>
          <w:tcPr>
            <w:tcW w:w="1297" w:type="dxa"/>
            <w:tcMar>
              <w:left w:w="28" w:type="dxa"/>
              <w:right w:w="28" w:type="dxa"/>
            </w:tcMar>
            <w:vAlign w:val="center"/>
          </w:tcPr>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变化量</w:t>
            </w:r>
          </w:p>
          <w:p>
            <w:pPr>
              <w:pStyle w:val="51"/>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7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⑦</w:t>
            </w:r>
            <w:r>
              <w:rPr>
                <w:rFonts w:ascii="Times New Roman" w:eastAsia="黑体"/>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restart"/>
            <w:vAlign w:val="center"/>
          </w:tcPr>
          <w:p>
            <w:pPr>
              <w:pStyle w:val="51"/>
              <w:spacing w:beforeLines="0" w:afterLines="0" w:line="240" w:lineRule="auto"/>
              <w:rPr>
                <w:rFonts w:ascii="Times New Roman"/>
                <w:snapToGrid w:val="0"/>
                <w:color w:val="auto"/>
                <w:kern w:val="21"/>
                <w:sz w:val="21"/>
                <w:szCs w:val="21"/>
                <w:highlight w:val="none"/>
              </w:rPr>
            </w:pPr>
            <w:r>
              <w:rPr>
                <w:rFonts w:ascii="Times New Roman"/>
                <w:snapToGrid w:val="0"/>
                <w:color w:val="auto"/>
                <w:kern w:val="21"/>
                <w:sz w:val="21"/>
                <w:szCs w:val="21"/>
                <w:highlight w:val="none"/>
              </w:rPr>
              <w:t>废气</w:t>
            </w:r>
          </w:p>
          <w:p>
            <w:pPr>
              <w:rPr>
                <w:rFonts w:hint="eastAsia" w:eastAsia="宋体"/>
                <w:color w:val="auto"/>
                <w:highlight w:val="none"/>
                <w:lang w:eastAsia="zh-CN"/>
              </w:rPr>
            </w:pPr>
            <w:r>
              <w:rPr>
                <w:rFonts w:hint="eastAsia" w:ascii="Times New Roman"/>
                <w:snapToGrid w:val="0"/>
                <w:color w:val="auto"/>
                <w:kern w:val="21"/>
                <w:sz w:val="21"/>
                <w:szCs w:val="21"/>
                <w:highlight w:val="none"/>
                <w:lang w:eastAsia="zh-CN"/>
              </w:rPr>
              <w:t>（有组织）</w:t>
            </w:r>
          </w:p>
        </w:tc>
        <w:tc>
          <w:tcPr>
            <w:tcW w:w="1548" w:type="dxa"/>
            <w:vAlign w:val="center"/>
          </w:tcPr>
          <w:p>
            <w:pPr>
              <w:pStyle w:val="51"/>
              <w:spacing w:beforeLines="0" w:afterLines="0" w:line="240" w:lineRule="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颗粒物</w:t>
            </w:r>
          </w:p>
        </w:tc>
        <w:tc>
          <w:tcPr>
            <w:tcW w:w="1563" w:type="dxa"/>
            <w:vAlign w:val="center"/>
          </w:tcPr>
          <w:p>
            <w:pPr>
              <w:widowControl/>
              <w:jc w:val="center"/>
              <w:textAlignment w:val="center"/>
              <w:rPr>
                <w:snapToGrid w:val="0"/>
                <w:color w:val="auto"/>
                <w:kern w:val="21"/>
                <w:szCs w:val="21"/>
                <w:highlight w:val="none"/>
              </w:rPr>
            </w:pPr>
            <w:r>
              <w:rPr>
                <w:rFonts w:hint="eastAsia"/>
                <w:color w:val="auto"/>
                <w:kern w:val="0"/>
                <w:szCs w:val="21"/>
                <w:highlight w:val="none"/>
                <w:lang w:bidi="ar"/>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0.826</w:t>
            </w:r>
            <w:r>
              <w:rPr>
                <w:rFonts w:hint="eastAsia" w:ascii="Times New Roman" w:hAnsi="Times New Roman" w:cs="Times New Roman"/>
                <w:color w:val="auto"/>
                <w:szCs w:val="21"/>
                <w:highlight w:val="none"/>
              </w:rPr>
              <w:t>t/a</w:t>
            </w:r>
          </w:p>
        </w:tc>
        <w:tc>
          <w:tcPr>
            <w:tcW w:w="1663"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0.826</w:t>
            </w:r>
            <w:r>
              <w:rPr>
                <w:rFonts w:hint="eastAsia" w:ascii="Times New Roman" w:hAnsi="Times New Roman" w:cs="Times New Roman"/>
                <w:color w:val="auto"/>
                <w:szCs w:val="21"/>
                <w:highlight w:val="none"/>
              </w:rPr>
              <w:t>t/a</w:t>
            </w:r>
          </w:p>
        </w:tc>
        <w:tc>
          <w:tcPr>
            <w:tcW w:w="1297"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+0.826</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continue"/>
            <w:vAlign w:val="center"/>
          </w:tcPr>
          <w:p>
            <w:pPr>
              <w:rPr>
                <w:rFonts w:hint="eastAsia" w:ascii="Times New Roman"/>
                <w:snapToGrid w:val="0"/>
                <w:color w:val="auto"/>
                <w:kern w:val="21"/>
                <w:sz w:val="21"/>
                <w:szCs w:val="21"/>
                <w:highlight w:val="none"/>
                <w:lang w:eastAsia="zh-CN"/>
              </w:rPr>
            </w:pPr>
          </w:p>
        </w:tc>
        <w:tc>
          <w:tcPr>
            <w:tcW w:w="1548" w:type="dxa"/>
            <w:vAlign w:val="center"/>
          </w:tcPr>
          <w:p>
            <w:pPr>
              <w:pStyle w:val="51"/>
              <w:spacing w:beforeLines="0" w:afterLines="0" w:line="240" w:lineRule="auto"/>
              <w:rPr>
                <w:rFonts w:hint="eastAsia" w:ascii="Times New Roman" w:eastAsia="宋体"/>
                <w:snapToGrid w:val="0"/>
                <w:color w:val="auto"/>
                <w:kern w:val="21"/>
                <w:sz w:val="21"/>
                <w:szCs w:val="21"/>
                <w:highlight w:val="none"/>
                <w:lang w:eastAsia="zh-CN"/>
              </w:rPr>
            </w:pPr>
            <w:r>
              <w:rPr>
                <w:rFonts w:hint="eastAsia" w:ascii="Times New Roman"/>
                <w:snapToGrid w:val="0"/>
                <w:color w:val="auto"/>
                <w:kern w:val="21"/>
                <w:sz w:val="21"/>
                <w:szCs w:val="21"/>
                <w:highlight w:val="none"/>
                <w:lang w:eastAsia="zh-CN"/>
              </w:rPr>
              <w:t>二氧化硫</w:t>
            </w:r>
          </w:p>
        </w:tc>
        <w:tc>
          <w:tcPr>
            <w:tcW w:w="1563" w:type="dxa"/>
            <w:vAlign w:val="center"/>
          </w:tcPr>
          <w:p>
            <w:pPr>
              <w:widowControl/>
              <w:jc w:val="center"/>
              <w:textAlignment w:val="center"/>
              <w:rPr>
                <w:rFonts w:hint="eastAsia"/>
                <w:color w:val="auto"/>
                <w:kern w:val="0"/>
                <w:szCs w:val="21"/>
                <w:highlight w:val="none"/>
                <w:lang w:bidi="ar"/>
              </w:rPr>
            </w:pPr>
          </w:p>
        </w:tc>
        <w:tc>
          <w:tcPr>
            <w:tcW w:w="1195" w:type="dxa"/>
            <w:vAlign w:val="center"/>
          </w:tcPr>
          <w:p>
            <w:pPr>
              <w:jc w:val="center"/>
              <w:rPr>
                <w:snapToGrid w:val="0"/>
                <w:color w:val="auto"/>
                <w:kern w:val="21"/>
                <w:szCs w:val="21"/>
                <w:highlight w:val="none"/>
              </w:rPr>
            </w:pPr>
          </w:p>
        </w:tc>
        <w:tc>
          <w:tcPr>
            <w:tcW w:w="1506" w:type="dxa"/>
            <w:vAlign w:val="center"/>
          </w:tcPr>
          <w:p>
            <w:pPr>
              <w:jc w:val="center"/>
              <w:rPr>
                <w:snapToGrid w:val="0"/>
                <w:color w:val="auto"/>
                <w:kern w:val="21"/>
                <w:szCs w:val="21"/>
                <w:highlight w:val="none"/>
              </w:rPr>
            </w:pPr>
          </w:p>
        </w:tc>
        <w:tc>
          <w:tcPr>
            <w:tcW w:w="1563" w:type="dxa"/>
            <w:vAlign w:val="center"/>
          </w:tcPr>
          <w:p>
            <w:pPr>
              <w:pStyle w:val="5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0.208t/a</w:t>
            </w:r>
          </w:p>
        </w:tc>
        <w:tc>
          <w:tcPr>
            <w:tcW w:w="1663" w:type="dxa"/>
            <w:vAlign w:val="center"/>
          </w:tcPr>
          <w:p>
            <w:pPr>
              <w:jc w:val="center"/>
              <w:rPr>
                <w:rFonts w:hint="eastAsia"/>
                <w:snapToGrid w:val="0"/>
                <w:color w:val="auto"/>
                <w:kern w:val="21"/>
                <w:szCs w:val="21"/>
                <w:highlight w:val="none"/>
              </w:rPr>
            </w:pPr>
          </w:p>
        </w:tc>
        <w:tc>
          <w:tcPr>
            <w:tcW w:w="1493" w:type="dxa"/>
            <w:vAlign w:val="center"/>
          </w:tcPr>
          <w:p>
            <w:pPr>
              <w:pStyle w:val="5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0.208t/a</w:t>
            </w:r>
          </w:p>
        </w:tc>
        <w:tc>
          <w:tcPr>
            <w:tcW w:w="1297" w:type="dxa"/>
            <w:vAlign w:val="center"/>
          </w:tcPr>
          <w:p>
            <w:pPr>
              <w:pStyle w:val="5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continue"/>
            <w:vAlign w:val="center"/>
          </w:tcPr>
          <w:p>
            <w:pPr>
              <w:rPr>
                <w:rFonts w:hint="eastAsia" w:ascii="Times New Roman"/>
                <w:snapToGrid w:val="0"/>
                <w:color w:val="auto"/>
                <w:kern w:val="21"/>
                <w:sz w:val="21"/>
                <w:szCs w:val="21"/>
                <w:highlight w:val="none"/>
                <w:lang w:eastAsia="zh-CN"/>
              </w:rPr>
            </w:pPr>
          </w:p>
        </w:tc>
        <w:tc>
          <w:tcPr>
            <w:tcW w:w="1548" w:type="dxa"/>
            <w:vAlign w:val="center"/>
          </w:tcPr>
          <w:p>
            <w:pPr>
              <w:pStyle w:val="51"/>
              <w:spacing w:beforeLines="0" w:afterLines="0" w:line="240" w:lineRule="auto"/>
              <w:rPr>
                <w:rFonts w:hint="eastAsia" w:ascii="Times New Roman"/>
                <w:snapToGrid w:val="0"/>
                <w:color w:val="auto"/>
                <w:kern w:val="21"/>
                <w:sz w:val="21"/>
                <w:szCs w:val="21"/>
                <w:highlight w:val="none"/>
                <w:lang w:eastAsia="zh-CN"/>
              </w:rPr>
            </w:pPr>
            <w:r>
              <w:rPr>
                <w:rFonts w:hint="eastAsia" w:ascii="Times New Roman"/>
                <w:snapToGrid w:val="0"/>
                <w:color w:val="auto"/>
                <w:kern w:val="21"/>
                <w:sz w:val="21"/>
                <w:szCs w:val="21"/>
                <w:highlight w:val="none"/>
                <w:lang w:eastAsia="zh-CN"/>
              </w:rPr>
              <w:t>氮氧化物</w:t>
            </w:r>
          </w:p>
        </w:tc>
        <w:tc>
          <w:tcPr>
            <w:tcW w:w="1563" w:type="dxa"/>
            <w:vAlign w:val="center"/>
          </w:tcPr>
          <w:p>
            <w:pPr>
              <w:widowControl/>
              <w:jc w:val="center"/>
              <w:textAlignment w:val="center"/>
              <w:rPr>
                <w:rFonts w:hint="eastAsia"/>
                <w:color w:val="auto"/>
                <w:kern w:val="0"/>
                <w:szCs w:val="21"/>
                <w:highlight w:val="none"/>
                <w:lang w:bidi="ar"/>
              </w:rPr>
            </w:pPr>
          </w:p>
        </w:tc>
        <w:tc>
          <w:tcPr>
            <w:tcW w:w="1195" w:type="dxa"/>
            <w:vAlign w:val="center"/>
          </w:tcPr>
          <w:p>
            <w:pPr>
              <w:jc w:val="center"/>
              <w:rPr>
                <w:snapToGrid w:val="0"/>
                <w:color w:val="auto"/>
                <w:kern w:val="21"/>
                <w:szCs w:val="21"/>
                <w:highlight w:val="none"/>
              </w:rPr>
            </w:pPr>
          </w:p>
        </w:tc>
        <w:tc>
          <w:tcPr>
            <w:tcW w:w="1506" w:type="dxa"/>
            <w:vAlign w:val="center"/>
          </w:tcPr>
          <w:p>
            <w:pPr>
              <w:jc w:val="center"/>
              <w:rPr>
                <w:snapToGrid w:val="0"/>
                <w:color w:val="auto"/>
                <w:kern w:val="21"/>
                <w:szCs w:val="21"/>
                <w:highlight w:val="none"/>
              </w:rPr>
            </w:pPr>
          </w:p>
        </w:tc>
        <w:tc>
          <w:tcPr>
            <w:tcW w:w="1563" w:type="dxa"/>
            <w:vAlign w:val="center"/>
          </w:tcPr>
          <w:p>
            <w:pPr>
              <w:pStyle w:val="5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0.311t/a</w:t>
            </w:r>
          </w:p>
        </w:tc>
        <w:tc>
          <w:tcPr>
            <w:tcW w:w="1663" w:type="dxa"/>
            <w:vAlign w:val="center"/>
          </w:tcPr>
          <w:p>
            <w:pPr>
              <w:jc w:val="center"/>
              <w:rPr>
                <w:rFonts w:hint="eastAsia"/>
                <w:snapToGrid w:val="0"/>
                <w:color w:val="auto"/>
                <w:kern w:val="21"/>
                <w:szCs w:val="21"/>
                <w:highlight w:val="none"/>
              </w:rPr>
            </w:pPr>
          </w:p>
        </w:tc>
        <w:tc>
          <w:tcPr>
            <w:tcW w:w="1493" w:type="dxa"/>
            <w:vAlign w:val="center"/>
          </w:tcPr>
          <w:p>
            <w:pPr>
              <w:pStyle w:val="5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0.311t/a</w:t>
            </w:r>
          </w:p>
        </w:tc>
        <w:tc>
          <w:tcPr>
            <w:tcW w:w="1297" w:type="dxa"/>
            <w:vAlign w:val="center"/>
          </w:tcPr>
          <w:p>
            <w:pPr>
              <w:pStyle w:val="5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+0.311t/a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34" w:type="dxa"/>
            <w:vMerge w:val="restart"/>
            <w:vAlign w:val="center"/>
          </w:tcPr>
          <w:p>
            <w:pPr>
              <w:pStyle w:val="51"/>
              <w:spacing w:beforeLines="0" w:afterLines="0" w:line="240" w:lineRule="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废水</w:t>
            </w:r>
          </w:p>
        </w:tc>
        <w:tc>
          <w:tcPr>
            <w:tcW w:w="1548" w:type="dxa"/>
            <w:vAlign w:val="center"/>
          </w:tcPr>
          <w:p>
            <w:pPr>
              <w:pStyle w:val="51"/>
              <w:spacing w:beforeLines="0" w:afterLines="0" w:line="240" w:lineRule="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水量</w:t>
            </w:r>
          </w:p>
        </w:tc>
        <w:tc>
          <w:tcPr>
            <w:tcW w:w="156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tabs>
                <w:tab w:val="left" w:pos="313"/>
              </w:tabs>
              <w:jc w:val="left"/>
              <w:rPr>
                <w:snapToGrid w:val="0"/>
                <w:color w:val="auto"/>
                <w:kern w:val="21"/>
                <w:szCs w:val="21"/>
                <w:highlight w:val="none"/>
              </w:rPr>
            </w:pPr>
            <w:r>
              <w:rPr>
                <w:rFonts w:hint="eastAsia"/>
                <w:snapToGrid w:val="0"/>
                <w:color w:val="auto"/>
                <w:kern w:val="21"/>
                <w:szCs w:val="21"/>
                <w:highlight w:val="none"/>
              </w:rPr>
              <w:tab/>
            </w: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50"/>
              <w:jc w:val="center"/>
              <w:rPr>
                <w:rFonts w:hint="default"/>
                <w:color w:val="auto"/>
                <w:szCs w:val="21"/>
                <w:highlight w:val="none"/>
                <w:lang w:val="en-US"/>
              </w:rPr>
            </w:pPr>
            <w:r>
              <w:rPr>
                <w:rFonts w:hint="eastAsia" w:ascii="Times New Roman" w:hAnsi="Times New Roman" w:cs="Times New Roman"/>
                <w:color w:val="auto"/>
                <w:szCs w:val="21"/>
                <w:highlight w:val="none"/>
                <w:lang w:val="en-US" w:eastAsia="zh-CN"/>
              </w:rPr>
              <w:t>/</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297" w:type="dxa"/>
            <w:vAlign w:val="center"/>
          </w:tcPr>
          <w:p>
            <w:pPr>
              <w:pStyle w:val="50"/>
              <w:jc w:val="center"/>
              <w:rPr>
                <w:rFonts w:hint="default"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34" w:type="dxa"/>
            <w:vMerge w:val="continue"/>
            <w:vAlign w:val="center"/>
          </w:tcPr>
          <w:p>
            <w:pPr>
              <w:pStyle w:val="51"/>
              <w:spacing w:beforeLines="0" w:afterLines="0" w:line="240" w:lineRule="auto"/>
              <w:rPr>
                <w:rFonts w:hint="eastAsia" w:ascii="Times New Roman"/>
                <w:snapToGrid w:val="0"/>
                <w:color w:val="auto"/>
                <w:kern w:val="21"/>
                <w:sz w:val="21"/>
                <w:szCs w:val="21"/>
                <w:highlight w:val="none"/>
              </w:rPr>
            </w:pPr>
          </w:p>
        </w:tc>
        <w:tc>
          <w:tcPr>
            <w:tcW w:w="1548" w:type="dxa"/>
            <w:vAlign w:val="center"/>
          </w:tcPr>
          <w:p>
            <w:pPr>
              <w:pStyle w:val="51"/>
              <w:spacing w:beforeLines="0" w:afterLines="0" w:line="240" w:lineRule="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COD</w:t>
            </w:r>
          </w:p>
        </w:tc>
        <w:tc>
          <w:tcPr>
            <w:tcW w:w="1563" w:type="dxa"/>
            <w:vAlign w:val="center"/>
          </w:tcPr>
          <w:p>
            <w:pPr>
              <w:pStyle w:val="50"/>
              <w:jc w:val="center"/>
              <w:rPr>
                <w:rFonts w:hint="eastAsia"/>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50"/>
              <w:jc w:val="center"/>
              <w:rPr>
                <w:rFonts w:hint="default"/>
                <w:color w:val="auto"/>
                <w:szCs w:val="21"/>
                <w:highlight w:val="none"/>
                <w:lang w:val="en-US"/>
              </w:rPr>
            </w:pPr>
            <w:r>
              <w:rPr>
                <w:rFonts w:hint="eastAsia" w:ascii="Times New Roman" w:hAnsi="Times New Roman" w:cs="Times New Roman"/>
                <w:color w:val="auto"/>
                <w:szCs w:val="21"/>
                <w:highlight w:val="none"/>
                <w:lang w:val="en-US" w:eastAsia="zh-CN"/>
              </w:rPr>
              <w:t>/</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297" w:type="dxa"/>
            <w:vAlign w:val="center"/>
          </w:tcPr>
          <w:p>
            <w:pPr>
              <w:pStyle w:val="5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continue"/>
            <w:vAlign w:val="center"/>
          </w:tcPr>
          <w:p>
            <w:pPr>
              <w:pStyle w:val="51"/>
              <w:spacing w:beforeLines="0" w:afterLines="0" w:line="240" w:lineRule="auto"/>
              <w:rPr>
                <w:rFonts w:ascii="Times New Roman"/>
                <w:snapToGrid w:val="0"/>
                <w:color w:val="auto"/>
                <w:kern w:val="21"/>
                <w:sz w:val="21"/>
                <w:szCs w:val="21"/>
                <w:highlight w:val="none"/>
              </w:rPr>
            </w:pPr>
          </w:p>
        </w:tc>
        <w:tc>
          <w:tcPr>
            <w:tcW w:w="1548" w:type="dxa"/>
            <w:vAlign w:val="center"/>
          </w:tcPr>
          <w:p>
            <w:pPr>
              <w:pStyle w:val="51"/>
              <w:spacing w:beforeLines="0" w:afterLines="0" w:line="240" w:lineRule="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氨氮</w:t>
            </w:r>
          </w:p>
        </w:tc>
        <w:tc>
          <w:tcPr>
            <w:tcW w:w="1563" w:type="dxa"/>
            <w:vAlign w:val="center"/>
          </w:tcPr>
          <w:p>
            <w:pPr>
              <w:pStyle w:val="50"/>
              <w:jc w:val="center"/>
              <w:rPr>
                <w:rFonts w:hint="eastAsia"/>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50"/>
              <w:tabs>
                <w:tab w:val="left" w:pos="357"/>
              </w:tabs>
              <w:jc w:val="center"/>
              <w:rPr>
                <w:rFonts w:hint="default"/>
                <w:color w:val="auto"/>
                <w:szCs w:val="21"/>
                <w:highlight w:val="none"/>
                <w:lang w:val="en-US"/>
              </w:rPr>
            </w:pPr>
            <w:r>
              <w:rPr>
                <w:rFonts w:hint="eastAsia" w:ascii="Times New Roman" w:hAnsi="Times New Roman" w:cs="Times New Roman"/>
                <w:color w:val="auto"/>
                <w:szCs w:val="21"/>
                <w:highlight w:val="none"/>
                <w:lang w:val="en-US" w:eastAsia="zh-CN"/>
              </w:rPr>
              <w:t>/</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tabs>
                <w:tab w:val="left" w:pos="357"/>
              </w:tabs>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297" w:type="dxa"/>
            <w:vAlign w:val="center"/>
          </w:tcPr>
          <w:p>
            <w:pPr>
              <w:pStyle w:val="50"/>
              <w:tabs>
                <w:tab w:val="left" w:pos="357"/>
              </w:tabs>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34" w:type="dxa"/>
            <w:vMerge w:val="restart"/>
            <w:vAlign w:val="center"/>
          </w:tcPr>
          <w:p>
            <w:pPr>
              <w:pStyle w:val="51"/>
              <w:spacing w:beforeLines="0" w:afterLines="0" w:line="240" w:lineRule="auto"/>
              <w:rPr>
                <w:rFonts w:ascii="Times New Roman"/>
                <w:snapToGrid w:val="0"/>
                <w:color w:val="auto"/>
                <w:kern w:val="21"/>
                <w:sz w:val="21"/>
                <w:szCs w:val="21"/>
                <w:highlight w:val="none"/>
              </w:rPr>
            </w:pPr>
            <w:r>
              <w:rPr>
                <w:rFonts w:ascii="Times New Roman"/>
                <w:snapToGrid w:val="0"/>
                <w:color w:val="auto"/>
                <w:kern w:val="21"/>
                <w:sz w:val="21"/>
                <w:szCs w:val="21"/>
                <w:highlight w:val="none"/>
              </w:rPr>
              <w:t>工业</w:t>
            </w:r>
          </w:p>
          <w:p>
            <w:pPr>
              <w:pStyle w:val="51"/>
              <w:spacing w:beforeLines="0" w:afterLines="0" w:line="240" w:lineRule="auto"/>
              <w:rPr>
                <w:rFonts w:ascii="Times New Roman"/>
                <w:snapToGrid w:val="0"/>
                <w:color w:val="auto"/>
                <w:kern w:val="21"/>
                <w:sz w:val="21"/>
                <w:szCs w:val="21"/>
                <w:highlight w:val="none"/>
              </w:rPr>
            </w:pPr>
            <w:r>
              <w:rPr>
                <w:rFonts w:ascii="Times New Roman"/>
                <w:snapToGrid w:val="0"/>
                <w:color w:val="auto"/>
                <w:kern w:val="21"/>
                <w:sz w:val="21"/>
                <w:szCs w:val="21"/>
                <w:highlight w:val="none"/>
              </w:rPr>
              <w:t>固体废物</w:t>
            </w:r>
          </w:p>
        </w:tc>
        <w:tc>
          <w:tcPr>
            <w:tcW w:w="1548" w:type="dxa"/>
            <w:vAlign w:val="center"/>
          </w:tcPr>
          <w:p>
            <w:pPr>
              <w:pStyle w:val="51"/>
              <w:spacing w:beforeLines="0" w:afterLines="0" w:line="240" w:lineRule="auto"/>
              <w:rPr>
                <w:rFonts w:ascii="Times New Roman"/>
                <w:snapToGrid w:val="0"/>
                <w:color w:val="auto"/>
                <w:kern w:val="21"/>
                <w:sz w:val="21"/>
                <w:szCs w:val="21"/>
                <w:highlight w:val="none"/>
              </w:rPr>
            </w:pPr>
            <w:r>
              <w:rPr>
                <w:rFonts w:hint="eastAsia" w:ascii="Times New Roman"/>
                <w:color w:val="auto"/>
                <w:sz w:val="21"/>
                <w:szCs w:val="21"/>
                <w:highlight w:val="none"/>
              </w:rPr>
              <w:t>生活垃圾</w:t>
            </w:r>
          </w:p>
        </w:tc>
        <w:tc>
          <w:tcPr>
            <w:tcW w:w="1563" w:type="dxa"/>
            <w:vAlign w:val="center"/>
          </w:tcPr>
          <w:p>
            <w:pPr>
              <w:pStyle w:val="50"/>
              <w:jc w:val="center"/>
              <w:rPr>
                <w:rFonts w:hint="eastAsia"/>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0.375</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0.375</w:t>
            </w:r>
            <w:r>
              <w:rPr>
                <w:rFonts w:hint="eastAsia" w:ascii="Times New Roman" w:hAnsi="Times New Roman" w:cs="Times New Roman"/>
                <w:color w:val="auto"/>
                <w:szCs w:val="21"/>
                <w:highlight w:val="none"/>
              </w:rPr>
              <w:t>t/a</w:t>
            </w:r>
          </w:p>
        </w:tc>
        <w:tc>
          <w:tcPr>
            <w:tcW w:w="1297"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+0.375</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51"/>
              <w:spacing w:beforeLines="0" w:afterLines="0" w:line="240" w:lineRule="auto"/>
              <w:rPr>
                <w:rFonts w:ascii="Times New Roman"/>
                <w:snapToGrid w:val="0"/>
                <w:color w:val="auto"/>
                <w:kern w:val="21"/>
                <w:sz w:val="21"/>
                <w:szCs w:val="21"/>
                <w:highlight w:val="none"/>
              </w:rPr>
            </w:pPr>
          </w:p>
        </w:tc>
        <w:tc>
          <w:tcPr>
            <w:tcW w:w="1548" w:type="dxa"/>
            <w:vAlign w:val="center"/>
          </w:tcPr>
          <w:p>
            <w:pPr>
              <w:pStyle w:val="52"/>
              <w:tabs>
                <w:tab w:val="left" w:pos="636"/>
              </w:tabs>
              <w:spacing w:line="240" w:lineRule="auto"/>
              <w:ind w:firstLine="0"/>
              <w:jc w:val="center"/>
              <w:rPr>
                <w:snapToGrid w:val="0"/>
                <w:color w:val="auto"/>
                <w:kern w:val="21"/>
                <w:szCs w:val="21"/>
                <w:highlight w:val="none"/>
                <w:lang w:val="en-US"/>
              </w:rPr>
            </w:pPr>
            <w:r>
              <w:rPr>
                <w:rFonts w:hint="eastAsia"/>
                <w:color w:val="auto"/>
                <w:sz w:val="21"/>
                <w:szCs w:val="21"/>
                <w:highlight w:val="none"/>
                <w:lang w:val="en-US" w:eastAsia="zh-CN"/>
              </w:rPr>
              <w:t>清选杂质</w:t>
            </w:r>
          </w:p>
        </w:tc>
        <w:tc>
          <w:tcPr>
            <w:tcW w:w="1563" w:type="dxa"/>
            <w:vAlign w:val="center"/>
          </w:tcPr>
          <w:p>
            <w:pPr>
              <w:pStyle w:val="52"/>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66</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66</w:t>
            </w:r>
            <w:r>
              <w:rPr>
                <w:rFonts w:hint="eastAsia" w:ascii="Times New Roman" w:hAnsi="Times New Roman" w:cs="Times New Roman"/>
                <w:color w:val="auto"/>
                <w:szCs w:val="21"/>
                <w:highlight w:val="none"/>
              </w:rPr>
              <w:t>t/a</w:t>
            </w:r>
          </w:p>
        </w:tc>
        <w:tc>
          <w:tcPr>
            <w:tcW w:w="1297" w:type="dxa"/>
            <w:vAlign w:val="center"/>
          </w:tcPr>
          <w:p>
            <w:pPr>
              <w:pStyle w:val="50"/>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+66</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51"/>
              <w:spacing w:beforeLines="0" w:afterLines="0" w:line="240" w:lineRule="auto"/>
              <w:rPr>
                <w:rFonts w:ascii="Times New Roman"/>
                <w:snapToGrid w:val="0"/>
                <w:color w:val="auto"/>
                <w:kern w:val="21"/>
                <w:sz w:val="21"/>
                <w:szCs w:val="21"/>
                <w:highlight w:val="none"/>
              </w:rPr>
            </w:pPr>
          </w:p>
        </w:tc>
        <w:tc>
          <w:tcPr>
            <w:tcW w:w="1548" w:type="dxa"/>
            <w:vAlign w:val="center"/>
          </w:tcPr>
          <w:p>
            <w:pPr>
              <w:pStyle w:val="52"/>
              <w:spacing w:line="240" w:lineRule="auto"/>
              <w:ind w:firstLine="0"/>
              <w:jc w:val="center"/>
              <w:rPr>
                <w:snapToGrid w:val="0"/>
                <w:color w:val="auto"/>
                <w:kern w:val="21"/>
                <w:szCs w:val="21"/>
                <w:highlight w:val="none"/>
                <w:lang w:val="en-US"/>
              </w:rPr>
            </w:pPr>
            <w:r>
              <w:rPr>
                <w:rFonts w:hint="eastAsia" w:ascii="Times New Roman"/>
                <w:color w:val="auto"/>
                <w:sz w:val="21"/>
                <w:szCs w:val="21"/>
                <w:highlight w:val="none"/>
                <w:lang w:eastAsia="zh-CN"/>
              </w:rPr>
              <w:t>除尘器收集的粉尘</w:t>
            </w:r>
          </w:p>
        </w:tc>
        <w:tc>
          <w:tcPr>
            <w:tcW w:w="1563" w:type="dxa"/>
            <w:vAlign w:val="center"/>
          </w:tcPr>
          <w:p>
            <w:pPr>
              <w:pStyle w:val="52"/>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15.783</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15.783</w:t>
            </w:r>
            <w:r>
              <w:rPr>
                <w:rFonts w:hint="eastAsia" w:ascii="Times New Roman" w:hAnsi="Times New Roman" w:cs="Times New Roman"/>
                <w:color w:val="auto"/>
                <w:szCs w:val="21"/>
                <w:highlight w:val="none"/>
              </w:rPr>
              <w:t>t/a</w:t>
            </w:r>
          </w:p>
        </w:tc>
        <w:tc>
          <w:tcPr>
            <w:tcW w:w="1297"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+15.783</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51"/>
              <w:spacing w:beforeLines="0" w:afterLines="0" w:line="240" w:lineRule="auto"/>
              <w:rPr>
                <w:rFonts w:ascii="Times New Roman"/>
                <w:snapToGrid w:val="0"/>
                <w:color w:val="auto"/>
                <w:kern w:val="21"/>
                <w:sz w:val="21"/>
                <w:szCs w:val="21"/>
                <w:highlight w:val="none"/>
              </w:rPr>
            </w:pPr>
          </w:p>
        </w:tc>
        <w:tc>
          <w:tcPr>
            <w:tcW w:w="1548" w:type="dxa"/>
            <w:vAlign w:val="center"/>
          </w:tcPr>
          <w:p>
            <w:pPr>
              <w:pStyle w:val="52"/>
              <w:spacing w:line="240" w:lineRule="auto"/>
              <w:ind w:firstLine="0"/>
              <w:jc w:val="center"/>
              <w:rPr>
                <w:rFonts w:hint="eastAsia" w:eastAsia="宋体"/>
                <w:snapToGrid w:val="0"/>
                <w:color w:val="auto"/>
                <w:kern w:val="21"/>
                <w:szCs w:val="21"/>
                <w:highlight w:val="none"/>
                <w:lang w:eastAsia="zh-CN"/>
              </w:rPr>
            </w:pPr>
            <w:r>
              <w:rPr>
                <w:rFonts w:hint="eastAsia"/>
                <w:color w:val="auto"/>
                <w:szCs w:val="21"/>
                <w:highlight w:val="none"/>
                <w:lang w:val="en-US" w:eastAsia="zh-CN" w:bidi="ar"/>
              </w:rPr>
              <w:t>灰渣</w:t>
            </w:r>
          </w:p>
        </w:tc>
        <w:tc>
          <w:tcPr>
            <w:tcW w:w="1563" w:type="dxa"/>
            <w:vAlign w:val="center"/>
          </w:tcPr>
          <w:p>
            <w:pPr>
              <w:pStyle w:val="52"/>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15.27</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15.27</w:t>
            </w:r>
            <w:r>
              <w:rPr>
                <w:rFonts w:hint="eastAsia" w:ascii="Times New Roman" w:hAnsi="Times New Roman" w:cs="Times New Roman"/>
                <w:color w:val="auto"/>
                <w:szCs w:val="21"/>
                <w:highlight w:val="none"/>
              </w:rPr>
              <w:t>t/a</w:t>
            </w:r>
          </w:p>
        </w:tc>
        <w:tc>
          <w:tcPr>
            <w:tcW w:w="1297"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+15.27</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51"/>
              <w:spacing w:beforeLines="0" w:afterLines="0" w:line="240" w:lineRule="auto"/>
              <w:rPr>
                <w:rFonts w:ascii="Times New Roman"/>
                <w:snapToGrid w:val="0"/>
                <w:color w:val="auto"/>
                <w:kern w:val="21"/>
                <w:sz w:val="21"/>
                <w:szCs w:val="21"/>
                <w:highlight w:val="none"/>
              </w:rPr>
            </w:pPr>
          </w:p>
        </w:tc>
        <w:tc>
          <w:tcPr>
            <w:tcW w:w="1548" w:type="dxa"/>
            <w:vAlign w:val="center"/>
          </w:tcPr>
          <w:p>
            <w:pPr>
              <w:jc w:val="center"/>
              <w:rPr>
                <w:snapToGrid w:val="0"/>
                <w:color w:val="auto"/>
                <w:kern w:val="21"/>
                <w:szCs w:val="21"/>
                <w:highlight w:val="none"/>
              </w:rPr>
            </w:pPr>
            <w:r>
              <w:rPr>
                <w:rFonts w:hint="eastAsia"/>
                <w:color w:val="auto"/>
                <w:szCs w:val="21"/>
                <w:highlight w:val="none"/>
              </w:rPr>
              <w:t>废弃的含油抹布、劳保用品</w:t>
            </w:r>
          </w:p>
        </w:tc>
        <w:tc>
          <w:tcPr>
            <w:tcW w:w="1563" w:type="dxa"/>
            <w:vAlign w:val="center"/>
          </w:tcPr>
          <w:p>
            <w:pPr>
              <w:pStyle w:val="52"/>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50"/>
              <w:jc w:val="center"/>
              <w:rPr>
                <w:color w:val="auto"/>
                <w:szCs w:val="21"/>
                <w:highlight w:val="none"/>
              </w:rPr>
            </w:pPr>
            <w:r>
              <w:rPr>
                <w:rFonts w:hint="eastAsia" w:ascii="Times New Roman" w:hAnsi="Times New Roman" w:cs="Times New Roman"/>
                <w:color w:val="auto"/>
                <w:szCs w:val="21"/>
                <w:highlight w:val="none"/>
              </w:rPr>
              <w:t>0.05t/a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color w:val="auto"/>
                <w:szCs w:val="21"/>
                <w:highlight w:val="none"/>
              </w:rPr>
            </w:pPr>
            <w:r>
              <w:rPr>
                <w:rFonts w:hint="eastAsia" w:ascii="Times New Roman" w:hAnsi="Times New Roman" w:cs="Times New Roman"/>
                <w:color w:val="auto"/>
                <w:szCs w:val="21"/>
                <w:highlight w:val="none"/>
              </w:rPr>
              <w:t>0.05t/a</w:t>
            </w:r>
          </w:p>
        </w:tc>
        <w:tc>
          <w:tcPr>
            <w:tcW w:w="1297" w:type="dxa"/>
            <w:vAlign w:val="center"/>
          </w:tcPr>
          <w:p>
            <w:pPr>
              <w:pStyle w:val="50"/>
              <w:jc w:val="center"/>
              <w:rPr>
                <w:color w:val="auto"/>
                <w:szCs w:val="21"/>
                <w:highlight w:val="none"/>
              </w:rPr>
            </w:pPr>
            <w:r>
              <w:rPr>
                <w:rFonts w:hint="eastAsia"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234" w:type="dxa"/>
            <w:vMerge w:val="continue"/>
            <w:vAlign w:val="center"/>
          </w:tcPr>
          <w:p>
            <w:pPr>
              <w:pStyle w:val="51"/>
              <w:spacing w:beforeLines="0" w:afterLines="0" w:line="240" w:lineRule="auto"/>
              <w:rPr>
                <w:rFonts w:ascii="Times New Roman"/>
                <w:snapToGrid w:val="0"/>
                <w:color w:val="auto"/>
                <w:kern w:val="21"/>
                <w:szCs w:val="21"/>
                <w:highlight w:val="none"/>
              </w:rPr>
            </w:pPr>
          </w:p>
        </w:tc>
        <w:tc>
          <w:tcPr>
            <w:tcW w:w="1548" w:type="dxa"/>
            <w:vAlign w:val="center"/>
          </w:tcPr>
          <w:p>
            <w:pPr>
              <w:jc w:val="center"/>
              <w:rPr>
                <w:snapToGrid w:val="0"/>
                <w:color w:val="auto"/>
                <w:kern w:val="21"/>
                <w:szCs w:val="21"/>
                <w:highlight w:val="none"/>
              </w:rPr>
            </w:pPr>
            <w:r>
              <w:rPr>
                <w:rFonts w:hint="eastAsia"/>
                <w:color w:val="auto"/>
                <w:szCs w:val="21"/>
                <w:highlight w:val="none"/>
              </w:rPr>
              <w:t>废润滑油</w:t>
            </w:r>
          </w:p>
        </w:tc>
        <w:tc>
          <w:tcPr>
            <w:tcW w:w="1563" w:type="dxa"/>
            <w:vAlign w:val="center"/>
          </w:tcPr>
          <w:p>
            <w:pPr>
              <w:pStyle w:val="52"/>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0.1</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0.1</w:t>
            </w:r>
            <w:r>
              <w:rPr>
                <w:rFonts w:hint="eastAsia" w:ascii="Times New Roman" w:hAnsi="Times New Roman" w:cs="Times New Roman"/>
                <w:color w:val="auto"/>
                <w:szCs w:val="21"/>
                <w:highlight w:val="none"/>
              </w:rPr>
              <w:t>t/a</w:t>
            </w:r>
          </w:p>
        </w:tc>
        <w:tc>
          <w:tcPr>
            <w:tcW w:w="1297" w:type="dxa"/>
            <w:vAlign w:val="center"/>
          </w:tcPr>
          <w:p>
            <w:pPr>
              <w:pStyle w:val="50"/>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+0.1</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continue"/>
            <w:vAlign w:val="center"/>
          </w:tcPr>
          <w:p>
            <w:pPr>
              <w:pStyle w:val="51"/>
              <w:spacing w:beforeLines="0" w:afterLines="0" w:line="240" w:lineRule="auto"/>
              <w:rPr>
                <w:rFonts w:ascii="Times New Roman"/>
                <w:snapToGrid w:val="0"/>
                <w:color w:val="auto"/>
                <w:kern w:val="21"/>
                <w:szCs w:val="21"/>
                <w:highlight w:val="none"/>
              </w:rPr>
            </w:pPr>
          </w:p>
        </w:tc>
        <w:tc>
          <w:tcPr>
            <w:tcW w:w="1548" w:type="dxa"/>
            <w:vAlign w:val="center"/>
          </w:tcPr>
          <w:p>
            <w:pPr>
              <w:jc w:val="center"/>
              <w:rPr>
                <w:rFonts w:hint="eastAsia"/>
                <w:color w:val="auto"/>
                <w:szCs w:val="21"/>
                <w:highlight w:val="none"/>
              </w:rPr>
            </w:pPr>
            <w:r>
              <w:rPr>
                <w:rFonts w:hint="eastAsia"/>
                <w:color w:val="auto"/>
                <w:szCs w:val="21"/>
                <w:highlight w:val="none"/>
              </w:rPr>
              <w:t>废润滑油桶</w:t>
            </w:r>
          </w:p>
        </w:tc>
        <w:tc>
          <w:tcPr>
            <w:tcW w:w="1563" w:type="dxa"/>
            <w:vAlign w:val="center"/>
          </w:tcPr>
          <w:p>
            <w:pPr>
              <w:pStyle w:val="52"/>
              <w:spacing w:line="240" w:lineRule="auto"/>
              <w:ind w:firstLine="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195" w:type="dxa"/>
            <w:vAlign w:val="center"/>
          </w:tcPr>
          <w:p>
            <w:pPr>
              <w:jc w:val="center"/>
              <w:rPr>
                <w:rFonts w:hint="eastAsia"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1506" w:type="dxa"/>
            <w:vAlign w:val="center"/>
          </w:tcPr>
          <w:p>
            <w:pPr>
              <w:jc w:val="center"/>
              <w:rPr>
                <w:rFonts w:hint="eastAsia"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1563" w:type="dxa"/>
            <w:vAlign w:val="center"/>
          </w:tcPr>
          <w:p>
            <w:pPr>
              <w:pStyle w:val="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0.008</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1493" w:type="dxa"/>
            <w:vAlign w:val="center"/>
          </w:tcPr>
          <w:p>
            <w:pPr>
              <w:pStyle w:val="5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0.008</w:t>
            </w:r>
            <w:r>
              <w:rPr>
                <w:rFonts w:hint="eastAsia" w:ascii="Times New Roman" w:hAnsi="Times New Roman" w:cs="Times New Roman"/>
                <w:color w:val="auto"/>
                <w:szCs w:val="21"/>
                <w:highlight w:val="none"/>
              </w:rPr>
              <w:t>t/a</w:t>
            </w:r>
          </w:p>
        </w:tc>
        <w:tc>
          <w:tcPr>
            <w:tcW w:w="1297" w:type="dxa"/>
            <w:vAlign w:val="center"/>
          </w:tcPr>
          <w:p>
            <w:pPr>
              <w:pStyle w:val="5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+0.008</w:t>
            </w:r>
            <w:r>
              <w:rPr>
                <w:rFonts w:hint="eastAsia" w:ascii="Times New Roman" w:hAnsi="Times New Roman" w:cs="Times New Roman"/>
                <w:color w:val="auto"/>
                <w:szCs w:val="21"/>
                <w:highlight w:val="none"/>
              </w:rPr>
              <w:t>t/a</w:t>
            </w:r>
          </w:p>
        </w:tc>
      </w:tr>
    </w:tbl>
    <w:p>
      <w:pPr>
        <w:pStyle w:val="51"/>
        <w:spacing w:before="192" w:beforeLines="80" w:after="24"/>
        <w:jc w:val="left"/>
        <w:rPr>
          <w:color w:val="auto"/>
        </w:rPr>
      </w:pPr>
      <w:r>
        <w:rPr>
          <w:rFonts w:hAnsi="宋体"/>
          <w:snapToGrid w:val="0"/>
          <w:color w:val="auto"/>
          <w:kern w:val="21"/>
          <w:sz w:val="24"/>
          <w:szCs w:val="24"/>
        </w:rPr>
        <w:t>注：</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3 \* GB3 \* MERGEFORMAT </w:instrText>
      </w:r>
      <w:r>
        <w:rPr>
          <w:rFonts w:hAnsi="宋体"/>
          <w:snapToGrid w:val="0"/>
          <w:color w:val="auto"/>
          <w:spacing w:val="-6"/>
          <w:kern w:val="21"/>
          <w:sz w:val="24"/>
          <w:szCs w:val="24"/>
        </w:rPr>
        <w:fldChar w:fldCharType="separate"/>
      </w:r>
      <w:r>
        <w:rPr>
          <w:rFonts w:hint="eastAsia" w:hAnsi="宋体"/>
          <w:color w:val="auto"/>
          <w:sz w:val="24"/>
          <w:szCs w:val="24"/>
        </w:rPr>
        <w:t>③</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4 \* GB3 \* MERGEFORMAT </w:instrText>
      </w:r>
      <w:r>
        <w:rPr>
          <w:rFonts w:hAnsi="宋体"/>
          <w:snapToGrid w:val="0"/>
          <w:color w:val="auto"/>
          <w:spacing w:val="-6"/>
          <w:kern w:val="21"/>
          <w:sz w:val="24"/>
          <w:szCs w:val="24"/>
        </w:rPr>
        <w:fldChar w:fldCharType="separate"/>
      </w:r>
      <w:r>
        <w:rPr>
          <w:rFonts w:hint="eastAsia" w:hAnsi="宋体"/>
          <w:color w:val="auto"/>
          <w:sz w:val="24"/>
          <w:szCs w:val="24"/>
        </w:rPr>
        <w:t>④</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5 \* GB3 \* MERGEFORMAT </w:instrText>
      </w:r>
      <w:r>
        <w:rPr>
          <w:rFonts w:hAnsi="宋体"/>
          <w:snapToGrid w:val="0"/>
          <w:color w:val="auto"/>
          <w:spacing w:val="-16"/>
          <w:kern w:val="21"/>
          <w:sz w:val="24"/>
          <w:szCs w:val="24"/>
        </w:rPr>
        <w:fldChar w:fldCharType="separate"/>
      </w:r>
      <w:r>
        <w:rPr>
          <w:rFonts w:hint="eastAsia" w:hAnsi="宋体"/>
          <w:color w:val="auto"/>
          <w:sz w:val="24"/>
          <w:szCs w:val="24"/>
        </w:rPr>
        <w:t>⑤</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7 \* GB3 \* MERGEFORMAT </w:instrText>
      </w:r>
      <w:r>
        <w:rPr>
          <w:rFonts w:hAnsi="宋体"/>
          <w:snapToGrid w:val="0"/>
          <w:color w:val="auto"/>
          <w:spacing w:val="-6"/>
          <w:kern w:val="21"/>
          <w:sz w:val="24"/>
          <w:szCs w:val="24"/>
        </w:rPr>
        <w:fldChar w:fldCharType="separate"/>
      </w:r>
      <w:r>
        <w:rPr>
          <w:rFonts w:hint="eastAsia" w:hAnsi="宋体"/>
          <w:color w:val="auto"/>
          <w:sz w:val="24"/>
          <w:szCs w:val="24"/>
        </w:rPr>
        <w:t>⑦</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p>
    <w:p>
      <w:pPr>
        <w:rPr>
          <w:color w:val="auto"/>
        </w:rPr>
      </w:pPr>
    </w:p>
    <w:p>
      <w:pPr>
        <w:rPr>
          <w:color w:val="auto"/>
        </w:rPr>
      </w:pPr>
    </w:p>
    <w:sectPr>
      <w:footerReference r:id="rId5" w:type="default"/>
      <w:pgSz w:w="16838" w:h="11905" w:orient="landscape"/>
      <w:pgMar w:top="1531" w:right="1701" w:bottom="1531" w:left="2126"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C013B6-98EF-44D6-ABA8-36DCE3F47D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000247B" w:usb2="00000009" w:usb3="00000000" w:csb0="200001FF" w:csb1="00000000"/>
    <w:embedRegular r:id="rId2" w:fontKey="{93F666BB-F0D8-4E28-A8BF-8E55DC7CEB4E}"/>
  </w:font>
  <w:font w:name="Arial">
    <w:panose1 w:val="020B0604020202020204"/>
    <w:charset w:val="01"/>
    <w:family w:val="roman"/>
    <w:pitch w:val="default"/>
    <w:sig w:usb0="E0002EFF" w:usb1="C000785B"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BoldMT">
    <w:altName w:val="Times New Roman"/>
    <w:panose1 w:val="00000000000000000000"/>
    <w:charset w:val="00"/>
    <w:family w:val="swiss"/>
    <w:pitch w:val="default"/>
    <w:sig w:usb0="00000000" w:usb1="00000000" w:usb2="00000000" w:usb3="00000000" w:csb0="00040001" w:csb1="00000000"/>
  </w:font>
  <w:font w:name="Tahoma">
    <w:panose1 w:val="020B0604030504040204"/>
    <w:charset w:val="00"/>
    <w:family w:val="roman"/>
    <w:pitch w:val="default"/>
    <w:sig w:usb0="E1002EFF" w:usb1="C000605B" w:usb2="00000029" w:usb3="00000000" w:csb0="200101FF" w:csb1="20280000"/>
  </w:font>
  <w:font w:name="TimesNewRomanPSMT">
    <w:altName w:val="Times New Roman"/>
    <w:panose1 w:val="00000000000000000000"/>
    <w:charset w:val="00"/>
    <w:family w:val="swiss"/>
    <w:pitch w:val="default"/>
    <w:sig w:usb0="00000000" w:usb1="00000000" w:usb2="00000000" w:usb3="00000000" w:csb0="00000001" w:csb1="00000000"/>
  </w:font>
  <w:font w:name="仿宋_GB2312">
    <w:panose1 w:val="02010609030101010101"/>
    <w:charset w:val="86"/>
    <w:family w:val="decorative"/>
    <w:pitch w:val="default"/>
    <w:sig w:usb0="00000001" w:usb1="080E0000" w:usb2="00000000" w:usb3="00000000" w:csb0="00040000" w:csb1="00000000"/>
    <w:embedRegular r:id="rId3" w:fontKey="{712FEDB1-2D44-4900-BB47-78C380551A05}"/>
  </w:font>
  <w:font w:name="方正小标宋_GBK">
    <w:panose1 w:val="02000000000000000000"/>
    <w:charset w:val="86"/>
    <w:family w:val="script"/>
    <w:pitch w:val="default"/>
    <w:sig w:usb0="00000000" w:usb1="00000000" w:usb2="00000000" w:usb3="00000000" w:csb0="00000000" w:csb1="00000000"/>
    <w:embedRegular r:id="rId4" w:fontKey="{2B08AF7C-C7A5-4C03-91AD-C4B2A5B981A4}"/>
  </w:font>
  <w:font w:name="楷体_GB2312">
    <w:panose1 w:val="02010609030101010101"/>
    <w:charset w:val="86"/>
    <w:family w:val="decorative"/>
    <w:pitch w:val="default"/>
    <w:sig w:usb0="00000000" w:usb1="00000000" w:usb2="00000000" w:usb3="00000000" w:csb0="00000000" w:csb1="00000000"/>
    <w:embedRegular r:id="rId5" w:fontKey="{916300C5-8E6B-4E1E-A2C6-2EE15B7A358D}"/>
  </w:font>
  <w:font w:name="仿宋">
    <w:panose1 w:val="02010609060101010101"/>
    <w:charset w:val="86"/>
    <w:family w:val="decorative"/>
    <w:pitch w:val="default"/>
    <w:sig w:usb0="800002BF" w:usb1="38CF7CFA" w:usb2="00000016" w:usb3="00000000" w:csb0="00040001" w:csb1="00000000"/>
    <w:embedRegular r:id="rId6" w:fontKey="{28257B4B-7857-4BBE-B820-B24E04D0DDB8}"/>
  </w:font>
  <w:font w:name="MS Gothic">
    <w:panose1 w:val="020B0609070205080204"/>
    <w:charset w:val="80"/>
    <w:family w:val="decorative"/>
    <w:pitch w:val="default"/>
    <w:sig w:usb0="E00002FF" w:usb1="6AC7FDFB" w:usb2="08000012" w:usb3="00000000" w:csb0="4002009F" w:csb1="DFD70000"/>
    <w:embedRegular r:id="rId7" w:fontKey="{EC3F6DEB-D6EE-48A6-881E-F91228AA3F22}"/>
  </w:font>
  <w:font w:name="Segoe UI">
    <w:panose1 w:val="020B0502040204020203"/>
    <w:charset w:val="00"/>
    <w:family w:val="auto"/>
    <w:pitch w:val="default"/>
    <w:sig w:usb0="E4002EFF" w:usb1="C000E47F" w:usb2="00000009" w:usb3="00000000" w:csb0="200001FF" w:csb1="00000000"/>
    <w:embedRegular r:id="rId8" w:fontKey="{E3C8B8AF-8DF4-4F6D-8DD0-FFD82F9B903E}"/>
  </w:font>
  <w:font w:name="Times">
    <w:altName w:val="Times New Roman"/>
    <w:panose1 w:val="02020603050405020304"/>
    <w:charset w:val="00"/>
    <w:family w:val="swiss"/>
    <w:pitch w:val="default"/>
    <w:sig w:usb0="00000000" w:usb1="00000000" w:usb2="00000009" w:usb3="00000000" w:csb0="000001FF" w:csb1="00000000"/>
    <w:embedRegular r:id="rId9" w:fontKey="{4A89EA92-87FC-497E-9761-8DC6D0818A42}"/>
  </w:font>
  <w:font w:name="新宋体">
    <w:panose1 w:val="02010609030101010101"/>
    <w:charset w:val="86"/>
    <w:family w:val="decorative"/>
    <w:pitch w:val="default"/>
    <w:sig w:usb0="00000283" w:usb1="288F0000" w:usb2="00000006" w:usb3="00000000" w:csb0="00040001" w:csb1="00000000"/>
    <w:embedRegular r:id="rId10" w:fontKey="{88AD42BF-DEDD-4E56-9CBE-216447E28B8B}"/>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0288" behindDoc="0" locked="0" layoutInCell="1" allowOverlap="1">
              <wp:simplePos x="0" y="0"/>
              <wp:positionH relativeFrom="page">
                <wp:posOffset>3418840</wp:posOffset>
              </wp:positionH>
              <wp:positionV relativeFrom="paragraph">
                <wp:posOffset>-28575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2</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
                      </w:txbxContent>
                    </wps:txbx>
                    <wps:bodyPr wrap="none" lIns="0" tIns="0" rIns="0" bIns="0" upright="0">
                      <a:spAutoFit/>
                    </wps:bodyPr>
                  </wps:wsp>
                </a:graphicData>
              </a:graphic>
            </wp:anchor>
          </w:drawing>
        </mc:Choice>
        <mc:Fallback>
          <w:pict>
            <v:shape id="_x0000_s1026" o:spid="_x0000_s1026" o:spt="202" type="#_x0000_t202" style="position:absolute;left:0pt;margin-left:269.2pt;margin-top:-2.25pt;height:144pt;width:144pt;mso-position-horizontal-relative:page;mso-wrap-style:none;z-index:251660288;mso-width-relative:page;mso-height-relative:page;" filled="f" stroked="f" coordsize="21600,21600" o:gfxdata="UEsDBAoAAAAAAIdO4kAAAAAAAAAAAAAAAAAEAAAAZHJzL1BLAwQUAAAACACHTuJAEFxwgtcAAAAK&#10;AQAADwAAAGRycy9kb3ducmV2LnhtbE2PPU/DMBCGdyT+g3VIbK3TtClWiNOhEgsbBSGxufE1jvBH&#10;ZLtp8u85Jhjv7tF7z9scZmfZhDENwUvYrAtg6LugB99L+Hh/WQlgKSuvlQ0eJSyY4NDe3zWq1uHm&#10;33A65Z5RiE+1kmByHmvOU2fQqbQOI3q6XUJ0KtMYe66julG4s7wsij13avD0wagRjwa779PVSXia&#10;PwOOCY/4dZm6aIZF2NdFyseHTfEMLOOc/2D41Sd1aMnpHK5eJ2YlVFuxI1TCalcBI0CUe1qcJZRi&#10;WwFvG/6/QvsDUEsDBBQAAAAIAIdO4kCsA1RurgEAAE0DAAAOAAAAZHJzL2Uyb0RvYy54bWytU02u&#10;EzEM3iNxhyh7mnkVQtWo0yfQ00NICJAeHCDNJJ1ISRzFaWd6AbgBKzbsOVfPgZN2+vjZITYZx3Y+&#10;f5/tWd9O3rGDTmghdPxm0XCmg4Lehl3HP328f7biDLMMvXQQdMePGvnt5umT9RhbvYQBXK8TI5CA&#10;7Rg7PuQcWyFQDdpLXEDUgYIGkpeZrmkn+iRHQvdOLJvmhRgh9TGB0ojkvTsH+abiG6NVfm8M6sxc&#10;x4lbrmeq57acYrOW7S7JOFh1oSH/gYWXNlDRK9SdzJLtk/0LyluVAMHkhQIvwBirdNVAam6aP9Q8&#10;DDLqqoWag/HaJvx/sOrd4UNitqfZPecsSE8zOn39cvr24/T9MyMfNWiM2FLeQ6TMPL2CiZJnP5Kz&#10;6J5M8uVLihjFqdXHa3v1lJkqj1bL1aqhkKLYfCF88fg8JsyvNXhWjI4nml9tqzy8xXxOnVNKtQD3&#10;1rk6Qxd+cxBm8YjC/cyxWHnaThdBW+iPpGek0Xc80G5y5t4E6mzZktlIs7GdjX1MdjfUNSr1ML7c&#10;ZyJRuZUKZ9hLYZpZVXfZr7IUv95r1uNfsP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FxwgtcA&#10;AAAKAQAADwAAAAAAAAABACAAAAAiAAAAZHJzL2Rvd25yZXYueG1sUEsBAhQAFAAAAAgAh07iQKwD&#10;VG6uAQAATQMAAA4AAAAAAAAAAQAgAAAAJgEAAGRycy9lMm9Eb2MueG1sUEsFBgAAAAAGAAYAWQEA&#10;AEYFAAAAAA==&#10;">
              <v:fill on="f" focussize="0,0"/>
              <v:stroke on="f"/>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2</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59264" behindDoc="0" locked="0" layoutInCell="1" allowOverlap="1">
              <wp:simplePos x="0" y="0"/>
              <wp:positionH relativeFrom="page">
                <wp:posOffset>3418840</wp:posOffset>
              </wp:positionH>
              <wp:positionV relativeFrom="paragraph">
                <wp:posOffset>-28575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53</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
                      </w:txbxContent>
                    </wps:txbx>
                    <wps:bodyPr wrap="none" lIns="0" tIns="0" rIns="0" bIns="0" upright="0">
                      <a:spAutoFit/>
                    </wps:bodyPr>
                  </wps:wsp>
                </a:graphicData>
              </a:graphic>
            </wp:anchor>
          </w:drawing>
        </mc:Choice>
        <mc:Fallback>
          <w:pict>
            <v:shape id="_x0000_s1026" o:spid="_x0000_s1026" o:spt="202" type="#_x0000_t202" style="position:absolute;left:0pt;margin-left:269.2pt;margin-top:-2.25pt;height:144pt;width:144pt;mso-position-horizontal-relative:page;mso-wrap-style:none;z-index:251659264;mso-width-relative:page;mso-height-relative:page;" filled="f" stroked="f" coordsize="21600,21600" o:gfxdata="UEsDBAoAAAAAAIdO4kAAAAAAAAAAAAAAAAAEAAAAZHJzL1BLAwQUAAAACACHTuJAEFxwgtcAAAAK&#10;AQAADwAAAGRycy9kb3ducmV2LnhtbE2PPU/DMBCGdyT+g3VIbK3TtClWiNOhEgsbBSGxufE1jvBH&#10;ZLtp8u85Jhjv7tF7z9scZmfZhDENwUvYrAtg6LugB99L+Hh/WQlgKSuvlQ0eJSyY4NDe3zWq1uHm&#10;33A65Z5RiE+1kmByHmvOU2fQqbQOI3q6XUJ0KtMYe66julG4s7wsij13avD0wagRjwa779PVSXia&#10;PwOOCY/4dZm6aIZF2NdFyseHTfEMLOOc/2D41Sd1aMnpHK5eJ2YlVFuxI1TCalcBI0CUe1qcJZRi&#10;WwFvG/6/QvsDUEsDBBQAAAAIAIdO4kA3I502rgEAAE0DAAAOAAAAZHJzL2Uyb0RvYy54bWytU02u&#10;EzEM3iNxhyh7mnlFQtWo0yfQ00NICJAeHCDNJJ1ISRzFaWd6AbgBKzbsOVfPgZN2+vjZITYZx3Y+&#10;f5/tWd9O3rGDTmghdPxm0XCmg4Lehl3HP328f7biDLMMvXQQdMePGvnt5umT9RhbvYQBXK8TI5CA&#10;7Rg7PuQcWyFQDdpLXEDUgYIGkpeZrmkn+iRHQvdOLJvmhRgh9TGB0ojkvTsH+abiG6NVfm8M6sxc&#10;x4lbrmeq57acYrOW7S7JOFh1oSH/gYWXNlDRK9SdzJLtk/0LyluVAMHkhQIvwBirdNVAam6aP9Q8&#10;DDLqqoWag/HaJvx/sOrd4UNitqfZPecsSE8zOn39cvr24/T9MyMfNWiM2FLeQ6TMPL2CiZJnP5Kz&#10;6J5M8uVLihjFqdXHa3v1lJkqj1bL1aqhkKLYfCF88fg8JsyvNXhWjI4nml9tqzy8xXxOnVNKtQD3&#10;1rk6Qxd+cxBm8YjC/cyxWHnaThdBW+iPpGek0Xc80G5y5t4E6mzZktlIs7GdjX1MdjfUNSr1ML7c&#10;ZyJRuZUKZ9hLYZpZVXfZr7IUv95r1uNfsP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FxwgtcA&#10;AAAKAQAADwAAAAAAAAABACAAAAAiAAAAZHJzL2Rvd25yZXYueG1sUEsBAhQAFAAAAAgAh07iQDcj&#10;nTauAQAATQMAAA4AAAAAAAAAAQAgAAAAJgEAAGRycy9lMm9Eb2MueG1sUEsFBgAAAAAGAAYAWQEA&#10;AEYFAAAAAA==&#10;">
              <v:fill on="f" focussize="0,0"/>
              <v:stroke on="f"/>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53</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99312297">
    <w:nsid w:val="41862CA9"/>
    <w:multiLevelType w:val="multilevel"/>
    <w:tmpl w:val="41862CA9"/>
    <w:lvl w:ilvl="0" w:tentative="1">
      <w:start w:val="1"/>
      <w:numFmt w:val="decimal"/>
      <w:suff w:val="space"/>
      <w:lvlText w:val="%1"/>
      <w:lvlJc w:val="left"/>
      <w:pPr>
        <w:ind w:left="0" w:firstLine="0"/>
      </w:pPr>
      <w:rPr>
        <w:rFonts w:hint="eastAsia"/>
        <w:sz w:val="30"/>
        <w:szCs w:val="30"/>
      </w:rPr>
    </w:lvl>
    <w:lvl w:ilvl="1" w:tentative="1">
      <w:start w:val="1"/>
      <w:numFmt w:val="decimal"/>
      <w:pStyle w:val="32"/>
      <w:suff w:val="space"/>
      <w:lvlText w:val="%1.%2"/>
      <w:lvlJc w:val="left"/>
      <w:pPr>
        <w:ind w:left="1560" w:firstLine="0"/>
      </w:pPr>
      <w:rPr>
        <w:rFonts w:hint="default" w:ascii="Arial" w:hAnsi="Arial"/>
      </w:rPr>
    </w:lvl>
    <w:lvl w:ilvl="2" w:tentative="1">
      <w:start w:val="1"/>
      <w:numFmt w:val="decimal"/>
      <w:suff w:val="space"/>
      <w:lvlText w:val="%1.%2.%3"/>
      <w:lvlJc w:val="left"/>
      <w:pPr>
        <w:ind w:left="994" w:hanging="426"/>
      </w:pPr>
      <w:rPr>
        <w:rFonts w:hint="default" w:ascii="Arial" w:hAnsi="Arial"/>
      </w:rPr>
    </w:lvl>
    <w:lvl w:ilvl="3" w:tentative="1">
      <w:start w:val="1"/>
      <w:numFmt w:val="decimal"/>
      <w:suff w:val="nothing"/>
      <w:lvlText w:val="%1.%2.%3.%4"/>
      <w:lvlJc w:val="left"/>
      <w:pPr>
        <w:ind w:left="851" w:hanging="851"/>
      </w:pPr>
      <w:rPr>
        <w:rFonts w:hint="eastAsia" w:ascii="Arial" w:hAnsi="Arial"/>
      </w:rPr>
    </w:lvl>
    <w:lvl w:ilvl="4" w:tentative="1">
      <w:start w:val="1"/>
      <w:numFmt w:val="decimal"/>
      <w:lvlText w:val="%1.%2.%3.%4.%5."/>
      <w:lvlJc w:val="left"/>
      <w:pPr>
        <w:tabs>
          <w:tab w:val="left" w:pos="992"/>
        </w:tabs>
        <w:ind w:left="992" w:hanging="992"/>
      </w:pPr>
      <w:rPr>
        <w:rFonts w:hint="eastAsia"/>
      </w:rPr>
    </w:lvl>
    <w:lvl w:ilvl="5" w:tentative="1">
      <w:start w:val="1"/>
      <w:numFmt w:val="decimal"/>
      <w:lvlText w:val="%1.%2.%3.%4.%5.%6."/>
      <w:lvlJc w:val="left"/>
      <w:pPr>
        <w:tabs>
          <w:tab w:val="left" w:pos="1134"/>
        </w:tabs>
        <w:ind w:left="1134" w:hanging="1134"/>
      </w:pPr>
      <w:rPr>
        <w:rFonts w:hint="eastAsia"/>
      </w:rPr>
    </w:lvl>
    <w:lvl w:ilvl="6" w:tentative="1">
      <w:start w:val="1"/>
      <w:numFmt w:val="decimal"/>
      <w:lvlText w:val="%1.%2.%3.%4.%5.%6.%7."/>
      <w:lvlJc w:val="left"/>
      <w:pPr>
        <w:tabs>
          <w:tab w:val="left" w:pos="1276"/>
        </w:tabs>
        <w:ind w:left="1276" w:hanging="1276"/>
      </w:pPr>
      <w:rPr>
        <w:rFonts w:hint="eastAsia"/>
      </w:rPr>
    </w:lvl>
    <w:lvl w:ilvl="7" w:tentative="1">
      <w:start w:val="1"/>
      <w:numFmt w:val="decimal"/>
      <w:lvlText w:val="%1.%2.%3.%4.%5.%6.%7.%8."/>
      <w:lvlJc w:val="left"/>
      <w:pPr>
        <w:tabs>
          <w:tab w:val="left" w:pos="1418"/>
        </w:tabs>
        <w:ind w:left="1418" w:hanging="1418"/>
      </w:pPr>
      <w:rPr>
        <w:rFonts w:hint="eastAsia"/>
      </w:rPr>
    </w:lvl>
    <w:lvl w:ilvl="8" w:tentative="1">
      <w:start w:val="1"/>
      <w:numFmt w:val="decimal"/>
      <w:lvlText w:val="%1.%2.%3.%4.%5.%6.%7.%8.%9."/>
      <w:lvlJc w:val="left"/>
      <w:pPr>
        <w:tabs>
          <w:tab w:val="left" w:pos="1559"/>
        </w:tabs>
        <w:ind w:left="1559" w:hanging="1559"/>
      </w:pPr>
      <w:rPr>
        <w:rFonts w:hint="eastAsia"/>
      </w:rPr>
    </w:lvl>
  </w:abstractNum>
  <w:abstractNum w:abstractNumId="2833689195">
    <w:nsid w:val="A8E6AA6B"/>
    <w:multiLevelType w:val="singleLevel"/>
    <w:tmpl w:val="A8E6AA6B"/>
    <w:lvl w:ilvl="0" w:tentative="1">
      <w:start w:val="1"/>
      <w:numFmt w:val="decimal"/>
      <w:suff w:val="nothing"/>
      <w:lvlText w:val="（%1）"/>
      <w:lvlJc w:val="left"/>
    </w:lvl>
  </w:abstractNum>
  <w:abstractNum w:abstractNumId="2371569072">
    <w:nsid w:val="8D5B45B0"/>
    <w:multiLevelType w:val="singleLevel"/>
    <w:tmpl w:val="8D5B45B0"/>
    <w:lvl w:ilvl="0" w:tentative="1">
      <w:start w:val="1"/>
      <w:numFmt w:val="decimal"/>
      <w:suff w:val="nothing"/>
      <w:lvlText w:val="（%1）"/>
      <w:lvlJc w:val="left"/>
    </w:lvl>
  </w:abstractNum>
  <w:abstractNum w:abstractNumId="4090684605">
    <w:nsid w:val="F3D2E4BD"/>
    <w:multiLevelType w:val="singleLevel"/>
    <w:tmpl w:val="F3D2E4BD"/>
    <w:lvl w:ilvl="0" w:tentative="1">
      <w:start w:val="1"/>
      <w:numFmt w:val="decimal"/>
      <w:suff w:val="nothing"/>
      <w:lvlText w:val="（%1）"/>
      <w:lvlJc w:val="left"/>
    </w:lvl>
  </w:abstractNum>
  <w:abstractNum w:abstractNumId="1954588766">
    <w:nsid w:val="7480A85E"/>
    <w:multiLevelType w:val="singleLevel"/>
    <w:tmpl w:val="7480A85E"/>
    <w:lvl w:ilvl="0" w:tentative="1">
      <w:start w:val="1"/>
      <w:numFmt w:val="chineseCounting"/>
      <w:suff w:val="nothing"/>
      <w:lvlText w:val="%1、"/>
      <w:lvlJc w:val="left"/>
      <w:rPr>
        <w:rFonts w:hint="eastAsia"/>
      </w:rPr>
    </w:lvl>
  </w:abstractNum>
  <w:num w:numId="1">
    <w:abstractNumId w:val="1099312297"/>
  </w:num>
  <w:num w:numId="2">
    <w:abstractNumId w:val="2833689195"/>
  </w:num>
  <w:num w:numId="3">
    <w:abstractNumId w:val="1954588766"/>
  </w:num>
  <w:num w:numId="4">
    <w:abstractNumId w:val="4090684605"/>
  </w:num>
  <w:num w:numId="5">
    <w:abstractNumId w:val="2371569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7586"/>
    <w:rsid w:val="01401F5A"/>
    <w:rsid w:val="01B34A6A"/>
    <w:rsid w:val="01D46B46"/>
    <w:rsid w:val="02171028"/>
    <w:rsid w:val="036954A0"/>
    <w:rsid w:val="045E77C5"/>
    <w:rsid w:val="04667B52"/>
    <w:rsid w:val="06B34F7C"/>
    <w:rsid w:val="06E25862"/>
    <w:rsid w:val="07854B6B"/>
    <w:rsid w:val="078A03D3"/>
    <w:rsid w:val="07921036"/>
    <w:rsid w:val="080D18B7"/>
    <w:rsid w:val="08B82D1E"/>
    <w:rsid w:val="0A691060"/>
    <w:rsid w:val="0AB94B2B"/>
    <w:rsid w:val="0ADA51CD"/>
    <w:rsid w:val="0B4942B0"/>
    <w:rsid w:val="0D0D139C"/>
    <w:rsid w:val="0D4D7072"/>
    <w:rsid w:val="0DBA7538"/>
    <w:rsid w:val="0E9E69EA"/>
    <w:rsid w:val="0F423341"/>
    <w:rsid w:val="108D20E9"/>
    <w:rsid w:val="10DB1CAF"/>
    <w:rsid w:val="10F971C5"/>
    <w:rsid w:val="1222745A"/>
    <w:rsid w:val="14B7657F"/>
    <w:rsid w:val="14F52C04"/>
    <w:rsid w:val="1534372C"/>
    <w:rsid w:val="15BF7CE7"/>
    <w:rsid w:val="15D1525F"/>
    <w:rsid w:val="16ED3F69"/>
    <w:rsid w:val="18AC785D"/>
    <w:rsid w:val="19B7492C"/>
    <w:rsid w:val="1A237C3E"/>
    <w:rsid w:val="1A4703AB"/>
    <w:rsid w:val="1C8A66C6"/>
    <w:rsid w:val="1CF554E4"/>
    <w:rsid w:val="1D214EDE"/>
    <w:rsid w:val="1D306ECF"/>
    <w:rsid w:val="1D6D0123"/>
    <w:rsid w:val="1DC11182"/>
    <w:rsid w:val="1DD342E1"/>
    <w:rsid w:val="1E202492"/>
    <w:rsid w:val="1E6A4663"/>
    <w:rsid w:val="21020B82"/>
    <w:rsid w:val="21110DC5"/>
    <w:rsid w:val="21222FD3"/>
    <w:rsid w:val="219E6AFD"/>
    <w:rsid w:val="21B45B5C"/>
    <w:rsid w:val="21BF2393"/>
    <w:rsid w:val="237E2FD4"/>
    <w:rsid w:val="25B14925"/>
    <w:rsid w:val="25E62821"/>
    <w:rsid w:val="26F86CAF"/>
    <w:rsid w:val="271902F9"/>
    <w:rsid w:val="28664026"/>
    <w:rsid w:val="28B73E93"/>
    <w:rsid w:val="2AC82E3D"/>
    <w:rsid w:val="2B254E44"/>
    <w:rsid w:val="2D7D7F0E"/>
    <w:rsid w:val="2EC55B60"/>
    <w:rsid w:val="2F984B68"/>
    <w:rsid w:val="30670A02"/>
    <w:rsid w:val="313F372D"/>
    <w:rsid w:val="31E77CF6"/>
    <w:rsid w:val="31F44517"/>
    <w:rsid w:val="3207249C"/>
    <w:rsid w:val="32296FE2"/>
    <w:rsid w:val="32CE6B16"/>
    <w:rsid w:val="33F425AD"/>
    <w:rsid w:val="33F6144D"/>
    <w:rsid w:val="342015F4"/>
    <w:rsid w:val="35504114"/>
    <w:rsid w:val="35707EC9"/>
    <w:rsid w:val="35775243"/>
    <w:rsid w:val="376F3967"/>
    <w:rsid w:val="378F3B7E"/>
    <w:rsid w:val="3803127C"/>
    <w:rsid w:val="388E474A"/>
    <w:rsid w:val="3A6F5083"/>
    <w:rsid w:val="3BA7147B"/>
    <w:rsid w:val="3BB84807"/>
    <w:rsid w:val="3BC95F76"/>
    <w:rsid w:val="3C1B2D66"/>
    <w:rsid w:val="3C58089F"/>
    <w:rsid w:val="3CA1704A"/>
    <w:rsid w:val="3CD967E3"/>
    <w:rsid w:val="3CDC4526"/>
    <w:rsid w:val="3DC026B4"/>
    <w:rsid w:val="3F1955BD"/>
    <w:rsid w:val="3F6B2247"/>
    <w:rsid w:val="3FF11314"/>
    <w:rsid w:val="40521AD4"/>
    <w:rsid w:val="40B27A77"/>
    <w:rsid w:val="41634D42"/>
    <w:rsid w:val="41B4781F"/>
    <w:rsid w:val="41F145CF"/>
    <w:rsid w:val="4237033A"/>
    <w:rsid w:val="42D27F5D"/>
    <w:rsid w:val="434D3A87"/>
    <w:rsid w:val="4396467E"/>
    <w:rsid w:val="44760DBC"/>
    <w:rsid w:val="45611A6C"/>
    <w:rsid w:val="46DD199C"/>
    <w:rsid w:val="481C3611"/>
    <w:rsid w:val="48E22EC4"/>
    <w:rsid w:val="4B944949"/>
    <w:rsid w:val="4C39729F"/>
    <w:rsid w:val="4C8D1398"/>
    <w:rsid w:val="4D587BF8"/>
    <w:rsid w:val="4D5D2EA0"/>
    <w:rsid w:val="4F58289D"/>
    <w:rsid w:val="50A6606A"/>
    <w:rsid w:val="50E24F84"/>
    <w:rsid w:val="52650DED"/>
    <w:rsid w:val="528D0E30"/>
    <w:rsid w:val="52FB266F"/>
    <w:rsid w:val="53424C8B"/>
    <w:rsid w:val="54EB07F2"/>
    <w:rsid w:val="57EF3B87"/>
    <w:rsid w:val="59A16DF5"/>
    <w:rsid w:val="59C75EEA"/>
    <w:rsid w:val="59DB7EFC"/>
    <w:rsid w:val="5A053E9D"/>
    <w:rsid w:val="5A510545"/>
    <w:rsid w:val="5AFF37A1"/>
    <w:rsid w:val="5B9067AF"/>
    <w:rsid w:val="5BCF1086"/>
    <w:rsid w:val="5D1D5973"/>
    <w:rsid w:val="5D6677C8"/>
    <w:rsid w:val="5DF9063C"/>
    <w:rsid w:val="5FE61094"/>
    <w:rsid w:val="60315ADA"/>
    <w:rsid w:val="60A5488C"/>
    <w:rsid w:val="60B66CB8"/>
    <w:rsid w:val="617526CF"/>
    <w:rsid w:val="6175733E"/>
    <w:rsid w:val="630602B6"/>
    <w:rsid w:val="636C0562"/>
    <w:rsid w:val="63A92B04"/>
    <w:rsid w:val="645B696A"/>
    <w:rsid w:val="64654A91"/>
    <w:rsid w:val="64CE0EDE"/>
    <w:rsid w:val="653F5F4D"/>
    <w:rsid w:val="65442AE4"/>
    <w:rsid w:val="659B4E8A"/>
    <w:rsid w:val="65C17746"/>
    <w:rsid w:val="665B4BDE"/>
    <w:rsid w:val="68127FCE"/>
    <w:rsid w:val="6844104D"/>
    <w:rsid w:val="68A11FFC"/>
    <w:rsid w:val="68A815DC"/>
    <w:rsid w:val="69214F10"/>
    <w:rsid w:val="697F058F"/>
    <w:rsid w:val="6A575068"/>
    <w:rsid w:val="6B347157"/>
    <w:rsid w:val="6D2E2DF9"/>
    <w:rsid w:val="6F4C4E73"/>
    <w:rsid w:val="70313297"/>
    <w:rsid w:val="70875F7B"/>
    <w:rsid w:val="7114565F"/>
    <w:rsid w:val="72C40DC1"/>
    <w:rsid w:val="72D817E1"/>
    <w:rsid w:val="72E54E0C"/>
    <w:rsid w:val="74196B18"/>
    <w:rsid w:val="74B135C7"/>
    <w:rsid w:val="76A26BA2"/>
    <w:rsid w:val="76C24E9F"/>
    <w:rsid w:val="76D65A20"/>
    <w:rsid w:val="77436BAC"/>
    <w:rsid w:val="78735327"/>
    <w:rsid w:val="78E26538"/>
    <w:rsid w:val="79075C8C"/>
    <w:rsid w:val="79116D2A"/>
    <w:rsid w:val="79377D0E"/>
    <w:rsid w:val="79876FEC"/>
    <w:rsid w:val="7A911ED0"/>
    <w:rsid w:val="7AF10BC1"/>
    <w:rsid w:val="7C1A7CA3"/>
    <w:rsid w:val="7C1D1542"/>
    <w:rsid w:val="7CA26617"/>
    <w:rsid w:val="7CA37C99"/>
    <w:rsid w:val="7CAC30B2"/>
    <w:rsid w:val="7CEA3B1A"/>
    <w:rsid w:val="7D3948D1"/>
    <w:rsid w:val="7E6609F7"/>
    <w:rsid w:val="7E885398"/>
    <w:rsid w:val="7F265DED"/>
    <w:rsid w:val="7FAD6012"/>
    <w:rsid w:val="7FFA22C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99"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tabs>
        <w:tab w:val="left" w:pos="576"/>
        <w:tab w:val="left" w:pos="720"/>
        <w:tab w:val="left" w:pos="888"/>
      </w:tabs>
      <w:spacing w:before="120" w:after="120" w:line="360" w:lineRule="auto"/>
      <w:ind w:left="576" w:hanging="576"/>
      <w:jc w:val="left"/>
      <w:outlineLvl w:val="1"/>
    </w:pPr>
    <w:rPr>
      <w:b/>
      <w:bCs/>
      <w:sz w:val="30"/>
      <w:szCs w:val="30"/>
    </w:rPr>
  </w:style>
  <w:style w:type="paragraph" w:styleId="3">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3">
    <w:name w:val="Default Paragraph Font"/>
    <w:semiHidden/>
    <w:qFormat/>
    <w:uiPriority w:val="0"/>
  </w:style>
  <w:style w:type="table" w:default="1" w:styleId="27">
    <w:name w:val="Normal Table"/>
    <w:semiHidden/>
    <w:qFormat/>
    <w:uiPriority w:val="0"/>
    <w:tblPr>
      <w:tblLayout w:type="fixed"/>
      <w:tblCellMar>
        <w:top w:w="0" w:type="dxa"/>
        <w:left w:w="108" w:type="dxa"/>
        <w:bottom w:w="0" w:type="dxa"/>
        <w:right w:w="108" w:type="dxa"/>
      </w:tblCellMar>
    </w:tblPr>
  </w:style>
  <w:style w:type="paragraph" w:styleId="4">
    <w:name w:val="List 3"/>
    <w:basedOn w:val="1"/>
    <w:qFormat/>
    <w:uiPriority w:val="0"/>
    <w:pPr>
      <w:adjustRightInd/>
      <w:spacing w:line="240" w:lineRule="auto"/>
      <w:ind w:left="0" w:leftChars="0" w:firstLine="0" w:firstLineChars="0"/>
      <w:textAlignment w:val="auto"/>
    </w:pPr>
    <w:rPr>
      <w:sz w:val="21"/>
    </w:rPr>
  </w:style>
  <w:style w:type="paragraph" w:styleId="5">
    <w:name w:val="Body Text First Indent"/>
    <w:basedOn w:val="6"/>
    <w:next w:val="1"/>
    <w:qFormat/>
    <w:uiPriority w:val="0"/>
    <w:pPr>
      <w:ind w:firstLine="420" w:firstLineChars="100"/>
    </w:pPr>
  </w:style>
  <w:style w:type="paragraph" w:styleId="6">
    <w:name w:val="Body Text"/>
    <w:basedOn w:val="1"/>
    <w:next w:val="7"/>
    <w:qFormat/>
    <w:uiPriority w:val="0"/>
    <w:pPr>
      <w:widowControl/>
      <w:snapToGrid w:val="0"/>
      <w:spacing w:before="60" w:after="160" w:line="259" w:lineRule="auto"/>
      <w:ind w:right="113"/>
    </w:pPr>
    <w:rPr>
      <w:kern w:val="0"/>
      <w:sz w:val="18"/>
      <w:szCs w:val="20"/>
    </w:rPr>
  </w:style>
  <w:style w:type="paragraph" w:customStyle="1" w:styleId="7">
    <w:name w:val="xl27"/>
    <w:basedOn w:val="1"/>
    <w:next w:val="8"/>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8">
    <w:name w:val="A正文"/>
    <w:basedOn w:val="1"/>
    <w:next w:val="6"/>
    <w:qFormat/>
    <w:uiPriority w:val="0"/>
    <w:pPr>
      <w:widowControl/>
      <w:spacing w:line="360" w:lineRule="auto"/>
      <w:ind w:firstLine="200" w:firstLineChars="200"/>
      <w:jc w:val="left"/>
    </w:pPr>
    <w:rPr>
      <w:rFonts w:ascii="Times New Roman" w:hAnsi="Times New Roman" w:eastAsia="宋体" w:cs="Times New Roman"/>
      <w:kern w:val="0"/>
      <w:sz w:val="24"/>
      <w:szCs w:val="22"/>
    </w:rPr>
  </w:style>
  <w:style w:type="paragraph" w:styleId="9">
    <w:name w:val="Normal Indent"/>
    <w:basedOn w:val="1"/>
    <w:next w:val="3"/>
    <w:qFormat/>
    <w:uiPriority w:val="0"/>
    <w:pPr>
      <w:ind w:firstLine="420"/>
    </w:pPr>
  </w:style>
  <w:style w:type="paragraph" w:styleId="10">
    <w:name w:val="annotation text"/>
    <w:basedOn w:val="1"/>
    <w:semiHidden/>
    <w:qFormat/>
    <w:uiPriority w:val="0"/>
    <w:pPr>
      <w:jc w:val="left"/>
    </w:pPr>
    <w:rPr>
      <w:kern w:val="0"/>
      <w:sz w:val="24"/>
      <w:szCs w:val="20"/>
    </w:rPr>
  </w:style>
  <w:style w:type="paragraph" w:styleId="11">
    <w:name w:val="Body Text Indent"/>
    <w:basedOn w:val="1"/>
    <w:next w:val="12"/>
    <w:qFormat/>
    <w:uiPriority w:val="0"/>
    <w:pPr>
      <w:spacing w:after="120"/>
      <w:ind w:left="420" w:leftChars="200"/>
    </w:pPr>
    <w:rPr>
      <w:kern w:val="0"/>
      <w:sz w:val="24"/>
      <w:szCs w:val="20"/>
    </w:rPr>
  </w:style>
  <w:style w:type="paragraph" w:styleId="12">
    <w:name w:val="Body Text Indent 2"/>
    <w:basedOn w:val="1"/>
    <w:next w:val="13"/>
    <w:qFormat/>
    <w:uiPriority w:val="0"/>
    <w:pPr>
      <w:spacing w:after="120" w:line="480" w:lineRule="auto"/>
      <w:ind w:left="420" w:leftChars="200"/>
    </w:pPr>
    <w:rPr>
      <w:rFonts w:ascii="Calibri" w:hAnsi="Calibri" w:eastAsia="宋体"/>
      <w:bCs/>
      <w:kern w:val="2"/>
      <w:sz w:val="21"/>
      <w:szCs w:val="24"/>
    </w:rPr>
  </w:style>
  <w:style w:type="paragraph" w:styleId="13">
    <w:name w:val="Body Text First Indent 2"/>
    <w:basedOn w:val="11"/>
    <w:next w:val="1"/>
    <w:qFormat/>
    <w:uiPriority w:val="0"/>
    <w:pPr>
      <w:spacing w:line="360" w:lineRule="auto"/>
      <w:ind w:firstLine="420" w:firstLineChars="200"/>
      <w:jc w:val="left"/>
    </w:pPr>
    <w:rPr>
      <w:rFonts w:hAnsi="Times New Roman" w:eastAsia="宋体"/>
      <w:kern w:val="2"/>
      <w:szCs w:val="24"/>
    </w:rPr>
  </w:style>
  <w:style w:type="paragraph" w:styleId="14">
    <w:name w:val="Block Text"/>
    <w:basedOn w:val="1"/>
    <w:unhideWhenUsed/>
    <w:qFormat/>
    <w:uiPriority w:val="0"/>
    <w:pPr>
      <w:spacing w:after="120" w:afterLines="0"/>
      <w:ind w:left="1440" w:leftChars="700" w:right="1440" w:rightChars="700"/>
    </w:p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envelope return"/>
    <w:basedOn w:val="1"/>
    <w:qFormat/>
    <w:uiPriority w:val="0"/>
    <w:pPr>
      <w:snapToGrid w:val="0"/>
      <w:spacing w:line="480" w:lineRule="exact"/>
      <w:ind w:firstLine="0" w:firstLineChars="0"/>
    </w:pPr>
    <w:rPr>
      <w:rFonts w:ascii="Arial" w:hAnsi="Arial" w:cs="Arial"/>
      <w:sz w:val="21"/>
    </w:rPr>
  </w:style>
  <w:style w:type="paragraph" w:styleId="17">
    <w:name w:val="index heading"/>
    <w:basedOn w:val="1"/>
    <w:next w:val="18"/>
    <w:semiHidden/>
    <w:qFormat/>
    <w:uiPriority w:val="0"/>
    <w:rPr>
      <w:rFonts w:ascii="Arial" w:hAnsi="Arial" w:cs="Arial"/>
      <w:b/>
      <w:bCs/>
    </w:rPr>
  </w:style>
  <w:style w:type="paragraph" w:styleId="18">
    <w:name w:val="index 1"/>
    <w:basedOn w:val="1"/>
    <w:next w:val="1"/>
    <w:qFormat/>
    <w:uiPriority w:val="0"/>
    <w:pPr>
      <w:tabs>
        <w:tab w:val="left" w:pos="932"/>
        <w:tab w:val="center" w:pos="4535"/>
      </w:tabs>
      <w:spacing w:line="400" w:lineRule="exact"/>
      <w:jc w:val="center"/>
    </w:pPr>
    <w:rPr>
      <w:rFonts w:ascii="宋体" w:hAnsi="宋体"/>
      <w:bCs/>
      <w:sz w:val="24"/>
    </w:rPr>
  </w:style>
  <w:style w:type="paragraph" w:styleId="19">
    <w:name w:val="List"/>
    <w:basedOn w:val="1"/>
    <w:qFormat/>
    <w:uiPriority w:val="99"/>
    <w:pPr>
      <w:widowControl/>
      <w:tabs>
        <w:tab w:val="center" w:pos="426"/>
      </w:tabs>
      <w:autoSpaceDE w:val="0"/>
      <w:autoSpaceDN w:val="0"/>
      <w:adjustRightInd w:val="0"/>
      <w:snapToGrid w:val="0"/>
      <w:jc w:val="center"/>
    </w:pPr>
    <w:rPr>
      <w:rFonts w:ascii="Times New Roman" w:hAnsi="Times New Roman" w:eastAsia="宋体" w:cs="Times New Roman"/>
      <w:bCs/>
      <w:kern w:val="0"/>
      <w:sz w:val="28"/>
      <w:szCs w:val="20"/>
    </w:rPr>
  </w:style>
  <w:style w:type="paragraph" w:styleId="20">
    <w:name w:val="toc 9"/>
    <w:basedOn w:val="1"/>
    <w:next w:val="1"/>
    <w:qFormat/>
    <w:uiPriority w:val="0"/>
    <w:pPr>
      <w:wordWrap w:val="0"/>
      <w:spacing w:line="240" w:lineRule="auto"/>
      <w:ind w:left="2975"/>
    </w:pPr>
    <w:rPr>
      <w:rFonts w:cs="Times New Roman"/>
      <w:sz w:val="21"/>
      <w:szCs w:val="22"/>
    </w:rPr>
  </w:style>
  <w:style w:type="paragraph" w:styleId="21">
    <w:name w:val="Body Text 2"/>
    <w:basedOn w:val="1"/>
    <w:qFormat/>
    <w:uiPriority w:val="0"/>
    <w:pPr>
      <w:spacing w:line="420" w:lineRule="exact"/>
    </w:pPr>
    <w:rPr>
      <w:sz w:val="28"/>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character" w:styleId="24">
    <w:name w:val="Strong"/>
    <w:basedOn w:val="23"/>
    <w:qFormat/>
    <w:uiPriority w:val="0"/>
    <w:rPr>
      <w:b/>
      <w:bCs/>
    </w:rPr>
  </w:style>
  <w:style w:type="character" w:styleId="25">
    <w:name w:val="page number"/>
    <w:qFormat/>
    <w:uiPriority w:val="0"/>
  </w:style>
  <w:style w:type="character" w:styleId="26">
    <w:name w:val="annotation reference"/>
    <w:semiHidden/>
    <w:qFormat/>
    <w:uiPriority w:val="0"/>
    <w:rPr>
      <w:sz w:val="21"/>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
    <w:name w:val="UserStyle_0"/>
    <w:basedOn w:val="1"/>
    <w:qFormat/>
    <w:uiPriority w:val="99"/>
    <w:pPr>
      <w:spacing w:line="590" w:lineRule="exact"/>
      <w:ind w:firstLine="880" w:firstLineChars="200"/>
      <w:textAlignment w:val="baseline"/>
    </w:pPr>
  </w:style>
  <w:style w:type="paragraph" w:customStyle="1" w:styleId="30">
    <w:name w:val="Default"/>
    <w:basedOn w:val="31"/>
    <w:qFormat/>
    <w:uiPriority w:val="0"/>
    <w:pPr>
      <w:widowControl w:val="0"/>
      <w:tabs>
        <w:tab w:val="left" w:pos="576"/>
        <w:tab w:val="left" w:pos="720"/>
        <w:tab w:val="left" w:pos="888"/>
      </w:tabs>
      <w:autoSpaceDE w:val="0"/>
      <w:autoSpaceDN w:val="0"/>
      <w:adjustRightInd w:val="0"/>
    </w:pPr>
    <w:rPr>
      <w:rFonts w:ascii="Calibri" w:hAnsi="Calibri"/>
      <w:color w:val="000000"/>
      <w:sz w:val="24"/>
      <w:szCs w:val="24"/>
      <w:lang w:val="en-US" w:eastAsia="zh-CN" w:bidi="ar-SA"/>
    </w:rPr>
  </w:style>
  <w:style w:type="paragraph" w:customStyle="1" w:styleId="31">
    <w:name w:val="纯文本1"/>
    <w:basedOn w:val="1"/>
    <w:qFormat/>
    <w:uiPriority w:val="99"/>
    <w:pPr>
      <w:adjustRightInd w:val="0"/>
    </w:pPr>
    <w:rPr>
      <w:rFonts w:hAnsi="Courier New"/>
    </w:rPr>
  </w:style>
  <w:style w:type="paragraph" w:customStyle="1" w:styleId="32">
    <w:name w:val="标题2"/>
    <w:basedOn w:val="2"/>
    <w:next w:val="1"/>
    <w:qFormat/>
    <w:uiPriority w:val="0"/>
    <w:pPr>
      <w:numPr>
        <w:ilvl w:val="1"/>
        <w:numId w:val="1"/>
      </w:numPr>
      <w:spacing w:before="0" w:after="0" w:line="440" w:lineRule="exact"/>
    </w:pPr>
    <w:rPr>
      <w:kern w:val="0"/>
      <w:sz w:val="28"/>
    </w:rPr>
  </w:style>
  <w:style w:type="paragraph" w:customStyle="1" w:styleId="33">
    <w:name w:val="文本"/>
    <w:basedOn w:val="9"/>
    <w:next w:val="1"/>
    <w:qFormat/>
    <w:uiPriority w:val="0"/>
    <w:pPr>
      <w:autoSpaceDE w:val="0"/>
      <w:autoSpaceDN w:val="0"/>
      <w:ind w:firstLine="480"/>
    </w:pPr>
    <w:rPr>
      <w:rFonts w:cs="Times New Roman"/>
      <w:szCs w:val="24"/>
      <w:lang w:val="zh-CN"/>
    </w:rPr>
  </w:style>
  <w:style w:type="paragraph" w:customStyle="1" w:styleId="34">
    <w:name w:val="样式小4"/>
    <w:basedOn w:val="1"/>
    <w:qFormat/>
    <w:uiPriority w:val="0"/>
    <w:pPr>
      <w:spacing w:afterLines="0" w:line="360" w:lineRule="auto"/>
      <w:ind w:firstLine="480" w:firstLineChars="200"/>
    </w:pPr>
    <w:rPr>
      <w:rFonts w:hint="default" w:ascii="Times New Roman" w:hAnsi="Times New Roman" w:eastAsia="宋体" w:cs="Times New Roman"/>
      <w:sz w:val="24"/>
    </w:rPr>
  </w:style>
  <w:style w:type="character" w:customStyle="1" w:styleId="35">
    <w:name w:val="fontstyle01"/>
    <w:basedOn w:val="23"/>
    <w:qFormat/>
    <w:uiPriority w:val="0"/>
    <w:rPr>
      <w:rFonts w:hint="eastAsia" w:ascii="宋体" w:hAnsi="宋体" w:eastAsia="宋体"/>
      <w:color w:val="000000"/>
      <w:szCs w:val="24"/>
    </w:rPr>
  </w:style>
  <w:style w:type="character" w:customStyle="1" w:styleId="36">
    <w:name w:val="fontstyle11"/>
    <w:basedOn w:val="23"/>
    <w:qFormat/>
    <w:uiPriority w:val="0"/>
    <w:rPr>
      <w:rFonts w:hint="default" w:ascii="TimesNewRomanPS-BoldMT" w:hAnsi="TimesNewRomanPS-BoldMT"/>
      <w:b/>
      <w:bCs/>
      <w:color w:val="000000"/>
      <w:szCs w:val="24"/>
    </w:rPr>
  </w:style>
  <w:style w:type="paragraph" w:customStyle="1" w:styleId="37">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38">
    <w:name w:val="样式35"/>
    <w:basedOn w:val="1"/>
    <w:qFormat/>
    <w:uiPriority w:val="0"/>
    <w:pPr>
      <w:adjustRightInd w:val="0"/>
      <w:spacing w:line="312" w:lineRule="auto"/>
      <w:ind w:firstLine="567"/>
    </w:pPr>
    <w:rPr>
      <w:rFonts w:ascii="宋体"/>
      <w:kern w:val="0"/>
      <w:sz w:val="28"/>
      <w:szCs w:val="20"/>
    </w:rPr>
  </w:style>
  <w:style w:type="paragraph" w:customStyle="1" w:styleId="39">
    <w:name w:val="Normal_144"/>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40">
    <w:name w:val="正本文字"/>
    <w:basedOn w:val="1"/>
    <w:qFormat/>
    <w:uiPriority w:val="0"/>
    <w:pPr>
      <w:adjustRightInd w:val="0"/>
      <w:snapToGrid w:val="0"/>
      <w:spacing w:line="360" w:lineRule="auto"/>
      <w:ind w:firstLine="480" w:firstLineChars="200"/>
      <w:jc w:val="left"/>
    </w:pPr>
    <w:rPr>
      <w:rFonts w:ascii="宋体" w:hAnsi="宋体"/>
      <w:kern w:val="18"/>
      <w:sz w:val="24"/>
      <w:szCs w:val="20"/>
    </w:rPr>
  </w:style>
  <w:style w:type="paragraph" w:customStyle="1" w:styleId="41">
    <w:name w:val="xl24"/>
    <w:basedOn w:val="1"/>
    <w:qFormat/>
    <w:uiPriority w:val="0"/>
    <w:pPr>
      <w:widowControl/>
      <w:pBdr>
        <w:left w:val="single" w:color="auto" w:sz="4" w:space="0"/>
        <w:bottom w:val="single" w:color="auto" w:sz="4" w:space="0"/>
        <w:right w:val="single" w:color="auto" w:sz="4" w:space="0"/>
      </w:pBdr>
      <w:spacing w:before="100" w:beforeLines="0" w:after="100" w:afterLines="0"/>
      <w:jc w:val="center"/>
      <w:textAlignment w:val="center"/>
    </w:pPr>
    <w:rPr>
      <w:rFonts w:ascii="宋体" w:hAnsi="宋体"/>
      <w:kern w:val="0"/>
      <w:sz w:val="24"/>
      <w:szCs w:val="24"/>
    </w:rPr>
  </w:style>
  <w:style w:type="paragraph" w:customStyle="1" w:styleId="42">
    <w:name w:val="Default1"/>
    <w:basedOn w:val="43"/>
    <w:next w:val="1"/>
    <w:qFormat/>
    <w:uiPriority w:val="0"/>
    <w:pPr>
      <w:widowControl w:val="0"/>
      <w:autoSpaceDE w:val="0"/>
      <w:autoSpaceDN w:val="0"/>
      <w:adjustRightInd w:val="0"/>
      <w:spacing w:line="360" w:lineRule="auto"/>
      <w:ind w:firstLine="720" w:firstLineChars="200"/>
      <w:jc w:val="left"/>
    </w:pPr>
    <w:rPr>
      <w:rFonts w:ascii="Times New Roman" w:hAnsi="Times New Roman" w:eastAsia="宋体" w:cs="宋体"/>
      <w:bCs/>
      <w:color w:val="000000"/>
      <w:sz w:val="24"/>
      <w:szCs w:val="21"/>
      <w:lang w:val="en-US" w:eastAsia="zh-CN" w:bidi="ar-SA"/>
    </w:rPr>
  </w:style>
  <w:style w:type="paragraph" w:customStyle="1" w:styleId="43">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4">
    <w:name w:val="reader-word-layer reader-word-s46-2"/>
    <w:basedOn w:val="1"/>
    <w:next w:val="45"/>
    <w:qFormat/>
    <w:uiPriority w:val="0"/>
    <w:pPr>
      <w:widowControl/>
      <w:spacing w:before="280" w:after="280" w:line="240" w:lineRule="auto"/>
      <w:jc w:val="both"/>
    </w:pPr>
    <w:rPr>
      <w:rFonts w:ascii="宋体"/>
      <w:sz w:val="24"/>
    </w:rPr>
  </w:style>
  <w:style w:type="paragraph" w:customStyle="1" w:styleId="45">
    <w:name w:val="xl35"/>
    <w:basedOn w:val="1"/>
    <w:next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right"/>
    </w:pPr>
    <w:rPr>
      <w:rFonts w:ascii="宋体" w:hAnsi="宋体" w:cs="宋体"/>
      <w:kern w:val="0"/>
      <w:sz w:val="24"/>
    </w:rPr>
  </w:style>
  <w:style w:type="paragraph" w:customStyle="1" w:styleId="46">
    <w:name w:val="环评正文"/>
    <w:basedOn w:val="1"/>
    <w:qFormat/>
    <w:uiPriority w:val="0"/>
    <w:pPr>
      <w:spacing w:beforeLines="30"/>
      <w:ind w:firstLine="480" w:firstLineChars="200"/>
    </w:pPr>
    <w:rPr>
      <w:rFonts w:ascii="Tahoma" w:hAnsi="Tahoma" w:cs="Tahoma"/>
      <w:kern w:val="0"/>
      <w:sz w:val="24"/>
    </w:rPr>
  </w:style>
  <w:style w:type="paragraph" w:customStyle="1" w:styleId="47">
    <w:name w:val="样式1"/>
    <w:basedOn w:val="17"/>
    <w:next w:val="14"/>
    <w:qFormat/>
    <w:uiPriority w:val="0"/>
    <w:pPr>
      <w:adjustRightInd w:val="0"/>
      <w:snapToGrid w:val="0"/>
      <w:ind w:firstLine="960" w:firstLineChars="200"/>
    </w:pPr>
    <w:rPr>
      <w:rFonts w:ascii="Arial" w:hAnsi="Arial" w:cs="Arial"/>
      <w:color w:val="006600"/>
    </w:rPr>
  </w:style>
  <w:style w:type="paragraph" w:customStyle="1" w:styleId="48">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9">
    <w:name w:val="1正文"/>
    <w:basedOn w:val="1"/>
    <w:qFormat/>
    <w:uiPriority w:val="0"/>
    <w:pPr>
      <w:spacing w:line="360" w:lineRule="auto"/>
      <w:ind w:firstLine="200" w:firstLineChars="200"/>
    </w:pPr>
    <w:rPr>
      <w:rFonts w:ascii="Calibri" w:hAnsi="Calibri"/>
      <w:sz w:val="24"/>
      <w:szCs w:val="22"/>
    </w:rPr>
  </w:style>
  <w:style w:type="paragraph" w:customStyle="1" w:styleId="50">
    <w:name w:val="Table Paragraph"/>
    <w:basedOn w:val="1"/>
    <w:qFormat/>
    <w:uiPriority w:val="1"/>
    <w:rPr>
      <w:rFonts w:ascii="宋体" w:hAnsi="宋体" w:eastAsia="宋体" w:cs="宋体"/>
    </w:rPr>
  </w:style>
  <w:style w:type="paragraph" w:customStyle="1" w:styleId="51">
    <w:name w:val="表格"/>
    <w:basedOn w:val="19"/>
    <w:next w:val="1"/>
    <w:qFormat/>
    <w:uiPriority w:val="0"/>
    <w:pPr>
      <w:adjustRightInd w:val="0"/>
      <w:snapToGrid w:val="0"/>
      <w:spacing w:beforeLines="10" w:afterLines="10" w:line="259" w:lineRule="auto"/>
      <w:jc w:val="center"/>
    </w:pPr>
    <w:rPr>
      <w:rFonts w:ascii="宋体"/>
      <w:kern w:val="0"/>
      <w:szCs w:val="20"/>
    </w:rPr>
  </w:style>
  <w:style w:type="paragraph" w:customStyle="1" w:styleId="52">
    <w:name w:val="报告表正文"/>
    <w:basedOn w:val="1"/>
    <w:qFormat/>
    <w:uiPriority w:val="99"/>
    <w:pPr>
      <w:spacing w:line="360" w:lineRule="auto"/>
      <w:ind w:firstLine="200"/>
    </w:pPr>
    <w:rPr>
      <w:szCs w:val="20"/>
      <w:lang w:val="zh-CN"/>
    </w:rPr>
  </w:style>
  <w:style w:type="character" w:customStyle="1" w:styleId="53">
    <w:name w:val="font11"/>
    <w:basedOn w:val="23"/>
    <w:qFormat/>
    <w:uiPriority w:val="0"/>
    <w:rPr>
      <w:rFonts w:hint="eastAsia" w:ascii="宋体" w:hAnsi="宋体" w:eastAsia="宋体" w:cs="宋体"/>
      <w:color w:val="000000"/>
      <w:sz w:val="21"/>
      <w:szCs w:val="21"/>
      <w:u w:val="none"/>
    </w:rPr>
  </w:style>
  <w:style w:type="character" w:customStyle="1" w:styleId="54">
    <w:name w:val="font21"/>
    <w:basedOn w:val="23"/>
    <w:qFormat/>
    <w:uiPriority w:val="0"/>
    <w:rPr>
      <w:rFonts w:hint="default" w:ascii="Times New Roman" w:hAnsi="Times New Roman" w:cs="Times New Roman"/>
      <w:color w:val="000000"/>
      <w:sz w:val="21"/>
      <w:szCs w:val="21"/>
      <w:u w:val="none"/>
    </w:rPr>
  </w:style>
  <w:style w:type="paragraph" w:customStyle="1" w:styleId="55">
    <w:name w:val="Table Text"/>
    <w:basedOn w:val="1"/>
    <w:semiHidden/>
    <w:qFormat/>
    <w:uiPriority w:val="0"/>
    <w:rPr>
      <w:rFonts w:ascii="宋体" w:hAnsi="宋体" w:eastAsia="宋体" w:cs="宋体"/>
      <w:sz w:val="20"/>
      <w:szCs w:val="20"/>
      <w:lang w:val="en-US" w:eastAsia="en-US" w:bidi="ar-SA"/>
    </w:rPr>
  </w:style>
  <w:style w:type="paragraph" w:customStyle="1" w:styleId="56">
    <w:name w:val="表格正文"/>
    <w:basedOn w:val="9"/>
    <w:qFormat/>
    <w:uiPriority w:val="0"/>
    <w:pPr>
      <w:widowControl/>
      <w:spacing w:line="360" w:lineRule="exact"/>
      <w:ind w:firstLine="0" w:firstLineChars="0"/>
      <w:jc w:val="center"/>
    </w:pPr>
    <w:rPr>
      <w:sz w:val="21"/>
    </w:rPr>
  </w:style>
  <w:style w:type="character" w:customStyle="1" w:styleId="57">
    <w:name w:val="font41"/>
    <w:basedOn w:val="23"/>
    <w:qFormat/>
    <w:uiPriority w:val="0"/>
    <w:rPr>
      <w:rFonts w:hint="default" w:ascii="Times New Roman" w:hAnsi="Times New Roman" w:cs="Times New Roman"/>
      <w:color w:val="000000"/>
      <w:sz w:val="21"/>
      <w:szCs w:val="21"/>
      <w:u w:val="none"/>
      <w:vertAlign w:val="subscript"/>
    </w:rPr>
  </w:style>
  <w:style w:type="character" w:customStyle="1" w:styleId="58">
    <w:name w:val="fontstyle21"/>
    <w:basedOn w:val="23"/>
    <w:qFormat/>
    <w:uiPriority w:val="0"/>
    <w:rPr>
      <w:rFonts w:hint="default" w:ascii="TimesNewRomanPSMT" w:hAnsi="TimesNewRomanPSMT"/>
      <w:color w:val="000000"/>
      <w:szCs w:val="24"/>
    </w:rPr>
  </w:style>
  <w:style w:type="paragraph" w:customStyle="1" w:styleId="59">
    <w:name w:val="目录 53"/>
    <w:basedOn w:val="1"/>
    <w:next w:val="1"/>
    <w:qFormat/>
    <w:uiPriority w:val="0"/>
    <w:pPr>
      <w:ind w:left="840"/>
    </w:pPr>
    <w:rPr>
      <w:rFonts w:cs="宋体"/>
      <w:color w:val="000000"/>
    </w:rPr>
  </w:style>
  <w:style w:type="paragraph" w:customStyle="1" w:styleId="60">
    <w:name w:val="表头5"/>
    <w:basedOn w:val="6"/>
    <w:next w:val="1"/>
    <w:qFormat/>
    <w:uiPriority w:val="0"/>
    <w:pPr>
      <w:adjustRightInd/>
      <w:spacing w:after="0" w:afterLines="0"/>
      <w:jc w:val="center"/>
    </w:pPr>
    <w:rPr>
      <w:rFonts w:ascii="Times New Roman" w:hAnsi="Times New Roman" w:cs="Times New Roman"/>
      <w:b/>
      <w:sz w:val="21"/>
      <w:szCs w:val="24"/>
    </w:rPr>
  </w:style>
  <w:style w:type="character" w:customStyle="1" w:styleId="61">
    <w:name w:val="font31"/>
    <w:basedOn w:val="23"/>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10396c61-6807-4f93-bd30-5e56fd4fff23</errorID>
      <errorWord>镇镇</errorWord>
      <group>L1_Word</group>
      <groupName>字词问题</groupName>
      <ability>L2_Typo</ability>
      <abilityName>字词错误</abilityName>
      <candidateList>
        <item>镇</item>
      </candidateList>
      <explain/>
      <paraID>7FB48203</paraID>
      <start>7</start>
      <end>8</end>
      <status>modified</status>
      <modifiedWord>镇</modifiedWord>
      <trackRevisions>false</trackRevisions>
    </reviewItem>
    <reviewItem>
      <errorID>d425cd67-ef74-46fc-b57d-1d4b44a45f13</errorID>
      <errorWord>上线</errorWord>
      <group>L1_Word</group>
      <groupName>字词问题</groupName>
      <ability>L2_Typo</ability>
      <abilityName>字词错误</abilityName>
      <candidateList>
        <item>上限</item>
      </candidateList>
      <explain/>
      <paraID>191B0FB8</paraID>
      <start>90</start>
      <end>92</end>
      <status>ignored</status>
      <modifiedWord/>
      <trackRevisions>false</trackRevisions>
    </reviewItem>
    <reviewItem>
      <errorID>820aa7c4-123e-479c-8420-a77309122ecb</errorID>
      <errorWord>（</errorWord>
      <group>L1_Format</group>
      <groupName>格式问题</groupName>
      <ability>L2_HalfPunc</ability>
      <abilityName>全半角检查</abilityName>
      <candidateList>
        <item>(</item>
      </candidateList>
      <explain>文本全半角错误。</explain>
      <paraID>77EA4CB6</paraID>
      <start>5</start>
      <end>6</end>
      <status>ignored</status>
      <modifiedWord/>
      <trackRevisions>false</trackRevisions>
    </reviewItem>
    <reviewItem>
      <errorID>4bde94fb-4b83-415d-83b7-07964c66016f</errorID>
      <errorWord>）</errorWord>
      <group>L1_Format</group>
      <groupName>格式问题</groupName>
      <ability>L2_HalfPunc</ability>
      <abilityName>全半角检查</abilityName>
      <candidateList>
        <item>)</item>
      </candidateList>
      <explain>文本全半角错误。</explain>
      <paraID>77EA4CB6</paraID>
      <start>13</start>
      <end>14</end>
      <status>ignored</status>
      <modifiedWord/>
      <trackRevisions>false</trackRevisions>
    </reviewItem>
    <reviewItem>
      <errorID>35103851-e4ae-4261-99ab-37021c5d08f2</errorID>
      <errorWord>（</errorWord>
      <group>L1_Format</group>
      <groupName>格式问题</groupName>
      <ability>L2_HalfPunc</ability>
      <abilityName>全半角检查</abilityName>
      <candidateList>
        <item>(</item>
      </candidateList>
      <explain>文本全半角错误。</explain>
      <paraID>77EA4CB6</paraID>
      <start>15</start>
      <end>16</end>
      <status>ignored</status>
      <modifiedWord/>
      <trackRevisions>false</trackRevisions>
    </reviewItem>
    <reviewItem>
      <errorID>83ff520a-ad82-4022-aff6-050fb21a7f1c</errorID>
      <errorWord>）</errorWord>
      <group>L1_Format</group>
      <groupName>格式问题</groupName>
      <ability>L2_HalfPunc</ability>
      <abilityName>全半角检查</abilityName>
      <candidateList>
        <item>)</item>
      </candidateList>
      <explain>文本全半角错误。</explain>
      <paraID>77EA4CB6</paraID>
      <start>24</start>
      <end>25</end>
      <status>ignored</status>
      <modifiedWord/>
      <trackRevisions>false</trackRevisions>
    </reviewItem>
    <reviewItem>
      <errorID>84b87bf1-d11e-46b3-af1c-3c0068fd5ffc</errorID>
      <errorWord>,</errorWord>
      <group>L1_Format</group>
      <groupName>格式问题</groupName>
      <ability>L2_HalfPunc</ability>
      <abilityName>全半角检查</abilityName>
      <candidateList>
        <item>，</item>
      </candidateList>
      <explain>文本全半角错误。</explain>
      <paraID>197F85F6</paraID>
      <start>17</start>
      <end>18</end>
      <status>modified</status>
      <modifiedWord>，</modifiedWord>
      <trackRevisions>false</trackRevisions>
    </reviewItem>
    <reviewItem>
      <errorID>c10cd1a9-4e00-42ac-988c-d8b5bc5d346c</errorID>
      <errorWord>。。</errorWord>
      <group>L1_Punc</group>
      <groupName>标点问题</groupName>
      <ability>L2_Punc</ability>
      <abilityName>标点符号检查</abilityName>
      <candidateList>
        <item>。</item>
      </candidateList>
      <explain/>
      <paraID> 9F81B87</paraID>
      <start>23</start>
      <end>24</end>
      <status>modified</status>
      <modifiedWord>。</modifiedWord>
      <trackRevisions>false</trackRevisions>
    </reviewItem>
    <reviewItem>
      <errorID>7945e15f-f001-4dfe-91bb-c426b80820bb</errorID>
      <errorWord>交有</errorWord>
      <group>L1_Word</group>
      <groupName>字词问题</groupName>
      <ability>L2_Typo</ability>
      <abilityName>字词错误</abilityName>
      <candidateList>
        <item>交由</item>
      </candidateList>
      <explain>存在发音相同字词的误用。</explain>
      <paraID>4F3AE531</paraID>
      <start>13</start>
      <end>15</end>
      <status>ignored</status>
      <modifiedWord/>
      <trackRevisions>false</trackRevisions>
    </reviewItem>
    <reviewItem>
      <errorID>7c96643c-e2b0-451a-82e5-c398a1d544dc</errorID>
      <errorWord>（</errorWord>
      <group>L1_Format</group>
      <groupName>格式问题</groupName>
      <ability>L2_HalfPunc</ability>
      <abilityName>全半角检查</abilityName>
      <candidateList>
        <item>(</item>
      </candidateList>
      <explain>文本全半角错误。</explain>
      <paraID>1B52AA49</paraID>
      <start>0</start>
      <end>1</end>
      <status>ignored</status>
      <modifiedWord/>
      <trackRevisions>false</trackRevisions>
    </reviewItem>
    <reviewItem>
      <errorID>e5c51d1a-dc14-4352-842c-edcdb7ad08d9</errorID>
      <errorWord>）</errorWord>
      <group>L1_Format</group>
      <groupName>格式问题</groupName>
      <ability>L2_HalfPunc</ability>
      <abilityName>全半角检查</abilityName>
      <candidateList>
        <item>)</item>
      </candidateList>
      <explain>文本全半角错误。</explain>
      <paraID>1B52AA49</paraID>
      <start>6</start>
      <end>7</end>
      <status>ignored</status>
      <modifiedWord/>
      <trackRevisions>false</trackRevisions>
    </reviewItem>
    <reviewItem>
      <errorID>c7812593-9b99-466f-9dc3-e855094b1b8e</errorID>
      <errorWord>（</errorWord>
      <group>L1_Format</group>
      <groupName>格式问题</groupName>
      <ability>L2_HalfPunc</ability>
      <abilityName>全半角检查</abilityName>
      <candidateList>
        <item>(</item>
      </candidateList>
      <explain>文本全半角错误。</explain>
      <paraID> 15CA0E2</paraID>
      <start>0</start>
      <end>1</end>
      <status>ignored</status>
      <modifiedWord/>
      <trackRevisions>false</trackRevisions>
    </reviewItem>
    <reviewItem>
      <errorID>87dfff6e-a8a8-4288-ac62-e73a8ad69489</errorID>
      <errorWord>）</errorWord>
      <group>L1_Format</group>
      <groupName>格式问题</groupName>
      <ability>L2_HalfPunc</ability>
      <abilityName>全半角检查</abilityName>
      <candidateList>
        <item>)</item>
      </candidateList>
      <explain>文本全半角错误。</explain>
      <paraID> 15CA0E2</paraID>
      <start>6</start>
      <end>7</end>
      <status>ignored</status>
      <modifiedWord/>
      <trackRevisions>false</trackRevisions>
    </reviewItem>
    <reviewItem>
      <errorID>020ef9fb-f8f9-4a5a-896d-1a1f362a8107</errorID>
      <errorWord>《</errorWord>
      <group>L1_Punc</group>
      <groupName>标点问题</groupName>
      <ability>L2_Punc</ability>
      <abilityName>标点符号检查</abilityName>
      <candidateList/>
      <explain>同一形式括号套用。</explain>
      <paraID>692CC6D6</paraID>
      <start>7</start>
      <end>8</end>
      <status>ignored</status>
      <modifiedWord/>
      <trackRevisions>false</trackRevisions>
    </reviewItem>
    <reviewItem>
      <errorID>bf06884d-be7b-41da-ae75-50dc1913aeb3</errorID>
      <errorWord>》</errorWord>
      <group>L1_Punc</group>
      <groupName>标点问题</groupName>
      <ability>L2_Punc</ability>
      <abilityName>标点符号检查</abilityName>
      <candidateList/>
      <explain>同一形式括号套用。</explain>
      <paraID>692CC6D6</paraID>
      <start>19</start>
      <end>20</end>
      <status>ignored</status>
      <modifiedWord/>
      <trackRevisions>false</trackRevisions>
    </reviewItem>
    <reviewItem>
      <errorID>b4b2b055-346d-4247-b160-c5988ed854cc</errorID>
      <errorWord>制标</errorWord>
      <group>L1_Word</group>
      <groupName>字词问题</groupName>
      <ability>L2_Typo</ability>
      <abilityName>字词错误</abilityName>
      <candidateList>
        <item>指标</item>
      </candidateList>
      <explain>存在发音相同字词的误用。</explain>
      <paraID>66F541F4</paraID>
      <start>0</start>
      <end>2</end>
      <status>ignored</status>
      <modifiedWord/>
      <trackRevisions>false</trackRevisions>
    </reviewItem>
    <reviewItem>
      <errorID>f756e926-7072-4a9b-9d6a-9978da2966dc</errorID>
      <errorWord>（</errorWord>
      <group>L1_Format</group>
      <groupName>格式问题</groupName>
      <ability>L2_HalfPunc</ability>
      <abilityName>全半角检查</abilityName>
      <candidateList>
        <item>(</item>
      </candidateList>
      <explain>文本全半角错误。</explain>
      <paraID>263C113D</paraID>
      <start>0</start>
      <end>1</end>
      <status>ignored</status>
      <modifiedWord/>
      <trackRevisions>false</trackRevisions>
    </reviewItem>
    <reviewItem>
      <errorID>6da95cbb-69a6-49e2-89d3-3d5170c96705</errorID>
      <errorWord>）</errorWord>
      <group>L1_Format</group>
      <groupName>格式问题</groupName>
      <ability>L2_HalfPunc</ability>
      <abilityName>全半角检查</abilityName>
      <candidateList>
        <item>)</item>
      </candidateList>
      <explain>文本全半角错误。</explain>
      <paraID>263C113D</paraID>
      <start>6</start>
      <end>7</end>
      <status>ignored</status>
      <modifiedWord/>
      <trackRevisions>false</trackRevisions>
    </reviewItem>
    <reviewItem>
      <errorID>fc812eff-a53a-4d4b-97e5-ddff6721ef29</errorID>
      <errorWord>【2019】56号</errorWord>
      <group>L1_Knowledge</group>
      <groupName>知识性问题</groupName>
      <ability>L2_Knowledge</ability>
      <abilityName>其他知识</abilityName>
      <candidateList>
        <item>〔2019〕56号</item>
      </candidateList>
      <explain>发文字号格式错误。</explain>
      <paraID>4D7BC37C</paraID>
      <start>37</start>
      <end>46</end>
      <status>modified</status>
      <modifiedWord>〔2019〕56号</modifiedWord>
      <trackRevisions>false</trackRevisions>
    </reviewItem>
    <reviewItem>
      <errorID>788946a5-481d-4ef8-a95f-bad957d59a91</errorID>
      <errorWord>【2019】56号</errorWord>
      <group>L1_Knowledge</group>
      <groupName>知识性问题</groupName>
      <ability>L2_Knowledge</ability>
      <abilityName>其他知识</abilityName>
      <candidateList>
        <item>〔2019〕56号</item>
      </candidateList>
      <explain>发文字号格式错误。</explain>
      <paraID>2A54401C</paraID>
      <start>25</start>
      <end>34</end>
      <status>modified</status>
      <modifiedWord>〔2019〕56号</modifiedWord>
      <trackRevisions>false</trackRevisions>
    </reviewItem>
    <reviewItem>
      <errorID>086e85d1-fb63-4fc8-b37e-d12ec8c60a17</errorID>
      <errorWord>&lt;</errorWord>
      <group>L1_Format</group>
      <groupName>格式问题</groupName>
      <ability>L2_HalfPunc</ability>
      <abilityName>全半角检查</abilityName>
      <candidateList>
        <item>〈</item>
      </candidateList>
      <explain>文本全半角错误。</explain>
      <paraID>3AD8683A</paraID>
      <start>10</start>
      <end>11</end>
      <status>modified</status>
      <modifiedWord>〈</modifiedWord>
      <trackRevisions>false</trackRevisions>
    </reviewItem>
    <reviewItem>
      <errorID>d2d7fdd1-87d0-4917-9430-68301af244fd</errorID>
      <errorWord>&gt;的通知》</errorWord>
      <group>L1_Punc</group>
      <groupName>标点问题</groupName>
      <ability>L2_Punc</ability>
      <abilityName>标点符号检查</abilityName>
      <candidateList>
        <item>〉的通知》</item>
      </candidateList>
      <explain/>
      <paraID>3AD8683A</paraID>
      <start>27</start>
      <end>32</end>
      <status>modified</status>
      <modifiedWord>〉的通知》</modifiedWord>
      <trackRevisions>false</trackRevisions>
    </reviewItem>
    <reviewItem>
      <errorID>dda3836a-6dce-4173-88cb-f636fab532a3</errorID>
      <errorWord>护措</errorWord>
      <group>L1_Word</group>
      <groupName>字词问题</groupName>
      <ability>L2_Typo</ability>
      <abilityName>字词错误</abilityName>
      <candidateList>
        <item>举措</item>
      </candidateList>
      <explain>存在发音相近字词的误用。</explain>
      <paraID>37507B13</paraID>
      <start>0</start>
      <end>2</end>
      <status>ignored</status>
      <modifiedWord/>
      <trackRevisions>false</trackRevisions>
    </reviewItem>
    <reviewItem>
      <errorID>df15d211-4d72-4db3-a1a0-bb008ba80820</errorID>
      <errorWord>故处理</errorWord>
      <group>L1_Word</group>
      <groupName>字词问题</groupName>
      <ability>L2_Typo</ability>
      <abilityName>字词错误</abilityName>
      <candidateList>
        <item>处理</item>
      </candidateList>
      <explain/>
      <paraID>1D633E1C</paraID>
      <start>229</start>
      <end>232</end>
      <status>ignored</status>
      <modifiedWord/>
      <trackRevisions>false</trackRevisions>
    </reviewItem>
    <reviewItem>
      <errorID>b3d12c59-becf-438d-8914-dd9389d67d19</errorID>
      <errorWord>水份较大</errorWord>
      <group>L1_Word</group>
      <groupName>字词问题</groupName>
      <ability>L2_Variant</ability>
      <abilityName>异形词</abilityName>
      <candidateList>
        <item>水分较大</item>
      </candidateList>
      <explain>词汇[水份较大]的规范词形写作[水分较大]。</explain>
      <paraID>5EE7C180</paraID>
      <start>23</start>
      <end>27</end>
      <status>modified</status>
      <modifiedWord>水分较大</modifiedWord>
      <trackRevisions>false</trackRevisions>
    </reviewItem>
    <reviewItem>
      <errorID>63cc9c99-f3a8-4172-97ca-27f7dbd16251</errorID>
      <errorWord>含水份</errorWord>
      <group>L1_Word</group>
      <groupName>字词问题</groupName>
      <ability>L2_Variant</ability>
      <abilityName>异形词</abilityName>
      <candidateList>
        <item>含水分</item>
      </candidateList>
      <explain>词汇[含水份]的规范词形写作[含水分]。</explain>
      <paraID>5EE7C180</paraID>
      <start>36</start>
      <end>39</end>
      <status>modified</status>
      <modifiedWord>含水分</modifiedWord>
      <trackRevisions>false</trackRevisions>
    </reviewItem>
    <reviewItem>
      <errorID>5127c770-c4ee-4d6e-88c0-d5347ac42355</errorID>
      <errorWord>(</errorWord>
      <group>L1_Format</group>
      <groupName>格式问题</groupName>
      <ability>L2_HalfPunc</ability>
      <abilityName>全半角检查</abilityName>
      <candidateList>
        <item>（</item>
      </candidateList>
      <explain>文本全半角错误。</explain>
      <paraID>1BCF29F8</paraID>
      <start>47</start>
      <end>48</end>
      <status>modified</status>
      <modifiedWord>（</modifiedWord>
      <trackRevisions>false</trackRevisions>
    </reviewItem>
    <reviewItem>
      <errorID>a1a4c933-34ad-4c57-8dfa-a419379e616e</errorID>
      <errorWord>)</errorWord>
      <group>L1_Format</group>
      <groupName>格式问题</groupName>
      <ability>L2_HalfPunc</ability>
      <abilityName>全半角检查</abilityName>
      <candidateList>
        <item>）</item>
      </candidateList>
      <explain>文本全半角错误。</explain>
      <paraID>1BCF29F8</paraID>
      <start>58</start>
      <end>59</end>
      <status>modified</status>
      <modifiedWord>）</modifiedWord>
      <trackRevisions>false</trackRevisions>
    </reviewItem>
    <reviewItem>
      <errorID>f1839b2a-c6a6-4d6c-85b1-41d0e58a203d</errorID>
      <errorWord>6240标</errorWord>
      <group>L1_Word</group>
      <groupName>字词问题</groupName>
      <ability>L2_Typo</ability>
      <abilityName>字词错误</abilityName>
      <candidateList>
        <item>6240</item>
      </candidateList>
      <explain/>
      <paraID>1BCF29F8</paraID>
      <start>175</start>
      <end>180</end>
      <status>ignored</status>
      <modifiedWord/>
      <trackRevisions>false</trackRevisions>
    </reviewItem>
    <reviewItem>
      <errorID>44343dfe-5beb-4e60-a349-e0bc56f833bd</errorID>
      <errorWord>故颗粒物</errorWord>
      <group>L1_Knowledge</group>
      <groupName>知识性问题</groupName>
      <ability>L2_Term</ability>
      <abilityName>专业术语</abilityName>
      <candidateList>
        <item>细颗粒物</item>
      </candidateList>
      <explain/>
      <paraID>6C71CB83</paraID>
      <start>117</start>
      <end>121</end>
      <status>ignored</status>
      <modifiedWord/>
      <trackRevisions>false</trackRevisions>
    </reviewItem>
    <reviewItem>
      <errorID>8dd42807-d86f-44f8-98c5-ab657afd5e84</errorID>
      <errorWord>【2019】56号</errorWord>
      <group>L1_Knowledge</group>
      <groupName>知识性问题</groupName>
      <ability>L2_Knowledge</ability>
      <abilityName>其他知识</abilityName>
      <candidateList>
        <item>〔2019〕56号</item>
      </candidateList>
      <explain>发文字号格式错误。</explain>
      <paraID>3681DB23</paraID>
      <start>20</start>
      <end>29</end>
      <status>modified</status>
      <modifiedWord>〔2019〕56号</modifiedWord>
      <trackRevisions>false</trackRevisions>
    </reviewItem>
    <reviewItem>
      <errorID>d6217f8a-dc61-4f80-9b9d-12cc149b6028</errorID>
      <errorWord>理</errorWord>
      <group>L1_Word</group>
      <groupName>字词问题</groupName>
      <ability>L2_Typo</ability>
      <abilityName>字词错误</abilityName>
      <candidateList>
        <item>理和</item>
      </candidateList>
      <explain/>
      <paraID>52582AFE</paraID>
      <start>122</start>
      <end>123</end>
      <status>ignored</status>
      <modifiedWord/>
      <trackRevisions>false</trackRevisions>
    </reviewItem>
    <reviewItem>
      <errorID>e215ed75-7177-4bd6-81df-8cb921d48b37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68AD8507</paraID>
      <start>20</start>
      <end>21</end>
      <status>modified</status>
      <modifiedWord>—</modifiedWord>
      <trackRevisions>false</trackRevisions>
    </reviewItem>
    <reviewItem>
      <errorID>d3eb1cd6-47ec-498a-8792-eb8b6198fb30</errorID>
      <errorWord>~</errorWord>
      <group>L1_Format</group>
      <groupName>格式问题</groupName>
      <ability>L2_HalfPunc</ability>
      <abilityName>全半角检查</abilityName>
      <candidateList>
        <item>～</item>
      </candidateList>
      <explain>文本全半角错误。</explain>
      <paraID>68AD8507</paraID>
      <start>26</start>
      <end>27</end>
      <status>modified</status>
      <modifiedWord>～</modifiedWord>
      <trackRevisions>false</trackRevisions>
    </reviewItem>
    <reviewItem>
      <errorID>48e55dfd-ac16-4f26-b14f-61c9f18443ea</errorID>
      <errorWord>"</errorWord>
      <group>L1_Format</group>
      <groupName>格式问题</groupName>
      <ability>L2_HalfPunc</ability>
      <abilityName>全半角检查</abilityName>
      <candidateList>
        <item>“</item>
      </candidateList>
      <explain>文本全半角错误。</explain>
      <paraID>68AD8507</paraID>
      <start>95</start>
      <end>96</end>
      <status>modified</status>
      <modifiedWord>“</modifiedWord>
      <trackRevisions>false</trackRevisions>
    </reviewItem>
    <reviewItem>
      <errorID>f0dcd507-c492-45c1-9992-e511c7971ad6</errorID>
      <errorWord>"</errorWord>
      <group>L1_Format</group>
      <groupName>格式问题</groupName>
      <ability>L2_HalfPunc</ability>
      <abilityName>全半角检查</abilityName>
      <candidateList>
        <item>”</item>
      </candidateList>
      <explain>文本全半角错误。</explain>
      <paraID>68AD8507</paraID>
      <start>105</start>
      <end>106</end>
      <status>modified</status>
      <modifiedWord>”</modifiedWord>
      <trackRevisions>false</trackRevisions>
    </reviewItem>
    <reviewItem>
      <errorID>6d7547cd-3ef8-4841-805a-53162f3654ca</errorID>
      <errorWord>1~5万</errorWord>
      <group>L1_Knowledge</group>
      <groupName>知识性问题</groupName>
      <ability>L2_Knowledge</ability>
      <abilityName>其他知识</abilityName>
      <candidateList>
        <item>1万～5万</item>
      </candidateList>
      <explain>1. “1~5万”中的单位“万”仅出现在后一个数字上，容易引起歧义；根据《现代汉语标点符号数字用法规范手册》，数字表示范围两边需要使用统一的格式。2.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4640B9CB</paraID>
      <start>43</start>
      <end>47</end>
      <status>ignored</status>
      <modifiedWord/>
      <trackRevisions>false</trackRevisions>
    </reviewItem>
    <reviewItem>
      <errorID>92e4d3f3-de21-43e8-bde2-a7249a868781</errorID>
      <errorWord>~</errorWord>
      <group>L1_Format</group>
      <groupName>格式问题</groupName>
      <ability>L2_HalfPunc</ability>
      <abilityName>全半角检查</abilityName>
      <candidateList>
        <item>～</item>
      </candidateList>
      <explain>文本全半角错误。</explain>
      <paraID>4640B9CB</paraID>
      <start>57</start>
      <end>58</end>
      <status>ignored</status>
      <modifiedWord/>
      <trackRevisions>false</trackRevisions>
    </reviewItem>
    <reviewItem>
      <errorID>8625d527-76d2-405b-8f33-8afc0b6ad273</errorID>
      <errorWord>（</errorWord>
      <group>L1_Punc</group>
      <groupName>标点问题</groupName>
      <ability>L2_Punc</ability>
      <abilityName>标点符号检查</abilityName>
      <candidateList/>
      <explain>同一形式括号套用。</explain>
      <paraID>4640B9CB</paraID>
      <start>126</start>
      <end>127</end>
      <status>ignored</status>
      <modifiedWord/>
      <trackRevisions>false</trackRevisions>
    </reviewItem>
    <reviewItem>
      <errorID>1b5c4852-bba1-411a-8cd7-4a64605944f5</errorID>
      <errorWord>）</errorWord>
      <group>L1_Punc</group>
      <groupName>标点问题</groupName>
      <ability>L2_Punc</ability>
      <abilityName>标点符号检查</abilityName>
      <candidateList/>
      <explain>同一形式括号套用。</explain>
      <paraID>4640B9CB</paraID>
      <start>128</start>
      <end>129</end>
      <status>ignored</status>
      <modifiedWord/>
      <trackRevisions>false</trackRevisions>
    </reviewItem>
    <reviewItem>
      <errorID>7996d698-f082-4afd-b75f-29cf7960f660</errorID>
      <errorWord>1~5万</errorWord>
      <group>L1_Knowledge</group>
      <groupName>知识性问题</groupName>
      <ability>L2_Knowledge</ability>
      <abilityName>其他知识</abilityName>
      <candidateList>
        <item>1万～5万</item>
      </candidateList>
      <explain>1. “1~5万”中的单位“万”仅出现在后一个数字上，容易引起歧义；根据《现代汉语标点符号数字用法规范手册》，数字表示范围两边需要使用统一的格式。2.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4049CB8F</paraID>
      <start>47</start>
      <end>51</end>
      <status>ignored</status>
      <modifiedWord/>
      <trackRevisions>false</trackRevisions>
    </reviewItem>
    <reviewItem>
      <errorID>f6d6291b-fb9b-4563-bad8-46446ed3f51c</errorID>
      <errorWord>~</errorWord>
      <group>L1_Format</group>
      <groupName>格式问题</groupName>
      <ability>L2_HalfPunc</ability>
      <abilityName>全半角检查</abilityName>
      <candidateList>
        <item>～</item>
      </candidateList>
      <explain>文本全半角错误。</explain>
      <paraID>4049CB8F</paraID>
      <start>61</start>
      <end>62</end>
      <status>ignored</status>
      <modifiedWord/>
      <trackRevisions>false</trackRevisions>
    </reviewItem>
    <reviewItem>
      <errorID>bb13bc62-b877-42d9-974f-f9307a70f3c9</errorID>
      <errorWord>（</errorWord>
      <group>L1_Punc</group>
      <groupName>标点问题</groupName>
      <ability>L2_Punc</ability>
      <abilityName>标点符号检查</abilityName>
      <candidateList/>
      <explain>同一形式括号套用。</explain>
      <paraID>4049CB8F</paraID>
      <start>130</start>
      <end>131</end>
      <status>ignored</status>
      <modifiedWord/>
      <trackRevisions>false</trackRevisions>
    </reviewItem>
    <reviewItem>
      <errorID>0ec3c250-f46d-402e-9cf7-f6c0592fe74d</errorID>
      <errorWord>）</errorWord>
      <group>L1_Punc</group>
      <groupName>标点问题</groupName>
      <ability>L2_Punc</ability>
      <abilityName>标点符号检查</abilityName>
      <candidateList/>
      <explain>同一形式括号套用。</explain>
      <paraID>4049CB8F</paraID>
      <start>132</start>
      <end>133</end>
      <status>ignored</status>
      <modifiedWord/>
      <trackRevisions>false</trackRevisions>
    </reviewItem>
    <reviewItem>
      <errorID>8fc676ef-01a3-46d8-8664-4cbeb3a91b94</errorID>
      <errorWord>程</errorWord>
      <group>L1_Word</group>
      <groupName>字词问题</groupName>
      <ability>L2_Typo</ability>
      <abilityName>字词错误</abilityName>
      <candidateList>
        <item>程中</item>
      </candidateList>
      <explain/>
      <paraID> 4651ECE</paraID>
      <start>19</start>
      <end>20</end>
      <status>ignored</status>
      <modifiedWord/>
      <trackRevisions>false</trackRevisions>
    </reviewItem>
    <reviewItem>
      <errorID>7efb9660-b146-40e3-ac7f-a68cdc801680</errorID>
      <errorWord>交有</errorWord>
      <group>L1_Word</group>
      <groupName>字词问题</groupName>
      <ability>L2_Typo</ability>
      <abilityName>字词错误</abilityName>
      <candidateList>
        <item>交由</item>
      </candidateList>
      <explain>存在发音相同字词的误用。</explain>
      <paraID>3BAFF54C</paraID>
      <start>13</start>
      <end>15</end>
      <status>ignored</status>
      <modifiedWord/>
      <trackRevisions>false</trackRevisions>
    </reviewItem>
    <reviewItem>
      <errorID>662cab61-92e6-4cc7-ab11-908ed0d70a6a</errorID>
      <errorWord>汇总表汇总表</errorWord>
      <group>L1_Word</group>
      <groupName>字词问题</groupName>
      <ability>L2_Typo</ability>
      <abilityName>字词错误</abilityName>
      <candidateList>
        <item>汇总表</item>
      </candidateList>
      <explain/>
      <paraID>3C10657F</paraID>
      <start>10</start>
      <end>13</end>
      <status>modified</status>
      <modifiedWord>汇总表</modifiedWord>
      <trackRevisions>false</trackRevisions>
    </reviewItem>
    <reviewItem>
      <errorID>d3ae969c-05e2-4993-8f4a-3243eb502fd6</errorID>
      <errorWord>交有</errorWord>
      <group>L1_Word</group>
      <groupName>字词问题</groupName>
      <ability>L2_Typo</ability>
      <abilityName>字词错误</abilityName>
      <candidateList>
        <item>交由</item>
      </candidateList>
      <explain>存在发音相同字词的误用。</explain>
      <paraID>6B6F1D25</paraID>
      <start>13</start>
      <end>15</end>
      <status>ignored</status>
      <modifiedWord/>
      <trackRevisions>false</trackRevisions>
    </reviewItem>
    <reviewItem>
      <errorID>f6b5b853-8788-4b78-9c43-a4cc23d7795b</errorID>
      <errorWord>危图形</errorWord>
      <group>L1_Word</group>
      <groupName>字词问题</groupName>
      <ability>L2_Typo</ability>
      <abilityName>字词错误</abilityName>
      <candidateList>
        <item>图形</item>
      </candidateList>
      <explain>〈名〉在平面上表示出来的物体的形状。</explain>
      <paraID>7F9806DA</paraID>
      <start>64</start>
      <end>66</end>
      <status>modified</status>
      <modifiedWord>图形</modifiedWord>
      <trackRevisions>false</trackRevisions>
    </reviewItem>
    <reviewItem>
      <errorID>d63ec252-aa31-45db-9825-a8f6b66254bd</errorID>
      <errorWord>的其</errorWord>
      <group>L1_Word</group>
      <groupName>字词问题</groupName>
      <ability>L2_Typo</ability>
      <abilityName>字词错误</abilityName>
      <candidateList>
        <item>的</item>
      </candidateList>
      <explain>“的”常用于连接修饰语与名词性中心语，表示属性、所属或描述。</explain>
      <paraID>19E4DEDA</paraID>
      <start>54</start>
      <end>55</end>
      <status>modified</status>
      <modifiedWord>的</modifiedWord>
      <trackRevisions>false</trackRevisions>
    </reviewItem>
    <reviewItem>
      <errorID>7423bb98-1884-430f-b5dd-ae39927560b1</errorID>
      <errorWord>的其</errorWord>
      <group>L1_Word</group>
      <groupName>字词问题</groupName>
      <ability>L2_Typo</ability>
      <abilityName>字词错误</abilityName>
      <candidateList>
        <item>的</item>
      </candidateList>
      <explain>“的”常用于连接修饰语与名词性中心语，表示属性、所属或描述。</explain>
      <paraID> 4AF77FA</paraID>
      <start>10</start>
      <end>11</end>
      <status>modified</status>
      <modifiedWord>的</modifiedWord>
      <trackRevisions>false</trackRevisions>
    </reviewItem>
    <reviewItem>
      <errorID>83129f05-839a-4fcb-b28c-5dc38908da31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2D7B7995</paraID>
      <start>16</start>
      <end>17</end>
      <status>modified</status>
      <modifiedWord>地</modifiedWord>
      <trackRevisions>false</trackRevisions>
    </reviewItem>
    <reviewItem>
      <errorID>de50b216-6047-4443-b7f2-4eafdc32dab4</errorID>
      <errorWord>，</errorWord>
      <group>L1_Word</group>
      <groupName>字词问题</groupName>
      <ability>L2_Typo</ability>
      <abilityName>字词错误</abilityName>
      <candidateList>
        <item>，在</item>
      </candidateList>
      <explain/>
      <paraID>5B391048</paraID>
      <start>15</start>
      <end>17</end>
      <status>modified</status>
      <modifiedWord>，在</modifiedWord>
      <trackRevisions>false</trackRevisions>
    </reviewItem>
    <reviewItem>
      <errorID>73c75c72-b817-47e4-a748-4f7263d02521</errorID>
      <errorWord>，</errorWord>
      <group>L1_Word</group>
      <groupName>字词问题</groupName>
      <ability>L2_Typo</ability>
      <abilityName>字词错误</abilityName>
      <candidateList>
        <item>，在</item>
      </candidateList>
      <explain/>
      <paraID> A496D42</paraID>
      <start>80</start>
      <end>82</end>
      <status>modified</status>
      <modifiedWord>，在</modifiedWord>
      <trackRevisions>false</trackRevisions>
    </reviewItem>
    <reviewItem>
      <errorID>e0254a56-b281-4ea8-8a55-868ff4b620e8</errorID>
      <errorWord>(</errorWord>
      <group>L1_Format</group>
      <groupName>格式问题</groupName>
      <ability>L2_HalfPunc</ability>
      <abilityName>全半角检查</abilityName>
      <candidateList>
        <item>（</item>
      </candidateList>
      <explain>文本全半角错误。</explain>
      <paraID>12A6E69C</paraID>
      <start>3</start>
      <end>4</end>
      <status>ignored</status>
      <modifiedWord/>
      <trackRevisions>false</trackRevisions>
    </reviewItem>
    <reviewItem>
      <errorID>47e90d63-143e-4907-985c-746ab25f68ff</errorID>
      <errorWord>)</errorWord>
      <group>L1_Format</group>
      <groupName>格式问题</groupName>
      <ability>L2_HalfPunc</ability>
      <abilityName>全半角检查</abilityName>
      <candidateList>
        <item>）</item>
      </candidateList>
      <explain>文本全半角错误。</explain>
      <paraID>202E62A6</paraID>
      <start>2</start>
      <end>3</end>
      <status>ignored</status>
      <modifiedWord/>
      <trackRevisions>false</trackRevisions>
    </reviewItem>
    <reviewItem>
      <errorID>0afdb844-e72e-405f-879c-535ee9700ec3</errorID>
      <errorWord>【2019】56号</errorWord>
      <group>L1_Knowledge</group>
      <groupName>知识性问题</groupName>
      <ability>L2_Knowledge</ability>
      <abilityName>其他知识</abilityName>
      <candidateList>
        <item>〔2019〕56号</item>
      </candidateList>
      <explain>发文字号格式错误。</explain>
      <paraID>7A5414B5</paraID>
      <start>20</start>
      <end>29</end>
      <status>modified</status>
      <modifiedWord>〔2019〕56号</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6c722f-00f1-459e-9f8b-5b79bc34c5ad}">
  <ds:schemaRefs/>
</ds:datastoreItem>
</file>

<file path=docProps/app.xml><?xml version="1.0" encoding="utf-8"?>
<Properties xmlns="http://schemas.openxmlformats.org/officeDocument/2006/extended-properties" xmlns:vt="http://schemas.openxmlformats.org/officeDocument/2006/docPropsVTypes">
  <Template>Normal.dotm</Template>
  <Pages>49</Pages>
  <Words>8970</Words>
  <Characters>9822</Characters>
  <Lines>0</Lines>
  <Paragraphs>0</Paragraphs>
  <ScaleCrop>false</ScaleCrop>
  <LinksUpToDate>false</LinksUpToDate>
  <CharactersWithSpaces>9984</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2024-09-09T00:01:00Z</dcterms:created>
  <dc:creator>Administrator</dc:creator>
  <cp:lastModifiedBy>JUS01</cp:lastModifiedBy>
  <dcterms:modified xsi:type="dcterms:W3CDTF">2026-03-16T07:23:35Z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y fmtid="{D5CDD505-2E9C-101B-9397-08002B2CF9AE}" pid="3" name="ICV">
    <vt:lpwstr>097D44A4832A46DC846FFD8B1FDEAAD3_13</vt:lpwstr>
  </property>
  <property fmtid="{D5CDD505-2E9C-101B-9397-08002B2CF9AE}" pid="4" name="KSOTemplateDocerSaveRecord">
    <vt:lpwstr>eyJoZGlkIjoiNDY0M2EyYjQwNzU3NTBjZjg1OWM0NDQwMjMwZTVjMzQiLCJ1c2VySWQiOiIxMzk1Njc4MDk3In0=</vt:lpwstr>
  </property>
</Properties>
</file>