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b/>
          <w:sz w:val="44"/>
          <w:szCs w:val="44"/>
          <w:u w:val="single"/>
        </w:rPr>
      </w:pPr>
    </w:p>
    <w:p>
      <w:pPr>
        <w:adjustRightInd w:val="0"/>
        <w:snapToGrid w:val="0"/>
        <w:spacing w:line="360" w:lineRule="auto"/>
        <w:jc w:val="center"/>
        <w:rPr>
          <w:rFonts w:hint="eastAsia" w:ascii="方正小标宋简体" w:hAnsi="华文中宋" w:eastAsia="方正小标宋简体" w:cs="华文中宋"/>
          <w:b/>
          <w:sz w:val="44"/>
          <w:szCs w:val="44"/>
        </w:rPr>
      </w:pPr>
      <w:r>
        <w:rPr>
          <w:rFonts w:hint="eastAsia" w:ascii="方正小标宋简体" w:hAnsi="华文中宋" w:eastAsia="方正小标宋简体" w:cs="华文中宋"/>
          <w:b/>
          <w:sz w:val="44"/>
          <w:szCs w:val="44"/>
        </w:rPr>
        <w:t>寿县炎刘镇人民政府2026年</w:t>
      </w:r>
    </w:p>
    <w:p>
      <w:pPr>
        <w:adjustRightInd w:val="0"/>
        <w:snapToGrid w:val="0"/>
        <w:spacing w:line="360" w:lineRule="auto"/>
        <w:jc w:val="center"/>
        <w:rPr>
          <w:rFonts w:hint="eastAsia" w:ascii="方正小标宋简体" w:hAnsi="华文中宋" w:eastAsia="方正小标宋简体" w:cs="华文中宋"/>
          <w:b/>
          <w:sz w:val="44"/>
          <w:szCs w:val="44"/>
        </w:rPr>
      </w:pPr>
      <w:r>
        <w:rPr>
          <w:rFonts w:hint="eastAsia" w:ascii="方正小标宋简体" w:hAnsi="华文中宋" w:eastAsia="方正小标宋简体" w:cs="华文中宋"/>
          <w:b/>
          <w:sz w:val="44"/>
          <w:szCs w:val="44"/>
        </w:rPr>
        <w:t>部门预算</w:t>
      </w:r>
    </w:p>
    <w:p>
      <w:pPr>
        <w:pStyle w:val="6"/>
        <w:adjustRightInd w:val="0"/>
        <w:snapToGrid w:val="0"/>
        <w:spacing w:before="0" w:beforeAutospacing="0" w:after="0" w:afterAutospacing="0" w:line="360" w:lineRule="auto"/>
        <w:jc w:val="center"/>
        <w:rPr>
          <w:rFonts w:hint="eastAsia" w:ascii="黑体" w:hAnsi="黑体" w:eastAsia="黑体"/>
          <w:bCs/>
          <w:sz w:val="44"/>
          <w:szCs w:val="44"/>
        </w:rPr>
      </w:pPr>
    </w:p>
    <w:p>
      <w:pPr>
        <w:pStyle w:val="6"/>
        <w:adjustRightInd w:val="0"/>
        <w:snapToGrid w:val="0"/>
        <w:spacing w:before="0" w:beforeAutospacing="0" w:after="0" w:afterAutospacing="0" w:line="500" w:lineRule="exact"/>
        <w:jc w:val="center"/>
        <w:rPr>
          <w:rFonts w:hint="eastAsia" w:ascii="黑体" w:hAnsi="黑体" w:eastAsia="黑体"/>
          <w:bCs/>
          <w:sz w:val="44"/>
          <w:szCs w:val="44"/>
        </w:rPr>
      </w:pPr>
      <w:r>
        <w:rPr>
          <w:rFonts w:hint="eastAsia" w:ascii="黑体" w:hAnsi="黑体" w:eastAsia="黑体"/>
          <w:bCs/>
          <w:sz w:val="44"/>
          <w:szCs w:val="44"/>
        </w:rPr>
        <w:t>目 录</w:t>
      </w:r>
    </w:p>
    <w:p>
      <w:pPr>
        <w:pStyle w:val="6"/>
        <w:adjustRightInd w:val="0"/>
        <w:snapToGrid w:val="0"/>
        <w:spacing w:before="0" w:beforeAutospacing="0" w:after="0" w:afterAutospacing="0" w:line="500" w:lineRule="exact"/>
        <w:jc w:val="center"/>
        <w:rPr>
          <w:rFonts w:hint="eastAsia" w:ascii="黑体" w:hAnsi="黑体" w:eastAsia="黑体"/>
          <w:bCs/>
          <w:sz w:val="44"/>
          <w:szCs w:val="44"/>
        </w:rPr>
      </w:pPr>
    </w:p>
    <w:p>
      <w:pPr>
        <w:pStyle w:val="6"/>
        <w:adjustRightInd w:val="0"/>
        <w:snapToGrid w:val="0"/>
        <w:spacing w:before="0" w:beforeAutospacing="0" w:after="0" w:afterAutospacing="0" w:line="500" w:lineRule="exact"/>
        <w:ind w:firstLine="640" w:firstLineChars="200"/>
        <w:jc w:val="both"/>
        <w:rPr>
          <w:rFonts w:hint="eastAsia" w:ascii="黑体" w:hAnsi="黑体" w:eastAsia="黑体" w:cs="仿宋"/>
          <w:bCs/>
          <w:sz w:val="32"/>
          <w:szCs w:val="32"/>
        </w:rPr>
      </w:pPr>
      <w:r>
        <w:rPr>
          <w:rFonts w:hint="eastAsia" w:ascii="黑体" w:hAnsi="黑体" w:eastAsia="黑体" w:cs="仿宋"/>
          <w:bCs/>
          <w:sz w:val="32"/>
          <w:szCs w:val="32"/>
        </w:rPr>
        <w:t>第一部分 部门概况</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1.主要职责</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2.部门预算单位构成</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3.2026年度主要工作任务</w:t>
      </w:r>
    </w:p>
    <w:p>
      <w:pPr>
        <w:pStyle w:val="6"/>
        <w:adjustRightInd w:val="0"/>
        <w:snapToGrid w:val="0"/>
        <w:spacing w:before="0" w:beforeAutospacing="0" w:after="0" w:afterAutospacing="0" w:line="500" w:lineRule="exact"/>
        <w:ind w:firstLine="640" w:firstLineChars="200"/>
        <w:jc w:val="both"/>
        <w:rPr>
          <w:rFonts w:hint="eastAsia" w:ascii="黑体" w:hAnsi="黑体" w:eastAsia="黑体" w:cs="仿宋"/>
          <w:bCs/>
          <w:sz w:val="32"/>
          <w:szCs w:val="32"/>
        </w:rPr>
      </w:pPr>
      <w:r>
        <w:rPr>
          <w:rFonts w:hint="eastAsia" w:ascii="黑体" w:hAnsi="黑体" w:eastAsia="黑体" w:cs="仿宋"/>
          <w:bCs/>
          <w:sz w:val="32"/>
          <w:szCs w:val="32"/>
        </w:rPr>
        <w:t>第二部分 2026年部门预算表</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bookmarkStart w:id="0" w:name="_Hlk95403076"/>
      <w:r>
        <w:rPr>
          <w:rFonts w:hint="eastAsia" w:ascii="仿宋" w:hAnsi="仿宋" w:eastAsia="仿宋" w:cs="仿宋"/>
          <w:bCs/>
          <w:sz w:val="32"/>
          <w:szCs w:val="32"/>
        </w:rPr>
        <w:t>表一 部门预算收支总表</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表二 部门预算收入总表</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表三 部门预算支出总表</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表四 部门财政拨款收支总表</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表五 部门一般公共预算支出表</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表六 部门一般公共预算基本支出表</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表七 部门政府性基金预算支出表</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表八 部门国有资本经营预算支出表</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表九 部门项目支出表</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表十 部门政府采购支出表</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表十一 部门政府购买服务支出表</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表十二 部门财政拨款安排“三公”经费预算支出表</w:t>
      </w:r>
    </w:p>
    <w:bookmarkEnd w:id="0"/>
    <w:p>
      <w:pPr>
        <w:pStyle w:val="6"/>
        <w:adjustRightInd w:val="0"/>
        <w:snapToGrid w:val="0"/>
        <w:spacing w:before="0" w:beforeAutospacing="0" w:after="0" w:afterAutospacing="0" w:line="500" w:lineRule="exact"/>
        <w:ind w:firstLine="640" w:firstLineChars="200"/>
        <w:jc w:val="both"/>
        <w:rPr>
          <w:rFonts w:ascii="黑体" w:hAnsi="黑体" w:eastAsia="黑体" w:cs="仿宋"/>
          <w:bCs/>
          <w:sz w:val="32"/>
          <w:szCs w:val="32"/>
        </w:rPr>
      </w:pPr>
    </w:p>
    <w:p>
      <w:pPr>
        <w:pStyle w:val="6"/>
        <w:adjustRightInd w:val="0"/>
        <w:snapToGrid w:val="0"/>
        <w:spacing w:before="0" w:beforeAutospacing="0" w:after="0" w:afterAutospacing="0" w:line="500" w:lineRule="exact"/>
        <w:ind w:firstLine="640" w:firstLineChars="200"/>
        <w:jc w:val="both"/>
        <w:rPr>
          <w:rFonts w:hint="eastAsia" w:ascii="黑体" w:hAnsi="黑体" w:eastAsia="黑体" w:cs="仿宋"/>
          <w:bCs/>
          <w:sz w:val="32"/>
          <w:szCs w:val="32"/>
        </w:rPr>
      </w:pPr>
      <w:r>
        <w:rPr>
          <w:rFonts w:hint="eastAsia" w:ascii="黑体" w:hAnsi="黑体" w:eastAsia="黑体" w:cs="仿宋"/>
          <w:bCs/>
          <w:sz w:val="32"/>
          <w:szCs w:val="32"/>
        </w:rPr>
        <w:t>第三部分 2026年部门预算情况说明</w:t>
      </w:r>
    </w:p>
    <w:p>
      <w:pPr>
        <w:pStyle w:val="6"/>
        <w:adjustRightInd w:val="0"/>
        <w:snapToGrid w:val="0"/>
        <w:spacing w:before="0" w:beforeAutospacing="0" w:after="0" w:afterAutospacing="0" w:line="500" w:lineRule="exact"/>
        <w:ind w:firstLine="640" w:firstLineChars="200"/>
        <w:outlineLvl w:val="0"/>
        <w:rPr>
          <w:rFonts w:hint="eastAsia" w:ascii="仿宋" w:hAnsi="仿宋" w:eastAsia="仿宋" w:cs="仿宋"/>
          <w:bCs/>
          <w:sz w:val="32"/>
          <w:szCs w:val="32"/>
        </w:rPr>
      </w:pPr>
      <w:r>
        <w:rPr>
          <w:rFonts w:hint="eastAsia" w:ascii="仿宋" w:hAnsi="仿宋" w:eastAsia="仿宋" w:cs="仿宋"/>
          <w:bCs/>
          <w:sz w:val="32"/>
          <w:szCs w:val="32"/>
        </w:rPr>
        <w:t>1.关于2026年财政拨款收支预算总体情况说明</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2.关于2026年一般公共预算财政拨款情况说明</w:t>
      </w:r>
    </w:p>
    <w:p>
      <w:pPr>
        <w:pStyle w:val="6"/>
        <w:adjustRightInd w:val="0"/>
        <w:snapToGrid w:val="0"/>
        <w:spacing w:before="0" w:beforeAutospacing="0" w:after="0" w:afterAutospacing="0" w:line="500" w:lineRule="exact"/>
        <w:ind w:firstLine="640" w:firstLineChars="200"/>
        <w:outlineLvl w:val="0"/>
        <w:rPr>
          <w:rFonts w:hint="eastAsia" w:ascii="仿宋" w:hAnsi="仿宋" w:eastAsia="仿宋" w:cs="仿宋"/>
          <w:bCs/>
          <w:sz w:val="32"/>
          <w:szCs w:val="32"/>
        </w:rPr>
      </w:pPr>
      <w:r>
        <w:rPr>
          <w:rFonts w:hint="eastAsia" w:ascii="仿宋" w:hAnsi="仿宋" w:eastAsia="仿宋" w:cs="仿宋"/>
          <w:bCs/>
          <w:sz w:val="32"/>
          <w:szCs w:val="32"/>
        </w:rPr>
        <w:t>3.关于2026年一般公共预算基本支出情况说明</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4.关于2026年政府性基金预算拨款情况说明</w:t>
      </w:r>
    </w:p>
    <w:p>
      <w:pPr>
        <w:pStyle w:val="6"/>
        <w:adjustRightInd w:val="0"/>
        <w:snapToGrid w:val="0"/>
        <w:spacing w:before="0" w:beforeAutospacing="0" w:after="0" w:afterAutospacing="0" w:line="500" w:lineRule="exact"/>
        <w:ind w:firstLine="640" w:firstLineChars="200"/>
        <w:outlineLvl w:val="0"/>
        <w:rPr>
          <w:rFonts w:hint="eastAsia" w:ascii="仿宋" w:hAnsi="仿宋" w:eastAsia="仿宋" w:cs="仿宋"/>
          <w:bCs/>
          <w:sz w:val="32"/>
          <w:szCs w:val="32"/>
        </w:rPr>
      </w:pPr>
      <w:r>
        <w:rPr>
          <w:rFonts w:hint="eastAsia" w:ascii="仿宋" w:hAnsi="仿宋" w:eastAsia="仿宋" w:cs="仿宋"/>
          <w:bCs/>
          <w:sz w:val="32"/>
          <w:szCs w:val="32"/>
        </w:rPr>
        <w:t>5.关于2026年国有资本经营预算拨款情况说明</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6.关于2026年收支预算总体情况说明</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7.关于2026年收入预算情况说明</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8.关于2026年支出预算情况说明</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9.其他重要事项情况说明</w:t>
      </w:r>
    </w:p>
    <w:p>
      <w:pPr>
        <w:pStyle w:val="6"/>
        <w:adjustRightInd w:val="0"/>
        <w:snapToGrid w:val="0"/>
        <w:spacing w:before="0" w:beforeAutospacing="0" w:after="0" w:afterAutospacing="0" w:line="500" w:lineRule="exact"/>
        <w:ind w:firstLine="640" w:firstLineChars="200"/>
        <w:jc w:val="both"/>
        <w:rPr>
          <w:rFonts w:hint="eastAsia" w:ascii="黑体" w:hAnsi="黑体" w:eastAsia="黑体" w:cs="仿宋"/>
          <w:bCs/>
          <w:sz w:val="32"/>
          <w:szCs w:val="32"/>
        </w:rPr>
      </w:pPr>
      <w:r>
        <w:rPr>
          <w:rFonts w:hint="eastAsia" w:ascii="黑体" w:hAnsi="黑体" w:eastAsia="黑体" w:cs="仿宋"/>
          <w:bCs/>
          <w:sz w:val="32"/>
          <w:szCs w:val="32"/>
        </w:rPr>
        <w:t>第四部分 名词解释</w:t>
      </w:r>
    </w:p>
    <w:p>
      <w:pPr>
        <w:pStyle w:val="6"/>
        <w:adjustRightInd w:val="0"/>
        <w:snapToGrid w:val="0"/>
        <w:spacing w:before="0" w:beforeAutospacing="0" w:after="0" w:afterAutospacing="0" w:line="500" w:lineRule="exact"/>
        <w:ind w:firstLine="643" w:firstLineChars="200"/>
        <w:jc w:val="center"/>
        <w:rPr>
          <w:rFonts w:hint="eastAsia" w:ascii="仿宋_GB2312" w:hAnsi="仿宋" w:eastAsia="仿宋_GB2312" w:cs="仿宋"/>
          <w:b/>
          <w:sz w:val="32"/>
          <w:szCs w:val="32"/>
        </w:rPr>
      </w:pPr>
    </w:p>
    <w:p>
      <w:pPr>
        <w:pStyle w:val="6"/>
        <w:adjustRightInd w:val="0"/>
        <w:snapToGrid w:val="0"/>
        <w:spacing w:before="0" w:beforeAutospacing="0" w:after="0" w:afterAutospacing="0" w:line="500" w:lineRule="exact"/>
        <w:ind w:firstLine="643" w:firstLineChars="200"/>
        <w:jc w:val="center"/>
        <w:rPr>
          <w:rFonts w:hint="eastAsia" w:ascii="仿宋_GB2312" w:hAnsi="仿宋" w:eastAsia="仿宋_GB2312" w:cs="仿宋"/>
          <w:b/>
          <w:sz w:val="32"/>
          <w:szCs w:val="32"/>
        </w:rPr>
      </w:pPr>
    </w:p>
    <w:p>
      <w:pPr>
        <w:pStyle w:val="6"/>
        <w:adjustRightInd w:val="0"/>
        <w:snapToGrid w:val="0"/>
        <w:spacing w:before="0" w:beforeAutospacing="0" w:after="0" w:afterAutospacing="0" w:line="500" w:lineRule="exact"/>
        <w:ind w:firstLine="643" w:firstLineChars="200"/>
        <w:jc w:val="center"/>
        <w:rPr>
          <w:rFonts w:hint="eastAsia" w:ascii="仿宋_GB2312" w:hAnsi="仿宋" w:eastAsia="仿宋_GB2312" w:cs="仿宋"/>
          <w:b/>
          <w:sz w:val="32"/>
          <w:szCs w:val="32"/>
        </w:rPr>
      </w:pPr>
    </w:p>
    <w:p>
      <w:pPr>
        <w:pStyle w:val="6"/>
        <w:adjustRightInd w:val="0"/>
        <w:snapToGrid w:val="0"/>
        <w:spacing w:before="0" w:beforeAutospacing="0" w:after="0" w:afterAutospacing="0" w:line="500" w:lineRule="exact"/>
        <w:ind w:firstLine="643" w:firstLineChars="200"/>
        <w:jc w:val="center"/>
        <w:rPr>
          <w:rFonts w:hint="eastAsia" w:ascii="仿宋_GB2312" w:hAnsi="仿宋" w:eastAsia="仿宋_GB2312" w:cs="仿宋"/>
          <w:b/>
          <w:sz w:val="32"/>
          <w:szCs w:val="32"/>
        </w:rPr>
      </w:pPr>
    </w:p>
    <w:p>
      <w:pPr>
        <w:pStyle w:val="6"/>
        <w:adjustRightInd w:val="0"/>
        <w:snapToGrid w:val="0"/>
        <w:spacing w:before="0" w:beforeAutospacing="0" w:after="0" w:afterAutospacing="0" w:line="360" w:lineRule="auto"/>
        <w:jc w:val="center"/>
        <w:rPr>
          <w:rFonts w:hint="eastAsia" w:ascii="黑体" w:hAnsi="黑体" w:eastAsia="黑体"/>
          <w:bCs/>
          <w:sz w:val="36"/>
          <w:szCs w:val="36"/>
        </w:rPr>
      </w:pPr>
      <w:r>
        <w:rPr>
          <w:rFonts w:hint="eastAsia" w:ascii="黑体" w:hAnsi="黑体" w:eastAsia="黑体"/>
          <w:bCs/>
          <w:sz w:val="36"/>
          <w:szCs w:val="36"/>
        </w:rPr>
        <w:t>第一部分 部门概况</w:t>
      </w:r>
    </w:p>
    <w:p>
      <w:pPr>
        <w:pStyle w:val="6"/>
        <w:adjustRightInd w:val="0"/>
        <w:snapToGrid w:val="0"/>
        <w:spacing w:before="0" w:beforeAutospacing="0" w:after="0" w:afterAutospacing="0" w:line="600" w:lineRule="exact"/>
        <w:ind w:firstLine="627" w:firstLineChars="196"/>
        <w:jc w:val="both"/>
        <w:rPr>
          <w:rFonts w:hint="eastAsia"/>
        </w:rPr>
      </w:pPr>
      <w:r>
        <w:rPr>
          <w:rFonts w:hint="eastAsia" w:ascii="黑体" w:hAnsi="黑体" w:eastAsia="黑体"/>
          <w:bCs/>
          <w:sz w:val="32"/>
          <w:szCs w:val="32"/>
        </w:rPr>
        <w:t>一、主要职责</w:t>
      </w:r>
    </w:p>
    <w:p>
      <w:pPr>
        <w:pStyle w:val="6"/>
        <w:adjustRightInd w:val="0"/>
        <w:snapToGrid w:val="0"/>
        <w:spacing w:before="0" w:beforeAutospacing="0" w:after="0" w:afterAutospacing="0" w:line="600" w:lineRule="exact"/>
        <w:ind w:firstLine="627" w:firstLineChars="196"/>
        <w:rPr>
          <w:rFonts w:hint="eastAsia" w:ascii="仿宋_GB2312" w:hAnsi="黑体" w:eastAsia="仿宋_GB2312"/>
          <w:bCs/>
          <w:sz w:val="32"/>
          <w:szCs w:val="32"/>
        </w:rPr>
      </w:pPr>
      <w:r>
        <w:rPr>
          <w:rFonts w:hint="eastAsia" w:ascii="仿宋_GB2312" w:hAnsi="黑体" w:eastAsia="仿宋_GB2312"/>
          <w:bCs/>
          <w:sz w:val="32"/>
          <w:szCs w:val="32"/>
        </w:rPr>
        <w:t>炎刘镇人民政府是寿县人民政府领导下的基层国家行政机关，依据宪法、法律和行政法规的规定，在本行政区域内行使行政管理职能，主要工作职责如下：</w:t>
      </w:r>
    </w:p>
    <w:p>
      <w:pPr>
        <w:pStyle w:val="6"/>
        <w:adjustRightInd w:val="0"/>
        <w:snapToGrid w:val="0"/>
        <w:spacing w:before="0" w:beforeAutospacing="0" w:after="0" w:afterAutospacing="0" w:line="600" w:lineRule="exact"/>
        <w:ind w:firstLine="627" w:firstLineChars="196"/>
        <w:rPr>
          <w:rFonts w:hint="eastAsia" w:ascii="仿宋_GB2312" w:hAnsi="黑体" w:eastAsia="仿宋_GB2312"/>
          <w:bCs/>
          <w:sz w:val="32"/>
          <w:szCs w:val="32"/>
        </w:rPr>
      </w:pPr>
      <w:r>
        <w:rPr>
          <w:rFonts w:hint="eastAsia" w:ascii="仿宋_GB2312" w:hAnsi="黑体" w:eastAsia="仿宋_GB2312"/>
          <w:bCs/>
          <w:sz w:val="32"/>
          <w:szCs w:val="32"/>
        </w:rPr>
        <w:t>1.贯彻执行党的路线方针政策：认真贯彻落实党和国家的各项方针政策、法律法规及上级党委、政府的决策部署，确保政令畅通。</w:t>
      </w:r>
    </w:p>
    <w:p>
      <w:pPr>
        <w:pStyle w:val="6"/>
        <w:adjustRightInd w:val="0"/>
        <w:snapToGrid w:val="0"/>
        <w:spacing w:before="0" w:beforeAutospacing="0" w:after="0" w:afterAutospacing="0" w:line="600" w:lineRule="exact"/>
        <w:ind w:firstLine="627" w:firstLineChars="196"/>
        <w:rPr>
          <w:rFonts w:hint="eastAsia" w:ascii="仿宋_GB2312" w:hAnsi="黑体" w:eastAsia="仿宋_GB2312"/>
          <w:bCs/>
          <w:sz w:val="32"/>
          <w:szCs w:val="32"/>
        </w:rPr>
      </w:pPr>
      <w:r>
        <w:rPr>
          <w:rFonts w:hint="eastAsia" w:ascii="仿宋_GB2312" w:hAnsi="黑体" w:eastAsia="仿宋_GB2312"/>
          <w:bCs/>
          <w:sz w:val="32"/>
          <w:szCs w:val="32"/>
        </w:rPr>
        <w:t>2.促进经济社会发展：制定并组织实施本镇（乡）国民经济和社会发展规划、年度计划。优化发展环境，服务市场主体，推动乡村特色产业、现代农业和农村二三产业发展，壮大镇域经济，促进农民增收。</w:t>
      </w:r>
    </w:p>
    <w:p>
      <w:pPr>
        <w:pStyle w:val="6"/>
        <w:adjustRightInd w:val="0"/>
        <w:snapToGrid w:val="0"/>
        <w:spacing w:before="0" w:beforeAutospacing="0" w:after="0" w:afterAutospacing="0" w:line="600" w:lineRule="exact"/>
        <w:ind w:firstLine="627" w:firstLineChars="196"/>
        <w:rPr>
          <w:rFonts w:hint="eastAsia" w:ascii="仿宋_GB2312" w:hAnsi="黑体" w:eastAsia="仿宋_GB2312"/>
          <w:bCs/>
          <w:sz w:val="32"/>
          <w:szCs w:val="32"/>
        </w:rPr>
      </w:pPr>
      <w:r>
        <w:rPr>
          <w:rFonts w:hint="eastAsia" w:ascii="仿宋_GB2312" w:hAnsi="黑体" w:eastAsia="仿宋_GB2312"/>
          <w:bCs/>
          <w:sz w:val="32"/>
          <w:szCs w:val="32"/>
        </w:rPr>
        <w:t>3.加强公共基础设施建设：负责辖区内乡村道路、水利、通讯、电力等基础设施的规划、建设与管理。组织实施农村人居环境整治，推进美丽乡村建设。</w:t>
      </w:r>
    </w:p>
    <w:p>
      <w:pPr>
        <w:pStyle w:val="6"/>
        <w:adjustRightInd w:val="0"/>
        <w:snapToGrid w:val="0"/>
        <w:spacing w:before="0" w:beforeAutospacing="0" w:after="0" w:afterAutospacing="0" w:line="600" w:lineRule="exact"/>
        <w:ind w:firstLine="627" w:firstLineChars="196"/>
        <w:rPr>
          <w:rFonts w:hint="eastAsia" w:ascii="仿宋_GB2312" w:hAnsi="黑体" w:eastAsia="仿宋_GB2312"/>
          <w:bCs/>
          <w:sz w:val="32"/>
          <w:szCs w:val="32"/>
        </w:rPr>
      </w:pPr>
      <w:r>
        <w:rPr>
          <w:rFonts w:hint="eastAsia" w:ascii="仿宋_GB2312" w:hAnsi="黑体" w:eastAsia="仿宋_GB2312"/>
          <w:bCs/>
          <w:sz w:val="32"/>
          <w:szCs w:val="32"/>
        </w:rPr>
        <w:t>4.提供公共服务保障：负责组织实施教育、科技、文化、卫生健康、体育、民政、社会保障、就业创业、退役军人事务、残疾人保障等各项社会事业，完善公共服务体系。</w:t>
      </w:r>
    </w:p>
    <w:p>
      <w:pPr>
        <w:pStyle w:val="6"/>
        <w:adjustRightInd w:val="0"/>
        <w:snapToGrid w:val="0"/>
        <w:spacing w:before="0" w:beforeAutospacing="0" w:after="0" w:afterAutospacing="0" w:line="600" w:lineRule="exact"/>
        <w:ind w:firstLine="627" w:firstLineChars="196"/>
        <w:rPr>
          <w:rFonts w:hint="eastAsia" w:ascii="仿宋_GB2312" w:hAnsi="黑体" w:eastAsia="仿宋_GB2312"/>
          <w:bCs/>
          <w:sz w:val="32"/>
          <w:szCs w:val="32"/>
        </w:rPr>
      </w:pPr>
      <w:r>
        <w:rPr>
          <w:rFonts w:hint="eastAsia" w:ascii="仿宋_GB2312" w:hAnsi="黑体" w:eastAsia="仿宋_GB2312"/>
          <w:bCs/>
          <w:sz w:val="32"/>
          <w:szCs w:val="32"/>
        </w:rPr>
        <w:t>5.推进社会治理与平安建设：承担辖区社会治安综合治理、平安建设、应急管理、安全生产、消防安全、道路交通安全、食品药品安全等工作。排查化解矛盾纠纷，维护社会和谐稳定。</w:t>
      </w:r>
    </w:p>
    <w:p>
      <w:pPr>
        <w:pStyle w:val="6"/>
        <w:adjustRightInd w:val="0"/>
        <w:snapToGrid w:val="0"/>
        <w:spacing w:before="0" w:beforeAutospacing="0" w:after="0" w:afterAutospacing="0" w:line="600" w:lineRule="exact"/>
        <w:ind w:firstLine="627" w:firstLineChars="196"/>
        <w:rPr>
          <w:rFonts w:hint="eastAsia" w:ascii="仿宋_GB2312" w:hAnsi="黑体" w:eastAsia="仿宋_GB2312"/>
          <w:bCs/>
          <w:sz w:val="32"/>
          <w:szCs w:val="32"/>
        </w:rPr>
      </w:pPr>
      <w:r>
        <w:rPr>
          <w:rFonts w:hint="eastAsia" w:ascii="仿宋_GB2312" w:hAnsi="黑体" w:eastAsia="仿宋_GB2312"/>
          <w:bCs/>
          <w:sz w:val="32"/>
          <w:szCs w:val="32"/>
        </w:rPr>
        <w:t>6.实施生态环境保护：负责辖区内生态环境保护、污染防治、国土空间规划与用途管制、自然资源管理、造林绿化等工作，推动绿色发展。</w:t>
      </w:r>
    </w:p>
    <w:p>
      <w:pPr>
        <w:pStyle w:val="6"/>
        <w:adjustRightInd w:val="0"/>
        <w:snapToGrid w:val="0"/>
        <w:spacing w:before="0" w:beforeAutospacing="0" w:after="0" w:afterAutospacing="0" w:line="600" w:lineRule="exact"/>
        <w:ind w:firstLine="627" w:firstLineChars="196"/>
        <w:rPr>
          <w:rFonts w:hint="eastAsia" w:ascii="仿宋_GB2312" w:hAnsi="黑体" w:eastAsia="仿宋_GB2312"/>
          <w:bCs/>
          <w:sz w:val="32"/>
          <w:szCs w:val="32"/>
        </w:rPr>
      </w:pPr>
      <w:r>
        <w:rPr>
          <w:rFonts w:hint="eastAsia" w:ascii="仿宋_GB2312" w:hAnsi="黑体" w:eastAsia="仿宋_GB2312"/>
          <w:bCs/>
          <w:sz w:val="32"/>
          <w:szCs w:val="32"/>
        </w:rPr>
        <w:t>7.落实乡村振兴战略：统筹推进乡村产业、人才、文化、生态、组织振兴。巩固拓展脱贫攻坚成果同乡村振兴有效衔接。加强农村集体资产与财务监督管理，指导农村集体经济组织发展。</w:t>
      </w:r>
    </w:p>
    <w:p>
      <w:pPr>
        <w:pStyle w:val="6"/>
        <w:widowControl w:val="0"/>
        <w:adjustRightInd w:val="0"/>
        <w:snapToGrid w:val="0"/>
        <w:spacing w:before="0" w:beforeAutospacing="0" w:after="0" w:afterAutospacing="0" w:line="600" w:lineRule="exact"/>
        <w:ind w:firstLine="627" w:firstLineChars="196"/>
        <w:rPr>
          <w:rFonts w:hint="eastAsia" w:ascii="仿宋_GB2312" w:hAnsi="黑体" w:eastAsia="仿宋_GB2312"/>
          <w:bCs/>
          <w:sz w:val="32"/>
          <w:szCs w:val="32"/>
        </w:rPr>
      </w:pPr>
      <w:r>
        <w:rPr>
          <w:rFonts w:hint="eastAsia" w:ascii="仿宋_GB2312" w:hAnsi="黑体" w:eastAsia="仿宋_GB2312"/>
          <w:bCs/>
          <w:sz w:val="32"/>
          <w:szCs w:val="32"/>
        </w:rPr>
        <w:t>8.强化财政管理：编制和执行本级财政预算、决算，负责镇（乡）本级财政收支管理和国有资产监管。指导监督村级财务工作。</w:t>
      </w:r>
    </w:p>
    <w:p>
      <w:pPr>
        <w:pStyle w:val="6"/>
        <w:widowControl w:val="0"/>
        <w:adjustRightInd w:val="0"/>
        <w:snapToGrid w:val="0"/>
        <w:spacing w:before="0" w:beforeAutospacing="0" w:after="0" w:afterAutospacing="0" w:line="600" w:lineRule="exact"/>
        <w:ind w:firstLine="627" w:firstLineChars="196"/>
        <w:rPr>
          <w:rFonts w:hint="eastAsia" w:ascii="仿宋_GB2312" w:hAnsi="黑体" w:eastAsia="仿宋_GB2312"/>
          <w:bCs/>
          <w:sz w:val="32"/>
          <w:szCs w:val="32"/>
        </w:rPr>
      </w:pPr>
      <w:r>
        <w:rPr>
          <w:rFonts w:hint="eastAsia" w:ascii="仿宋_GB2312" w:hAnsi="黑体" w:eastAsia="仿宋_GB2312"/>
          <w:bCs/>
          <w:sz w:val="32"/>
          <w:szCs w:val="32"/>
        </w:rPr>
        <w:t>9.  推进基层民主与法治建设：指导村（居）民委员会建设和村（居）民自治工作，推进政务、村务公开。负责法治宣传教育，提供法律援助服务，推进基层法治政府建设。</w:t>
      </w:r>
    </w:p>
    <w:p>
      <w:pPr>
        <w:pStyle w:val="6"/>
        <w:widowControl w:val="0"/>
        <w:adjustRightInd w:val="0"/>
        <w:snapToGrid w:val="0"/>
        <w:spacing w:before="0" w:beforeAutospacing="0" w:after="0" w:afterAutospacing="0" w:line="600" w:lineRule="exact"/>
        <w:ind w:firstLine="627" w:firstLineChars="196"/>
        <w:rPr>
          <w:rFonts w:hint="eastAsia" w:ascii="仿宋_GB2312" w:hAnsi="黑体" w:eastAsia="仿宋_GB2312"/>
          <w:bCs/>
          <w:sz w:val="32"/>
          <w:szCs w:val="32"/>
        </w:rPr>
      </w:pPr>
      <w:r>
        <w:rPr>
          <w:rFonts w:hint="eastAsia" w:ascii="仿宋_GB2312" w:hAnsi="黑体" w:eastAsia="仿宋_GB2312"/>
          <w:bCs/>
          <w:sz w:val="32"/>
          <w:szCs w:val="32"/>
        </w:rPr>
        <w:t>10. 履行国防动员职责：负责辖区内国防动员、兵役征集、民兵预备役建设等工作。</w:t>
      </w:r>
    </w:p>
    <w:p>
      <w:pPr>
        <w:pStyle w:val="6"/>
        <w:widowControl w:val="0"/>
        <w:adjustRightInd w:val="0"/>
        <w:snapToGrid w:val="0"/>
        <w:spacing w:before="0" w:beforeAutospacing="0" w:after="0" w:afterAutospacing="0" w:line="600" w:lineRule="exact"/>
        <w:ind w:firstLine="627" w:firstLineChars="196"/>
        <w:rPr>
          <w:rFonts w:hint="eastAsia" w:ascii="仿宋_GB2312" w:hAnsi="黑体" w:eastAsia="仿宋_GB2312"/>
          <w:bCs/>
          <w:sz w:val="32"/>
          <w:szCs w:val="32"/>
        </w:rPr>
      </w:pPr>
      <w:r>
        <w:rPr>
          <w:rFonts w:hint="eastAsia" w:ascii="仿宋_GB2312" w:hAnsi="黑体" w:eastAsia="仿宋_GB2312"/>
          <w:bCs/>
          <w:sz w:val="32"/>
          <w:szCs w:val="32"/>
        </w:rPr>
        <w:t>11. 完成上级党委、政府交办的其他任务。</w:t>
      </w:r>
    </w:p>
    <w:p>
      <w:pPr>
        <w:pStyle w:val="6"/>
        <w:widowControl w:val="0"/>
        <w:adjustRightInd w:val="0"/>
        <w:snapToGrid w:val="0"/>
        <w:spacing w:before="0" w:beforeAutospacing="0" w:after="0" w:afterAutospacing="0" w:line="600" w:lineRule="exact"/>
        <w:ind w:firstLine="627" w:firstLineChars="196"/>
        <w:jc w:val="both"/>
        <w:rPr>
          <w:rFonts w:hint="eastAsia" w:ascii="仿宋_GB2312" w:hAnsi="黑体" w:eastAsia="仿宋_GB2312"/>
          <w:bCs/>
          <w:sz w:val="32"/>
          <w:szCs w:val="32"/>
        </w:rPr>
      </w:pPr>
      <w:r>
        <w:rPr>
          <w:rFonts w:hint="eastAsia" w:ascii="仿宋_GB2312" w:hAnsi="黑体" w:eastAsia="仿宋_GB2312"/>
          <w:bCs/>
          <w:sz w:val="32"/>
          <w:szCs w:val="32"/>
        </w:rPr>
        <w:t>以上职责的履行情况，将通过预算安排和支出予以保障，并接受社会各界的监督。</w:t>
      </w:r>
    </w:p>
    <w:p>
      <w:pPr>
        <w:pStyle w:val="6"/>
        <w:adjustRightInd w:val="0"/>
        <w:snapToGrid w:val="0"/>
        <w:spacing w:before="0" w:beforeAutospacing="0" w:after="0" w:afterAutospacing="0" w:line="360" w:lineRule="auto"/>
        <w:ind w:firstLine="627" w:firstLineChars="196"/>
        <w:jc w:val="both"/>
        <w:rPr>
          <w:rFonts w:hint="eastAsia"/>
        </w:rPr>
      </w:pPr>
      <w:r>
        <w:rPr>
          <w:rFonts w:hint="eastAsia" w:ascii="黑体" w:hAnsi="黑体" w:eastAsia="黑体"/>
          <w:bCs/>
          <w:sz w:val="32"/>
          <w:szCs w:val="32"/>
        </w:rPr>
        <w:t>二、部门预算单位构成</w:t>
      </w:r>
    </w:p>
    <w:p>
      <w:pPr>
        <w:pStyle w:val="6"/>
        <w:adjustRightInd w:val="0"/>
        <w:snapToGrid w:val="0"/>
        <w:spacing w:before="0" w:beforeAutospacing="0" w:after="0" w:afterAutospacing="0" w:line="360" w:lineRule="auto"/>
        <w:ind w:firstLine="627" w:firstLineChars="196"/>
        <w:jc w:val="both"/>
        <w:rPr>
          <w:rFonts w:hint="eastAsia" w:ascii="仿宋" w:hAnsi="仿宋" w:eastAsia="仿宋"/>
          <w:sz w:val="32"/>
          <w:szCs w:val="32"/>
        </w:rPr>
      </w:pPr>
      <w:r>
        <w:rPr>
          <w:rFonts w:hint="eastAsia" w:ascii="仿宋" w:hAnsi="仿宋" w:eastAsia="仿宋"/>
          <w:sz w:val="32"/>
          <w:szCs w:val="32"/>
        </w:rPr>
        <w:t>从预算单位构成看，</w:t>
      </w:r>
      <w:r>
        <w:rPr>
          <w:rFonts w:hint="eastAsia" w:ascii="仿宋" w:hAnsi="仿宋" w:eastAsia="仿宋" w:cs="仿宋"/>
          <w:bCs/>
          <w:sz w:val="32"/>
          <w:szCs w:val="32"/>
        </w:rPr>
        <w:t>寿县炎刘镇人民政府</w:t>
      </w:r>
      <w:r>
        <w:rPr>
          <w:rFonts w:hint="eastAsia" w:ascii="仿宋" w:hAnsi="仿宋" w:eastAsia="仿宋"/>
          <w:sz w:val="32"/>
          <w:szCs w:val="32"/>
        </w:rPr>
        <w:t>2026年度部门预算包括镇本级预算，纳入部门预算编制范围的单位共1个，具体情况见下表。</w:t>
      </w:r>
    </w:p>
    <w:tbl>
      <w:tblPr>
        <w:tblStyle w:val="7"/>
        <w:tblW w:w="9000" w:type="dxa"/>
        <w:tblInd w:w="288" w:type="dxa"/>
        <w:shd w:val="clear" w:color="auto" w:fill="FFFFFF"/>
        <w:tblLayout w:type="fixed"/>
        <w:tblCellMar>
          <w:top w:w="0" w:type="dxa"/>
          <w:left w:w="0" w:type="dxa"/>
          <w:bottom w:w="0" w:type="dxa"/>
          <w:right w:w="0" w:type="dxa"/>
        </w:tblCellMar>
      </w:tblPr>
      <w:tblGrid>
        <w:gridCol w:w="900"/>
        <w:gridCol w:w="3600"/>
        <w:gridCol w:w="4500"/>
      </w:tblGrid>
      <w:tr>
        <w:tblPrEx>
          <w:shd w:val="clear" w:color="auto" w:fill="FFFFFF"/>
          <w:tblLayout w:type="fixed"/>
          <w:tblCellMar>
            <w:top w:w="0" w:type="dxa"/>
            <w:left w:w="0" w:type="dxa"/>
            <w:bottom w:w="0" w:type="dxa"/>
            <w:right w:w="0" w:type="dxa"/>
          </w:tblCellMar>
        </w:tblPrEx>
        <w:trPr>
          <w:trHeight w:val="397" w:hRule="exac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序号</w:t>
            </w:r>
          </w:p>
        </w:tc>
        <w:tc>
          <w:tcPr>
            <w:tcW w:w="36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单位名称</w:t>
            </w:r>
          </w:p>
        </w:tc>
        <w:tc>
          <w:tcPr>
            <w:tcW w:w="4500" w:type="dxa"/>
            <w:tcBorders>
              <w:top w:val="single" w:color="auto" w:sz="8" w:space="0"/>
              <w:left w:val="nil"/>
              <w:bottom w:val="single" w:color="auto" w:sz="8" w:space="0"/>
              <w:right w:val="single" w:color="auto" w:sz="8" w:space="0"/>
            </w:tcBorders>
            <w:shd w:val="clear" w:color="auto" w:fill="FFFFFF"/>
          </w:tcPr>
          <w:p>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单位性质</w:t>
            </w:r>
          </w:p>
        </w:tc>
      </w:tr>
      <w:tr>
        <w:tblPrEx>
          <w:shd w:val="clear" w:color="auto" w:fill="FFFFFF"/>
          <w:tblLayout w:type="fixed"/>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hint="eastAsia" w:ascii="仿宋_GB2312" w:hAnsi="宋体" w:eastAsia="仿宋_GB2312" w:cs="宋体"/>
                <w:sz w:val="24"/>
              </w:rPr>
            </w:pPr>
            <w:r>
              <w:rPr>
                <w:rFonts w:hint="eastAsia" w:ascii="仿宋_GB2312" w:hAnsi="宋体" w:eastAsia="仿宋_GB2312"/>
                <w:sz w:val="24"/>
              </w:rPr>
              <w:t>1</w:t>
            </w: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hint="eastAsia" w:ascii="仿宋_GB2312" w:hAnsi="宋体" w:eastAsia="仿宋_GB2312"/>
                <w:sz w:val="24"/>
                <w:u w:val="single"/>
              </w:rPr>
            </w:pPr>
            <w:r>
              <w:rPr>
                <w:rFonts w:hint="eastAsia" w:ascii="仿宋_GB2312" w:hAnsi="仿宋" w:eastAsia="仿宋_GB2312" w:cs="仿宋"/>
                <w:bCs/>
                <w:sz w:val="24"/>
              </w:rPr>
              <w:t>寿县炎刘镇人民政府本级</w:t>
            </w:r>
          </w:p>
        </w:tc>
        <w:tc>
          <w:tcPr>
            <w:tcW w:w="4500" w:type="dxa"/>
            <w:tcBorders>
              <w:top w:val="nil"/>
              <w:left w:val="nil"/>
              <w:bottom w:val="single" w:color="auto" w:sz="8" w:space="0"/>
              <w:right w:val="single" w:color="auto" w:sz="8" w:space="0"/>
            </w:tcBorders>
            <w:shd w:val="clear" w:color="auto" w:fill="FFFFFF"/>
          </w:tcPr>
          <w:p>
            <w:pPr>
              <w:adjustRightInd w:val="0"/>
              <w:snapToGrid w:val="0"/>
              <w:spacing w:line="360" w:lineRule="auto"/>
              <w:rPr>
                <w:rFonts w:hint="eastAsia" w:ascii="仿宋_GB2312" w:hAnsi="宋体" w:eastAsia="仿宋_GB2312"/>
                <w:sz w:val="24"/>
                <w:u w:val="single"/>
              </w:rPr>
            </w:pPr>
            <w:r>
              <w:rPr>
                <w:rFonts w:hint="eastAsia" w:ascii="仿宋_GB2312" w:hAnsi="仿宋" w:eastAsia="仿宋_GB2312" w:cs="仿宋"/>
                <w:bCs/>
                <w:sz w:val="24"/>
              </w:rPr>
              <w:t>行政单位</w:t>
            </w:r>
          </w:p>
        </w:tc>
      </w:tr>
    </w:tbl>
    <w:p>
      <w:pPr>
        <w:pStyle w:val="6"/>
        <w:adjustRightInd w:val="0"/>
        <w:snapToGrid w:val="0"/>
        <w:spacing w:before="0" w:beforeAutospacing="0" w:after="0" w:afterAutospacing="0" w:line="360" w:lineRule="auto"/>
        <w:ind w:firstLine="627" w:firstLineChars="196"/>
        <w:rPr>
          <w:rFonts w:hint="eastAsia" w:ascii="黑体" w:hAnsi="黑体" w:eastAsia="黑体"/>
          <w:bCs/>
          <w:sz w:val="32"/>
          <w:szCs w:val="32"/>
        </w:rPr>
      </w:pPr>
    </w:p>
    <w:p>
      <w:pPr>
        <w:pStyle w:val="6"/>
        <w:adjustRightInd w:val="0"/>
        <w:snapToGrid w:val="0"/>
        <w:spacing w:before="0" w:beforeAutospacing="0" w:after="0" w:afterAutospacing="0" w:line="360" w:lineRule="auto"/>
        <w:ind w:firstLine="627" w:firstLineChars="196"/>
        <w:rPr>
          <w:rFonts w:hint="eastAsia" w:ascii="黑体" w:hAnsi="黑体" w:eastAsia="黑体"/>
          <w:bCs/>
          <w:sz w:val="32"/>
          <w:szCs w:val="32"/>
        </w:rPr>
      </w:pPr>
      <w:r>
        <w:rPr>
          <w:rFonts w:hint="eastAsia" w:ascii="黑体" w:hAnsi="黑体" w:eastAsia="黑体"/>
          <w:bCs/>
          <w:sz w:val="32"/>
          <w:szCs w:val="32"/>
        </w:rPr>
        <w:t>三、2026年度主要工作任务</w:t>
      </w:r>
    </w:p>
    <w:p>
      <w:pPr>
        <w:pStyle w:val="6"/>
        <w:adjustRightInd w:val="0"/>
        <w:snapToGrid w:val="0"/>
        <w:spacing w:line="360" w:lineRule="auto"/>
        <w:ind w:firstLine="784" w:firstLineChars="245"/>
        <w:rPr>
          <w:rFonts w:hint="eastAsia" w:ascii="仿宋_GB2312" w:hAnsi="黑体" w:eastAsia="仿宋_GB2312"/>
          <w:bCs/>
          <w:sz w:val="32"/>
          <w:szCs w:val="32"/>
        </w:rPr>
      </w:pPr>
      <w:r>
        <w:rPr>
          <w:rFonts w:hint="eastAsia" w:ascii="仿宋_GB2312" w:hAnsi="黑体" w:eastAsia="仿宋_GB2312"/>
          <w:bCs/>
          <w:sz w:val="32"/>
          <w:szCs w:val="32"/>
        </w:rPr>
        <w:t>1、努力做好预决算工作，严格执行年初预算，确保全年收支平衡。牢固树立勤俭办事意识，反对铺张浪费，从严控制一般性公务开支。</w:t>
      </w:r>
    </w:p>
    <w:p>
      <w:pPr>
        <w:pStyle w:val="6"/>
        <w:adjustRightInd w:val="0"/>
        <w:snapToGrid w:val="0"/>
        <w:spacing w:line="360" w:lineRule="auto"/>
        <w:ind w:firstLine="784" w:firstLineChars="245"/>
        <w:rPr>
          <w:rFonts w:hint="eastAsia" w:ascii="仿宋_GB2312" w:hAnsi="黑体" w:eastAsia="仿宋_GB2312"/>
          <w:bCs/>
          <w:sz w:val="32"/>
          <w:szCs w:val="32"/>
        </w:rPr>
      </w:pPr>
      <w:r>
        <w:rPr>
          <w:rFonts w:hint="eastAsia" w:ascii="仿宋_GB2312" w:hAnsi="黑体" w:eastAsia="仿宋_GB2312"/>
          <w:bCs/>
          <w:sz w:val="32"/>
          <w:szCs w:val="32"/>
        </w:rPr>
        <w:t>2、全面落实好国家各项惠农政策，确保各种惠农资金落实到位。一是要及时将惠民政策宣传到位，二是要认真做好各种惠农资金的对象调查及资金的发放工作。确保应该发给农民的资金，100%发到农民的手中，使群众真正得实惠，保障国家粮食安全政策。</w:t>
      </w:r>
    </w:p>
    <w:p>
      <w:pPr>
        <w:pStyle w:val="6"/>
        <w:adjustRightInd w:val="0"/>
        <w:snapToGrid w:val="0"/>
        <w:spacing w:line="360" w:lineRule="auto"/>
        <w:ind w:firstLine="784" w:firstLineChars="245"/>
        <w:rPr>
          <w:rFonts w:hint="eastAsia" w:ascii="仿宋_GB2312" w:hAnsi="黑体" w:eastAsia="仿宋_GB2312"/>
          <w:bCs/>
          <w:sz w:val="32"/>
          <w:szCs w:val="32"/>
        </w:rPr>
      </w:pPr>
      <w:r>
        <w:rPr>
          <w:rFonts w:hint="eastAsia" w:ascii="仿宋_GB2312" w:hAnsi="黑体" w:eastAsia="仿宋_GB2312"/>
          <w:bCs/>
          <w:sz w:val="32"/>
          <w:szCs w:val="32"/>
        </w:rPr>
        <w:t>3、认真做好全镇干部职工工资的发放工作。工作中继续坚持按政策执行核算工资的数额。做到准确核算、及时审批、按时发放。严格梳理在岗在职人员情况，严把“起薪”“停薪”关，对人员的变动按照规定及时到财政部门报送增减变动情况。</w:t>
      </w:r>
    </w:p>
    <w:p>
      <w:pPr>
        <w:pStyle w:val="6"/>
        <w:adjustRightInd w:val="0"/>
        <w:snapToGrid w:val="0"/>
        <w:spacing w:line="360" w:lineRule="auto"/>
        <w:ind w:firstLine="784" w:firstLineChars="245"/>
        <w:rPr>
          <w:rFonts w:hint="eastAsia" w:ascii="仿宋_GB2312" w:hAnsi="黑体" w:eastAsia="仿宋_GB2312"/>
          <w:bCs/>
          <w:sz w:val="32"/>
          <w:szCs w:val="32"/>
        </w:rPr>
      </w:pPr>
      <w:r>
        <w:rPr>
          <w:rFonts w:hint="eastAsia" w:ascii="仿宋_GB2312" w:hAnsi="黑体" w:eastAsia="仿宋_GB2312"/>
          <w:bCs/>
          <w:sz w:val="32"/>
          <w:szCs w:val="32"/>
        </w:rPr>
        <w:t>4、进一步加强财政资金监管。财政资金涉及方方面面，为使财政资金更好的发挥作用，今年财政金融中心所将认真落实上级有关文件精神，加大财政资金监管力度，结合“安徽省预算一体化系统”将所有财政资金全部纳入监管范围，推进预算项目绩效考评工作，进一步健全制度，建立内部监管检查机制，确保财政资金安全及使用效益最大化。</w:t>
      </w:r>
    </w:p>
    <w:p>
      <w:pPr>
        <w:pStyle w:val="6"/>
        <w:adjustRightInd w:val="0"/>
        <w:snapToGrid w:val="0"/>
        <w:spacing w:line="360" w:lineRule="auto"/>
        <w:ind w:firstLine="784" w:firstLineChars="245"/>
        <w:rPr>
          <w:rFonts w:hint="eastAsia" w:ascii="仿宋_GB2312" w:hAnsi="黑体" w:eastAsia="仿宋_GB2312"/>
          <w:bCs/>
          <w:sz w:val="32"/>
          <w:szCs w:val="32"/>
        </w:rPr>
      </w:pPr>
      <w:r>
        <w:rPr>
          <w:rFonts w:hint="eastAsia" w:ascii="仿宋_GB2312" w:hAnsi="黑体" w:eastAsia="仿宋_GB2312"/>
          <w:bCs/>
          <w:sz w:val="32"/>
          <w:szCs w:val="32"/>
        </w:rPr>
        <w:t>5、全力做好镇党委、政府交办的其他工作。</w:t>
      </w:r>
    </w:p>
    <w:p>
      <w:pPr>
        <w:pStyle w:val="6"/>
        <w:adjustRightInd w:val="0"/>
        <w:snapToGrid w:val="0"/>
        <w:spacing w:before="0" w:beforeAutospacing="0" w:after="0" w:afterAutospacing="0" w:line="360" w:lineRule="auto"/>
        <w:jc w:val="center"/>
        <w:rPr>
          <w:rFonts w:hint="eastAsia" w:ascii="黑体" w:hAnsi="黑体" w:eastAsia="黑体"/>
          <w:bCs/>
          <w:sz w:val="36"/>
          <w:szCs w:val="36"/>
        </w:rPr>
      </w:pPr>
    </w:p>
    <w:p>
      <w:pPr>
        <w:pStyle w:val="6"/>
        <w:adjustRightInd w:val="0"/>
        <w:snapToGrid w:val="0"/>
        <w:spacing w:before="0" w:beforeAutospacing="0" w:after="0" w:afterAutospacing="0" w:line="360" w:lineRule="auto"/>
        <w:jc w:val="center"/>
        <w:rPr>
          <w:rFonts w:hint="eastAsia" w:ascii="黑体" w:hAnsi="黑体" w:eastAsia="黑体"/>
          <w:bCs/>
          <w:sz w:val="36"/>
          <w:szCs w:val="36"/>
        </w:rPr>
      </w:pPr>
    </w:p>
    <w:p>
      <w:pPr>
        <w:pStyle w:val="6"/>
        <w:adjustRightInd w:val="0"/>
        <w:snapToGrid w:val="0"/>
        <w:spacing w:before="0" w:beforeAutospacing="0" w:after="0" w:afterAutospacing="0" w:line="360" w:lineRule="auto"/>
        <w:jc w:val="center"/>
        <w:rPr>
          <w:rFonts w:hint="eastAsia" w:ascii="黑体" w:hAnsi="黑体" w:eastAsia="黑体"/>
          <w:bCs/>
          <w:sz w:val="36"/>
          <w:szCs w:val="36"/>
        </w:rPr>
      </w:pPr>
    </w:p>
    <w:p>
      <w:pPr>
        <w:pStyle w:val="6"/>
        <w:adjustRightInd w:val="0"/>
        <w:snapToGrid w:val="0"/>
        <w:spacing w:before="0" w:beforeAutospacing="0" w:after="0" w:afterAutospacing="0" w:line="360" w:lineRule="auto"/>
        <w:jc w:val="center"/>
        <w:rPr>
          <w:rFonts w:hint="eastAsia" w:ascii="黑体" w:hAnsi="黑体" w:eastAsia="黑体"/>
          <w:bCs/>
          <w:sz w:val="36"/>
          <w:szCs w:val="36"/>
        </w:rPr>
      </w:pPr>
    </w:p>
    <w:p>
      <w:pPr>
        <w:pStyle w:val="6"/>
        <w:adjustRightInd w:val="0"/>
        <w:snapToGrid w:val="0"/>
        <w:spacing w:before="0" w:beforeAutospacing="0" w:after="0" w:afterAutospacing="0" w:line="360" w:lineRule="auto"/>
        <w:jc w:val="center"/>
        <w:rPr>
          <w:rFonts w:hint="eastAsia" w:ascii="黑体" w:hAnsi="黑体" w:eastAsia="黑体"/>
          <w:bCs/>
          <w:sz w:val="36"/>
          <w:szCs w:val="36"/>
        </w:rPr>
      </w:pPr>
    </w:p>
    <w:p>
      <w:pPr>
        <w:pStyle w:val="6"/>
        <w:adjustRightInd w:val="0"/>
        <w:snapToGrid w:val="0"/>
        <w:spacing w:before="0" w:beforeAutospacing="0" w:after="0" w:afterAutospacing="0" w:line="360" w:lineRule="auto"/>
        <w:jc w:val="center"/>
        <w:rPr>
          <w:rFonts w:hint="eastAsia" w:ascii="黑体" w:hAnsi="黑体" w:eastAsia="黑体"/>
          <w:bCs/>
          <w:sz w:val="36"/>
          <w:szCs w:val="36"/>
        </w:rPr>
      </w:pPr>
    </w:p>
    <w:p>
      <w:pPr>
        <w:pStyle w:val="6"/>
        <w:adjustRightInd w:val="0"/>
        <w:snapToGrid w:val="0"/>
        <w:spacing w:before="0" w:beforeAutospacing="0" w:after="0" w:afterAutospacing="0" w:line="360" w:lineRule="auto"/>
        <w:jc w:val="center"/>
        <w:rPr>
          <w:rFonts w:hint="eastAsia" w:ascii="黑体" w:hAnsi="黑体" w:eastAsia="黑体"/>
          <w:bCs/>
          <w:sz w:val="36"/>
          <w:szCs w:val="36"/>
        </w:rPr>
      </w:pPr>
    </w:p>
    <w:p>
      <w:pPr>
        <w:pStyle w:val="6"/>
        <w:adjustRightInd w:val="0"/>
        <w:snapToGrid w:val="0"/>
        <w:spacing w:before="0" w:beforeAutospacing="0" w:after="0" w:afterAutospacing="0" w:line="360" w:lineRule="auto"/>
        <w:jc w:val="center"/>
        <w:rPr>
          <w:rFonts w:hint="eastAsia" w:ascii="黑体" w:hAnsi="黑体" w:eastAsia="黑体"/>
          <w:bCs/>
          <w:sz w:val="36"/>
          <w:szCs w:val="36"/>
        </w:rPr>
      </w:pPr>
    </w:p>
    <w:p>
      <w:pPr>
        <w:pStyle w:val="6"/>
        <w:adjustRightInd w:val="0"/>
        <w:snapToGrid w:val="0"/>
        <w:spacing w:before="0" w:beforeAutospacing="0" w:after="0" w:afterAutospacing="0" w:line="360" w:lineRule="auto"/>
        <w:jc w:val="center"/>
        <w:rPr>
          <w:rFonts w:hint="eastAsia" w:ascii="黑体" w:hAnsi="黑体" w:eastAsia="黑体"/>
          <w:bCs/>
          <w:sz w:val="36"/>
          <w:szCs w:val="36"/>
        </w:rPr>
      </w:pPr>
    </w:p>
    <w:p>
      <w:pPr>
        <w:pStyle w:val="6"/>
        <w:adjustRightInd w:val="0"/>
        <w:snapToGrid w:val="0"/>
        <w:spacing w:before="0" w:beforeAutospacing="0" w:after="0" w:afterAutospacing="0" w:line="360" w:lineRule="auto"/>
        <w:jc w:val="center"/>
        <w:rPr>
          <w:rFonts w:hint="eastAsia" w:ascii="黑体" w:hAnsi="黑体" w:eastAsia="黑体"/>
          <w:bCs/>
          <w:sz w:val="36"/>
          <w:szCs w:val="36"/>
        </w:rPr>
      </w:pPr>
      <w:r>
        <w:rPr>
          <w:rFonts w:hint="eastAsia" w:ascii="黑体" w:hAnsi="黑体" w:eastAsia="黑体"/>
          <w:bCs/>
          <w:sz w:val="36"/>
          <w:szCs w:val="36"/>
        </w:rPr>
        <w:t>第二部分 2026年部门预算表</w:t>
      </w:r>
    </w:p>
    <w:p>
      <w:pPr>
        <w:pStyle w:val="6"/>
        <w:adjustRightInd w:val="0"/>
        <w:snapToGrid w:val="0"/>
        <w:spacing w:before="0" w:beforeAutospacing="0" w:after="0" w:afterAutospacing="0" w:line="360" w:lineRule="auto"/>
        <w:rPr>
          <w:rFonts w:hint="eastAsia" w:ascii="仿宋" w:hAnsi="仿宋" w:eastAsia="仿宋"/>
          <w:bCs/>
          <w:sz w:val="32"/>
          <w:szCs w:val="32"/>
        </w:rPr>
      </w:pPr>
      <w:r>
        <w:rPr>
          <w:rFonts w:hint="eastAsia" w:ascii="仿宋" w:hAnsi="仿宋" w:eastAsia="仿宋"/>
          <w:bCs/>
          <w:sz w:val="32"/>
          <w:szCs w:val="32"/>
        </w:rPr>
        <w:t>2026年部门预算表由以下1套表格构成，具体表格内容详见附表。</w:t>
      </w:r>
    </w:p>
    <w:p>
      <w:pPr>
        <w:pStyle w:val="6"/>
        <w:adjustRightInd w:val="0"/>
        <w:snapToGrid w:val="0"/>
        <w:spacing w:before="0" w:beforeAutospacing="0" w:after="0" w:afterAutospacing="0" w:line="360" w:lineRule="auto"/>
        <w:rPr>
          <w:rFonts w:hint="eastAsia" w:ascii="仿宋" w:hAnsi="仿宋" w:eastAsia="仿宋"/>
          <w:bCs/>
          <w:sz w:val="32"/>
          <w:szCs w:val="32"/>
        </w:rPr>
      </w:pPr>
      <w:r>
        <w:rPr>
          <w:rFonts w:hint="eastAsia" w:ascii="仿宋" w:hAnsi="仿宋" w:eastAsia="仿宋"/>
          <w:bCs/>
          <w:sz w:val="32"/>
          <w:szCs w:val="32"/>
        </w:rPr>
        <w:t>2026年部门预算表由以下1</w:t>
      </w:r>
      <w:r>
        <w:rPr>
          <w:rFonts w:ascii="仿宋" w:hAnsi="仿宋" w:eastAsia="仿宋"/>
          <w:bCs/>
          <w:sz w:val="32"/>
          <w:szCs w:val="32"/>
        </w:rPr>
        <w:t>2</w:t>
      </w:r>
      <w:r>
        <w:rPr>
          <w:rFonts w:hint="eastAsia" w:ascii="仿宋" w:hAnsi="仿宋" w:eastAsia="仿宋"/>
          <w:bCs/>
          <w:sz w:val="32"/>
          <w:szCs w:val="32"/>
        </w:rPr>
        <w:t>张表格构成，具体表格内容详见附表。</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附表一 部门预算收支总表</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附表二 部门预算收入总表</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附表三 部门预算支出总表</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附表四 部门财政拨款收支总表</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附表五 部门一般公共预算支出表</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附表六 部门一般公共预算基本支出表</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附表七 部门政府性基金预算支出表</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附表八 部门国有资本经营预算支出表</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附表九 部门项目支出表</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附表十 部门政府采购支出表</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附表十一 部门政府购买服务支出表</w:t>
      </w:r>
    </w:p>
    <w:p>
      <w:pPr>
        <w:pStyle w:val="6"/>
        <w:adjustRightInd w:val="0"/>
        <w:snapToGrid w:val="0"/>
        <w:spacing w:before="0" w:beforeAutospacing="0" w:after="0" w:afterAutospacing="0" w:line="5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附表十二 部门财政拨款安排“三公”经费预算支出表</w:t>
      </w:r>
    </w:p>
    <w:p>
      <w:pPr>
        <w:pStyle w:val="6"/>
        <w:adjustRightInd w:val="0"/>
        <w:snapToGrid w:val="0"/>
        <w:spacing w:before="0" w:beforeAutospacing="0" w:after="0" w:afterAutospacing="0" w:line="600" w:lineRule="exact"/>
        <w:jc w:val="center"/>
        <w:rPr>
          <w:rFonts w:hint="eastAsia" w:ascii="黑体" w:hAnsi="黑体" w:eastAsia="黑体"/>
          <w:bCs/>
          <w:sz w:val="36"/>
          <w:szCs w:val="36"/>
        </w:rPr>
      </w:pPr>
      <w:r>
        <w:rPr>
          <w:rFonts w:hint="eastAsia" w:ascii="黑体" w:hAnsi="黑体" w:eastAsia="黑体"/>
          <w:bCs/>
          <w:sz w:val="36"/>
          <w:szCs w:val="36"/>
        </w:rPr>
        <w:t>第三部分 2026年部门预算情况说明</w:t>
      </w:r>
    </w:p>
    <w:p>
      <w:pPr>
        <w:pStyle w:val="6"/>
        <w:adjustRightInd w:val="0"/>
        <w:snapToGrid w:val="0"/>
        <w:spacing w:before="0" w:beforeAutospacing="0" w:after="0" w:afterAutospacing="0" w:line="600" w:lineRule="exact"/>
        <w:rPr>
          <w:rFonts w:hint="eastAsia" w:ascii="黑体" w:hAnsi="黑体" w:eastAsia="黑体"/>
          <w:bCs/>
          <w:sz w:val="32"/>
          <w:szCs w:val="32"/>
        </w:rPr>
      </w:pPr>
    </w:p>
    <w:p>
      <w:pPr>
        <w:pStyle w:val="6"/>
        <w:adjustRightInd w:val="0"/>
        <w:snapToGrid w:val="0"/>
        <w:spacing w:before="0" w:beforeAutospacing="0" w:after="0" w:afterAutospacing="0" w:line="600" w:lineRule="exact"/>
        <w:ind w:firstLine="640" w:firstLineChars="200"/>
        <w:rPr>
          <w:rFonts w:hint="eastAsia" w:ascii="黑体" w:hAnsi="黑体" w:eastAsia="黑体"/>
          <w:bCs/>
          <w:sz w:val="32"/>
          <w:szCs w:val="32"/>
        </w:rPr>
      </w:pPr>
      <w:r>
        <w:rPr>
          <w:rFonts w:hint="eastAsia" w:ascii="黑体" w:hAnsi="黑体" w:eastAsia="黑体"/>
          <w:bCs/>
          <w:sz w:val="32"/>
          <w:szCs w:val="32"/>
        </w:rPr>
        <w:t>一、关于2026年财政拨款收支预算总体情况说明</w:t>
      </w:r>
    </w:p>
    <w:p>
      <w:pPr>
        <w:pStyle w:val="6"/>
        <w:adjustRightInd w:val="0"/>
        <w:snapToGrid w:val="0"/>
        <w:spacing w:before="0" w:beforeAutospacing="0" w:after="0" w:afterAutospacing="0" w:line="600" w:lineRule="exact"/>
        <w:ind w:firstLine="640" w:firstLineChars="200"/>
        <w:rPr>
          <w:rFonts w:hint="eastAsia" w:ascii="仿宋" w:hAnsi="仿宋" w:eastAsia="仿宋" w:cs="Times New Roman"/>
          <w:kern w:val="2"/>
          <w:sz w:val="32"/>
          <w:szCs w:val="32"/>
        </w:rPr>
      </w:pPr>
      <w:r>
        <w:rPr>
          <w:rFonts w:hint="eastAsia" w:ascii="仿宋" w:hAnsi="仿宋" w:eastAsia="仿宋" w:cs="Times New Roman"/>
          <w:kern w:val="2"/>
          <w:sz w:val="32"/>
          <w:szCs w:val="32"/>
        </w:rPr>
        <w:t>寿县炎刘镇人民政府2026年财政拨款收支预算</w:t>
      </w:r>
      <w:r>
        <w:rPr>
          <w:rFonts w:hint="eastAsia" w:ascii="仿宋" w:hAnsi="仿宋" w:eastAsia="仿宋"/>
          <w:sz w:val="32"/>
          <w:szCs w:val="32"/>
        </w:rPr>
        <w:t>1941.99</w:t>
      </w:r>
      <w:r>
        <w:rPr>
          <w:rFonts w:hint="eastAsia" w:ascii="仿宋" w:hAnsi="仿宋" w:eastAsia="仿宋" w:cs="Times New Roman"/>
          <w:kern w:val="2"/>
          <w:sz w:val="32"/>
          <w:szCs w:val="32"/>
        </w:rPr>
        <w:t>万元。收入按资金来源分为：一般公共预算拨款1941.99万元、政府性基金预算拨款0万元、国有资本经营预算拨款0万元；按资金年度分为：当年财政拨款收入1941.99万元，上年结转0万元。支出按功能分类分为：</w:t>
      </w:r>
      <w:bookmarkStart w:id="1" w:name="_Hlk126915611"/>
      <w:r>
        <w:rPr>
          <w:rFonts w:hint="eastAsia" w:ascii="仿宋" w:hAnsi="仿宋" w:eastAsia="仿宋" w:cs="Times New Roman"/>
          <w:kern w:val="2"/>
          <w:sz w:val="32"/>
          <w:szCs w:val="32"/>
        </w:rPr>
        <w:t>一般公共服务支出1541.30万元，占79.37%；社会保障与就业支出194.61万元，占10.02%；卫生健康支出42.69万元，占2.20%；住房保障支出163.38万元，占8.41%。</w:t>
      </w:r>
      <w:bookmarkEnd w:id="1"/>
    </w:p>
    <w:p>
      <w:pPr>
        <w:pStyle w:val="6"/>
        <w:adjustRightInd w:val="0"/>
        <w:snapToGrid w:val="0"/>
        <w:spacing w:before="0" w:beforeAutospacing="0" w:after="0" w:afterAutospacing="0" w:line="600" w:lineRule="exact"/>
        <w:ind w:firstLine="640" w:firstLineChars="200"/>
        <w:rPr>
          <w:rFonts w:hint="eastAsia" w:ascii="黑体" w:hAnsi="仿宋" w:eastAsia="黑体" w:cs="Times New Roman"/>
          <w:kern w:val="2"/>
          <w:sz w:val="32"/>
          <w:szCs w:val="32"/>
        </w:rPr>
      </w:pPr>
      <w:r>
        <w:rPr>
          <w:rFonts w:hint="eastAsia" w:ascii="黑体" w:hAnsi="仿宋" w:eastAsia="黑体" w:cs="Times New Roman"/>
          <w:kern w:val="2"/>
          <w:sz w:val="32"/>
          <w:szCs w:val="32"/>
        </w:rPr>
        <w:t>二、关于2026年一般公共预算拨款情况说明</w:t>
      </w:r>
    </w:p>
    <w:p>
      <w:pPr>
        <w:pStyle w:val="6"/>
        <w:adjustRightInd w:val="0"/>
        <w:snapToGrid w:val="0"/>
        <w:spacing w:before="0" w:beforeAutospacing="0" w:after="0" w:afterAutospacing="0" w:line="600" w:lineRule="exact"/>
        <w:ind w:firstLine="630" w:firstLineChars="196"/>
        <w:rPr>
          <w:rFonts w:hint="eastAsia"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（一）一般公共预算拨款规模变化情况。</w:t>
      </w:r>
    </w:p>
    <w:p>
      <w:pPr>
        <w:pStyle w:val="6"/>
        <w:adjustRightInd w:val="0"/>
        <w:snapToGrid w:val="0"/>
        <w:spacing w:before="0" w:beforeAutospacing="0" w:after="0" w:afterAutospacing="0" w:line="600" w:lineRule="exact"/>
        <w:ind w:firstLine="627" w:firstLineChars="196"/>
        <w:rPr>
          <w:rFonts w:hint="eastAsia" w:ascii="仿宋" w:hAnsi="仿宋" w:eastAsia="仿宋" w:cs="Times New Roman"/>
          <w:kern w:val="2"/>
          <w:sz w:val="32"/>
          <w:szCs w:val="32"/>
        </w:rPr>
      </w:pPr>
      <w:r>
        <w:rPr>
          <w:rFonts w:hint="eastAsia" w:ascii="仿宋" w:hAnsi="仿宋" w:eastAsia="仿宋" w:cs="Times New Roman"/>
          <w:kern w:val="2"/>
          <w:sz w:val="32"/>
          <w:szCs w:val="32"/>
        </w:rPr>
        <w:t>寿县炎刘镇人民政府2026年一般公共预算拨款</w:t>
      </w:r>
      <w:r>
        <w:rPr>
          <w:rFonts w:hint="eastAsia" w:ascii="仿宋" w:hAnsi="仿宋" w:eastAsia="仿宋"/>
          <w:sz w:val="32"/>
          <w:szCs w:val="32"/>
        </w:rPr>
        <w:t>1941.99</w:t>
      </w:r>
      <w:r>
        <w:rPr>
          <w:rFonts w:hint="eastAsia" w:ascii="仿宋" w:hAnsi="仿宋" w:eastAsia="仿宋" w:cs="Times New Roman"/>
          <w:kern w:val="2"/>
          <w:sz w:val="32"/>
          <w:szCs w:val="32"/>
        </w:rPr>
        <w:t>万元，比2025年预算拨款增加210.23万元，增长12.14%，</w:t>
      </w:r>
      <w:bookmarkStart w:id="2" w:name="_Hlk218521228"/>
      <w:r>
        <w:rPr>
          <w:rFonts w:hint="eastAsia" w:ascii="仿宋" w:hAnsi="仿宋" w:eastAsia="仿宋" w:cs="Times New Roman"/>
          <w:kern w:val="2"/>
          <w:sz w:val="32"/>
          <w:szCs w:val="32"/>
        </w:rPr>
        <w:t>主要原因：一是项目资金提高；二是人员工资普调；三是人员的提租补贴列入预算内。</w:t>
      </w:r>
      <w:bookmarkEnd w:id="2"/>
    </w:p>
    <w:p>
      <w:pPr>
        <w:pStyle w:val="6"/>
        <w:adjustRightInd w:val="0"/>
        <w:snapToGrid w:val="0"/>
        <w:spacing w:before="0" w:beforeAutospacing="0" w:after="0" w:afterAutospacing="0" w:line="600" w:lineRule="exact"/>
        <w:ind w:firstLine="630" w:firstLineChars="196"/>
        <w:rPr>
          <w:rFonts w:hint="eastAsia" w:ascii="楷体_GB2312" w:hAnsi="仿宋" w:eastAsia="楷体_GB2312" w:cs="Times New Roman"/>
          <w:b/>
          <w:kern w:val="2"/>
          <w:sz w:val="32"/>
          <w:szCs w:val="32"/>
        </w:rPr>
      </w:pPr>
      <w:r>
        <w:rPr>
          <w:rFonts w:hint="eastAsia" w:ascii="楷体_GB2312" w:hAnsi="仿宋" w:eastAsia="楷体_GB2312" w:cs="Times New Roman"/>
          <w:b/>
          <w:kern w:val="2"/>
          <w:sz w:val="32"/>
          <w:szCs w:val="32"/>
        </w:rPr>
        <w:t>（二</w:t>
      </w:r>
      <w:r>
        <w:rPr>
          <w:rFonts w:ascii="楷体_GB2312" w:hAnsi="仿宋" w:eastAsia="楷体_GB2312" w:cs="Times New Roman"/>
          <w:b/>
          <w:kern w:val="2"/>
          <w:sz w:val="32"/>
          <w:szCs w:val="32"/>
        </w:rPr>
        <w:t>）</w:t>
      </w:r>
      <w:r>
        <w:rPr>
          <w:rFonts w:hint="eastAsia" w:ascii="楷体_GB2312" w:hAnsi="仿宋" w:eastAsia="楷体_GB2312" w:cs="Times New Roman"/>
          <w:b/>
          <w:kern w:val="2"/>
          <w:sz w:val="32"/>
          <w:szCs w:val="32"/>
        </w:rPr>
        <w:t>一般公共预算拨款结构情况。</w:t>
      </w:r>
    </w:p>
    <w:p>
      <w:pPr>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一般公共服务支出1541.30万元，占79.37%；社会保障与就业支出179.41万元，占10.02%；卫生健康支出42.69万元，占2.20%；住房保障支出163.38万元，占8.41%。</w:t>
      </w:r>
    </w:p>
    <w:p>
      <w:pPr>
        <w:adjustRightInd w:val="0"/>
        <w:snapToGrid w:val="0"/>
        <w:spacing w:line="60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（三）一般公共预算拨款具体使用情况。</w:t>
      </w:r>
    </w:p>
    <w:p>
      <w:pPr>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rPr>
        <w:t>1.一般公共服务支出（类）政府办公厅（室）及相关机构事务（款）行政运行（项）</w:t>
      </w:r>
      <w:r>
        <w:rPr>
          <w:rFonts w:hint="eastAsia" w:ascii="仿宋" w:hAnsi="仿宋" w:eastAsia="仿宋"/>
          <w:sz w:val="32"/>
          <w:szCs w:val="32"/>
        </w:rPr>
        <w:t>一般公共服务支出1541.30万元，比2025年预算</w:t>
      </w:r>
      <w:bookmarkStart w:id="3" w:name="_Hlk95405055"/>
      <w:r>
        <w:rPr>
          <w:rFonts w:hint="eastAsia" w:ascii="仿宋" w:hAnsi="仿宋" w:eastAsia="仿宋"/>
          <w:sz w:val="32"/>
          <w:szCs w:val="32"/>
        </w:rPr>
        <w:t>增加115.96万元，增加8.14%，</w:t>
      </w:r>
      <w:bookmarkEnd w:id="3"/>
      <w:r>
        <w:rPr>
          <w:rFonts w:hint="eastAsia" w:ascii="仿宋" w:hAnsi="仿宋" w:eastAsia="仿宋"/>
          <w:sz w:val="32"/>
          <w:szCs w:val="32"/>
        </w:rPr>
        <w:t>主要原因：一是项目资金提高；二是人员工资普调；三是人员的提租补贴列入预算内。</w:t>
      </w:r>
    </w:p>
    <w:p>
      <w:pPr>
        <w:adjustRightInd w:val="0"/>
        <w:snapToGrid w:val="0"/>
        <w:spacing w:line="600" w:lineRule="exact"/>
        <w:ind w:firstLine="643" w:firstLineChars="200"/>
        <w:rPr>
          <w:rFonts w:hint="eastAsia" w:ascii="仿宋" w:hAnsi="仿宋" w:eastAsia="仿宋"/>
          <w:sz w:val="32"/>
          <w:szCs w:val="32"/>
        </w:rPr>
      </w:pPr>
      <w:r>
        <w:rPr>
          <w:rFonts w:hint="eastAsia" w:ascii="仿宋_GB2312" w:hAnsi="仿宋" w:eastAsia="仿宋_GB2312"/>
          <w:b/>
          <w:sz w:val="32"/>
          <w:szCs w:val="32"/>
        </w:rPr>
        <w:t>2.社会保障和就业支出（类）行政事业单位养老支出（款）机关事业单位基本养老保险缴费支出（项）</w:t>
      </w:r>
      <w:r>
        <w:rPr>
          <w:rFonts w:hint="eastAsia" w:ascii="仿宋" w:hAnsi="仿宋" w:eastAsia="仿宋"/>
          <w:sz w:val="32"/>
          <w:szCs w:val="32"/>
        </w:rPr>
        <w:t>2026年预算127.88万元，比2025年预算增加9.94万元，增加8.43%，主要原因：一是人员工资普调。</w:t>
      </w:r>
    </w:p>
    <w:p>
      <w:pPr>
        <w:adjustRightInd w:val="0"/>
        <w:snapToGrid w:val="0"/>
        <w:spacing w:line="600" w:lineRule="exact"/>
        <w:ind w:firstLine="643" w:firstLineChars="200"/>
        <w:rPr>
          <w:rFonts w:hint="eastAsia" w:ascii="仿宋" w:hAnsi="仿宋" w:eastAsia="仿宋"/>
          <w:sz w:val="32"/>
          <w:szCs w:val="32"/>
        </w:rPr>
      </w:pPr>
      <w:r>
        <w:rPr>
          <w:rFonts w:ascii="仿宋_GB2312" w:hAnsi="仿宋" w:eastAsia="仿宋_GB2312"/>
          <w:b/>
          <w:sz w:val="32"/>
          <w:szCs w:val="32"/>
        </w:rPr>
        <w:t>3</w:t>
      </w:r>
      <w:r>
        <w:rPr>
          <w:rFonts w:hint="eastAsia" w:ascii="仿宋_GB2312" w:hAnsi="仿宋" w:eastAsia="仿宋_GB2312"/>
          <w:b/>
          <w:sz w:val="32"/>
          <w:szCs w:val="32"/>
        </w:rPr>
        <w:t>.社会保障和就业支出（类）行政事业单位养老支出（款）机关事业单位职业年金缴费支出（项）</w:t>
      </w:r>
      <w:r>
        <w:rPr>
          <w:rFonts w:hint="eastAsia" w:ascii="仿宋" w:hAnsi="仿宋" w:eastAsia="仿宋"/>
          <w:sz w:val="32"/>
          <w:szCs w:val="32"/>
        </w:rPr>
        <w:t>2026年预算63.94万元，比2025年预算增加4.08万元，增加8.43%，主要原因：一是人员工资普调。</w:t>
      </w:r>
    </w:p>
    <w:p>
      <w:pPr>
        <w:adjustRightInd w:val="0"/>
        <w:snapToGrid w:val="0"/>
        <w:spacing w:line="600" w:lineRule="exact"/>
        <w:ind w:firstLine="643" w:firstLineChars="200"/>
        <w:rPr>
          <w:rFonts w:hint="eastAsia" w:ascii="仿宋" w:hAnsi="仿宋" w:eastAsia="仿宋"/>
          <w:sz w:val="32"/>
          <w:szCs w:val="32"/>
        </w:rPr>
      </w:pPr>
      <w:r>
        <w:rPr>
          <w:rFonts w:hint="eastAsia" w:ascii="仿宋_GB2312" w:hAnsi="仿宋" w:eastAsia="仿宋_GB2312"/>
          <w:b/>
          <w:sz w:val="32"/>
          <w:szCs w:val="32"/>
        </w:rPr>
        <w:t>4.社会保障和就业支出（类）其他社会保障和就业支出（款）其他社会保障和就业支出（项）</w:t>
      </w:r>
      <w:r>
        <w:rPr>
          <w:rFonts w:hint="eastAsia" w:ascii="仿宋" w:hAnsi="仿宋" w:eastAsia="仿宋"/>
          <w:sz w:val="32"/>
          <w:szCs w:val="32"/>
        </w:rPr>
        <w:t>2026年预算2.79万元，比2025年预算增加0.29万元，增加11.6%，主要原因：一是人员工资普调。</w:t>
      </w:r>
    </w:p>
    <w:p>
      <w:pPr>
        <w:adjustRightInd w:val="0"/>
        <w:snapToGrid w:val="0"/>
        <w:spacing w:line="600" w:lineRule="exact"/>
        <w:ind w:firstLine="643" w:firstLineChars="200"/>
        <w:rPr>
          <w:rFonts w:hint="eastAsia" w:ascii="仿宋" w:hAnsi="仿宋" w:eastAsia="仿宋"/>
          <w:sz w:val="32"/>
          <w:szCs w:val="32"/>
        </w:rPr>
      </w:pPr>
      <w:r>
        <w:rPr>
          <w:rFonts w:hint="eastAsia" w:ascii="仿宋_GB2312" w:hAnsi="仿宋" w:eastAsia="仿宋_GB2312"/>
          <w:b/>
          <w:sz w:val="32"/>
          <w:szCs w:val="32"/>
        </w:rPr>
        <w:t>5.卫生健康支出（类）行政事业单位医疗（款）行政单位医疗（项）</w:t>
      </w:r>
      <w:r>
        <w:rPr>
          <w:rFonts w:hint="eastAsia" w:ascii="仿宋" w:hAnsi="仿宋" w:eastAsia="仿宋"/>
          <w:sz w:val="32"/>
          <w:szCs w:val="32"/>
        </w:rPr>
        <w:t>2026年预算21.24万元，比2025年预算增加1.52万元，降低9.03%，主要原因：一是人员工资普调。</w:t>
      </w:r>
    </w:p>
    <w:p>
      <w:pPr>
        <w:adjustRightInd w:val="0"/>
        <w:snapToGrid w:val="0"/>
        <w:spacing w:line="600" w:lineRule="exact"/>
        <w:ind w:firstLine="643" w:firstLineChars="200"/>
        <w:rPr>
          <w:rFonts w:hint="eastAsia" w:ascii="仿宋" w:hAnsi="仿宋" w:eastAsia="仿宋"/>
          <w:sz w:val="32"/>
          <w:szCs w:val="32"/>
        </w:rPr>
      </w:pPr>
      <w:r>
        <w:rPr>
          <w:rFonts w:hint="eastAsia" w:ascii="仿宋_GB2312" w:hAnsi="仿宋" w:eastAsia="仿宋_GB2312"/>
          <w:b/>
          <w:sz w:val="32"/>
          <w:szCs w:val="32"/>
        </w:rPr>
        <w:t>6.卫生健康支出（类）行政事业单位医疗（款）事业单位医疗（项）</w:t>
      </w:r>
      <w:r>
        <w:rPr>
          <w:rFonts w:hint="eastAsia" w:ascii="仿宋" w:hAnsi="仿宋" w:eastAsia="仿宋"/>
          <w:sz w:val="32"/>
          <w:szCs w:val="32"/>
        </w:rPr>
        <w:t>2026年预算21.46万元，比2025年预算增加2.38万元，降低12.47%，主要原因：一是人员工资普调。</w:t>
      </w:r>
    </w:p>
    <w:p>
      <w:pPr>
        <w:adjustRightInd w:val="0"/>
        <w:snapToGrid w:val="0"/>
        <w:spacing w:line="600" w:lineRule="exact"/>
        <w:ind w:firstLine="643" w:firstLineChars="200"/>
        <w:rPr>
          <w:rFonts w:hint="eastAsia" w:ascii="仿宋" w:hAnsi="仿宋" w:eastAsia="仿宋"/>
          <w:sz w:val="32"/>
          <w:szCs w:val="32"/>
        </w:rPr>
      </w:pPr>
      <w:r>
        <w:rPr>
          <w:rFonts w:hint="eastAsia" w:ascii="仿宋_GB2312" w:hAnsi="仿宋" w:eastAsia="仿宋_GB2312"/>
          <w:b/>
          <w:sz w:val="32"/>
          <w:szCs w:val="32"/>
        </w:rPr>
        <w:t>7.住房保障支出（类）住房改革支出（款）住房公积金（项）</w:t>
      </w:r>
      <w:r>
        <w:rPr>
          <w:rFonts w:hint="eastAsia" w:ascii="仿宋" w:hAnsi="仿宋" w:eastAsia="仿宋"/>
          <w:sz w:val="32"/>
          <w:szCs w:val="32"/>
        </w:rPr>
        <w:t>2026年预算101.21万元，比2025年预算增加12.76万元，</w:t>
      </w:r>
      <w:bookmarkStart w:id="4" w:name="_Hlk126918596"/>
      <w:r>
        <w:rPr>
          <w:rFonts w:hint="eastAsia" w:ascii="仿宋" w:hAnsi="仿宋" w:eastAsia="仿宋"/>
          <w:sz w:val="32"/>
          <w:szCs w:val="32"/>
        </w:rPr>
        <w:t>增加14.43%，主要原因：一是人员工资普调。</w:t>
      </w:r>
    </w:p>
    <w:p>
      <w:pPr>
        <w:adjustRightInd w:val="0"/>
        <w:snapToGrid w:val="0"/>
        <w:spacing w:line="600" w:lineRule="exact"/>
        <w:ind w:firstLine="643" w:firstLineChars="200"/>
        <w:rPr>
          <w:rFonts w:hint="eastAsia" w:ascii="仿宋" w:hAnsi="仿宋" w:eastAsia="仿宋"/>
          <w:sz w:val="32"/>
          <w:szCs w:val="32"/>
        </w:rPr>
      </w:pPr>
      <w:r>
        <w:rPr>
          <w:rFonts w:hint="eastAsia" w:ascii="仿宋_GB2312" w:hAnsi="仿宋" w:eastAsia="仿宋_GB2312"/>
          <w:b/>
          <w:sz w:val="32"/>
          <w:szCs w:val="32"/>
        </w:rPr>
        <w:t>7.住房保障支出（类）住房改革支出（款）提租补贴（项）</w:t>
      </w:r>
      <w:r>
        <w:rPr>
          <w:rFonts w:hint="eastAsia" w:ascii="仿宋" w:hAnsi="仿宋" w:eastAsia="仿宋"/>
          <w:sz w:val="32"/>
          <w:szCs w:val="32"/>
        </w:rPr>
        <w:t>2026年预算62.17万元。</w:t>
      </w:r>
    </w:p>
    <w:bookmarkEnd w:id="4"/>
    <w:p>
      <w:pPr>
        <w:adjustRightInd w:val="0"/>
        <w:snapToGrid w:val="0"/>
        <w:spacing w:line="600" w:lineRule="exact"/>
        <w:ind w:firstLine="640" w:firstLineChars="200"/>
        <w:rPr>
          <w:rFonts w:ascii="黑体" w:eastAsia="黑体"/>
        </w:rPr>
      </w:pPr>
      <w:r>
        <w:rPr>
          <w:rFonts w:hint="eastAsia" w:ascii="黑体" w:hAnsi="仿宋" w:eastAsia="黑体"/>
          <w:sz w:val="32"/>
          <w:szCs w:val="32"/>
        </w:rPr>
        <w:t>三、关于2026年一般公共预算基本支出情况说明</w:t>
      </w:r>
    </w:p>
    <w:p>
      <w:pPr>
        <w:pStyle w:val="6"/>
        <w:adjustRightInd w:val="0"/>
        <w:snapToGrid w:val="0"/>
        <w:spacing w:before="0" w:beforeAutospacing="0" w:after="0" w:afterAutospacing="0" w:line="600" w:lineRule="exact"/>
        <w:ind w:firstLine="576" w:firstLineChars="200"/>
        <w:rPr>
          <w:rFonts w:hint="eastAsia" w:ascii="仿宋" w:hAnsi="仿宋" w:eastAsia="仿宋"/>
          <w:spacing w:val="-16"/>
          <w:sz w:val="32"/>
          <w:szCs w:val="32"/>
        </w:rPr>
      </w:pPr>
      <w:r>
        <w:rPr>
          <w:rFonts w:hint="eastAsia" w:ascii="仿宋" w:hAnsi="仿宋" w:eastAsia="仿宋" w:cs="Times New Roman"/>
          <w:spacing w:val="-16"/>
          <w:kern w:val="2"/>
          <w:sz w:val="32"/>
          <w:szCs w:val="32"/>
        </w:rPr>
        <w:t>寿县炎刘镇人民政府</w:t>
      </w:r>
      <w:r>
        <w:rPr>
          <w:rFonts w:hint="eastAsia" w:ascii="仿宋" w:hAnsi="仿宋" w:eastAsia="仿宋"/>
          <w:spacing w:val="-16"/>
          <w:sz w:val="32"/>
          <w:szCs w:val="32"/>
        </w:rPr>
        <w:t>2026年一般公共预算基本支出1459.19万元，其中：</w:t>
      </w:r>
    </w:p>
    <w:p>
      <w:pPr>
        <w:pStyle w:val="6"/>
        <w:adjustRightInd w:val="0"/>
        <w:snapToGrid w:val="0"/>
        <w:spacing w:before="0" w:beforeAutospacing="0" w:after="0" w:afterAutospacing="0" w:line="600" w:lineRule="exact"/>
        <w:ind w:firstLine="640" w:firstLineChars="200"/>
        <w:rPr>
          <w:rFonts w:hint="eastAsia" w:ascii="仿宋" w:hAnsi="仿宋" w:eastAsia="仿宋"/>
          <w:sz w:val="32"/>
          <w:szCs w:val="32"/>
        </w:rPr>
      </w:pPr>
      <w:r>
        <w:rPr>
          <w:rFonts w:hint="eastAsia" w:ascii="仿宋" w:hAnsi="仿宋" w:eastAsia="仿宋"/>
          <w:sz w:val="32"/>
          <w:szCs w:val="32"/>
        </w:rPr>
        <w:t>工资福利支出1197.65万元，主要包括：基本工资、津贴补贴、绩效工资、机关事业单位基本养老保险缴费、职业年金缴费、职工基本医疗保险缴费、住房公积金、医疗费、其他工资福利支出等。商品和服务支出67.45万元，主要包括：办公费、印刷费、咨询费、手续费、水费、电费、邮电费、物业管理费、差旅费、维修（护）费、租赁费、会议费、培训费、劳务费、委托业务给、工会经费、福利费、其他交通费、其他商品和服务支出等。对个人和家庭的补助194.09万元，主要包括：退休费、抚恤金、生活补助、救济费、医疗费补助、助学金、奖励金、个人生产补贴、其他对个人和家庭的补助等。</w:t>
      </w:r>
    </w:p>
    <w:p>
      <w:pPr>
        <w:pStyle w:val="6"/>
        <w:adjustRightInd w:val="0"/>
        <w:snapToGrid w:val="0"/>
        <w:spacing w:before="0" w:beforeAutospacing="0" w:after="0" w:afterAutospacing="0" w:line="600" w:lineRule="exact"/>
        <w:ind w:firstLine="640" w:firstLineChars="200"/>
        <w:rPr>
          <w:rFonts w:hint="eastAsia" w:ascii="黑体" w:hAnsi="仿宋" w:eastAsia="黑体"/>
          <w:sz w:val="32"/>
          <w:szCs w:val="32"/>
        </w:rPr>
      </w:pPr>
      <w:r>
        <w:rPr>
          <w:rFonts w:hint="eastAsia" w:ascii="黑体" w:hAnsi="仿宋" w:eastAsia="黑体"/>
          <w:sz w:val="32"/>
          <w:szCs w:val="32"/>
        </w:rPr>
        <w:t>四、关于2026年政府性基金预算拨款情况说明</w:t>
      </w:r>
    </w:p>
    <w:p>
      <w:pPr>
        <w:pStyle w:val="6"/>
        <w:adjustRightInd w:val="0"/>
        <w:snapToGrid w:val="0"/>
        <w:spacing w:before="0" w:beforeAutospacing="0" w:after="0" w:afterAutospacing="0" w:line="600" w:lineRule="exact"/>
        <w:ind w:firstLine="640" w:firstLineChars="200"/>
        <w:rPr>
          <w:rFonts w:hint="eastAsia" w:ascii="仿宋" w:hAnsi="仿宋" w:eastAsia="仿宋"/>
          <w:sz w:val="32"/>
          <w:szCs w:val="32"/>
        </w:rPr>
      </w:pPr>
      <w:r>
        <w:rPr>
          <w:rFonts w:hint="eastAsia" w:ascii="仿宋" w:hAnsi="仿宋" w:eastAsia="仿宋" w:cs="Times New Roman"/>
          <w:kern w:val="2"/>
          <w:sz w:val="32"/>
          <w:szCs w:val="32"/>
        </w:rPr>
        <w:t>寿县炎刘镇人民政府</w:t>
      </w:r>
      <w:r>
        <w:rPr>
          <w:rFonts w:hint="eastAsia" w:ascii="仿宋" w:hAnsi="仿宋" w:eastAsia="仿宋"/>
          <w:sz w:val="32"/>
          <w:szCs w:val="32"/>
        </w:rPr>
        <w:t>2026年没有政府性基金预算拨款收入，也没有使用政府性基金预算拨款安排的支出。</w:t>
      </w:r>
    </w:p>
    <w:p>
      <w:pPr>
        <w:pStyle w:val="6"/>
        <w:adjustRightInd w:val="0"/>
        <w:snapToGrid w:val="0"/>
        <w:spacing w:before="0" w:beforeAutospacing="0" w:after="0" w:afterAutospacing="0" w:line="600" w:lineRule="exact"/>
        <w:ind w:firstLine="640" w:firstLineChars="200"/>
        <w:rPr>
          <w:rFonts w:hint="eastAsia" w:ascii="黑体" w:hAnsi="仿宋" w:eastAsia="黑体"/>
          <w:sz w:val="32"/>
          <w:szCs w:val="32"/>
        </w:rPr>
      </w:pPr>
      <w:r>
        <w:rPr>
          <w:rFonts w:hint="eastAsia" w:ascii="黑体" w:hAnsi="仿宋" w:eastAsia="黑体"/>
          <w:sz w:val="32"/>
          <w:szCs w:val="32"/>
        </w:rPr>
        <w:t>五、关于2026年国有资本经营预算拨款情况说明</w:t>
      </w:r>
    </w:p>
    <w:p>
      <w:pPr>
        <w:pStyle w:val="6"/>
        <w:adjustRightInd w:val="0"/>
        <w:snapToGrid w:val="0"/>
        <w:spacing w:before="0" w:beforeAutospacing="0" w:after="0" w:afterAutospacing="0" w:line="600" w:lineRule="exact"/>
        <w:ind w:firstLine="640" w:firstLineChars="200"/>
        <w:rPr>
          <w:rFonts w:hint="eastAsia" w:ascii="仿宋" w:hAnsi="仿宋" w:eastAsia="仿宋"/>
          <w:sz w:val="32"/>
          <w:szCs w:val="32"/>
        </w:rPr>
      </w:pPr>
      <w:r>
        <w:rPr>
          <w:rFonts w:hint="eastAsia" w:ascii="仿宋" w:hAnsi="仿宋" w:eastAsia="仿宋" w:cs="Times New Roman"/>
          <w:kern w:val="2"/>
          <w:sz w:val="32"/>
          <w:szCs w:val="32"/>
        </w:rPr>
        <w:t>寿县炎刘镇人民政府</w:t>
      </w:r>
      <w:r>
        <w:rPr>
          <w:rFonts w:hint="eastAsia" w:ascii="仿宋" w:hAnsi="仿宋" w:eastAsia="仿宋"/>
          <w:sz w:val="32"/>
          <w:szCs w:val="32"/>
        </w:rPr>
        <w:t>2026年没有国有资本经营预算拨款收入，也没有使用国有资本经营预算拨款安排的支出。</w:t>
      </w:r>
    </w:p>
    <w:p>
      <w:pPr>
        <w:pStyle w:val="6"/>
        <w:adjustRightInd w:val="0"/>
        <w:snapToGrid w:val="0"/>
        <w:spacing w:before="0" w:beforeAutospacing="0" w:after="0" w:afterAutospacing="0" w:line="600" w:lineRule="exact"/>
        <w:ind w:firstLine="640" w:firstLineChars="200"/>
        <w:rPr>
          <w:rFonts w:hint="eastAsia" w:ascii="黑体" w:hAnsi="仿宋" w:eastAsia="黑体"/>
          <w:sz w:val="32"/>
          <w:szCs w:val="32"/>
        </w:rPr>
      </w:pPr>
      <w:r>
        <w:rPr>
          <w:rFonts w:hint="eastAsia" w:ascii="黑体" w:hAnsi="仿宋" w:eastAsia="黑体"/>
          <w:sz w:val="32"/>
          <w:szCs w:val="32"/>
        </w:rPr>
        <w:t>六、关于2026年收支预算总体情况说明</w:t>
      </w:r>
    </w:p>
    <w:p>
      <w:pPr>
        <w:pStyle w:val="6"/>
        <w:adjustRightInd w:val="0"/>
        <w:snapToGrid w:val="0"/>
        <w:spacing w:before="0" w:beforeAutospacing="0" w:after="0" w:afterAutospacing="0" w:line="600" w:lineRule="exact"/>
        <w:ind w:firstLine="627" w:firstLineChars="196"/>
        <w:jc w:val="both"/>
        <w:rPr>
          <w:rFonts w:hint="eastAsia" w:ascii="仿宋" w:hAnsi="仿宋" w:eastAsia="仿宋"/>
          <w:sz w:val="32"/>
          <w:szCs w:val="32"/>
        </w:rPr>
      </w:pPr>
      <w:r>
        <w:rPr>
          <w:rFonts w:hint="eastAsia" w:ascii="仿宋" w:hAnsi="仿宋" w:eastAsia="仿宋"/>
          <w:sz w:val="32"/>
          <w:szCs w:val="32"/>
        </w:rPr>
        <w:t>按照综合预算的原则，</w:t>
      </w:r>
      <w:r>
        <w:rPr>
          <w:rFonts w:hint="eastAsia" w:ascii="仿宋" w:hAnsi="仿宋" w:eastAsia="仿宋" w:cs="Times New Roman"/>
          <w:kern w:val="2"/>
          <w:sz w:val="32"/>
          <w:szCs w:val="32"/>
        </w:rPr>
        <w:t>寿县炎刘镇人民政府</w:t>
      </w:r>
      <w:r>
        <w:rPr>
          <w:rFonts w:hint="eastAsia" w:ascii="仿宋" w:hAnsi="仿宋" w:eastAsia="仿宋"/>
          <w:sz w:val="32"/>
          <w:szCs w:val="32"/>
        </w:rPr>
        <w:t>所有收入和支出均纳入部门预算管理。</w:t>
      </w:r>
      <w:r>
        <w:rPr>
          <w:rFonts w:hint="eastAsia" w:ascii="仿宋" w:hAnsi="仿宋" w:eastAsia="仿宋" w:cs="Times New Roman"/>
          <w:kern w:val="2"/>
          <w:sz w:val="32"/>
          <w:szCs w:val="32"/>
        </w:rPr>
        <w:t>寿县炎刘镇人民政府</w:t>
      </w:r>
      <w:r>
        <w:rPr>
          <w:rFonts w:hint="eastAsia" w:ascii="仿宋" w:hAnsi="仿宋" w:eastAsia="仿宋"/>
          <w:sz w:val="32"/>
          <w:szCs w:val="32"/>
        </w:rPr>
        <w:t>2026年收支总预算1941.99万元，收入包括一般公共预算拨款收入、政府性基金预算拨款收入、财政专户管理非税收入，支出包括：一般公共服务、社会保障和就业支出、卫生健康支出、住房保障支出。</w:t>
      </w:r>
    </w:p>
    <w:p>
      <w:pPr>
        <w:pStyle w:val="6"/>
        <w:adjustRightInd w:val="0"/>
        <w:snapToGrid w:val="0"/>
        <w:spacing w:before="0" w:beforeAutospacing="0" w:after="0" w:afterAutospacing="0" w:line="600" w:lineRule="exact"/>
        <w:ind w:firstLine="627" w:firstLineChars="196"/>
        <w:rPr>
          <w:rFonts w:hint="eastAsia" w:ascii="黑体" w:hAnsi="黑体" w:eastAsia="黑体"/>
          <w:sz w:val="32"/>
          <w:szCs w:val="32"/>
        </w:rPr>
      </w:pPr>
      <w:r>
        <w:rPr>
          <w:rFonts w:hint="eastAsia" w:ascii="黑体" w:hAnsi="黑体" w:eastAsia="黑体"/>
          <w:sz w:val="32"/>
          <w:szCs w:val="32"/>
        </w:rPr>
        <w:t>七、关于2026年收入预算情况说明</w:t>
      </w:r>
    </w:p>
    <w:p>
      <w:pPr>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寿县炎刘镇人民政府2026年收入预算1941.99万元，其中：一般公共预算拨款收入1941.99万元，占100%，比2025年预算拨款增加210.23万元，增长12.14%，主要原因：一是项目资金提高；二是人员工资普调；三是人员的提租补贴列入预算内。</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八、关于2026年支出预算情况说明</w:t>
      </w:r>
    </w:p>
    <w:p>
      <w:pPr>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寿县炎刘镇人民政府2026年支出预算1941.99万元，比2025年预算增加210.23万元，增长12.14%，主要原因：一是项目资金提高；二是人员工资普调；三是人员的提租补贴列入预算内。</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九、其他重要事项情况说明</w:t>
      </w:r>
    </w:p>
    <w:p>
      <w:pPr>
        <w:adjustRightInd w:val="0"/>
        <w:snapToGrid w:val="0"/>
        <w:spacing w:line="60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（一）项目及绩效目标情况。</w:t>
      </w:r>
    </w:p>
    <w:p>
      <w:pPr>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一、2026年乡补、车补等专项经费</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项目基本情况：</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项目名称：2026年乡补、车补等专项经费。</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主管部门：炎刘镇人民政府</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实施单位：炎刘镇人民政府</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项目资金总额：90.07万元</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实施周期：2026年1月1日—2026年12月31日</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项目背景与目标：为贯彻落实国家关于加强基层工作保障的政策要求，切实改善乡镇基层工作人员工作条件，稳定基层队伍，提高公共服务效率，确保乡镇公务出行需求，本专项经费拟用于发放乡镇工作人员生活补贴、交通通讯补贴、节日慰问等，提升基层工作积极性与服务质量。</w:t>
      </w:r>
    </w:p>
    <w:tbl>
      <w:tblPr>
        <w:tblStyle w:val="7"/>
        <w:tblW w:w="10687" w:type="dxa"/>
        <w:tblInd w:w="-459" w:type="dxa"/>
        <w:tblLayout w:type="fixed"/>
        <w:tblCellMar>
          <w:top w:w="0" w:type="dxa"/>
          <w:left w:w="108" w:type="dxa"/>
          <w:bottom w:w="0" w:type="dxa"/>
          <w:right w:w="108" w:type="dxa"/>
        </w:tblCellMar>
      </w:tblPr>
      <w:tblGrid>
        <w:gridCol w:w="1348"/>
        <w:gridCol w:w="1463"/>
        <w:gridCol w:w="716"/>
        <w:gridCol w:w="1583"/>
        <w:gridCol w:w="711"/>
        <w:gridCol w:w="1550"/>
        <w:gridCol w:w="480"/>
        <w:gridCol w:w="1385"/>
        <w:gridCol w:w="1451"/>
      </w:tblGrid>
      <w:tr>
        <w:tblPrEx>
          <w:tblLayout w:type="fixed"/>
          <w:tblCellMar>
            <w:top w:w="0" w:type="dxa"/>
            <w:left w:w="108" w:type="dxa"/>
            <w:bottom w:w="0" w:type="dxa"/>
            <w:right w:w="108" w:type="dxa"/>
          </w:tblCellMar>
        </w:tblPrEx>
        <w:trPr>
          <w:gridAfter w:val="1"/>
          <w:wAfter w:w="1451" w:type="dxa"/>
          <w:trHeight w:val="510" w:hRule="atLeast"/>
        </w:trPr>
        <w:tc>
          <w:tcPr>
            <w:tcW w:w="9236" w:type="dxa"/>
            <w:gridSpan w:val="8"/>
            <w:tcBorders>
              <w:top w:val="nil"/>
              <w:left w:val="nil"/>
              <w:bottom w:val="nil"/>
              <w:right w:val="nil"/>
            </w:tcBorders>
            <w:shd w:val="clear" w:color="000000" w:fill="FFFFFF"/>
            <w:vAlign w:val="center"/>
          </w:tcPr>
          <w:p>
            <w:pPr>
              <w:widowControl/>
              <w:jc w:val="center"/>
              <w:rPr>
                <w:rFonts w:hint="eastAsia" w:ascii="黑体" w:hAnsi="黑体" w:eastAsia="黑体" w:cs="宋体"/>
                <w:kern w:val="0"/>
                <w:sz w:val="40"/>
                <w:szCs w:val="40"/>
              </w:rPr>
            </w:pPr>
            <w:r>
              <w:rPr>
                <w:rFonts w:hint="eastAsia" w:ascii="黑体" w:hAnsi="黑体" w:eastAsia="黑体" w:cs="宋体"/>
                <w:kern w:val="0"/>
                <w:sz w:val="40"/>
                <w:szCs w:val="40"/>
              </w:rPr>
              <w:t>2026年绩效目标申报表</w:t>
            </w:r>
          </w:p>
        </w:tc>
      </w:tr>
      <w:tr>
        <w:tblPrEx>
          <w:tblLayout w:type="fixed"/>
          <w:tblCellMar>
            <w:top w:w="0" w:type="dxa"/>
            <w:left w:w="108" w:type="dxa"/>
            <w:bottom w:w="0" w:type="dxa"/>
            <w:right w:w="108" w:type="dxa"/>
          </w:tblCellMar>
        </w:tblPrEx>
        <w:trPr>
          <w:gridAfter w:val="1"/>
          <w:wAfter w:w="1451" w:type="dxa"/>
          <w:trHeight w:val="270" w:hRule="atLeast"/>
        </w:trPr>
        <w:tc>
          <w:tcPr>
            <w:tcW w:w="9236" w:type="dxa"/>
            <w:gridSpan w:val="8"/>
            <w:tcBorders>
              <w:top w:val="nil"/>
              <w:left w:val="nil"/>
              <w:bottom w:val="single" w:color="auto" w:sz="4" w:space="0"/>
              <w:right w:val="nil"/>
            </w:tcBorders>
            <w:shd w:val="clear" w:color="000000" w:fill="FFFFFF"/>
          </w:tcPr>
          <w:p>
            <w:pPr>
              <w:widowControl/>
              <w:jc w:val="center"/>
              <w:rPr>
                <w:rFonts w:hint="eastAsia" w:ascii="宋体" w:hAnsi="宋体" w:cs="宋体"/>
                <w:kern w:val="0"/>
                <w:sz w:val="22"/>
                <w:szCs w:val="22"/>
              </w:rPr>
            </w:pPr>
            <w:r>
              <w:rPr>
                <w:rFonts w:hint="eastAsia" w:ascii="宋体" w:hAnsi="宋体" w:cs="宋体"/>
                <w:kern w:val="0"/>
                <w:sz w:val="22"/>
                <w:szCs w:val="22"/>
              </w:rPr>
              <w:t>（2026年度）</w:t>
            </w:r>
          </w:p>
        </w:tc>
      </w:tr>
      <w:tr>
        <w:tblPrEx>
          <w:tblLayout w:type="fixed"/>
          <w:tblCellMar>
            <w:top w:w="0" w:type="dxa"/>
            <w:left w:w="108" w:type="dxa"/>
            <w:bottom w:w="0" w:type="dxa"/>
            <w:right w:w="108" w:type="dxa"/>
          </w:tblCellMar>
        </w:tblPrEx>
        <w:trPr>
          <w:gridAfter w:val="1"/>
          <w:wAfter w:w="1451" w:type="dxa"/>
          <w:trHeight w:val="510" w:hRule="atLeast"/>
        </w:trPr>
        <w:tc>
          <w:tcPr>
            <w:tcW w:w="352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项目名称</w:t>
            </w:r>
          </w:p>
        </w:tc>
        <w:tc>
          <w:tcPr>
            <w:tcW w:w="229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乡补、车补等专项经费</w:t>
            </w:r>
          </w:p>
        </w:tc>
        <w:tc>
          <w:tcPr>
            <w:tcW w:w="2030"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项目负责人</w:t>
            </w:r>
          </w:p>
        </w:tc>
        <w:tc>
          <w:tcPr>
            <w:tcW w:w="138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宋中考</w:t>
            </w:r>
          </w:p>
        </w:tc>
      </w:tr>
      <w:tr>
        <w:tblPrEx>
          <w:tblLayout w:type="fixed"/>
          <w:tblCellMar>
            <w:top w:w="0" w:type="dxa"/>
            <w:left w:w="108" w:type="dxa"/>
            <w:bottom w:w="0" w:type="dxa"/>
            <w:right w:w="108" w:type="dxa"/>
          </w:tblCellMar>
        </w:tblPrEx>
        <w:trPr>
          <w:gridAfter w:val="1"/>
          <w:wAfter w:w="1451" w:type="dxa"/>
          <w:trHeight w:val="405" w:hRule="atLeast"/>
        </w:trPr>
        <w:tc>
          <w:tcPr>
            <w:tcW w:w="352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主管部门</w:t>
            </w:r>
          </w:p>
        </w:tc>
        <w:tc>
          <w:tcPr>
            <w:tcW w:w="229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寿县炎刘镇人民政府</w:t>
            </w:r>
          </w:p>
        </w:tc>
        <w:tc>
          <w:tcPr>
            <w:tcW w:w="2030"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实施单位</w:t>
            </w:r>
          </w:p>
        </w:tc>
        <w:tc>
          <w:tcPr>
            <w:tcW w:w="138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寿县炎刘镇人民政府</w:t>
            </w:r>
          </w:p>
        </w:tc>
      </w:tr>
      <w:tr>
        <w:tblPrEx>
          <w:tblLayout w:type="fixed"/>
          <w:tblCellMar>
            <w:top w:w="0" w:type="dxa"/>
            <w:left w:w="108" w:type="dxa"/>
            <w:bottom w:w="0" w:type="dxa"/>
            <w:right w:w="108" w:type="dxa"/>
          </w:tblCellMar>
        </w:tblPrEx>
        <w:trPr>
          <w:gridAfter w:val="1"/>
          <w:wAfter w:w="1451" w:type="dxa"/>
          <w:trHeight w:val="405" w:hRule="atLeast"/>
        </w:trPr>
        <w:tc>
          <w:tcPr>
            <w:tcW w:w="3527" w:type="dxa"/>
            <w:gridSpan w:val="3"/>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是否事前绩效评估</w:t>
            </w:r>
          </w:p>
        </w:tc>
        <w:tc>
          <w:tcPr>
            <w:tcW w:w="2294"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030"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是否绩效目标公开</w:t>
            </w:r>
          </w:p>
        </w:tc>
        <w:tc>
          <w:tcPr>
            <w:tcW w:w="1385" w:type="dxa"/>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405" w:hRule="atLeast"/>
        </w:trPr>
        <w:tc>
          <w:tcPr>
            <w:tcW w:w="3527" w:type="dxa"/>
            <w:gridSpan w:val="3"/>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事前绩效评估审核结论</w:t>
            </w:r>
          </w:p>
        </w:tc>
        <w:tc>
          <w:tcPr>
            <w:tcW w:w="2294"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030"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绩效目标初审结论</w:t>
            </w:r>
          </w:p>
        </w:tc>
        <w:tc>
          <w:tcPr>
            <w:tcW w:w="1385" w:type="dxa"/>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405" w:hRule="atLeast"/>
        </w:trPr>
        <w:tc>
          <w:tcPr>
            <w:tcW w:w="134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项目年限及资金情况</w:t>
            </w:r>
            <w:r>
              <w:rPr>
                <w:rFonts w:hint="eastAsia" w:ascii="宋体" w:hAnsi="宋体" w:cs="宋体"/>
                <w:kern w:val="0"/>
                <w:sz w:val="20"/>
                <w:szCs w:val="20"/>
              </w:rPr>
              <w:br w:type="textWrapping"/>
            </w:r>
            <w:r>
              <w:rPr>
                <w:rFonts w:hint="eastAsia" w:ascii="宋体" w:hAnsi="宋体" w:cs="宋体"/>
                <w:kern w:val="0"/>
                <w:sz w:val="20"/>
                <w:szCs w:val="20"/>
              </w:rPr>
              <w:t>（万元）</w:t>
            </w:r>
          </w:p>
        </w:tc>
        <w:tc>
          <w:tcPr>
            <w:tcW w:w="146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项目开始年度</w:t>
            </w:r>
          </w:p>
        </w:tc>
        <w:tc>
          <w:tcPr>
            <w:tcW w:w="716" w:type="dxa"/>
            <w:tcBorders>
              <w:top w:val="nil"/>
              <w:left w:val="nil"/>
              <w:bottom w:val="single" w:color="auto" w:sz="4" w:space="0"/>
              <w:right w:val="single" w:color="auto" w:sz="4" w:space="0"/>
            </w:tcBorders>
            <w:shd w:val="clear" w:color="000000" w:fill="FFFFFF"/>
            <w:noWrap/>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2026</w:t>
            </w:r>
          </w:p>
        </w:tc>
        <w:tc>
          <w:tcPr>
            <w:tcW w:w="229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年度资金总额</w:t>
            </w:r>
          </w:p>
        </w:tc>
        <w:tc>
          <w:tcPr>
            <w:tcW w:w="341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90.07</w:t>
            </w:r>
          </w:p>
        </w:tc>
      </w:tr>
      <w:tr>
        <w:tblPrEx>
          <w:tblLayout w:type="fixed"/>
          <w:tblCellMar>
            <w:top w:w="0" w:type="dxa"/>
            <w:left w:w="108" w:type="dxa"/>
            <w:bottom w:w="0" w:type="dxa"/>
            <w:right w:w="108" w:type="dxa"/>
          </w:tblCellMar>
        </w:tblPrEx>
        <w:trPr>
          <w:gridAfter w:val="1"/>
          <w:wAfter w:w="1451" w:type="dxa"/>
          <w:trHeight w:val="405"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46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项目终止年度</w:t>
            </w:r>
          </w:p>
        </w:tc>
        <w:tc>
          <w:tcPr>
            <w:tcW w:w="716" w:type="dxa"/>
            <w:tcBorders>
              <w:top w:val="nil"/>
              <w:left w:val="nil"/>
              <w:bottom w:val="single" w:color="auto" w:sz="4" w:space="0"/>
              <w:right w:val="single" w:color="auto" w:sz="4" w:space="0"/>
            </w:tcBorders>
            <w:shd w:val="clear" w:color="000000" w:fill="FFFFFF"/>
            <w:noWrap/>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2026</w:t>
            </w:r>
          </w:p>
        </w:tc>
        <w:tc>
          <w:tcPr>
            <w:tcW w:w="3844" w:type="dxa"/>
            <w:gridSpan w:val="3"/>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其中：财政拨款（每项资金的名称和规模）</w:t>
            </w:r>
          </w:p>
        </w:tc>
        <w:tc>
          <w:tcPr>
            <w:tcW w:w="1865"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90.07</w:t>
            </w:r>
          </w:p>
        </w:tc>
      </w:tr>
      <w:tr>
        <w:tblPrEx>
          <w:tblLayout w:type="fixed"/>
          <w:tblCellMar>
            <w:top w:w="0" w:type="dxa"/>
            <w:left w:w="108" w:type="dxa"/>
            <w:bottom w:w="0" w:type="dxa"/>
            <w:right w:w="108" w:type="dxa"/>
          </w:tblCellMar>
        </w:tblPrEx>
        <w:trPr>
          <w:gridAfter w:val="1"/>
          <w:wAfter w:w="1451" w:type="dxa"/>
          <w:trHeight w:val="405"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46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项目总资金</w:t>
            </w:r>
          </w:p>
        </w:tc>
        <w:tc>
          <w:tcPr>
            <w:tcW w:w="716" w:type="dxa"/>
            <w:tcBorders>
              <w:top w:val="nil"/>
              <w:left w:val="nil"/>
              <w:bottom w:val="single" w:color="auto" w:sz="4" w:space="0"/>
              <w:right w:val="single" w:color="auto" w:sz="4" w:space="0"/>
            </w:tcBorders>
            <w:shd w:val="clear" w:color="000000" w:fill="FFFFFF"/>
            <w:noWrap/>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90.07</w:t>
            </w:r>
          </w:p>
        </w:tc>
        <w:tc>
          <w:tcPr>
            <w:tcW w:w="3844"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             其他资金</w:t>
            </w:r>
          </w:p>
        </w:tc>
        <w:tc>
          <w:tcPr>
            <w:tcW w:w="1865"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555" w:hRule="atLeast"/>
        </w:trPr>
        <w:tc>
          <w:tcPr>
            <w:tcW w:w="134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总</w:t>
            </w:r>
            <w:r>
              <w:rPr>
                <w:rFonts w:hint="eastAsia" w:ascii="宋体" w:hAnsi="宋体" w:cs="宋体"/>
                <w:kern w:val="0"/>
                <w:sz w:val="20"/>
                <w:szCs w:val="20"/>
              </w:rPr>
              <w:br w:type="textWrapping"/>
            </w:r>
            <w:r>
              <w:rPr>
                <w:rFonts w:hint="eastAsia" w:ascii="宋体" w:hAnsi="宋体" w:cs="宋体"/>
                <w:kern w:val="0"/>
                <w:sz w:val="20"/>
                <w:szCs w:val="20"/>
              </w:rPr>
              <w:t>体</w:t>
            </w:r>
            <w:r>
              <w:rPr>
                <w:rFonts w:hint="eastAsia" w:ascii="宋体" w:hAnsi="宋体" w:cs="宋体"/>
                <w:kern w:val="0"/>
                <w:sz w:val="20"/>
                <w:szCs w:val="20"/>
              </w:rPr>
              <w:br w:type="textWrapping"/>
            </w:r>
            <w:r>
              <w:rPr>
                <w:rFonts w:hint="eastAsia" w:ascii="宋体" w:hAnsi="宋体" w:cs="宋体"/>
                <w:kern w:val="0"/>
                <w:sz w:val="20"/>
                <w:szCs w:val="20"/>
              </w:rPr>
              <w:t>目</w:t>
            </w:r>
            <w:r>
              <w:rPr>
                <w:rFonts w:hint="eastAsia" w:ascii="宋体" w:hAnsi="宋体" w:cs="宋体"/>
                <w:kern w:val="0"/>
                <w:sz w:val="20"/>
                <w:szCs w:val="20"/>
              </w:rPr>
              <w:br w:type="textWrapping"/>
            </w:r>
            <w:r>
              <w:rPr>
                <w:rFonts w:hint="eastAsia" w:ascii="宋体" w:hAnsi="宋体" w:cs="宋体"/>
                <w:kern w:val="0"/>
                <w:sz w:val="20"/>
                <w:szCs w:val="20"/>
              </w:rPr>
              <w:t>标</w:t>
            </w:r>
          </w:p>
        </w:tc>
        <w:tc>
          <w:tcPr>
            <w:tcW w:w="7888"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年度目标</w:t>
            </w:r>
          </w:p>
        </w:tc>
      </w:tr>
      <w:tr>
        <w:tblPrEx>
          <w:tblLayout w:type="fixed"/>
          <w:tblCellMar>
            <w:top w:w="0" w:type="dxa"/>
            <w:left w:w="108" w:type="dxa"/>
            <w:bottom w:w="0" w:type="dxa"/>
            <w:right w:w="108" w:type="dxa"/>
          </w:tblCellMar>
        </w:tblPrEx>
        <w:trPr>
          <w:gridAfter w:val="1"/>
          <w:wAfter w:w="1451" w:type="dxa"/>
          <w:trHeight w:val="555"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7888"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足额发放乡补、车补等专项经费</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绩</w:t>
            </w:r>
            <w:r>
              <w:rPr>
                <w:rFonts w:hint="eastAsia" w:ascii="宋体" w:hAnsi="宋体" w:cs="宋体"/>
                <w:kern w:val="0"/>
                <w:sz w:val="20"/>
                <w:szCs w:val="20"/>
              </w:rPr>
              <w:br w:type="textWrapping"/>
            </w:r>
            <w:r>
              <w:rPr>
                <w:rFonts w:hint="eastAsia" w:ascii="宋体" w:hAnsi="宋体" w:cs="宋体"/>
                <w:kern w:val="0"/>
                <w:sz w:val="20"/>
                <w:szCs w:val="20"/>
              </w:rPr>
              <w:t>效</w:t>
            </w:r>
            <w:r>
              <w:rPr>
                <w:rFonts w:hint="eastAsia" w:ascii="宋体" w:hAnsi="宋体" w:cs="宋体"/>
                <w:kern w:val="0"/>
                <w:sz w:val="20"/>
                <w:szCs w:val="20"/>
              </w:rPr>
              <w:br w:type="textWrapping"/>
            </w:r>
            <w:r>
              <w:rPr>
                <w:rFonts w:hint="eastAsia" w:ascii="宋体" w:hAnsi="宋体" w:cs="宋体"/>
                <w:kern w:val="0"/>
                <w:sz w:val="20"/>
                <w:szCs w:val="20"/>
              </w:rPr>
              <w:t>指</w:t>
            </w:r>
            <w:r>
              <w:rPr>
                <w:rFonts w:hint="eastAsia" w:ascii="宋体" w:hAnsi="宋体" w:cs="宋体"/>
                <w:kern w:val="0"/>
                <w:sz w:val="20"/>
                <w:szCs w:val="20"/>
              </w:rPr>
              <w:br w:type="textWrapping"/>
            </w:r>
            <w:r>
              <w:rPr>
                <w:rFonts w:hint="eastAsia" w:ascii="宋体" w:hAnsi="宋体" w:cs="宋体"/>
                <w:kern w:val="0"/>
                <w:sz w:val="20"/>
                <w:szCs w:val="20"/>
              </w:rPr>
              <w:t>标</w:t>
            </w:r>
          </w:p>
        </w:tc>
        <w:tc>
          <w:tcPr>
            <w:tcW w:w="2179"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一级指标</w:t>
            </w:r>
          </w:p>
        </w:tc>
        <w:tc>
          <w:tcPr>
            <w:tcW w:w="158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二级指标</w:t>
            </w: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三级指标</w:t>
            </w: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指标值</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产出指标</w:t>
            </w:r>
          </w:p>
        </w:tc>
        <w:tc>
          <w:tcPr>
            <w:tcW w:w="158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数量指标</w:t>
            </w: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金额</w:t>
            </w: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90.07万元</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8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kern w:val="0"/>
                <w:sz w:val="20"/>
                <w:szCs w:val="20"/>
              </w:rPr>
            </w:pP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乡镇补贴覆盖人员</w:t>
            </w: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在编在岗人员</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8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kern w:val="0"/>
                <w:sz w:val="20"/>
                <w:szCs w:val="20"/>
              </w:rPr>
            </w:pP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8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kern w:val="0"/>
                <w:sz w:val="20"/>
                <w:szCs w:val="20"/>
              </w:rPr>
            </w:pP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8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kern w:val="0"/>
                <w:sz w:val="20"/>
                <w:szCs w:val="20"/>
              </w:rPr>
            </w:pP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8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kern w:val="0"/>
                <w:sz w:val="20"/>
                <w:szCs w:val="20"/>
              </w:rPr>
            </w:pP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8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质量指标</w:t>
            </w: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补贴发放准确率</w:t>
            </w: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100%</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8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时效指标</w:t>
            </w: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项目时间</w:t>
            </w: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1年</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效益指标</w:t>
            </w:r>
          </w:p>
        </w:tc>
        <w:tc>
          <w:tcPr>
            <w:tcW w:w="1583"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社会效益指标</w:t>
            </w: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基层工作人员满意度</w:t>
            </w: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≥90%</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8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8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83"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可持续影响</w:t>
            </w:r>
            <w:r>
              <w:rPr>
                <w:rFonts w:hint="eastAsia" w:ascii="宋体" w:hAnsi="宋体" w:cs="宋体"/>
                <w:kern w:val="0"/>
                <w:sz w:val="20"/>
                <w:szCs w:val="20"/>
              </w:rPr>
              <w:br w:type="textWrapping"/>
            </w:r>
            <w:r>
              <w:rPr>
                <w:rFonts w:hint="eastAsia" w:ascii="宋体" w:hAnsi="宋体" w:cs="宋体"/>
                <w:kern w:val="0"/>
                <w:sz w:val="20"/>
                <w:szCs w:val="20"/>
              </w:rPr>
              <w:t>指标</w:t>
            </w: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8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满意度指标</w:t>
            </w:r>
          </w:p>
        </w:tc>
        <w:tc>
          <w:tcPr>
            <w:tcW w:w="1583"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服务对象</w:t>
            </w:r>
            <w:r>
              <w:rPr>
                <w:rFonts w:hint="eastAsia" w:ascii="宋体" w:hAnsi="宋体" w:cs="宋体"/>
                <w:kern w:val="0"/>
                <w:sz w:val="20"/>
                <w:szCs w:val="20"/>
              </w:rPr>
              <w:br w:type="textWrapping"/>
            </w:r>
            <w:r>
              <w:rPr>
                <w:rFonts w:hint="eastAsia" w:ascii="宋体" w:hAnsi="宋体" w:cs="宋体"/>
                <w:kern w:val="0"/>
                <w:sz w:val="20"/>
                <w:szCs w:val="20"/>
              </w:rPr>
              <w:t>满意度指标</w:t>
            </w:r>
          </w:p>
        </w:tc>
        <w:tc>
          <w:tcPr>
            <w:tcW w:w="274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138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8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74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3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451" w:type="dxa"/>
            <w:tcBorders>
              <w:top w:val="nil"/>
              <w:left w:val="nil"/>
              <w:bottom w:val="nil"/>
              <w:right w:val="nil"/>
            </w:tcBorders>
            <w:noWrap/>
            <w:vAlign w:val="center"/>
          </w:tcPr>
          <w:p>
            <w:pPr>
              <w:widowControl/>
              <w:jc w:val="center"/>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938" w:hRule="atLeast"/>
        </w:trPr>
        <w:tc>
          <w:tcPr>
            <w:tcW w:w="5110"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经办人：</w:t>
            </w: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单位负责人：</w:t>
            </w:r>
          </w:p>
        </w:tc>
        <w:tc>
          <w:tcPr>
            <w:tcW w:w="1385" w:type="dxa"/>
            <w:tcBorders>
              <w:top w:val="single" w:color="auto" w:sz="4" w:space="0"/>
              <w:left w:val="nil"/>
              <w:bottom w:val="single" w:color="auto" w:sz="4" w:space="0"/>
              <w:right w:val="single" w:color="000000"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上报时间：</w:t>
            </w:r>
          </w:p>
        </w:tc>
        <w:tc>
          <w:tcPr>
            <w:tcW w:w="1451" w:type="dxa"/>
            <w:vAlign w:val="center"/>
          </w:tcPr>
          <w:p>
            <w:pPr>
              <w:widowControl/>
              <w:jc w:val="left"/>
              <w:rPr>
                <w:rFonts w:eastAsia="Times New Roman"/>
                <w:kern w:val="0"/>
                <w:sz w:val="20"/>
                <w:szCs w:val="20"/>
              </w:rPr>
            </w:pPr>
          </w:p>
        </w:tc>
      </w:tr>
    </w:tbl>
    <w:p>
      <w:pPr>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二、2026年经济社会发展事务经费</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项目基本情况：</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项目名称：2026年乡镇民生、维稳、招商、军人优待、环保、纪检专项经费。</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主管部门：炎刘镇人民政府</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实施单位：炎刘镇人民政府</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项目资金总额：329万元</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实施周期：2026年1月1日—2026年12月31日</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项目背景与目标：为全面落实乡村振兴战略，统筹推进乡镇民生保障、社会稳定、经济发展、生态保护及纪律监督工作，本专项经费聚焦民生福祉、基层治理、招商引资、军人优抚、环境保护及纪检监督六大领域，旨在通过精准投入提升乡镇综合治理能力，实现社会效益与经济效益双提升。</w:t>
      </w: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tbl>
      <w:tblPr>
        <w:tblStyle w:val="7"/>
        <w:tblW w:w="10687" w:type="dxa"/>
        <w:tblInd w:w="-459" w:type="dxa"/>
        <w:tblLayout w:type="fixed"/>
        <w:tblCellMar>
          <w:top w:w="0" w:type="dxa"/>
          <w:left w:w="108" w:type="dxa"/>
          <w:bottom w:w="0" w:type="dxa"/>
          <w:right w:w="108" w:type="dxa"/>
        </w:tblCellMar>
      </w:tblPr>
      <w:tblGrid>
        <w:gridCol w:w="1252"/>
        <w:gridCol w:w="1463"/>
        <w:gridCol w:w="816"/>
        <w:gridCol w:w="1708"/>
        <w:gridCol w:w="711"/>
        <w:gridCol w:w="1550"/>
        <w:gridCol w:w="426"/>
        <w:gridCol w:w="1310"/>
        <w:gridCol w:w="1451"/>
      </w:tblGrid>
      <w:tr>
        <w:tblPrEx>
          <w:tblLayout w:type="fixed"/>
          <w:tblCellMar>
            <w:top w:w="0" w:type="dxa"/>
            <w:left w:w="108" w:type="dxa"/>
            <w:bottom w:w="0" w:type="dxa"/>
            <w:right w:w="108" w:type="dxa"/>
          </w:tblCellMar>
        </w:tblPrEx>
        <w:trPr>
          <w:gridAfter w:val="1"/>
          <w:wAfter w:w="1451" w:type="dxa"/>
          <w:trHeight w:val="510" w:hRule="atLeast"/>
        </w:trPr>
        <w:tc>
          <w:tcPr>
            <w:tcW w:w="9236" w:type="dxa"/>
            <w:gridSpan w:val="8"/>
            <w:tcBorders>
              <w:top w:val="nil"/>
              <w:left w:val="nil"/>
              <w:bottom w:val="nil"/>
              <w:right w:val="nil"/>
            </w:tcBorders>
            <w:shd w:val="clear" w:color="000000" w:fill="FFFFFF"/>
            <w:vAlign w:val="center"/>
          </w:tcPr>
          <w:p>
            <w:pPr>
              <w:widowControl/>
              <w:jc w:val="center"/>
              <w:rPr>
                <w:rFonts w:hint="eastAsia" w:ascii="黑体" w:hAnsi="黑体" w:eastAsia="黑体" w:cs="宋体"/>
                <w:kern w:val="0"/>
                <w:sz w:val="40"/>
                <w:szCs w:val="40"/>
              </w:rPr>
            </w:pPr>
            <w:r>
              <w:rPr>
                <w:rFonts w:hint="eastAsia" w:ascii="黑体" w:hAnsi="黑体" w:eastAsia="黑体" w:cs="宋体"/>
                <w:kern w:val="0"/>
                <w:sz w:val="40"/>
                <w:szCs w:val="40"/>
              </w:rPr>
              <w:t>2026年绩效目标申报表</w:t>
            </w:r>
          </w:p>
        </w:tc>
      </w:tr>
      <w:tr>
        <w:tblPrEx>
          <w:tblLayout w:type="fixed"/>
          <w:tblCellMar>
            <w:top w:w="0" w:type="dxa"/>
            <w:left w:w="108" w:type="dxa"/>
            <w:bottom w:w="0" w:type="dxa"/>
            <w:right w:w="108" w:type="dxa"/>
          </w:tblCellMar>
        </w:tblPrEx>
        <w:trPr>
          <w:gridAfter w:val="1"/>
          <w:wAfter w:w="1451" w:type="dxa"/>
          <w:trHeight w:val="270" w:hRule="atLeast"/>
        </w:trPr>
        <w:tc>
          <w:tcPr>
            <w:tcW w:w="9236" w:type="dxa"/>
            <w:gridSpan w:val="8"/>
            <w:tcBorders>
              <w:top w:val="nil"/>
              <w:left w:val="nil"/>
              <w:bottom w:val="single" w:color="auto" w:sz="4" w:space="0"/>
              <w:right w:val="nil"/>
            </w:tcBorders>
            <w:shd w:val="clear" w:color="000000" w:fill="FFFFFF"/>
          </w:tcPr>
          <w:p>
            <w:pPr>
              <w:widowControl/>
              <w:jc w:val="center"/>
              <w:rPr>
                <w:rFonts w:hint="eastAsia" w:ascii="宋体" w:hAnsi="宋体" w:cs="宋体"/>
                <w:kern w:val="0"/>
                <w:sz w:val="22"/>
                <w:szCs w:val="22"/>
              </w:rPr>
            </w:pPr>
            <w:r>
              <w:rPr>
                <w:rFonts w:hint="eastAsia" w:ascii="宋体" w:hAnsi="宋体" w:cs="宋体"/>
                <w:kern w:val="0"/>
                <w:sz w:val="22"/>
                <w:szCs w:val="22"/>
              </w:rPr>
              <w:t>（2026年度）</w:t>
            </w:r>
          </w:p>
        </w:tc>
      </w:tr>
      <w:tr>
        <w:tblPrEx>
          <w:tblLayout w:type="fixed"/>
          <w:tblCellMar>
            <w:top w:w="0" w:type="dxa"/>
            <w:left w:w="108" w:type="dxa"/>
            <w:bottom w:w="0" w:type="dxa"/>
            <w:right w:w="108" w:type="dxa"/>
          </w:tblCellMar>
        </w:tblPrEx>
        <w:trPr>
          <w:gridAfter w:val="1"/>
          <w:wAfter w:w="1451" w:type="dxa"/>
          <w:trHeight w:val="510" w:hRule="atLeast"/>
        </w:trPr>
        <w:tc>
          <w:tcPr>
            <w:tcW w:w="353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项目名称</w:t>
            </w:r>
          </w:p>
        </w:tc>
        <w:tc>
          <w:tcPr>
            <w:tcW w:w="2419"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5"/>
                <w:szCs w:val="15"/>
              </w:rPr>
            </w:pPr>
            <w:r>
              <w:rPr>
                <w:rFonts w:hint="eastAsia" w:ascii="宋体" w:hAnsi="宋体" w:cs="宋体"/>
                <w:kern w:val="0"/>
                <w:sz w:val="15"/>
                <w:szCs w:val="15"/>
              </w:rPr>
              <w:t>2026年乡镇经济社会发展事务经费</w:t>
            </w:r>
          </w:p>
        </w:tc>
        <w:tc>
          <w:tcPr>
            <w:tcW w:w="1976"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项目负责人</w:t>
            </w:r>
          </w:p>
        </w:tc>
        <w:tc>
          <w:tcPr>
            <w:tcW w:w="131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宋中考</w:t>
            </w:r>
          </w:p>
        </w:tc>
      </w:tr>
      <w:tr>
        <w:tblPrEx>
          <w:tblLayout w:type="fixed"/>
          <w:tblCellMar>
            <w:top w:w="0" w:type="dxa"/>
            <w:left w:w="108" w:type="dxa"/>
            <w:bottom w:w="0" w:type="dxa"/>
            <w:right w:w="108" w:type="dxa"/>
          </w:tblCellMar>
        </w:tblPrEx>
        <w:trPr>
          <w:gridAfter w:val="1"/>
          <w:wAfter w:w="1451" w:type="dxa"/>
          <w:trHeight w:val="405" w:hRule="atLeast"/>
        </w:trPr>
        <w:tc>
          <w:tcPr>
            <w:tcW w:w="353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主管部门</w:t>
            </w:r>
          </w:p>
        </w:tc>
        <w:tc>
          <w:tcPr>
            <w:tcW w:w="2419"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寿县炎刘镇人民政府</w:t>
            </w:r>
          </w:p>
        </w:tc>
        <w:tc>
          <w:tcPr>
            <w:tcW w:w="1976"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实施单位</w:t>
            </w:r>
          </w:p>
        </w:tc>
        <w:tc>
          <w:tcPr>
            <w:tcW w:w="131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寿县炎刘镇人民政府</w:t>
            </w:r>
          </w:p>
        </w:tc>
      </w:tr>
      <w:tr>
        <w:tblPrEx>
          <w:tblLayout w:type="fixed"/>
          <w:tblCellMar>
            <w:top w:w="0" w:type="dxa"/>
            <w:left w:w="108" w:type="dxa"/>
            <w:bottom w:w="0" w:type="dxa"/>
            <w:right w:w="108" w:type="dxa"/>
          </w:tblCellMar>
        </w:tblPrEx>
        <w:trPr>
          <w:gridAfter w:val="1"/>
          <w:wAfter w:w="1451" w:type="dxa"/>
          <w:trHeight w:val="405" w:hRule="atLeast"/>
        </w:trPr>
        <w:tc>
          <w:tcPr>
            <w:tcW w:w="3531" w:type="dxa"/>
            <w:gridSpan w:val="3"/>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是否事前绩效评估</w:t>
            </w:r>
          </w:p>
        </w:tc>
        <w:tc>
          <w:tcPr>
            <w:tcW w:w="2419"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976"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是否绩效目标公开</w:t>
            </w:r>
          </w:p>
        </w:tc>
        <w:tc>
          <w:tcPr>
            <w:tcW w:w="1310" w:type="dxa"/>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405" w:hRule="atLeast"/>
        </w:trPr>
        <w:tc>
          <w:tcPr>
            <w:tcW w:w="3531" w:type="dxa"/>
            <w:gridSpan w:val="3"/>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事前绩效评估审核结论</w:t>
            </w:r>
          </w:p>
        </w:tc>
        <w:tc>
          <w:tcPr>
            <w:tcW w:w="2419"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976"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绩效目标初审结论</w:t>
            </w:r>
          </w:p>
        </w:tc>
        <w:tc>
          <w:tcPr>
            <w:tcW w:w="1310" w:type="dxa"/>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405" w:hRule="atLeast"/>
        </w:trPr>
        <w:tc>
          <w:tcPr>
            <w:tcW w:w="125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项目年限及资金情况</w:t>
            </w:r>
            <w:r>
              <w:rPr>
                <w:rFonts w:hint="eastAsia" w:ascii="宋体" w:hAnsi="宋体" w:cs="宋体"/>
                <w:kern w:val="0"/>
                <w:sz w:val="20"/>
                <w:szCs w:val="20"/>
              </w:rPr>
              <w:br w:type="textWrapping"/>
            </w:r>
            <w:r>
              <w:rPr>
                <w:rFonts w:hint="eastAsia" w:ascii="宋体" w:hAnsi="宋体" w:cs="宋体"/>
                <w:kern w:val="0"/>
                <w:sz w:val="20"/>
                <w:szCs w:val="20"/>
              </w:rPr>
              <w:t>（万元）</w:t>
            </w:r>
          </w:p>
        </w:tc>
        <w:tc>
          <w:tcPr>
            <w:tcW w:w="146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项目开始年度</w:t>
            </w:r>
          </w:p>
        </w:tc>
        <w:tc>
          <w:tcPr>
            <w:tcW w:w="816" w:type="dxa"/>
            <w:tcBorders>
              <w:top w:val="nil"/>
              <w:left w:val="nil"/>
              <w:bottom w:val="single" w:color="auto" w:sz="4" w:space="0"/>
              <w:right w:val="single" w:color="auto" w:sz="4" w:space="0"/>
            </w:tcBorders>
            <w:shd w:val="clear" w:color="000000" w:fill="FFFFFF"/>
            <w:noWrap/>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2025</w:t>
            </w:r>
          </w:p>
        </w:tc>
        <w:tc>
          <w:tcPr>
            <w:tcW w:w="2419"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年度资金总额</w:t>
            </w:r>
          </w:p>
        </w:tc>
        <w:tc>
          <w:tcPr>
            <w:tcW w:w="3286"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329</w:t>
            </w:r>
          </w:p>
        </w:tc>
      </w:tr>
      <w:tr>
        <w:tblPrEx>
          <w:tblLayout w:type="fixed"/>
          <w:tblCellMar>
            <w:top w:w="0" w:type="dxa"/>
            <w:left w:w="108" w:type="dxa"/>
            <w:bottom w:w="0" w:type="dxa"/>
            <w:right w:w="108" w:type="dxa"/>
          </w:tblCellMar>
        </w:tblPrEx>
        <w:trPr>
          <w:gridAfter w:val="1"/>
          <w:wAfter w:w="1451" w:type="dxa"/>
          <w:trHeight w:val="405" w:hRule="atLeast"/>
        </w:trPr>
        <w:tc>
          <w:tcPr>
            <w:tcW w:w="125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46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项目终止年度</w:t>
            </w:r>
          </w:p>
        </w:tc>
        <w:tc>
          <w:tcPr>
            <w:tcW w:w="816" w:type="dxa"/>
            <w:tcBorders>
              <w:top w:val="nil"/>
              <w:left w:val="nil"/>
              <w:bottom w:val="single" w:color="auto" w:sz="4" w:space="0"/>
              <w:right w:val="single" w:color="auto" w:sz="4" w:space="0"/>
            </w:tcBorders>
            <w:shd w:val="clear" w:color="000000" w:fill="FFFFFF"/>
            <w:noWrap/>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2025</w:t>
            </w:r>
          </w:p>
        </w:tc>
        <w:tc>
          <w:tcPr>
            <w:tcW w:w="3969" w:type="dxa"/>
            <w:gridSpan w:val="3"/>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其中：财政拨款（每项资金的名称和规模）</w:t>
            </w:r>
          </w:p>
        </w:tc>
        <w:tc>
          <w:tcPr>
            <w:tcW w:w="1736"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329</w:t>
            </w:r>
          </w:p>
        </w:tc>
      </w:tr>
      <w:tr>
        <w:tblPrEx>
          <w:tblLayout w:type="fixed"/>
          <w:tblCellMar>
            <w:top w:w="0" w:type="dxa"/>
            <w:left w:w="108" w:type="dxa"/>
            <w:bottom w:w="0" w:type="dxa"/>
            <w:right w:w="108" w:type="dxa"/>
          </w:tblCellMar>
        </w:tblPrEx>
        <w:trPr>
          <w:gridAfter w:val="1"/>
          <w:wAfter w:w="1451" w:type="dxa"/>
          <w:trHeight w:val="405" w:hRule="atLeast"/>
        </w:trPr>
        <w:tc>
          <w:tcPr>
            <w:tcW w:w="125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46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项目总资金</w:t>
            </w:r>
          </w:p>
        </w:tc>
        <w:tc>
          <w:tcPr>
            <w:tcW w:w="816" w:type="dxa"/>
            <w:tcBorders>
              <w:top w:val="nil"/>
              <w:left w:val="nil"/>
              <w:bottom w:val="single" w:color="auto" w:sz="4" w:space="0"/>
              <w:right w:val="single" w:color="auto" w:sz="4" w:space="0"/>
            </w:tcBorders>
            <w:shd w:val="clear" w:color="000000" w:fill="FFFFFF"/>
            <w:noWrap/>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334.23</w:t>
            </w:r>
          </w:p>
        </w:tc>
        <w:tc>
          <w:tcPr>
            <w:tcW w:w="3969"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             其他资金</w:t>
            </w:r>
          </w:p>
        </w:tc>
        <w:tc>
          <w:tcPr>
            <w:tcW w:w="1736"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555" w:hRule="atLeast"/>
        </w:trPr>
        <w:tc>
          <w:tcPr>
            <w:tcW w:w="125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总</w:t>
            </w:r>
            <w:r>
              <w:rPr>
                <w:rFonts w:hint="eastAsia" w:ascii="宋体" w:hAnsi="宋体" w:cs="宋体"/>
                <w:kern w:val="0"/>
                <w:sz w:val="20"/>
                <w:szCs w:val="20"/>
              </w:rPr>
              <w:br w:type="textWrapping"/>
            </w:r>
            <w:r>
              <w:rPr>
                <w:rFonts w:hint="eastAsia" w:ascii="宋体" w:hAnsi="宋体" w:cs="宋体"/>
                <w:kern w:val="0"/>
                <w:sz w:val="20"/>
                <w:szCs w:val="20"/>
              </w:rPr>
              <w:t>体</w:t>
            </w:r>
            <w:r>
              <w:rPr>
                <w:rFonts w:hint="eastAsia" w:ascii="宋体" w:hAnsi="宋体" w:cs="宋体"/>
                <w:kern w:val="0"/>
                <w:sz w:val="20"/>
                <w:szCs w:val="20"/>
              </w:rPr>
              <w:br w:type="textWrapping"/>
            </w:r>
            <w:r>
              <w:rPr>
                <w:rFonts w:hint="eastAsia" w:ascii="宋体" w:hAnsi="宋体" w:cs="宋体"/>
                <w:kern w:val="0"/>
                <w:sz w:val="20"/>
                <w:szCs w:val="20"/>
              </w:rPr>
              <w:t>目</w:t>
            </w:r>
            <w:r>
              <w:rPr>
                <w:rFonts w:hint="eastAsia" w:ascii="宋体" w:hAnsi="宋体" w:cs="宋体"/>
                <w:kern w:val="0"/>
                <w:sz w:val="20"/>
                <w:szCs w:val="20"/>
              </w:rPr>
              <w:br w:type="textWrapping"/>
            </w:r>
            <w:r>
              <w:rPr>
                <w:rFonts w:hint="eastAsia" w:ascii="宋体" w:hAnsi="宋体" w:cs="宋体"/>
                <w:kern w:val="0"/>
                <w:sz w:val="20"/>
                <w:szCs w:val="20"/>
              </w:rPr>
              <w:t>标</w:t>
            </w:r>
          </w:p>
        </w:tc>
        <w:tc>
          <w:tcPr>
            <w:tcW w:w="7984"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年度目标</w:t>
            </w:r>
          </w:p>
        </w:tc>
      </w:tr>
      <w:tr>
        <w:tblPrEx>
          <w:tblLayout w:type="fixed"/>
          <w:tblCellMar>
            <w:top w:w="0" w:type="dxa"/>
            <w:left w:w="108" w:type="dxa"/>
            <w:bottom w:w="0" w:type="dxa"/>
            <w:right w:w="108" w:type="dxa"/>
          </w:tblCellMar>
        </w:tblPrEx>
        <w:trPr>
          <w:gridAfter w:val="1"/>
          <w:wAfter w:w="1451" w:type="dxa"/>
          <w:trHeight w:val="555" w:hRule="atLeast"/>
        </w:trPr>
        <w:tc>
          <w:tcPr>
            <w:tcW w:w="125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7984"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5"/>
                <w:szCs w:val="15"/>
              </w:rPr>
            </w:pPr>
            <w:r>
              <w:rPr>
                <w:rFonts w:hint="eastAsia" w:ascii="宋体" w:hAnsi="宋体" w:cs="宋体"/>
                <w:kern w:val="0"/>
                <w:sz w:val="15"/>
                <w:szCs w:val="15"/>
              </w:rPr>
              <w:t>为全面落实乡村振兴战略，统筹推进乡镇民生保障、社会稳定、经济发展、生态保护及纪律监督工作，本专项经费聚焦民生福祉、基层治理、招商引资、军人优抚、环境保护及纪检监督六大领域，旨在通过精准投入提升乡镇综合治理能力，实现社会效益与经济效益双提升。</w:t>
            </w:r>
          </w:p>
        </w:tc>
      </w:tr>
      <w:tr>
        <w:tblPrEx>
          <w:tblLayout w:type="fixed"/>
          <w:tblCellMar>
            <w:top w:w="0" w:type="dxa"/>
            <w:left w:w="108" w:type="dxa"/>
            <w:bottom w:w="0" w:type="dxa"/>
            <w:right w:w="108" w:type="dxa"/>
          </w:tblCellMar>
        </w:tblPrEx>
        <w:trPr>
          <w:gridAfter w:val="1"/>
          <w:wAfter w:w="1451" w:type="dxa"/>
          <w:trHeight w:val="439" w:hRule="atLeast"/>
        </w:trPr>
        <w:tc>
          <w:tcPr>
            <w:tcW w:w="125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绩</w:t>
            </w:r>
            <w:r>
              <w:rPr>
                <w:rFonts w:hint="eastAsia" w:ascii="宋体" w:hAnsi="宋体" w:cs="宋体"/>
                <w:kern w:val="0"/>
                <w:sz w:val="20"/>
                <w:szCs w:val="20"/>
              </w:rPr>
              <w:br w:type="textWrapping"/>
            </w:r>
            <w:r>
              <w:rPr>
                <w:rFonts w:hint="eastAsia" w:ascii="宋体" w:hAnsi="宋体" w:cs="宋体"/>
                <w:kern w:val="0"/>
                <w:sz w:val="20"/>
                <w:szCs w:val="20"/>
              </w:rPr>
              <w:t>效</w:t>
            </w:r>
            <w:r>
              <w:rPr>
                <w:rFonts w:hint="eastAsia" w:ascii="宋体" w:hAnsi="宋体" w:cs="宋体"/>
                <w:kern w:val="0"/>
                <w:sz w:val="20"/>
                <w:szCs w:val="20"/>
              </w:rPr>
              <w:br w:type="textWrapping"/>
            </w:r>
            <w:r>
              <w:rPr>
                <w:rFonts w:hint="eastAsia" w:ascii="宋体" w:hAnsi="宋体" w:cs="宋体"/>
                <w:kern w:val="0"/>
                <w:sz w:val="20"/>
                <w:szCs w:val="20"/>
              </w:rPr>
              <w:t>指</w:t>
            </w:r>
            <w:r>
              <w:rPr>
                <w:rFonts w:hint="eastAsia" w:ascii="宋体" w:hAnsi="宋体" w:cs="宋体"/>
                <w:kern w:val="0"/>
                <w:sz w:val="20"/>
                <w:szCs w:val="20"/>
              </w:rPr>
              <w:br w:type="textWrapping"/>
            </w:r>
            <w:r>
              <w:rPr>
                <w:rFonts w:hint="eastAsia" w:ascii="宋体" w:hAnsi="宋体" w:cs="宋体"/>
                <w:kern w:val="0"/>
                <w:sz w:val="20"/>
                <w:szCs w:val="20"/>
              </w:rPr>
              <w:t>标</w:t>
            </w:r>
          </w:p>
        </w:tc>
        <w:tc>
          <w:tcPr>
            <w:tcW w:w="2279"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一级指标</w:t>
            </w:r>
          </w:p>
        </w:tc>
        <w:tc>
          <w:tcPr>
            <w:tcW w:w="170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二级指标</w:t>
            </w:r>
          </w:p>
        </w:tc>
        <w:tc>
          <w:tcPr>
            <w:tcW w:w="2687"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三级指标</w:t>
            </w:r>
          </w:p>
        </w:tc>
        <w:tc>
          <w:tcPr>
            <w:tcW w:w="131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指标值</w:t>
            </w:r>
          </w:p>
        </w:tc>
      </w:tr>
      <w:tr>
        <w:tblPrEx>
          <w:tblLayout w:type="fixed"/>
          <w:tblCellMar>
            <w:top w:w="0" w:type="dxa"/>
            <w:left w:w="108" w:type="dxa"/>
            <w:bottom w:w="0" w:type="dxa"/>
            <w:right w:w="108" w:type="dxa"/>
          </w:tblCellMar>
        </w:tblPrEx>
        <w:trPr>
          <w:gridAfter w:val="1"/>
          <w:wAfter w:w="1451" w:type="dxa"/>
          <w:trHeight w:val="439" w:hRule="atLeast"/>
        </w:trPr>
        <w:tc>
          <w:tcPr>
            <w:tcW w:w="125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27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产出指标</w:t>
            </w:r>
          </w:p>
        </w:tc>
        <w:tc>
          <w:tcPr>
            <w:tcW w:w="170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数量指标</w:t>
            </w:r>
          </w:p>
        </w:tc>
        <w:tc>
          <w:tcPr>
            <w:tcW w:w="2687"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金额</w:t>
            </w:r>
          </w:p>
        </w:tc>
        <w:tc>
          <w:tcPr>
            <w:tcW w:w="131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329万元</w:t>
            </w:r>
          </w:p>
        </w:tc>
      </w:tr>
      <w:tr>
        <w:tblPrEx>
          <w:tblLayout w:type="fixed"/>
          <w:tblCellMar>
            <w:top w:w="0" w:type="dxa"/>
            <w:left w:w="108" w:type="dxa"/>
            <w:bottom w:w="0" w:type="dxa"/>
            <w:right w:w="108" w:type="dxa"/>
          </w:tblCellMar>
        </w:tblPrEx>
        <w:trPr>
          <w:gridAfter w:val="1"/>
          <w:wAfter w:w="1451" w:type="dxa"/>
          <w:trHeight w:val="439" w:hRule="atLeast"/>
        </w:trPr>
        <w:tc>
          <w:tcPr>
            <w:tcW w:w="125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2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70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kern w:val="0"/>
                <w:sz w:val="20"/>
                <w:szCs w:val="20"/>
              </w:rPr>
            </w:pPr>
          </w:p>
        </w:tc>
        <w:tc>
          <w:tcPr>
            <w:tcW w:w="2687"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民生保障覆盖困难群众</w:t>
            </w:r>
          </w:p>
        </w:tc>
        <w:tc>
          <w:tcPr>
            <w:tcW w:w="131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应保尽保</w:t>
            </w:r>
          </w:p>
        </w:tc>
      </w:tr>
      <w:tr>
        <w:tblPrEx>
          <w:tblLayout w:type="fixed"/>
          <w:tblCellMar>
            <w:top w:w="0" w:type="dxa"/>
            <w:left w:w="108" w:type="dxa"/>
            <w:bottom w:w="0" w:type="dxa"/>
            <w:right w:w="108" w:type="dxa"/>
          </w:tblCellMar>
        </w:tblPrEx>
        <w:trPr>
          <w:gridAfter w:val="1"/>
          <w:wAfter w:w="1451" w:type="dxa"/>
          <w:trHeight w:val="439" w:hRule="atLeast"/>
        </w:trPr>
        <w:tc>
          <w:tcPr>
            <w:tcW w:w="125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2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70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kern w:val="0"/>
                <w:sz w:val="20"/>
                <w:szCs w:val="20"/>
              </w:rPr>
            </w:pPr>
          </w:p>
        </w:tc>
        <w:tc>
          <w:tcPr>
            <w:tcW w:w="2687"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环保治理覆盖率</w:t>
            </w:r>
          </w:p>
        </w:tc>
        <w:tc>
          <w:tcPr>
            <w:tcW w:w="131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≥90</w:t>
            </w:r>
          </w:p>
        </w:tc>
      </w:tr>
      <w:tr>
        <w:tblPrEx>
          <w:tblLayout w:type="fixed"/>
          <w:tblCellMar>
            <w:top w:w="0" w:type="dxa"/>
            <w:left w:w="108" w:type="dxa"/>
            <w:bottom w:w="0" w:type="dxa"/>
            <w:right w:w="108" w:type="dxa"/>
          </w:tblCellMar>
        </w:tblPrEx>
        <w:trPr>
          <w:gridAfter w:val="1"/>
          <w:wAfter w:w="1451" w:type="dxa"/>
          <w:trHeight w:val="439" w:hRule="atLeast"/>
        </w:trPr>
        <w:tc>
          <w:tcPr>
            <w:tcW w:w="125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2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70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质量指标</w:t>
            </w:r>
          </w:p>
        </w:tc>
        <w:tc>
          <w:tcPr>
            <w:tcW w:w="2687"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维稳矛盾化解率</w:t>
            </w:r>
          </w:p>
        </w:tc>
        <w:tc>
          <w:tcPr>
            <w:tcW w:w="131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≥95%</w:t>
            </w:r>
          </w:p>
        </w:tc>
      </w:tr>
      <w:tr>
        <w:tblPrEx>
          <w:tblLayout w:type="fixed"/>
          <w:tblCellMar>
            <w:top w:w="0" w:type="dxa"/>
            <w:left w:w="108" w:type="dxa"/>
            <w:bottom w:w="0" w:type="dxa"/>
            <w:right w:w="108" w:type="dxa"/>
          </w:tblCellMar>
        </w:tblPrEx>
        <w:trPr>
          <w:gridAfter w:val="1"/>
          <w:wAfter w:w="1451" w:type="dxa"/>
          <w:trHeight w:val="439" w:hRule="atLeast"/>
        </w:trPr>
        <w:tc>
          <w:tcPr>
            <w:tcW w:w="125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2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70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时效指标</w:t>
            </w:r>
          </w:p>
        </w:tc>
        <w:tc>
          <w:tcPr>
            <w:tcW w:w="2687"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项目时间</w:t>
            </w:r>
          </w:p>
        </w:tc>
        <w:tc>
          <w:tcPr>
            <w:tcW w:w="131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1年</w:t>
            </w:r>
          </w:p>
        </w:tc>
      </w:tr>
      <w:tr>
        <w:tblPrEx>
          <w:tblLayout w:type="fixed"/>
          <w:tblCellMar>
            <w:top w:w="0" w:type="dxa"/>
            <w:left w:w="108" w:type="dxa"/>
            <w:bottom w:w="0" w:type="dxa"/>
            <w:right w:w="108" w:type="dxa"/>
          </w:tblCellMar>
        </w:tblPrEx>
        <w:trPr>
          <w:gridAfter w:val="1"/>
          <w:wAfter w:w="1451" w:type="dxa"/>
          <w:trHeight w:val="439" w:hRule="atLeast"/>
        </w:trPr>
        <w:tc>
          <w:tcPr>
            <w:tcW w:w="125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27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效益指标</w:t>
            </w:r>
          </w:p>
        </w:tc>
        <w:tc>
          <w:tcPr>
            <w:tcW w:w="170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社会效益指标</w:t>
            </w:r>
          </w:p>
        </w:tc>
        <w:tc>
          <w:tcPr>
            <w:tcW w:w="2687"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群众对民生保障满意度</w:t>
            </w:r>
          </w:p>
        </w:tc>
        <w:tc>
          <w:tcPr>
            <w:tcW w:w="131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≥95%</w:t>
            </w:r>
          </w:p>
        </w:tc>
      </w:tr>
      <w:tr>
        <w:tblPrEx>
          <w:tblLayout w:type="fixed"/>
          <w:tblCellMar>
            <w:top w:w="0" w:type="dxa"/>
            <w:left w:w="108" w:type="dxa"/>
            <w:bottom w:w="0" w:type="dxa"/>
            <w:right w:w="108" w:type="dxa"/>
          </w:tblCellMar>
        </w:tblPrEx>
        <w:trPr>
          <w:gridAfter w:val="1"/>
          <w:wAfter w:w="1451" w:type="dxa"/>
          <w:trHeight w:val="439" w:hRule="atLeast"/>
        </w:trPr>
        <w:tc>
          <w:tcPr>
            <w:tcW w:w="125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2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70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687"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乡镇治安案件同比下降</w:t>
            </w:r>
          </w:p>
        </w:tc>
        <w:tc>
          <w:tcPr>
            <w:tcW w:w="131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5%</w:t>
            </w:r>
          </w:p>
        </w:tc>
      </w:tr>
      <w:tr>
        <w:tblPrEx>
          <w:tblLayout w:type="fixed"/>
          <w:tblCellMar>
            <w:top w:w="0" w:type="dxa"/>
            <w:left w:w="108" w:type="dxa"/>
            <w:bottom w:w="0" w:type="dxa"/>
            <w:right w:w="108" w:type="dxa"/>
          </w:tblCellMar>
        </w:tblPrEx>
        <w:trPr>
          <w:gridAfter w:val="1"/>
          <w:wAfter w:w="1451" w:type="dxa"/>
          <w:trHeight w:val="439" w:hRule="atLeast"/>
        </w:trPr>
        <w:tc>
          <w:tcPr>
            <w:tcW w:w="125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2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70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687"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131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439" w:hRule="atLeast"/>
        </w:trPr>
        <w:tc>
          <w:tcPr>
            <w:tcW w:w="125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2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70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可持续影响</w:t>
            </w:r>
            <w:r>
              <w:rPr>
                <w:rFonts w:hint="eastAsia" w:ascii="宋体" w:hAnsi="宋体" w:cs="宋体"/>
                <w:kern w:val="0"/>
                <w:sz w:val="20"/>
                <w:szCs w:val="20"/>
              </w:rPr>
              <w:br w:type="textWrapping"/>
            </w:r>
            <w:r>
              <w:rPr>
                <w:rFonts w:hint="eastAsia" w:ascii="宋体" w:hAnsi="宋体" w:cs="宋体"/>
                <w:kern w:val="0"/>
                <w:sz w:val="20"/>
                <w:szCs w:val="20"/>
              </w:rPr>
              <w:t>指标</w:t>
            </w:r>
          </w:p>
        </w:tc>
        <w:tc>
          <w:tcPr>
            <w:tcW w:w="2687"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民生保障动态调整机制</w:t>
            </w:r>
          </w:p>
        </w:tc>
        <w:tc>
          <w:tcPr>
            <w:tcW w:w="131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建立</w:t>
            </w:r>
          </w:p>
        </w:tc>
      </w:tr>
      <w:tr>
        <w:tblPrEx>
          <w:tblLayout w:type="fixed"/>
          <w:tblCellMar>
            <w:top w:w="0" w:type="dxa"/>
            <w:left w:w="108" w:type="dxa"/>
            <w:bottom w:w="0" w:type="dxa"/>
            <w:right w:w="108" w:type="dxa"/>
          </w:tblCellMar>
        </w:tblPrEx>
        <w:trPr>
          <w:gridAfter w:val="1"/>
          <w:wAfter w:w="1451" w:type="dxa"/>
          <w:trHeight w:val="439" w:hRule="atLeast"/>
        </w:trPr>
        <w:tc>
          <w:tcPr>
            <w:tcW w:w="125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2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70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687"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p>
        </w:tc>
        <w:tc>
          <w:tcPr>
            <w:tcW w:w="131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439" w:hRule="atLeast"/>
        </w:trPr>
        <w:tc>
          <w:tcPr>
            <w:tcW w:w="125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27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满意度指标</w:t>
            </w:r>
          </w:p>
        </w:tc>
        <w:tc>
          <w:tcPr>
            <w:tcW w:w="170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服务对象</w:t>
            </w:r>
            <w:r>
              <w:rPr>
                <w:rFonts w:hint="eastAsia" w:ascii="宋体" w:hAnsi="宋体" w:cs="宋体"/>
                <w:kern w:val="0"/>
                <w:sz w:val="20"/>
                <w:szCs w:val="20"/>
              </w:rPr>
              <w:br w:type="textWrapping"/>
            </w:r>
            <w:r>
              <w:rPr>
                <w:rFonts w:hint="eastAsia" w:ascii="宋体" w:hAnsi="宋体" w:cs="宋体"/>
                <w:kern w:val="0"/>
                <w:sz w:val="20"/>
                <w:szCs w:val="20"/>
              </w:rPr>
              <w:t>满意度指标</w:t>
            </w:r>
          </w:p>
        </w:tc>
        <w:tc>
          <w:tcPr>
            <w:tcW w:w="2687"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群众满意度</w:t>
            </w:r>
          </w:p>
        </w:tc>
        <w:tc>
          <w:tcPr>
            <w:tcW w:w="131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≥90%　</w:t>
            </w:r>
          </w:p>
        </w:tc>
      </w:tr>
      <w:tr>
        <w:tblPrEx>
          <w:tblLayout w:type="fixed"/>
          <w:tblCellMar>
            <w:top w:w="0" w:type="dxa"/>
            <w:left w:w="108" w:type="dxa"/>
            <w:bottom w:w="0" w:type="dxa"/>
            <w:right w:w="108" w:type="dxa"/>
          </w:tblCellMar>
        </w:tblPrEx>
        <w:trPr>
          <w:trHeight w:val="439" w:hRule="atLeast"/>
        </w:trPr>
        <w:tc>
          <w:tcPr>
            <w:tcW w:w="125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2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70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68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31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451" w:type="dxa"/>
            <w:tcBorders>
              <w:top w:val="nil"/>
              <w:left w:val="nil"/>
              <w:bottom w:val="nil"/>
              <w:right w:val="nil"/>
            </w:tcBorders>
            <w:noWrap/>
            <w:vAlign w:val="center"/>
          </w:tcPr>
          <w:p>
            <w:pPr>
              <w:widowControl/>
              <w:jc w:val="center"/>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938" w:hRule="atLeast"/>
        </w:trPr>
        <w:tc>
          <w:tcPr>
            <w:tcW w:w="5239"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经办人：</w:t>
            </w:r>
          </w:p>
        </w:tc>
        <w:tc>
          <w:tcPr>
            <w:tcW w:w="2687"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单位负责人：</w:t>
            </w:r>
          </w:p>
        </w:tc>
        <w:tc>
          <w:tcPr>
            <w:tcW w:w="1310" w:type="dxa"/>
            <w:tcBorders>
              <w:top w:val="single" w:color="auto" w:sz="4" w:space="0"/>
              <w:left w:val="nil"/>
              <w:bottom w:val="single" w:color="auto" w:sz="4" w:space="0"/>
              <w:right w:val="single" w:color="000000"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上报时间：</w:t>
            </w:r>
          </w:p>
        </w:tc>
        <w:tc>
          <w:tcPr>
            <w:tcW w:w="1451" w:type="dxa"/>
            <w:vAlign w:val="center"/>
          </w:tcPr>
          <w:p>
            <w:pPr>
              <w:widowControl/>
              <w:jc w:val="left"/>
              <w:rPr>
                <w:rFonts w:eastAsia="Times New Roman"/>
                <w:kern w:val="0"/>
                <w:sz w:val="20"/>
                <w:szCs w:val="20"/>
              </w:rPr>
            </w:pPr>
          </w:p>
        </w:tc>
      </w:tr>
    </w:tbl>
    <w:p>
      <w:pPr>
        <w:adjustRightInd w:val="0"/>
        <w:snapToGrid w:val="0"/>
        <w:spacing w:line="600" w:lineRule="exact"/>
        <w:ind w:firstLine="640" w:firstLineChars="200"/>
        <w:rPr>
          <w:rFonts w:hint="eastAsia" w:ascii="仿宋" w:hAnsi="仿宋" w:eastAsia="仿宋"/>
          <w:sz w:val="32"/>
          <w:szCs w:val="32"/>
        </w:rPr>
      </w:pPr>
    </w:p>
    <w:p>
      <w:pPr>
        <w:adjustRightInd w:val="0"/>
        <w:snapToGrid w:val="0"/>
        <w:spacing w:line="600" w:lineRule="exact"/>
        <w:ind w:firstLine="640" w:firstLineChars="200"/>
        <w:rPr>
          <w:rFonts w:hint="eastAsia" w:ascii="仿宋" w:hAnsi="仿宋" w:eastAsia="仿宋"/>
          <w:sz w:val="32"/>
          <w:szCs w:val="32"/>
        </w:rPr>
      </w:pPr>
    </w:p>
    <w:p>
      <w:pPr>
        <w:adjustRightInd w:val="0"/>
        <w:snapToGrid w:val="0"/>
        <w:spacing w:line="600" w:lineRule="exact"/>
        <w:ind w:firstLine="640" w:firstLineChars="200"/>
        <w:rPr>
          <w:rFonts w:hint="eastAsia" w:ascii="仿宋" w:hAnsi="仿宋" w:eastAsia="仿宋"/>
          <w:spacing w:val="-14"/>
          <w:sz w:val="32"/>
          <w:szCs w:val="32"/>
        </w:rPr>
      </w:pPr>
      <w:r>
        <w:rPr>
          <w:rFonts w:hint="eastAsia" w:ascii="仿宋" w:hAnsi="仿宋" w:eastAsia="仿宋"/>
          <w:sz w:val="32"/>
          <w:szCs w:val="32"/>
        </w:rPr>
        <w:t>三、</w:t>
      </w:r>
      <w:r>
        <w:rPr>
          <w:rFonts w:hint="eastAsia" w:ascii="仿宋" w:hAnsi="仿宋" w:eastAsia="仿宋"/>
          <w:spacing w:val="-14"/>
          <w:sz w:val="32"/>
          <w:szCs w:val="32"/>
        </w:rPr>
        <w:t>2026年退养民师、蚕桑办人员生活补贴等专项工作经费</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项目基本情况：</w:t>
      </w:r>
    </w:p>
    <w:p>
      <w:pPr>
        <w:adjustRightInd w:val="0"/>
        <w:snapToGrid w:val="0"/>
        <w:spacing w:line="520" w:lineRule="exact"/>
        <w:ind w:firstLine="584" w:firstLineChars="200"/>
        <w:rPr>
          <w:rFonts w:hint="eastAsia" w:ascii="仿宋" w:hAnsi="仿宋" w:eastAsia="仿宋"/>
          <w:spacing w:val="-14"/>
          <w:sz w:val="32"/>
          <w:szCs w:val="32"/>
        </w:rPr>
      </w:pPr>
      <w:r>
        <w:rPr>
          <w:rFonts w:hint="eastAsia" w:ascii="仿宋" w:hAnsi="仿宋" w:eastAsia="仿宋"/>
          <w:spacing w:val="-14"/>
          <w:sz w:val="32"/>
          <w:szCs w:val="32"/>
        </w:rPr>
        <w:t>项目名称：2026年退养民师、蚕桑办人员生活补贴专项经费。</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主管部门：炎刘镇人民政府</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实施单位：炎刘镇人民政府</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项目资金总额：8.72万元</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实施周期：2026年1月1日—2026年12月31日</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项目背景与目标：此项目是对退养民师及90年代寿县蚕桑产业基层工作人员的关怀政策，保障其基本生活需求，维护社会稳定，本专项经费拟用于发放退养民师生活补贴及蚕桑办人员工作补助，确保相关人员生活水平不降低，激发基层服务积极性。</w:t>
      </w: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hint="eastAsia" w:ascii="仿宋" w:hAnsi="仿宋" w:eastAsia="仿宋"/>
          <w:sz w:val="32"/>
          <w:szCs w:val="32"/>
        </w:rPr>
      </w:pPr>
    </w:p>
    <w:tbl>
      <w:tblPr>
        <w:tblStyle w:val="7"/>
        <w:tblW w:w="10687" w:type="dxa"/>
        <w:tblInd w:w="-459" w:type="dxa"/>
        <w:tblLayout w:type="fixed"/>
        <w:tblCellMar>
          <w:top w:w="0" w:type="dxa"/>
          <w:left w:w="108" w:type="dxa"/>
          <w:bottom w:w="0" w:type="dxa"/>
          <w:right w:w="108" w:type="dxa"/>
        </w:tblCellMar>
      </w:tblPr>
      <w:tblGrid>
        <w:gridCol w:w="1348"/>
        <w:gridCol w:w="1463"/>
        <w:gridCol w:w="716"/>
        <w:gridCol w:w="1583"/>
        <w:gridCol w:w="711"/>
        <w:gridCol w:w="1550"/>
        <w:gridCol w:w="480"/>
        <w:gridCol w:w="1385"/>
        <w:gridCol w:w="1451"/>
      </w:tblGrid>
      <w:tr>
        <w:tblPrEx>
          <w:tblLayout w:type="fixed"/>
          <w:tblCellMar>
            <w:top w:w="0" w:type="dxa"/>
            <w:left w:w="108" w:type="dxa"/>
            <w:bottom w:w="0" w:type="dxa"/>
            <w:right w:w="108" w:type="dxa"/>
          </w:tblCellMar>
        </w:tblPrEx>
        <w:trPr>
          <w:gridAfter w:val="1"/>
          <w:wAfter w:w="1451" w:type="dxa"/>
          <w:trHeight w:val="510" w:hRule="atLeast"/>
        </w:trPr>
        <w:tc>
          <w:tcPr>
            <w:tcW w:w="9236" w:type="dxa"/>
            <w:gridSpan w:val="8"/>
            <w:tcBorders>
              <w:top w:val="nil"/>
              <w:left w:val="nil"/>
              <w:bottom w:val="nil"/>
              <w:right w:val="nil"/>
            </w:tcBorders>
            <w:shd w:val="clear" w:color="000000" w:fill="FFFFFF"/>
            <w:vAlign w:val="center"/>
          </w:tcPr>
          <w:p>
            <w:pPr>
              <w:widowControl/>
              <w:jc w:val="center"/>
              <w:rPr>
                <w:rFonts w:hint="eastAsia" w:ascii="黑体" w:hAnsi="黑体" w:eastAsia="黑体" w:cs="宋体"/>
                <w:kern w:val="0"/>
                <w:sz w:val="40"/>
                <w:szCs w:val="40"/>
              </w:rPr>
            </w:pPr>
            <w:r>
              <w:rPr>
                <w:rFonts w:hint="eastAsia" w:ascii="黑体" w:hAnsi="黑体" w:eastAsia="黑体" w:cs="宋体"/>
                <w:kern w:val="0"/>
                <w:sz w:val="40"/>
                <w:szCs w:val="40"/>
              </w:rPr>
              <w:t>2026年绩效目标申报表</w:t>
            </w:r>
          </w:p>
        </w:tc>
      </w:tr>
      <w:tr>
        <w:tblPrEx>
          <w:tblLayout w:type="fixed"/>
          <w:tblCellMar>
            <w:top w:w="0" w:type="dxa"/>
            <w:left w:w="108" w:type="dxa"/>
            <w:bottom w:w="0" w:type="dxa"/>
            <w:right w:w="108" w:type="dxa"/>
          </w:tblCellMar>
        </w:tblPrEx>
        <w:trPr>
          <w:gridAfter w:val="1"/>
          <w:wAfter w:w="1451" w:type="dxa"/>
          <w:trHeight w:val="270" w:hRule="atLeast"/>
        </w:trPr>
        <w:tc>
          <w:tcPr>
            <w:tcW w:w="9236" w:type="dxa"/>
            <w:gridSpan w:val="8"/>
            <w:tcBorders>
              <w:top w:val="nil"/>
              <w:left w:val="nil"/>
              <w:bottom w:val="single" w:color="auto" w:sz="4" w:space="0"/>
              <w:right w:val="nil"/>
            </w:tcBorders>
            <w:shd w:val="clear" w:color="000000" w:fill="FFFFFF"/>
          </w:tcPr>
          <w:p>
            <w:pPr>
              <w:widowControl/>
              <w:jc w:val="center"/>
              <w:rPr>
                <w:rFonts w:hint="eastAsia" w:ascii="宋体" w:hAnsi="宋体" w:cs="宋体"/>
                <w:kern w:val="0"/>
                <w:sz w:val="22"/>
                <w:szCs w:val="22"/>
              </w:rPr>
            </w:pPr>
            <w:r>
              <w:rPr>
                <w:rFonts w:hint="eastAsia" w:ascii="宋体" w:hAnsi="宋体" w:cs="宋体"/>
                <w:kern w:val="0"/>
                <w:sz w:val="22"/>
                <w:szCs w:val="22"/>
              </w:rPr>
              <w:t>（2026年度）</w:t>
            </w:r>
          </w:p>
        </w:tc>
      </w:tr>
      <w:tr>
        <w:tblPrEx>
          <w:tblLayout w:type="fixed"/>
          <w:tblCellMar>
            <w:top w:w="0" w:type="dxa"/>
            <w:left w:w="108" w:type="dxa"/>
            <w:bottom w:w="0" w:type="dxa"/>
            <w:right w:w="108" w:type="dxa"/>
          </w:tblCellMar>
        </w:tblPrEx>
        <w:trPr>
          <w:gridAfter w:val="1"/>
          <w:wAfter w:w="1451" w:type="dxa"/>
          <w:trHeight w:val="510" w:hRule="atLeast"/>
        </w:trPr>
        <w:tc>
          <w:tcPr>
            <w:tcW w:w="352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项目名称</w:t>
            </w:r>
          </w:p>
        </w:tc>
        <w:tc>
          <w:tcPr>
            <w:tcW w:w="229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退养民师、蚕桑办人员生活补贴等专项经费</w:t>
            </w:r>
          </w:p>
        </w:tc>
        <w:tc>
          <w:tcPr>
            <w:tcW w:w="2030"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项目负责人</w:t>
            </w:r>
          </w:p>
        </w:tc>
        <w:tc>
          <w:tcPr>
            <w:tcW w:w="138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宋中考</w:t>
            </w:r>
          </w:p>
        </w:tc>
      </w:tr>
      <w:tr>
        <w:tblPrEx>
          <w:tblLayout w:type="fixed"/>
          <w:tblCellMar>
            <w:top w:w="0" w:type="dxa"/>
            <w:left w:w="108" w:type="dxa"/>
            <w:bottom w:w="0" w:type="dxa"/>
            <w:right w:w="108" w:type="dxa"/>
          </w:tblCellMar>
        </w:tblPrEx>
        <w:trPr>
          <w:gridAfter w:val="1"/>
          <w:wAfter w:w="1451" w:type="dxa"/>
          <w:trHeight w:val="405" w:hRule="atLeast"/>
        </w:trPr>
        <w:tc>
          <w:tcPr>
            <w:tcW w:w="352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主管部门</w:t>
            </w:r>
          </w:p>
        </w:tc>
        <w:tc>
          <w:tcPr>
            <w:tcW w:w="229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寿县炎刘镇人民政府</w:t>
            </w:r>
          </w:p>
        </w:tc>
        <w:tc>
          <w:tcPr>
            <w:tcW w:w="2030"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实施单位</w:t>
            </w:r>
          </w:p>
        </w:tc>
        <w:tc>
          <w:tcPr>
            <w:tcW w:w="138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寿县炎刘镇人民政府</w:t>
            </w:r>
          </w:p>
        </w:tc>
      </w:tr>
      <w:tr>
        <w:tblPrEx>
          <w:tblLayout w:type="fixed"/>
          <w:tblCellMar>
            <w:top w:w="0" w:type="dxa"/>
            <w:left w:w="108" w:type="dxa"/>
            <w:bottom w:w="0" w:type="dxa"/>
            <w:right w:w="108" w:type="dxa"/>
          </w:tblCellMar>
        </w:tblPrEx>
        <w:trPr>
          <w:gridAfter w:val="1"/>
          <w:wAfter w:w="1451" w:type="dxa"/>
          <w:trHeight w:val="405" w:hRule="atLeast"/>
        </w:trPr>
        <w:tc>
          <w:tcPr>
            <w:tcW w:w="3527" w:type="dxa"/>
            <w:gridSpan w:val="3"/>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是否事前绩效评估</w:t>
            </w:r>
          </w:p>
        </w:tc>
        <w:tc>
          <w:tcPr>
            <w:tcW w:w="2294"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030"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是否绩效目标公开</w:t>
            </w:r>
          </w:p>
        </w:tc>
        <w:tc>
          <w:tcPr>
            <w:tcW w:w="1385" w:type="dxa"/>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405" w:hRule="atLeast"/>
        </w:trPr>
        <w:tc>
          <w:tcPr>
            <w:tcW w:w="3527" w:type="dxa"/>
            <w:gridSpan w:val="3"/>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事前绩效评估审核结论</w:t>
            </w:r>
          </w:p>
        </w:tc>
        <w:tc>
          <w:tcPr>
            <w:tcW w:w="2294"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030"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绩效目标初审结论</w:t>
            </w:r>
          </w:p>
        </w:tc>
        <w:tc>
          <w:tcPr>
            <w:tcW w:w="1385" w:type="dxa"/>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405" w:hRule="atLeast"/>
        </w:trPr>
        <w:tc>
          <w:tcPr>
            <w:tcW w:w="134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项目年限及资金情况</w:t>
            </w:r>
            <w:r>
              <w:rPr>
                <w:rFonts w:hint="eastAsia" w:ascii="宋体" w:hAnsi="宋体" w:cs="宋体"/>
                <w:kern w:val="0"/>
                <w:sz w:val="20"/>
                <w:szCs w:val="20"/>
              </w:rPr>
              <w:br w:type="textWrapping"/>
            </w:r>
            <w:r>
              <w:rPr>
                <w:rFonts w:hint="eastAsia" w:ascii="宋体" w:hAnsi="宋体" w:cs="宋体"/>
                <w:kern w:val="0"/>
                <w:sz w:val="20"/>
                <w:szCs w:val="20"/>
              </w:rPr>
              <w:t>（万元）</w:t>
            </w:r>
          </w:p>
        </w:tc>
        <w:tc>
          <w:tcPr>
            <w:tcW w:w="146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项目开始年度</w:t>
            </w:r>
          </w:p>
        </w:tc>
        <w:tc>
          <w:tcPr>
            <w:tcW w:w="716" w:type="dxa"/>
            <w:tcBorders>
              <w:top w:val="nil"/>
              <w:left w:val="nil"/>
              <w:bottom w:val="single" w:color="auto" w:sz="4" w:space="0"/>
              <w:right w:val="single" w:color="auto" w:sz="4" w:space="0"/>
            </w:tcBorders>
            <w:shd w:val="clear" w:color="000000" w:fill="FFFFFF"/>
            <w:noWrap/>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2025</w:t>
            </w:r>
          </w:p>
        </w:tc>
        <w:tc>
          <w:tcPr>
            <w:tcW w:w="229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年度资金总额</w:t>
            </w:r>
          </w:p>
        </w:tc>
        <w:tc>
          <w:tcPr>
            <w:tcW w:w="341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8.72</w:t>
            </w:r>
          </w:p>
        </w:tc>
      </w:tr>
      <w:tr>
        <w:tblPrEx>
          <w:tblLayout w:type="fixed"/>
          <w:tblCellMar>
            <w:top w:w="0" w:type="dxa"/>
            <w:left w:w="108" w:type="dxa"/>
            <w:bottom w:w="0" w:type="dxa"/>
            <w:right w:w="108" w:type="dxa"/>
          </w:tblCellMar>
        </w:tblPrEx>
        <w:trPr>
          <w:gridAfter w:val="1"/>
          <w:wAfter w:w="1451" w:type="dxa"/>
          <w:trHeight w:val="405"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46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项目终止年度</w:t>
            </w:r>
          </w:p>
        </w:tc>
        <w:tc>
          <w:tcPr>
            <w:tcW w:w="716" w:type="dxa"/>
            <w:tcBorders>
              <w:top w:val="nil"/>
              <w:left w:val="nil"/>
              <w:bottom w:val="single" w:color="auto" w:sz="4" w:space="0"/>
              <w:right w:val="single" w:color="auto" w:sz="4" w:space="0"/>
            </w:tcBorders>
            <w:shd w:val="clear" w:color="000000" w:fill="FFFFFF"/>
            <w:noWrap/>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2025</w:t>
            </w:r>
          </w:p>
        </w:tc>
        <w:tc>
          <w:tcPr>
            <w:tcW w:w="3844" w:type="dxa"/>
            <w:gridSpan w:val="3"/>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其中：财政拨款（每项资金的名称和规模）</w:t>
            </w:r>
          </w:p>
        </w:tc>
        <w:tc>
          <w:tcPr>
            <w:tcW w:w="1865"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8.72</w:t>
            </w:r>
          </w:p>
        </w:tc>
      </w:tr>
      <w:tr>
        <w:tblPrEx>
          <w:tblLayout w:type="fixed"/>
          <w:tblCellMar>
            <w:top w:w="0" w:type="dxa"/>
            <w:left w:w="108" w:type="dxa"/>
            <w:bottom w:w="0" w:type="dxa"/>
            <w:right w:w="108" w:type="dxa"/>
          </w:tblCellMar>
        </w:tblPrEx>
        <w:trPr>
          <w:gridAfter w:val="1"/>
          <w:wAfter w:w="1451" w:type="dxa"/>
          <w:trHeight w:val="405"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46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项目总资金</w:t>
            </w:r>
          </w:p>
        </w:tc>
        <w:tc>
          <w:tcPr>
            <w:tcW w:w="716" w:type="dxa"/>
            <w:tcBorders>
              <w:top w:val="nil"/>
              <w:left w:val="nil"/>
              <w:bottom w:val="single" w:color="auto" w:sz="4" w:space="0"/>
              <w:right w:val="single" w:color="auto" w:sz="4" w:space="0"/>
            </w:tcBorders>
            <w:shd w:val="clear" w:color="000000" w:fill="FFFFFF"/>
            <w:noWrap/>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8.72</w:t>
            </w:r>
          </w:p>
        </w:tc>
        <w:tc>
          <w:tcPr>
            <w:tcW w:w="3844"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             其他资金</w:t>
            </w:r>
          </w:p>
        </w:tc>
        <w:tc>
          <w:tcPr>
            <w:tcW w:w="1865"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555" w:hRule="atLeast"/>
        </w:trPr>
        <w:tc>
          <w:tcPr>
            <w:tcW w:w="134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总</w:t>
            </w:r>
            <w:r>
              <w:rPr>
                <w:rFonts w:hint="eastAsia" w:ascii="宋体" w:hAnsi="宋体" w:cs="宋体"/>
                <w:kern w:val="0"/>
                <w:sz w:val="20"/>
                <w:szCs w:val="20"/>
              </w:rPr>
              <w:br w:type="textWrapping"/>
            </w:r>
            <w:r>
              <w:rPr>
                <w:rFonts w:hint="eastAsia" w:ascii="宋体" w:hAnsi="宋体" w:cs="宋体"/>
                <w:kern w:val="0"/>
                <w:sz w:val="20"/>
                <w:szCs w:val="20"/>
              </w:rPr>
              <w:t>体</w:t>
            </w:r>
            <w:r>
              <w:rPr>
                <w:rFonts w:hint="eastAsia" w:ascii="宋体" w:hAnsi="宋体" w:cs="宋体"/>
                <w:kern w:val="0"/>
                <w:sz w:val="20"/>
                <w:szCs w:val="20"/>
              </w:rPr>
              <w:br w:type="textWrapping"/>
            </w:r>
            <w:r>
              <w:rPr>
                <w:rFonts w:hint="eastAsia" w:ascii="宋体" w:hAnsi="宋体" w:cs="宋体"/>
                <w:kern w:val="0"/>
                <w:sz w:val="20"/>
                <w:szCs w:val="20"/>
              </w:rPr>
              <w:t>目</w:t>
            </w:r>
            <w:r>
              <w:rPr>
                <w:rFonts w:hint="eastAsia" w:ascii="宋体" w:hAnsi="宋体" w:cs="宋体"/>
                <w:kern w:val="0"/>
                <w:sz w:val="20"/>
                <w:szCs w:val="20"/>
              </w:rPr>
              <w:br w:type="textWrapping"/>
            </w:r>
            <w:r>
              <w:rPr>
                <w:rFonts w:hint="eastAsia" w:ascii="宋体" w:hAnsi="宋体" w:cs="宋体"/>
                <w:kern w:val="0"/>
                <w:sz w:val="20"/>
                <w:szCs w:val="20"/>
              </w:rPr>
              <w:t>标</w:t>
            </w:r>
          </w:p>
        </w:tc>
        <w:tc>
          <w:tcPr>
            <w:tcW w:w="7888"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年度目标</w:t>
            </w:r>
          </w:p>
        </w:tc>
      </w:tr>
      <w:tr>
        <w:tblPrEx>
          <w:tblLayout w:type="fixed"/>
          <w:tblCellMar>
            <w:top w:w="0" w:type="dxa"/>
            <w:left w:w="108" w:type="dxa"/>
            <w:bottom w:w="0" w:type="dxa"/>
            <w:right w:w="108" w:type="dxa"/>
          </w:tblCellMar>
        </w:tblPrEx>
        <w:trPr>
          <w:gridAfter w:val="1"/>
          <w:wAfter w:w="1451" w:type="dxa"/>
          <w:trHeight w:val="555"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7888"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此项目是对退养民师及90年代寿县蚕桑产业基层工作人员的关怀政策，保障其基本生活需求，维护社会稳定，本专项经费拟用于发放退养民师生活补贴及蚕桑办人员工作补助，确保相关人员生活水平不降低，激发基层服务积极性。</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绩</w:t>
            </w:r>
            <w:r>
              <w:rPr>
                <w:rFonts w:hint="eastAsia" w:ascii="宋体" w:hAnsi="宋体" w:cs="宋体"/>
                <w:kern w:val="0"/>
                <w:sz w:val="20"/>
                <w:szCs w:val="20"/>
              </w:rPr>
              <w:br w:type="textWrapping"/>
            </w:r>
            <w:r>
              <w:rPr>
                <w:rFonts w:hint="eastAsia" w:ascii="宋体" w:hAnsi="宋体" w:cs="宋体"/>
                <w:kern w:val="0"/>
                <w:sz w:val="20"/>
                <w:szCs w:val="20"/>
              </w:rPr>
              <w:t>效</w:t>
            </w:r>
            <w:r>
              <w:rPr>
                <w:rFonts w:hint="eastAsia" w:ascii="宋体" w:hAnsi="宋体" w:cs="宋体"/>
                <w:kern w:val="0"/>
                <w:sz w:val="20"/>
                <w:szCs w:val="20"/>
              </w:rPr>
              <w:br w:type="textWrapping"/>
            </w:r>
            <w:r>
              <w:rPr>
                <w:rFonts w:hint="eastAsia" w:ascii="宋体" w:hAnsi="宋体" w:cs="宋体"/>
                <w:kern w:val="0"/>
                <w:sz w:val="20"/>
                <w:szCs w:val="20"/>
              </w:rPr>
              <w:t>指</w:t>
            </w:r>
            <w:r>
              <w:rPr>
                <w:rFonts w:hint="eastAsia" w:ascii="宋体" w:hAnsi="宋体" w:cs="宋体"/>
                <w:kern w:val="0"/>
                <w:sz w:val="20"/>
                <w:szCs w:val="20"/>
              </w:rPr>
              <w:br w:type="textWrapping"/>
            </w:r>
            <w:r>
              <w:rPr>
                <w:rFonts w:hint="eastAsia" w:ascii="宋体" w:hAnsi="宋体" w:cs="宋体"/>
                <w:kern w:val="0"/>
                <w:sz w:val="20"/>
                <w:szCs w:val="20"/>
              </w:rPr>
              <w:t>标</w:t>
            </w:r>
          </w:p>
        </w:tc>
        <w:tc>
          <w:tcPr>
            <w:tcW w:w="2179"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一级指标</w:t>
            </w:r>
          </w:p>
        </w:tc>
        <w:tc>
          <w:tcPr>
            <w:tcW w:w="158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二级指标</w:t>
            </w: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三级指标</w:t>
            </w: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指标值</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产出指标</w:t>
            </w:r>
          </w:p>
        </w:tc>
        <w:tc>
          <w:tcPr>
            <w:tcW w:w="158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数量指标</w:t>
            </w: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金额</w:t>
            </w: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8.72万元</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8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kern w:val="0"/>
                <w:sz w:val="20"/>
                <w:szCs w:val="20"/>
              </w:rPr>
            </w:pP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乡镇补贴覆盖人员</w:t>
            </w: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退养民师、蚕桑办人员</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8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kern w:val="0"/>
                <w:sz w:val="20"/>
                <w:szCs w:val="20"/>
              </w:rPr>
            </w:pP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8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cs="宋体"/>
                <w:kern w:val="0"/>
                <w:sz w:val="20"/>
                <w:szCs w:val="20"/>
              </w:rPr>
            </w:pP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8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质量指标</w:t>
            </w: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补贴发放准确率</w:t>
            </w: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100%</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8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时效指标</w:t>
            </w: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项目时间</w:t>
            </w: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1年</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效益指标</w:t>
            </w:r>
          </w:p>
        </w:tc>
        <w:tc>
          <w:tcPr>
            <w:tcW w:w="1583"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社会效益指标</w:t>
            </w: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基层工作人员满意度</w:t>
            </w: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≥100%</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8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8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83"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可持续影响</w:t>
            </w:r>
            <w:r>
              <w:rPr>
                <w:rFonts w:hint="eastAsia" w:ascii="宋体" w:hAnsi="宋体" w:cs="宋体"/>
                <w:kern w:val="0"/>
                <w:sz w:val="20"/>
                <w:szCs w:val="20"/>
              </w:rPr>
              <w:br w:type="textWrapping"/>
            </w:r>
            <w:r>
              <w:rPr>
                <w:rFonts w:hint="eastAsia" w:ascii="宋体" w:hAnsi="宋体" w:cs="宋体"/>
                <w:kern w:val="0"/>
                <w:sz w:val="20"/>
                <w:szCs w:val="20"/>
              </w:rPr>
              <w:t>指标</w:t>
            </w: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8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13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451" w:type="dxa"/>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满意度指标</w:t>
            </w:r>
          </w:p>
        </w:tc>
        <w:tc>
          <w:tcPr>
            <w:tcW w:w="1583"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服务对象</w:t>
            </w:r>
            <w:r>
              <w:rPr>
                <w:rFonts w:hint="eastAsia" w:ascii="宋体" w:hAnsi="宋体" w:cs="宋体"/>
                <w:kern w:val="0"/>
                <w:sz w:val="20"/>
                <w:szCs w:val="20"/>
              </w:rPr>
              <w:br w:type="textWrapping"/>
            </w:r>
            <w:r>
              <w:rPr>
                <w:rFonts w:hint="eastAsia" w:ascii="宋体" w:hAnsi="宋体" w:cs="宋体"/>
                <w:kern w:val="0"/>
                <w:sz w:val="20"/>
                <w:szCs w:val="20"/>
              </w:rPr>
              <w:t>满意度指标</w:t>
            </w:r>
          </w:p>
        </w:tc>
        <w:tc>
          <w:tcPr>
            <w:tcW w:w="274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138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39" w:hRule="atLeast"/>
        </w:trPr>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1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58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274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3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451" w:type="dxa"/>
            <w:tcBorders>
              <w:top w:val="nil"/>
              <w:left w:val="nil"/>
              <w:bottom w:val="nil"/>
              <w:right w:val="nil"/>
            </w:tcBorders>
            <w:noWrap/>
            <w:vAlign w:val="center"/>
          </w:tcPr>
          <w:p>
            <w:pPr>
              <w:widowControl/>
              <w:jc w:val="center"/>
              <w:rPr>
                <w:rFonts w:hint="eastAsia" w:ascii="宋体" w:hAnsi="宋体" w:cs="宋体"/>
                <w:kern w:val="0"/>
                <w:sz w:val="20"/>
                <w:szCs w:val="20"/>
              </w:rPr>
            </w:pPr>
          </w:p>
        </w:tc>
      </w:tr>
      <w:tr>
        <w:tblPrEx>
          <w:tblLayout w:type="fixed"/>
          <w:tblCellMar>
            <w:top w:w="0" w:type="dxa"/>
            <w:left w:w="108" w:type="dxa"/>
            <w:bottom w:w="0" w:type="dxa"/>
            <w:right w:w="108" w:type="dxa"/>
          </w:tblCellMar>
        </w:tblPrEx>
        <w:trPr>
          <w:trHeight w:val="938" w:hRule="atLeast"/>
        </w:trPr>
        <w:tc>
          <w:tcPr>
            <w:tcW w:w="5110"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经办人：</w:t>
            </w:r>
          </w:p>
        </w:tc>
        <w:tc>
          <w:tcPr>
            <w:tcW w:w="274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单位负责人：</w:t>
            </w:r>
          </w:p>
        </w:tc>
        <w:tc>
          <w:tcPr>
            <w:tcW w:w="1385" w:type="dxa"/>
            <w:tcBorders>
              <w:top w:val="single" w:color="auto" w:sz="4" w:space="0"/>
              <w:left w:val="nil"/>
              <w:bottom w:val="single" w:color="auto" w:sz="4" w:space="0"/>
              <w:right w:val="single" w:color="000000"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上报时间：</w:t>
            </w:r>
          </w:p>
        </w:tc>
        <w:tc>
          <w:tcPr>
            <w:tcW w:w="1451" w:type="dxa"/>
            <w:vAlign w:val="center"/>
          </w:tcPr>
          <w:p>
            <w:pPr>
              <w:widowControl/>
              <w:jc w:val="left"/>
              <w:rPr>
                <w:rFonts w:eastAsia="Times New Roman"/>
                <w:kern w:val="0"/>
                <w:sz w:val="20"/>
                <w:szCs w:val="20"/>
              </w:rPr>
            </w:pPr>
          </w:p>
        </w:tc>
      </w:tr>
    </w:tbl>
    <w:p>
      <w:pPr>
        <w:adjustRightInd w:val="0"/>
        <w:snapToGrid w:val="0"/>
        <w:spacing w:line="600" w:lineRule="exact"/>
        <w:ind w:firstLine="640" w:firstLineChars="200"/>
        <w:rPr>
          <w:rFonts w:hint="eastAsia" w:ascii="仿宋" w:hAnsi="仿宋" w:eastAsia="仿宋"/>
          <w:sz w:val="32"/>
          <w:szCs w:val="32"/>
        </w:rPr>
      </w:pPr>
    </w:p>
    <w:p>
      <w:pPr>
        <w:adjustRightInd w:val="0"/>
        <w:snapToGrid w:val="0"/>
        <w:spacing w:line="60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（二）机关运行经费。</w:t>
      </w:r>
    </w:p>
    <w:p>
      <w:pPr>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寿县炎刘镇人民政府2026年机关运行经费财政拨款预算401.45万元，比2021年预算增加303.76万元，增加310.94%，增加主要原因是2025年度未统计项目支出资金。</w:t>
      </w:r>
    </w:p>
    <w:p>
      <w:pPr>
        <w:adjustRightInd w:val="0"/>
        <w:snapToGrid w:val="0"/>
        <w:spacing w:line="60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（三）政府采购情况。</w:t>
      </w:r>
    </w:p>
    <w:p>
      <w:pPr>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寿县炎刘镇人民政府2026年各单位政府采购预算总额40万元。其中：政府采购货物预算40万元，政府采购工程预算0万元，政府采购服务预算0万元。</w:t>
      </w:r>
    </w:p>
    <w:p>
      <w:pPr>
        <w:adjustRightInd w:val="0"/>
        <w:snapToGrid w:val="0"/>
        <w:spacing w:line="60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（四）国有资产占有使用情况。</w:t>
      </w:r>
    </w:p>
    <w:p>
      <w:pPr>
        <w:adjustRightInd w:val="0"/>
        <w:snapToGrid w:val="0"/>
        <w:spacing w:line="600" w:lineRule="exact"/>
        <w:ind w:firstLine="640" w:firstLineChars="200"/>
        <w:rPr>
          <w:rFonts w:hint="eastAsia" w:ascii="仿宋" w:hAnsi="仿宋" w:eastAsia="仿宋"/>
          <w:color w:val="3366FF"/>
          <w:sz w:val="32"/>
          <w:szCs w:val="32"/>
        </w:rPr>
      </w:pPr>
      <w:r>
        <w:rPr>
          <w:rFonts w:hint="eastAsia" w:ascii="仿宋" w:hAnsi="仿宋" w:eastAsia="仿宋"/>
          <w:sz w:val="32"/>
          <w:szCs w:val="32"/>
        </w:rPr>
        <w:t>截至2025年底，寿县炎刘镇人民政府共有车辆3辆，其中：一般公务用车2辆，工程用车1辆。单位价值50万元以上的通用设备0台（套），单位价值100万元以上的专用设备0台（套）。</w:t>
      </w:r>
    </w:p>
    <w:p>
      <w:pPr>
        <w:adjustRightInd w:val="0"/>
        <w:snapToGrid w:val="0"/>
        <w:spacing w:line="60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（五）预算绩效目标设置情况。</w:t>
      </w:r>
    </w:p>
    <w:p>
      <w:pPr>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寿县炎刘镇人民政府2026年项目支出按规定设置支出绩效目标，其中，部门预算编制了经济社会发展事务经费，2026年乡补、车补等专项经费，退养民师、蚕桑办等人员生活补助及政府采购、社区专项经费、2026_博物馆、纪念馆免费开放补助和公共美术馆、图书馆、文化馆免费开放补助等5个项目支出绩效目标，涉及一般公共预算财政拨款482.79万元。绩效目标实行部门自评或第三方评价等。</w:t>
      </w:r>
    </w:p>
    <w:p>
      <w:pPr>
        <w:adjustRightInd w:val="0"/>
        <w:snapToGrid w:val="0"/>
        <w:spacing w:line="600" w:lineRule="exact"/>
        <w:ind w:firstLine="640" w:firstLineChars="200"/>
        <w:rPr>
          <w:rFonts w:hint="eastAsia" w:ascii="仿宋_GB2312" w:hAnsi="楷体" w:eastAsia="仿宋_GB2312"/>
          <w:sz w:val="32"/>
          <w:szCs w:val="32"/>
        </w:rPr>
      </w:pPr>
    </w:p>
    <w:p>
      <w:pPr>
        <w:adjustRightInd w:val="0"/>
        <w:snapToGrid w:val="0"/>
        <w:spacing w:line="600" w:lineRule="exact"/>
        <w:ind w:firstLine="640" w:firstLineChars="200"/>
        <w:rPr>
          <w:rFonts w:hint="eastAsia" w:ascii="仿宋_GB2312" w:hAnsi="楷体" w:eastAsia="仿宋_GB2312"/>
          <w:sz w:val="32"/>
          <w:szCs w:val="32"/>
        </w:rPr>
      </w:pPr>
    </w:p>
    <w:p>
      <w:pPr>
        <w:adjustRightInd w:val="0"/>
        <w:snapToGrid w:val="0"/>
        <w:spacing w:line="600" w:lineRule="exact"/>
        <w:ind w:firstLine="640" w:firstLineChars="200"/>
        <w:rPr>
          <w:rFonts w:hint="eastAsia" w:ascii="仿宋_GB2312" w:hAnsi="楷体" w:eastAsia="仿宋_GB2312"/>
          <w:sz w:val="32"/>
          <w:szCs w:val="32"/>
        </w:rPr>
      </w:pPr>
    </w:p>
    <w:p>
      <w:pPr>
        <w:adjustRightInd w:val="0"/>
        <w:snapToGrid w:val="0"/>
        <w:spacing w:line="600" w:lineRule="exact"/>
        <w:ind w:firstLine="640" w:firstLineChars="200"/>
        <w:rPr>
          <w:rFonts w:hint="eastAsia" w:ascii="仿宋_GB2312" w:hAnsi="楷体" w:eastAsia="仿宋_GB2312"/>
          <w:sz w:val="32"/>
          <w:szCs w:val="32"/>
        </w:rPr>
      </w:pPr>
    </w:p>
    <w:p>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 名词解释</w:t>
      </w:r>
    </w:p>
    <w:p>
      <w:pPr>
        <w:adjustRightInd w:val="0"/>
        <w:snapToGrid w:val="0"/>
        <w:spacing w:line="600" w:lineRule="exact"/>
        <w:jc w:val="center"/>
        <w:rPr>
          <w:rFonts w:hint="eastAsia" w:ascii="黑体" w:hAnsi="黑体" w:eastAsia="黑体"/>
          <w:sz w:val="32"/>
          <w:szCs w:val="32"/>
        </w:rPr>
      </w:pPr>
    </w:p>
    <w:p>
      <w:pPr>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一、财政拨款收入</w:t>
      </w:r>
      <w:r>
        <w:rPr>
          <w:rFonts w:hint="eastAsia" w:ascii="仿宋" w:hAnsi="仿宋" w:eastAsia="仿宋"/>
          <w:b/>
          <w:sz w:val="32"/>
          <w:szCs w:val="32"/>
        </w:rPr>
        <w:t>：</w:t>
      </w:r>
      <w:r>
        <w:rPr>
          <w:rFonts w:hint="eastAsia" w:ascii="仿宋" w:hAnsi="仿宋" w:eastAsia="仿宋"/>
          <w:sz w:val="32"/>
          <w:szCs w:val="32"/>
        </w:rPr>
        <w:t>指省财政当年拨付的资金，主要包括一般公共预算拨款收入、政府性基金预算拨款收入、国有资本经营预算拨款收入。</w:t>
      </w:r>
    </w:p>
    <w:p>
      <w:pPr>
        <w:pStyle w:val="6"/>
        <w:adjustRightInd w:val="0"/>
        <w:snapToGrid w:val="0"/>
        <w:spacing w:before="0" w:beforeAutospacing="0" w:after="0" w:afterAutospacing="0" w:line="600" w:lineRule="exact"/>
        <w:ind w:firstLine="627" w:firstLineChars="196"/>
        <w:rPr>
          <w:rFonts w:hint="eastAsia" w:ascii="仿宋" w:hAnsi="仿宋" w:eastAsia="仿宋" w:cs="Times New Roman"/>
          <w:kern w:val="2"/>
          <w:sz w:val="32"/>
          <w:szCs w:val="32"/>
        </w:rPr>
      </w:pPr>
      <w:r>
        <w:rPr>
          <w:rFonts w:hint="eastAsia" w:ascii="仿宋" w:hAnsi="仿宋" w:eastAsia="仿宋"/>
          <w:sz w:val="32"/>
          <w:szCs w:val="32"/>
        </w:rPr>
        <w:t>二、财政专户管理非税收入：</w:t>
      </w:r>
      <w:r>
        <w:rPr>
          <w:rFonts w:hint="eastAsia" w:ascii="仿宋" w:hAnsi="仿宋" w:eastAsia="仿宋" w:cs="Times New Roman"/>
          <w:kern w:val="2"/>
          <w:sz w:val="32"/>
          <w:szCs w:val="32"/>
        </w:rPr>
        <w:t>指按照非税收入管理相关规定，纳入财政专户管理的教育收费等。</w:t>
      </w:r>
    </w:p>
    <w:p>
      <w:pPr>
        <w:pStyle w:val="6"/>
        <w:adjustRightInd w:val="0"/>
        <w:snapToGrid w:val="0"/>
        <w:spacing w:before="0" w:beforeAutospacing="0" w:after="0" w:afterAutospacing="0" w:line="600" w:lineRule="exact"/>
        <w:ind w:firstLine="627" w:firstLineChars="196"/>
        <w:rPr>
          <w:rFonts w:hint="eastAsia" w:ascii="仿宋" w:hAnsi="仿宋" w:eastAsia="仿宋" w:cs="Times New Roman"/>
          <w:kern w:val="2"/>
          <w:sz w:val="32"/>
          <w:szCs w:val="32"/>
        </w:rPr>
      </w:pPr>
      <w:r>
        <w:rPr>
          <w:rFonts w:hint="eastAsia" w:ascii="仿宋" w:hAnsi="仿宋" w:eastAsia="仿宋"/>
          <w:sz w:val="32"/>
          <w:szCs w:val="32"/>
        </w:rPr>
        <w:t>三、其他收入：</w:t>
      </w:r>
      <w:r>
        <w:rPr>
          <w:rFonts w:hint="eastAsia" w:ascii="仿宋" w:hAnsi="仿宋" w:eastAsia="仿宋" w:cs="Times New Roman"/>
          <w:kern w:val="2"/>
          <w:sz w:val="32"/>
          <w:szCs w:val="32"/>
        </w:rPr>
        <w:t>指除了财政拨款收入、财政专户管理非税收入等以外的收入。</w:t>
      </w:r>
    </w:p>
    <w:p>
      <w:pPr>
        <w:pStyle w:val="6"/>
        <w:adjustRightInd w:val="0"/>
        <w:snapToGrid w:val="0"/>
        <w:spacing w:before="0" w:beforeAutospacing="0" w:after="0" w:afterAutospacing="0" w:line="600" w:lineRule="exact"/>
        <w:ind w:firstLine="627" w:firstLineChars="196"/>
        <w:rPr>
          <w:rFonts w:hint="eastAsia" w:ascii="仿宋" w:hAnsi="仿宋" w:eastAsia="仿宋" w:cs="Times New Roman"/>
          <w:kern w:val="2"/>
          <w:sz w:val="32"/>
          <w:szCs w:val="32"/>
        </w:rPr>
      </w:pPr>
      <w:r>
        <w:rPr>
          <w:rFonts w:hint="eastAsia" w:ascii="仿宋" w:hAnsi="仿宋" w:eastAsia="仿宋"/>
          <w:sz w:val="32"/>
          <w:szCs w:val="32"/>
        </w:rPr>
        <w:t>四、上年结转：</w:t>
      </w:r>
      <w:r>
        <w:rPr>
          <w:rFonts w:hint="eastAsia" w:ascii="仿宋" w:hAnsi="仿宋" w:eastAsia="仿宋" w:cs="Times New Roman"/>
          <w:kern w:val="2"/>
          <w:sz w:val="32"/>
          <w:szCs w:val="32"/>
        </w:rPr>
        <w:t>指以前年度安排、结转到本年仍按原用途继续使用的资金。</w:t>
      </w:r>
    </w:p>
    <w:p>
      <w:pPr>
        <w:pStyle w:val="6"/>
        <w:adjustRightInd w:val="0"/>
        <w:snapToGrid w:val="0"/>
        <w:spacing w:before="0" w:beforeAutospacing="0" w:after="0" w:afterAutospacing="0" w:line="600" w:lineRule="exact"/>
        <w:ind w:firstLine="627" w:firstLineChars="196"/>
        <w:rPr>
          <w:rFonts w:hint="eastAsia" w:ascii="仿宋" w:hAnsi="仿宋" w:eastAsia="仿宋" w:cs="Times New Roman"/>
          <w:kern w:val="2"/>
          <w:sz w:val="32"/>
          <w:szCs w:val="32"/>
        </w:rPr>
      </w:pPr>
      <w:r>
        <w:rPr>
          <w:rFonts w:hint="eastAsia" w:ascii="仿宋" w:hAnsi="仿宋" w:eastAsia="仿宋"/>
          <w:sz w:val="32"/>
          <w:szCs w:val="32"/>
        </w:rPr>
        <w:t>五、结转下年：</w:t>
      </w:r>
      <w:r>
        <w:rPr>
          <w:rFonts w:hint="eastAsia" w:ascii="仿宋" w:hAnsi="仿宋" w:eastAsia="仿宋" w:cs="Times New Roman"/>
          <w:kern w:val="2"/>
          <w:sz w:val="32"/>
          <w:szCs w:val="32"/>
        </w:rPr>
        <w:t>指以前年度预算安排、因客观条件发生变化无法按原计划实施，需以后年度按原用途继续使用的资金。</w:t>
      </w:r>
    </w:p>
    <w:p>
      <w:pPr>
        <w:pStyle w:val="6"/>
        <w:adjustRightInd w:val="0"/>
        <w:snapToGrid w:val="0"/>
        <w:spacing w:before="0" w:beforeAutospacing="0" w:after="0" w:afterAutospacing="0" w:line="600" w:lineRule="exact"/>
        <w:ind w:firstLine="627" w:firstLineChars="196"/>
        <w:rPr>
          <w:rFonts w:hint="eastAsia" w:ascii="仿宋" w:hAnsi="仿宋" w:eastAsia="仿宋"/>
          <w:sz w:val="32"/>
          <w:szCs w:val="32"/>
        </w:rPr>
      </w:pPr>
      <w:r>
        <w:rPr>
          <w:rFonts w:hint="eastAsia" w:ascii="仿宋" w:hAnsi="仿宋" w:eastAsia="仿宋"/>
          <w:sz w:val="32"/>
          <w:szCs w:val="32"/>
        </w:rPr>
        <w:t>六、基本支出</w:t>
      </w:r>
      <w:r>
        <w:rPr>
          <w:rFonts w:hint="eastAsia" w:ascii="仿宋" w:hAnsi="仿宋" w:eastAsia="仿宋"/>
          <w:b/>
          <w:sz w:val="32"/>
          <w:szCs w:val="32"/>
        </w:rPr>
        <w:t>：</w:t>
      </w:r>
      <w:r>
        <w:rPr>
          <w:rFonts w:hint="eastAsia" w:ascii="仿宋" w:hAnsi="仿宋" w:eastAsia="仿宋"/>
          <w:sz w:val="32"/>
          <w:szCs w:val="32"/>
        </w:rPr>
        <w:t>指为保障机构正常运转、完成日常工作任务而发生的人员支出和公用支出。</w:t>
      </w:r>
    </w:p>
    <w:p>
      <w:pPr>
        <w:pStyle w:val="6"/>
        <w:spacing w:before="0" w:beforeAutospacing="0" w:after="0" w:afterAutospacing="0" w:line="600" w:lineRule="exact"/>
        <w:ind w:firstLine="627" w:firstLineChars="196"/>
        <w:jc w:val="both"/>
        <w:rPr>
          <w:rFonts w:hint="eastAsia" w:ascii="仿宋" w:hAnsi="仿宋" w:eastAsia="仿宋"/>
          <w:sz w:val="32"/>
          <w:szCs w:val="32"/>
        </w:rPr>
      </w:pPr>
      <w:r>
        <w:rPr>
          <w:rFonts w:hint="eastAsia" w:ascii="仿宋" w:hAnsi="仿宋" w:eastAsia="仿宋"/>
          <w:sz w:val="32"/>
          <w:szCs w:val="32"/>
        </w:rPr>
        <w:t>七、项目支出</w:t>
      </w:r>
      <w:r>
        <w:rPr>
          <w:rFonts w:hint="eastAsia" w:ascii="仿宋" w:hAnsi="仿宋" w:eastAsia="仿宋"/>
          <w:b/>
          <w:sz w:val="32"/>
          <w:szCs w:val="32"/>
        </w:rPr>
        <w:t>：</w:t>
      </w:r>
      <w:r>
        <w:rPr>
          <w:rFonts w:hint="eastAsia" w:ascii="仿宋" w:hAnsi="仿宋" w:eastAsia="仿宋"/>
          <w:sz w:val="32"/>
          <w:szCs w:val="32"/>
        </w:rPr>
        <w:t>指在基本支出之外为完成特定行政任务和事业发展目标所发生的支出。</w:t>
      </w:r>
      <w:r>
        <w:rPr>
          <w:rFonts w:ascii="仿宋" w:hAnsi="仿宋" w:eastAsia="仿宋"/>
          <w:sz w:val="32"/>
          <w:szCs w:val="32"/>
        </w:rPr>
        <w:br w:type="textWrapping"/>
      </w:r>
      <w:r>
        <w:rPr>
          <w:rFonts w:hint="eastAsia" w:ascii="仿宋" w:hAnsi="仿宋" w:eastAsia="仿宋"/>
          <w:sz w:val="32"/>
          <w:szCs w:val="32"/>
        </w:rPr>
        <w:t xml:space="preserve">    八、“三公”经费：纳入财政预决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w:t>
      </w:r>
      <w:r>
        <w:rPr>
          <w:rFonts w:ascii="仿宋" w:hAnsi="仿宋" w:eastAsia="仿宋"/>
          <w:sz w:val="32"/>
          <w:szCs w:val="32"/>
        </w:rPr>
        <w:t>）</w:t>
      </w:r>
      <w:r>
        <w:rPr>
          <w:rFonts w:hint="eastAsia" w:ascii="仿宋" w:hAnsi="仿宋" w:eastAsia="仿宋"/>
          <w:sz w:val="32"/>
          <w:szCs w:val="32"/>
        </w:rPr>
        <w:t>支出。</w:t>
      </w:r>
    </w:p>
    <w:p>
      <w:pPr>
        <w:pStyle w:val="6"/>
        <w:spacing w:before="0" w:beforeAutospacing="0" w:after="0" w:afterAutospacing="0" w:line="600" w:lineRule="exact"/>
        <w:ind w:firstLine="537" w:firstLineChars="168"/>
        <w:jc w:val="both"/>
        <w:rPr>
          <w:rFonts w:hint="eastAsia" w:ascii="仿宋" w:hAnsi="仿宋" w:eastAsia="仿宋" w:cs="Arial"/>
          <w:color w:val="333333"/>
          <w:sz w:val="32"/>
          <w:szCs w:val="32"/>
          <w:shd w:val="clear" w:color="auto" w:fill="FFFFFF"/>
        </w:rPr>
      </w:pPr>
      <w:r>
        <w:rPr>
          <w:rFonts w:hint="eastAsia" w:ascii="仿宋" w:hAnsi="仿宋" w:eastAsia="仿宋" w:cs="Arial"/>
          <w:sz w:val="32"/>
          <w:szCs w:val="32"/>
          <w:shd w:val="clear" w:color="auto" w:fill="FFFFFF"/>
        </w:rPr>
        <w:t>九、支出</w:t>
      </w:r>
      <w:r>
        <w:rPr>
          <w:rFonts w:hint="eastAsia" w:ascii="仿宋" w:hAnsi="仿宋" w:eastAsia="仿宋" w:cs="Arial"/>
          <w:color w:val="333333"/>
          <w:sz w:val="32"/>
          <w:szCs w:val="32"/>
          <w:shd w:val="clear" w:color="auto" w:fill="FFFFFF"/>
        </w:rPr>
        <w:t>功能分类科目:主要反映政府活动的不同功能和政策目标，具体设类、款、项三级。</w:t>
      </w:r>
    </w:p>
    <w:p>
      <w:pPr>
        <w:pStyle w:val="6"/>
        <w:spacing w:before="0" w:beforeAutospacing="0" w:after="0" w:afterAutospacing="0" w:line="600" w:lineRule="exact"/>
        <w:ind w:firstLine="537" w:firstLineChars="168"/>
        <w:jc w:val="both"/>
        <w:rPr>
          <w:rFonts w:hint="eastAsia" w:ascii="仿宋" w:hAnsi="仿宋" w:eastAsia="仿宋" w:cs="Arial"/>
          <w:color w:val="333333"/>
          <w:sz w:val="32"/>
          <w:szCs w:val="32"/>
          <w:shd w:val="clear" w:color="auto" w:fill="FFFFFF"/>
        </w:rPr>
      </w:pPr>
      <w:r>
        <w:rPr>
          <w:rFonts w:hint="eastAsia" w:ascii="仿宋" w:hAnsi="仿宋" w:eastAsia="仿宋" w:cs="Arial"/>
          <w:color w:val="333333"/>
          <w:sz w:val="32"/>
          <w:szCs w:val="32"/>
          <w:shd w:val="clear" w:color="auto" w:fill="FFFFFF"/>
        </w:rPr>
        <w:t>十、支出经济分类科目：是指政府支出按经济性质和具体用途所作的一种分类科目，具体设类、款两级。</w:t>
      </w:r>
    </w:p>
    <w:p>
      <w:pPr>
        <w:pStyle w:val="6"/>
        <w:spacing w:before="0" w:beforeAutospacing="0" w:after="0" w:afterAutospacing="0" w:line="600" w:lineRule="exact"/>
        <w:ind w:firstLine="537" w:firstLineChars="168"/>
        <w:jc w:val="both"/>
        <w:rPr>
          <w:rFonts w:hint="eastAsia" w:ascii="仿宋" w:hAnsi="仿宋" w:eastAsia="仿宋" w:cs="Arial"/>
          <w:color w:val="333333"/>
          <w:sz w:val="32"/>
          <w:szCs w:val="32"/>
          <w:shd w:val="clear" w:color="auto" w:fill="FFFFFF"/>
        </w:rPr>
      </w:pPr>
      <w:r>
        <w:rPr>
          <w:rFonts w:hint="eastAsia" w:ascii="仿宋" w:hAnsi="仿宋" w:eastAsia="仿宋" w:cs="Arial"/>
          <w:color w:val="333333"/>
          <w:sz w:val="32"/>
          <w:szCs w:val="32"/>
          <w:shd w:val="clear" w:color="auto" w:fill="FFFFFF"/>
        </w:rPr>
        <w:t>十一、机关运行经费口径</w:t>
      </w:r>
    </w:p>
    <w:p>
      <w:pPr>
        <w:pStyle w:val="6"/>
        <w:spacing w:before="0" w:beforeAutospacing="0" w:after="0" w:afterAutospacing="0" w:line="600" w:lineRule="exact"/>
        <w:ind w:firstLine="537" w:firstLineChars="168"/>
        <w:jc w:val="both"/>
        <w:rPr>
          <w:rFonts w:hint="eastAsia" w:ascii="仿宋" w:hAnsi="仿宋" w:eastAsia="仿宋" w:cs="Arial"/>
          <w:color w:val="333333"/>
          <w:sz w:val="32"/>
          <w:szCs w:val="32"/>
          <w:shd w:val="clear" w:color="auto" w:fill="FFFFFF"/>
        </w:rPr>
      </w:pPr>
      <w:r>
        <w:rPr>
          <w:rFonts w:hint="eastAsia" w:ascii="仿宋" w:hAnsi="仿宋" w:eastAsia="仿宋" w:cs="Arial"/>
          <w:color w:val="333333"/>
          <w:sz w:val="32"/>
          <w:szCs w:val="32"/>
          <w:shd w:val="clear" w:color="auto" w:fill="FFFFFF"/>
        </w:rPr>
        <w:t>1.基本概念。机关运行经费指为保障行政单位（包括参照公务员法管理的事业单位）运行，用于购买货物和服务的各项资金。</w:t>
      </w:r>
    </w:p>
    <w:p>
      <w:pPr>
        <w:pStyle w:val="6"/>
        <w:spacing w:before="0" w:beforeAutospacing="0" w:after="0" w:afterAutospacing="0" w:line="600" w:lineRule="exact"/>
        <w:ind w:firstLine="537" w:firstLineChars="168"/>
        <w:jc w:val="both"/>
        <w:rPr>
          <w:rFonts w:hint="eastAsia" w:ascii="仿宋" w:hAnsi="仿宋" w:eastAsia="仿宋" w:cs="Arial"/>
          <w:color w:val="333333"/>
          <w:sz w:val="32"/>
          <w:szCs w:val="32"/>
          <w:shd w:val="clear" w:color="auto" w:fill="FFFFFF"/>
        </w:rPr>
      </w:pPr>
      <w:r>
        <w:rPr>
          <w:rFonts w:hint="eastAsia" w:ascii="仿宋" w:hAnsi="仿宋" w:eastAsia="仿宋" w:cs="Arial"/>
          <w:color w:val="333333"/>
          <w:sz w:val="32"/>
          <w:szCs w:val="32"/>
          <w:shd w:val="clear" w:color="auto" w:fill="FFFFFF"/>
        </w:rPr>
        <w:t>2.统计范围。计入机关运行经费统计范围的单位包括：（1）行政单位，包括政府机关、人大常委会机关、政协机关、审判机关、检察机关、共产党机关、民主党派机关、工商联机关和群众团体机关；（2）参照公务员法管理的事业单位、群众团体。</w:t>
      </w:r>
    </w:p>
    <w:p>
      <w:pPr>
        <w:pStyle w:val="6"/>
        <w:spacing w:before="0" w:beforeAutospacing="0" w:after="0" w:afterAutospacing="0" w:line="600" w:lineRule="exact"/>
        <w:ind w:firstLine="537" w:firstLineChars="168"/>
        <w:jc w:val="both"/>
        <w:rPr>
          <w:rFonts w:hint="eastAsia" w:ascii="仿宋" w:hAnsi="仿宋" w:eastAsia="仿宋" w:cs="Arial"/>
          <w:color w:val="333333"/>
          <w:shd w:val="clear" w:color="auto" w:fill="FFFFFF"/>
        </w:rPr>
      </w:pPr>
      <w:r>
        <w:rPr>
          <w:rFonts w:hint="eastAsia" w:ascii="仿宋" w:hAnsi="仿宋" w:eastAsia="仿宋" w:cs="Arial"/>
          <w:color w:val="333333"/>
          <w:sz w:val="32"/>
          <w:szCs w:val="32"/>
          <w:shd w:val="clear" w:color="auto" w:fill="FFFFFF"/>
        </w:rPr>
        <w:t xml:space="preserve"> 3.统计口径。机关运行经费为财政拨款中以下支出内容：办公费、印刷费、邮电费、差旅费、因公出国（境）费用、租赁费、会议费、培训费、公务接待费、福利费、日常维修（护）费、专用材料费、办公设备购置、办公用房水费、电费、取暖费、物业管理费，公务用车购置、公务用车运行维护费等。</w:t>
      </w:r>
    </w:p>
    <w:p>
      <w:pPr>
        <w:pStyle w:val="6"/>
        <w:spacing w:before="0" w:beforeAutospacing="0" w:after="0" w:afterAutospacing="0" w:line="600" w:lineRule="exact"/>
        <w:jc w:val="both"/>
        <w:rPr>
          <w:rStyle w:val="9"/>
          <w:rFonts w:ascii="楷体_GB2312" w:hAnsi="Times New Roman" w:eastAsia="楷体_GB2312"/>
          <w:b w:val="0"/>
          <w:kern w:val="2"/>
          <w:sz w:val="32"/>
          <w:szCs w:val="32"/>
        </w:rPr>
      </w:pPr>
    </w:p>
    <w:p>
      <w:pPr>
        <w:pStyle w:val="6"/>
        <w:spacing w:before="0" w:beforeAutospacing="0" w:after="0" w:afterAutospacing="0" w:line="600" w:lineRule="exact"/>
        <w:jc w:val="both"/>
        <w:rPr>
          <w:rStyle w:val="9"/>
          <w:rFonts w:ascii="楷体_GB2312" w:hAnsi="Times New Roman" w:eastAsia="楷体_GB2312"/>
          <w:b w:val="0"/>
          <w:kern w:val="2"/>
          <w:sz w:val="32"/>
          <w:szCs w:val="32"/>
        </w:rPr>
      </w:pPr>
    </w:p>
    <w:p>
      <w:pPr>
        <w:pStyle w:val="6"/>
        <w:spacing w:before="0" w:beforeAutospacing="0" w:after="0" w:afterAutospacing="0" w:line="600" w:lineRule="exact"/>
        <w:jc w:val="both"/>
        <w:rPr>
          <w:rStyle w:val="9"/>
          <w:rFonts w:ascii="楷体_GB2312" w:hAnsi="Times New Roman" w:eastAsia="楷体_GB2312"/>
          <w:b w:val="0"/>
          <w:kern w:val="2"/>
          <w:sz w:val="32"/>
          <w:szCs w:val="32"/>
        </w:rPr>
      </w:pPr>
    </w:p>
    <w:p>
      <w:pPr>
        <w:spacing w:line="520" w:lineRule="exact"/>
        <w:jc w:val="center"/>
        <w:rPr>
          <w:rFonts w:ascii="仿宋_GB2312" w:eastAsia="仿宋_GB2312"/>
          <w:b/>
          <w:sz w:val="32"/>
          <w:szCs w:val="32"/>
        </w:rPr>
      </w:pPr>
      <w:r>
        <w:rPr>
          <w:rFonts w:hint="eastAsia" w:ascii="方正小标宋简体" w:eastAsia="方正小标宋简体"/>
          <w:b/>
          <w:sz w:val="44"/>
          <w:szCs w:val="44"/>
        </w:rPr>
        <w:t>寿县炎刘镇人民政府2026年“三公”经费财政拨款支出预算情况</w:t>
      </w:r>
    </w:p>
    <w:p>
      <w:pPr>
        <w:spacing w:line="520" w:lineRule="exact"/>
        <w:rPr>
          <w:rFonts w:hint="eastAsia" w:ascii="仿宋_GB2312" w:hAnsi="宋体" w:eastAsia="仿宋_GB2312" w:cs="宋体"/>
          <w:kern w:val="0"/>
          <w:sz w:val="32"/>
          <w:szCs w:val="32"/>
        </w:rPr>
      </w:pPr>
    </w:p>
    <w:p>
      <w:pPr>
        <w:spacing w:line="520" w:lineRule="exact"/>
        <w:ind w:firstLine="537" w:firstLineChars="168"/>
        <w:rPr>
          <w:rFonts w:hint="eastAsia" w:ascii="黑体" w:hAnsi="宋体" w:eastAsia="黑体" w:cs="宋体"/>
          <w:kern w:val="0"/>
          <w:sz w:val="32"/>
          <w:szCs w:val="32"/>
        </w:rPr>
      </w:pPr>
    </w:p>
    <w:p>
      <w:pPr>
        <w:spacing w:line="520" w:lineRule="exact"/>
        <w:ind w:firstLine="537" w:firstLineChars="168"/>
        <w:rPr>
          <w:rFonts w:ascii="黑体" w:eastAsia="黑体"/>
          <w:color w:val="000000"/>
          <w:sz w:val="32"/>
          <w:szCs w:val="32"/>
        </w:rPr>
      </w:pPr>
      <w:r>
        <w:rPr>
          <w:rFonts w:hint="eastAsia" w:ascii="黑体" w:hAnsi="宋体" w:eastAsia="黑体" w:cs="宋体"/>
          <w:color w:val="000000"/>
          <w:kern w:val="0"/>
          <w:sz w:val="32"/>
          <w:szCs w:val="32"/>
        </w:rPr>
        <w:t xml:space="preserve">一、2026年县级“三公”经费财政拨款支出预算表 </w:t>
      </w:r>
    </w:p>
    <w:p>
      <w:pPr>
        <w:widowControl/>
        <w:spacing w:line="520" w:lineRule="exact"/>
        <w:ind w:firstLine="537" w:firstLineChars="168"/>
        <w:jc w:val="righ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（单位：万元）</w:t>
      </w:r>
    </w:p>
    <w:tbl>
      <w:tblPr>
        <w:tblStyle w:val="7"/>
        <w:tblW w:w="7646" w:type="dxa"/>
        <w:jc w:val="center"/>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75" w:type="dxa"/>
          <w:left w:w="75" w:type="dxa"/>
          <w:bottom w:w="75" w:type="dxa"/>
          <w:right w:w="75" w:type="dxa"/>
        </w:tblCellMar>
      </w:tblPr>
      <w:tblGrid>
        <w:gridCol w:w="5213"/>
        <w:gridCol w:w="243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75" w:type="dxa"/>
            <w:left w:w="75" w:type="dxa"/>
            <w:bottom w:w="75" w:type="dxa"/>
            <w:right w:w="75" w:type="dxa"/>
          </w:tblCellMar>
        </w:tblPrEx>
        <w:trPr>
          <w:tblCellSpacing w:w="0" w:type="dxa"/>
          <w:jc w:val="center"/>
        </w:trPr>
        <w:tc>
          <w:tcPr>
            <w:tcW w:w="5213" w:type="dxa"/>
            <w:tcBorders>
              <w:top w:val="outset" w:color="auto" w:sz="6" w:space="0"/>
              <w:left w:val="outset" w:color="auto" w:sz="6" w:space="0"/>
              <w:bottom w:val="outset" w:color="auto" w:sz="6" w:space="0"/>
              <w:right w:val="outset" w:color="auto" w:sz="6" w:space="0"/>
            </w:tcBorders>
            <w:noWrap/>
            <w:vAlign w:val="center"/>
          </w:tcPr>
          <w:p>
            <w:pPr>
              <w:widowControl/>
              <w:spacing w:line="520" w:lineRule="exact"/>
              <w:ind w:firstLine="540" w:firstLineChars="168"/>
              <w:jc w:val="center"/>
              <w:rPr>
                <w:rFonts w:hint="eastAsia" w:ascii="仿宋" w:hAnsi="仿宋" w:eastAsia="仿宋" w:cs="宋体"/>
                <w:b/>
                <w:color w:val="000000"/>
                <w:kern w:val="0"/>
                <w:sz w:val="32"/>
                <w:szCs w:val="32"/>
              </w:rPr>
            </w:pPr>
            <w:r>
              <w:rPr>
                <w:rFonts w:hint="eastAsia" w:ascii="仿宋" w:hAnsi="仿宋" w:eastAsia="仿宋" w:cs="宋体"/>
                <w:b/>
                <w:bCs/>
                <w:color w:val="000000"/>
                <w:kern w:val="0"/>
                <w:sz w:val="32"/>
                <w:szCs w:val="32"/>
              </w:rPr>
              <w:t>项</w:t>
            </w:r>
            <w:r>
              <w:rPr>
                <w:rFonts w:hint="eastAsia" w:ascii="Verdana" w:hAnsi="Verdana" w:eastAsia="仿宋" w:cs="宋体"/>
                <w:b/>
                <w:bCs/>
                <w:color w:val="000000"/>
                <w:kern w:val="0"/>
                <w:sz w:val="32"/>
                <w:szCs w:val="32"/>
              </w:rPr>
              <w:t> </w:t>
            </w:r>
            <w:r>
              <w:rPr>
                <w:rFonts w:hint="eastAsia" w:ascii="仿宋" w:hAnsi="仿宋" w:eastAsia="仿宋" w:cs="宋体"/>
                <w:b/>
                <w:bCs/>
                <w:color w:val="000000"/>
                <w:kern w:val="0"/>
                <w:sz w:val="32"/>
                <w:szCs w:val="32"/>
              </w:rPr>
              <w:t xml:space="preserve"> 目</w:t>
            </w:r>
          </w:p>
        </w:tc>
        <w:tc>
          <w:tcPr>
            <w:tcW w:w="2433" w:type="dxa"/>
            <w:tcBorders>
              <w:top w:val="outset" w:color="auto" w:sz="6" w:space="0"/>
              <w:left w:val="outset" w:color="auto" w:sz="6" w:space="0"/>
              <w:bottom w:val="outset" w:color="auto" w:sz="6" w:space="0"/>
              <w:right w:val="outset" w:color="auto" w:sz="6" w:space="0"/>
            </w:tcBorders>
            <w:noWrap/>
            <w:vAlign w:val="center"/>
          </w:tcPr>
          <w:p>
            <w:pPr>
              <w:widowControl/>
              <w:spacing w:line="520" w:lineRule="exact"/>
              <w:ind w:firstLine="540" w:firstLineChars="168"/>
              <w:jc w:val="center"/>
              <w:rPr>
                <w:rFonts w:hint="eastAsia" w:ascii="仿宋" w:hAnsi="仿宋" w:eastAsia="仿宋" w:cs="宋体"/>
                <w:b/>
                <w:color w:val="000000"/>
                <w:kern w:val="0"/>
                <w:sz w:val="32"/>
                <w:szCs w:val="32"/>
              </w:rPr>
            </w:pPr>
            <w:r>
              <w:rPr>
                <w:rFonts w:hint="eastAsia" w:ascii="仿宋" w:hAnsi="仿宋" w:eastAsia="仿宋" w:cs="宋体"/>
                <w:b/>
                <w:bCs/>
                <w:color w:val="000000"/>
                <w:kern w:val="0"/>
                <w:sz w:val="32"/>
                <w:szCs w:val="32"/>
              </w:rPr>
              <w:t>预 算 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75" w:type="dxa"/>
            <w:left w:w="75" w:type="dxa"/>
            <w:bottom w:w="75" w:type="dxa"/>
            <w:right w:w="75" w:type="dxa"/>
          </w:tblCellMar>
        </w:tblPrEx>
        <w:trPr>
          <w:tblCellSpacing w:w="0" w:type="dxa"/>
          <w:jc w:val="center"/>
        </w:trPr>
        <w:tc>
          <w:tcPr>
            <w:tcW w:w="5213" w:type="dxa"/>
            <w:tcBorders>
              <w:top w:val="outset" w:color="auto" w:sz="6" w:space="0"/>
              <w:left w:val="outset" w:color="auto" w:sz="6" w:space="0"/>
              <w:bottom w:val="outset" w:color="auto" w:sz="6" w:space="0"/>
              <w:right w:val="outset" w:color="auto" w:sz="6" w:space="0"/>
            </w:tcBorders>
            <w:noWrap/>
            <w:vAlign w:val="center"/>
          </w:tcPr>
          <w:p>
            <w:pPr>
              <w:widowControl/>
              <w:spacing w:line="520" w:lineRule="exact"/>
              <w:ind w:firstLine="537" w:firstLineChars="168"/>
              <w:jc w:val="center"/>
              <w:rPr>
                <w:rFonts w:hint="eastAsia" w:ascii="仿宋" w:hAnsi="仿宋" w:eastAsia="仿宋" w:cs="宋体"/>
                <w:color w:val="000000"/>
                <w:kern w:val="0"/>
                <w:sz w:val="32"/>
                <w:szCs w:val="32"/>
              </w:rPr>
            </w:pPr>
            <w:r>
              <w:rPr>
                <w:rFonts w:hint="eastAsia" w:ascii="仿宋" w:hAnsi="仿宋" w:eastAsia="仿宋" w:cs="宋体"/>
                <w:bCs/>
                <w:color w:val="000000"/>
                <w:kern w:val="0"/>
                <w:sz w:val="32"/>
                <w:szCs w:val="32"/>
              </w:rPr>
              <w:t>合</w:t>
            </w:r>
            <w:r>
              <w:rPr>
                <w:rFonts w:hint="eastAsia" w:ascii="Verdana" w:hAnsi="Verdana" w:eastAsia="仿宋" w:cs="宋体"/>
                <w:bCs/>
                <w:color w:val="000000"/>
                <w:kern w:val="0"/>
                <w:sz w:val="32"/>
                <w:szCs w:val="32"/>
              </w:rPr>
              <w:t> </w:t>
            </w:r>
            <w:r>
              <w:rPr>
                <w:rFonts w:hint="eastAsia" w:ascii="仿宋" w:hAnsi="仿宋" w:eastAsia="仿宋" w:cs="宋体"/>
                <w:bCs/>
                <w:color w:val="000000"/>
                <w:kern w:val="0"/>
                <w:sz w:val="32"/>
                <w:szCs w:val="32"/>
              </w:rPr>
              <w:t xml:space="preserve"> 计</w:t>
            </w:r>
          </w:p>
        </w:tc>
        <w:tc>
          <w:tcPr>
            <w:tcW w:w="2433" w:type="dxa"/>
            <w:tcBorders>
              <w:top w:val="outset" w:color="auto" w:sz="6" w:space="0"/>
              <w:left w:val="outset" w:color="auto" w:sz="6" w:space="0"/>
              <w:bottom w:val="outset" w:color="auto" w:sz="6" w:space="0"/>
              <w:right w:val="outset" w:color="auto" w:sz="6" w:space="0"/>
            </w:tcBorders>
            <w:noWrap/>
            <w:vAlign w:val="center"/>
          </w:tcPr>
          <w:p>
            <w:pPr>
              <w:widowControl/>
              <w:spacing w:line="520" w:lineRule="exact"/>
              <w:ind w:firstLine="537" w:firstLineChars="168"/>
              <w:jc w:val="center"/>
              <w:rPr>
                <w:rFonts w:hint="eastAsia" w:ascii="仿宋" w:hAnsi="仿宋" w:eastAsia="仿宋" w:cs="宋体"/>
                <w:color w:val="000000"/>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75" w:type="dxa"/>
            <w:left w:w="75" w:type="dxa"/>
            <w:bottom w:w="75" w:type="dxa"/>
            <w:right w:w="75" w:type="dxa"/>
          </w:tblCellMar>
        </w:tblPrEx>
        <w:trPr>
          <w:tblCellSpacing w:w="0" w:type="dxa"/>
          <w:jc w:val="center"/>
        </w:trPr>
        <w:tc>
          <w:tcPr>
            <w:tcW w:w="5213" w:type="dxa"/>
            <w:tcBorders>
              <w:top w:val="outset" w:color="auto" w:sz="6" w:space="0"/>
              <w:left w:val="outset" w:color="auto" w:sz="6" w:space="0"/>
              <w:bottom w:val="outset" w:color="auto" w:sz="6" w:space="0"/>
              <w:right w:val="outset" w:color="auto" w:sz="6" w:space="0"/>
            </w:tcBorders>
            <w:noWrap/>
            <w:vAlign w:val="center"/>
          </w:tcPr>
          <w:p>
            <w:pPr>
              <w:widowControl/>
              <w:spacing w:line="520" w:lineRule="exact"/>
              <w:ind w:firstLine="537" w:firstLineChars="168"/>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因公出国（境）费</w:t>
            </w:r>
          </w:p>
        </w:tc>
        <w:tc>
          <w:tcPr>
            <w:tcW w:w="2433" w:type="dxa"/>
            <w:tcBorders>
              <w:top w:val="outset" w:color="auto" w:sz="6" w:space="0"/>
              <w:left w:val="outset" w:color="auto" w:sz="6" w:space="0"/>
              <w:bottom w:val="outset" w:color="auto" w:sz="6" w:space="0"/>
              <w:right w:val="outset" w:color="auto" w:sz="6" w:space="0"/>
            </w:tcBorders>
            <w:noWrap/>
            <w:vAlign w:val="bottom"/>
          </w:tcPr>
          <w:p>
            <w:pPr>
              <w:widowControl/>
              <w:spacing w:line="520" w:lineRule="exact"/>
              <w:ind w:firstLine="537" w:firstLineChars="168"/>
              <w:rPr>
                <w:rFonts w:hint="eastAsia" w:ascii="仿宋" w:hAnsi="仿宋" w:eastAsia="仿宋" w:cs="宋体"/>
                <w:color w:val="000000"/>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75" w:type="dxa"/>
            <w:left w:w="75" w:type="dxa"/>
            <w:bottom w:w="75" w:type="dxa"/>
            <w:right w:w="75" w:type="dxa"/>
          </w:tblCellMar>
        </w:tblPrEx>
        <w:trPr>
          <w:tblCellSpacing w:w="0" w:type="dxa"/>
          <w:jc w:val="center"/>
        </w:trPr>
        <w:tc>
          <w:tcPr>
            <w:tcW w:w="5213" w:type="dxa"/>
            <w:tcBorders>
              <w:top w:val="outset" w:color="auto" w:sz="6" w:space="0"/>
              <w:left w:val="outset" w:color="auto" w:sz="6" w:space="0"/>
              <w:bottom w:val="outset" w:color="auto" w:sz="6" w:space="0"/>
              <w:right w:val="outset" w:color="auto" w:sz="6" w:space="0"/>
            </w:tcBorders>
            <w:noWrap/>
            <w:vAlign w:val="center"/>
          </w:tcPr>
          <w:p>
            <w:pPr>
              <w:widowControl/>
              <w:spacing w:line="520" w:lineRule="exact"/>
              <w:ind w:firstLine="537" w:firstLineChars="168"/>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公务接待费</w:t>
            </w:r>
          </w:p>
        </w:tc>
        <w:tc>
          <w:tcPr>
            <w:tcW w:w="2433" w:type="dxa"/>
            <w:tcBorders>
              <w:top w:val="outset" w:color="auto" w:sz="6" w:space="0"/>
              <w:left w:val="outset" w:color="auto" w:sz="6" w:space="0"/>
              <w:bottom w:val="outset" w:color="auto" w:sz="6" w:space="0"/>
              <w:right w:val="outset" w:color="auto" w:sz="6" w:space="0"/>
            </w:tcBorders>
            <w:noWrap/>
            <w:vAlign w:val="bottom"/>
          </w:tcPr>
          <w:p>
            <w:pPr>
              <w:widowControl/>
              <w:spacing w:line="520" w:lineRule="exact"/>
              <w:ind w:firstLine="537" w:firstLineChars="168"/>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27.465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75" w:type="dxa"/>
            <w:left w:w="75" w:type="dxa"/>
            <w:bottom w:w="75" w:type="dxa"/>
            <w:right w:w="75" w:type="dxa"/>
          </w:tblCellMar>
        </w:tblPrEx>
        <w:trPr>
          <w:tblCellSpacing w:w="0" w:type="dxa"/>
          <w:jc w:val="center"/>
        </w:trPr>
        <w:tc>
          <w:tcPr>
            <w:tcW w:w="5213" w:type="dxa"/>
            <w:tcBorders>
              <w:top w:val="outset" w:color="auto" w:sz="6" w:space="0"/>
              <w:left w:val="outset" w:color="auto" w:sz="6" w:space="0"/>
              <w:bottom w:val="outset" w:color="auto" w:sz="6" w:space="0"/>
              <w:right w:val="outset" w:color="auto" w:sz="6" w:space="0"/>
            </w:tcBorders>
            <w:noWrap/>
            <w:vAlign w:val="center"/>
          </w:tcPr>
          <w:p>
            <w:pPr>
              <w:widowControl/>
              <w:spacing w:line="520" w:lineRule="exact"/>
              <w:ind w:firstLine="537" w:firstLineChars="168"/>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公务用车购置及运行费</w:t>
            </w:r>
          </w:p>
        </w:tc>
        <w:tc>
          <w:tcPr>
            <w:tcW w:w="2433" w:type="dxa"/>
            <w:tcBorders>
              <w:top w:val="outset" w:color="auto" w:sz="6" w:space="0"/>
              <w:left w:val="outset" w:color="auto" w:sz="6" w:space="0"/>
              <w:bottom w:val="outset" w:color="auto" w:sz="6" w:space="0"/>
              <w:right w:val="outset" w:color="auto" w:sz="6" w:space="0"/>
            </w:tcBorders>
            <w:noWrap/>
            <w:vAlign w:val="bottom"/>
          </w:tcPr>
          <w:p>
            <w:pPr>
              <w:widowControl/>
              <w:spacing w:line="520" w:lineRule="exact"/>
              <w:ind w:firstLine="537" w:firstLineChars="168"/>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21.625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75" w:type="dxa"/>
            <w:left w:w="75" w:type="dxa"/>
            <w:bottom w:w="75" w:type="dxa"/>
            <w:right w:w="75" w:type="dxa"/>
          </w:tblCellMar>
        </w:tblPrEx>
        <w:trPr>
          <w:tblCellSpacing w:w="0" w:type="dxa"/>
          <w:jc w:val="center"/>
        </w:trPr>
        <w:tc>
          <w:tcPr>
            <w:tcW w:w="5213" w:type="dxa"/>
            <w:tcBorders>
              <w:top w:val="outset" w:color="auto" w:sz="6" w:space="0"/>
              <w:left w:val="outset" w:color="auto" w:sz="6" w:space="0"/>
              <w:bottom w:val="outset" w:color="auto" w:sz="6" w:space="0"/>
              <w:right w:val="outset" w:color="auto" w:sz="6" w:space="0"/>
            </w:tcBorders>
            <w:noWrap/>
            <w:vAlign w:val="center"/>
          </w:tcPr>
          <w:p>
            <w:pPr>
              <w:widowControl/>
              <w:spacing w:line="520" w:lineRule="exact"/>
              <w:ind w:firstLine="537" w:firstLineChars="168"/>
              <w:rPr>
                <w:rFonts w:hint="eastAsia" w:ascii="仿宋" w:hAnsi="仿宋" w:eastAsia="仿宋" w:cs="宋体"/>
                <w:color w:val="000000"/>
                <w:kern w:val="0"/>
                <w:sz w:val="32"/>
                <w:szCs w:val="32"/>
              </w:rPr>
            </w:pPr>
            <w:r>
              <w:rPr>
                <w:rFonts w:hint="eastAsia" w:ascii="Verdana" w:hAnsi="Verdana" w:eastAsia="仿宋" w:cs="宋体"/>
                <w:color w:val="000000"/>
                <w:kern w:val="0"/>
                <w:sz w:val="32"/>
                <w:szCs w:val="32"/>
              </w:rPr>
              <w:t> </w:t>
            </w:r>
            <w:r>
              <w:rPr>
                <w:rFonts w:hint="eastAsia" w:ascii="仿宋" w:hAnsi="仿宋" w:eastAsia="仿宋" w:cs="宋体"/>
                <w:color w:val="000000"/>
                <w:kern w:val="0"/>
                <w:sz w:val="32"/>
                <w:szCs w:val="32"/>
              </w:rPr>
              <w:t xml:space="preserve"> 其中：公务用车运行费</w:t>
            </w:r>
          </w:p>
        </w:tc>
        <w:tc>
          <w:tcPr>
            <w:tcW w:w="2433" w:type="dxa"/>
            <w:tcBorders>
              <w:top w:val="outset" w:color="auto" w:sz="6" w:space="0"/>
              <w:left w:val="outset" w:color="auto" w:sz="6" w:space="0"/>
              <w:bottom w:val="outset" w:color="auto" w:sz="6" w:space="0"/>
              <w:right w:val="outset" w:color="auto" w:sz="6" w:space="0"/>
            </w:tcBorders>
            <w:noWrap/>
            <w:vAlign w:val="bottom"/>
          </w:tcPr>
          <w:p>
            <w:pPr>
              <w:widowControl/>
              <w:spacing w:line="520" w:lineRule="exact"/>
              <w:ind w:firstLine="537" w:firstLineChars="168"/>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21.625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75" w:type="dxa"/>
            <w:left w:w="75" w:type="dxa"/>
            <w:bottom w:w="75" w:type="dxa"/>
            <w:right w:w="75" w:type="dxa"/>
          </w:tblCellMar>
        </w:tblPrEx>
        <w:trPr>
          <w:tblCellSpacing w:w="0" w:type="dxa"/>
          <w:jc w:val="center"/>
        </w:trPr>
        <w:tc>
          <w:tcPr>
            <w:tcW w:w="5213" w:type="dxa"/>
            <w:tcBorders>
              <w:top w:val="outset" w:color="auto" w:sz="6" w:space="0"/>
              <w:left w:val="outset" w:color="auto" w:sz="6" w:space="0"/>
              <w:bottom w:val="outset" w:color="auto" w:sz="6" w:space="0"/>
              <w:right w:val="outset" w:color="auto" w:sz="6" w:space="0"/>
            </w:tcBorders>
            <w:noWrap/>
            <w:vAlign w:val="center"/>
          </w:tcPr>
          <w:p>
            <w:pPr>
              <w:widowControl/>
              <w:spacing w:line="520" w:lineRule="exact"/>
              <w:ind w:firstLine="537" w:firstLineChars="168"/>
              <w:rPr>
                <w:rFonts w:hint="eastAsia" w:ascii="仿宋" w:hAnsi="仿宋" w:eastAsia="仿宋" w:cs="宋体"/>
                <w:color w:val="000000"/>
                <w:kern w:val="0"/>
                <w:sz w:val="32"/>
                <w:szCs w:val="32"/>
              </w:rPr>
            </w:pPr>
            <w:r>
              <w:rPr>
                <w:rFonts w:hint="eastAsia" w:ascii="Verdana" w:hAnsi="Verdana" w:eastAsia="仿宋" w:cs="宋体"/>
                <w:color w:val="000000"/>
                <w:kern w:val="0"/>
                <w:sz w:val="32"/>
                <w:szCs w:val="32"/>
              </w:rPr>
              <w:t>       </w:t>
            </w:r>
            <w:r>
              <w:rPr>
                <w:rFonts w:hint="eastAsia" w:ascii="仿宋" w:hAnsi="仿宋" w:eastAsia="仿宋" w:cs="宋体"/>
                <w:color w:val="000000"/>
                <w:kern w:val="0"/>
                <w:sz w:val="32"/>
                <w:szCs w:val="32"/>
              </w:rPr>
              <w:t xml:space="preserve">  公务用车购置费</w:t>
            </w:r>
          </w:p>
        </w:tc>
        <w:tc>
          <w:tcPr>
            <w:tcW w:w="2433" w:type="dxa"/>
            <w:tcBorders>
              <w:top w:val="outset" w:color="auto" w:sz="6" w:space="0"/>
              <w:left w:val="outset" w:color="auto" w:sz="6" w:space="0"/>
              <w:bottom w:val="outset" w:color="auto" w:sz="6" w:space="0"/>
              <w:right w:val="outset" w:color="auto" w:sz="6" w:space="0"/>
            </w:tcBorders>
            <w:noWrap/>
            <w:vAlign w:val="bottom"/>
          </w:tcPr>
          <w:p>
            <w:pPr>
              <w:widowControl/>
              <w:spacing w:line="520" w:lineRule="exact"/>
              <w:ind w:firstLine="537" w:firstLineChars="168"/>
              <w:rPr>
                <w:rFonts w:hint="eastAsia" w:ascii="仿宋" w:hAnsi="仿宋" w:eastAsia="仿宋" w:cs="宋体"/>
                <w:color w:val="000000"/>
                <w:kern w:val="0"/>
                <w:sz w:val="32"/>
                <w:szCs w:val="32"/>
              </w:rPr>
            </w:pPr>
          </w:p>
        </w:tc>
      </w:tr>
    </w:tbl>
    <w:p>
      <w:pPr>
        <w:widowControl/>
        <w:spacing w:line="520" w:lineRule="exact"/>
        <w:ind w:firstLine="537" w:firstLineChars="168"/>
        <w:rPr>
          <w:rFonts w:hint="eastAsia" w:ascii="仿宋_GB2312" w:hAnsi="宋体" w:eastAsia="仿宋_GB2312" w:cs="宋体"/>
          <w:color w:val="000000"/>
          <w:kern w:val="0"/>
          <w:sz w:val="32"/>
          <w:szCs w:val="32"/>
        </w:rPr>
      </w:pPr>
      <w:r>
        <w:rPr>
          <w:rFonts w:hint="eastAsia" w:ascii="宋体" w:hAnsi="宋体" w:eastAsia="仿宋_GB2312" w:cs="宋体"/>
          <w:color w:val="000000"/>
          <w:kern w:val="0"/>
          <w:sz w:val="32"/>
          <w:szCs w:val="32"/>
        </w:rPr>
        <w:t> </w:t>
      </w:r>
    </w:p>
    <w:p>
      <w:pPr>
        <w:widowControl/>
        <w:spacing w:line="520" w:lineRule="exact"/>
        <w:ind w:firstLine="537" w:firstLineChars="168"/>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rPr>
        <w:t xml:space="preserve">二、2026年县级“三公”经费财政拨款支出情况说明 </w:t>
      </w:r>
    </w:p>
    <w:p>
      <w:pPr>
        <w:widowControl/>
        <w:spacing w:line="520" w:lineRule="exact"/>
        <w:ind w:firstLine="537" w:firstLineChars="168"/>
        <w:rPr>
          <w:rFonts w:hint="eastAsia" w:ascii="仿宋" w:hAnsi="仿宋" w:eastAsia="仿宋" w:cs="宋体"/>
          <w:color w:val="000000"/>
          <w:kern w:val="0"/>
          <w:sz w:val="32"/>
          <w:szCs w:val="32"/>
        </w:rPr>
      </w:pPr>
      <w:r>
        <w:rPr>
          <w:rFonts w:hint="eastAsia" w:ascii="仿宋" w:hAnsi="仿宋" w:eastAsia="仿宋"/>
          <w:color w:val="000000"/>
          <w:sz w:val="32"/>
          <w:szCs w:val="32"/>
        </w:rPr>
        <w:t>2026年，为全面反映“三公”经费支出，本次公布的“三公”经费预算为部门汇总数，包含镇本级预算单位。2026年“三公”经费财政拨款预算数为49.09万元，其中：因公出国（境）费0万元，公务接待费27.465万元，公务用车购置及运行费21.625万元。“三公”经费较上年预算增加0万元，具体原因是保持行政运行。“三公”经费预算具体情况如下：</w:t>
      </w:r>
    </w:p>
    <w:p>
      <w:pPr>
        <w:pStyle w:val="6"/>
        <w:spacing w:before="0" w:beforeAutospacing="0" w:after="0" w:afterAutospacing="0" w:line="520" w:lineRule="exact"/>
        <w:ind w:firstLine="537" w:firstLineChars="168"/>
        <w:jc w:val="both"/>
        <w:rPr>
          <w:rFonts w:hint="eastAsia" w:ascii="仿宋" w:hAnsi="仿宋" w:eastAsia="仿宋"/>
          <w:color w:val="000000"/>
          <w:sz w:val="32"/>
          <w:szCs w:val="32"/>
        </w:rPr>
      </w:pPr>
      <w:r>
        <w:rPr>
          <w:rFonts w:hint="eastAsia" w:ascii="仿宋" w:hAnsi="仿宋" w:eastAsia="仿宋"/>
          <w:color w:val="000000"/>
          <w:sz w:val="32"/>
          <w:szCs w:val="32"/>
        </w:rPr>
        <w:t>（一）因公出国（境）费预算0万元。经费使用严格按照《寿县市直党政机关因公临时出国经费管理办法》（淮财行政〔2014〕65号）相关规定执行。</w:t>
      </w:r>
    </w:p>
    <w:p>
      <w:pPr>
        <w:pStyle w:val="6"/>
        <w:spacing w:before="0" w:beforeAutospacing="0" w:after="0" w:afterAutospacing="0" w:line="520" w:lineRule="exact"/>
        <w:ind w:firstLine="537" w:firstLineChars="168"/>
        <w:jc w:val="both"/>
        <w:rPr>
          <w:rFonts w:hint="eastAsia" w:ascii="仿宋" w:hAnsi="仿宋" w:eastAsia="仿宋"/>
          <w:color w:val="000000"/>
          <w:sz w:val="32"/>
          <w:szCs w:val="32"/>
        </w:rPr>
      </w:pPr>
      <w:r>
        <w:rPr>
          <w:rFonts w:hint="eastAsia" w:ascii="仿宋" w:hAnsi="仿宋" w:eastAsia="仿宋"/>
          <w:color w:val="000000"/>
          <w:sz w:val="32"/>
          <w:szCs w:val="32"/>
        </w:rPr>
        <w:t>（二）公务接待费预算27.465万元，主要用于公务接待等公务往来支出。经费使用贯彻落实中央八项规定、省委省政府30条规定和市委40条规定，严格执行《党政机关厉行节约反对浪费条例》（中发〔2013〕13号）和《中共寿县纪律检查委员会关于</w:t>
      </w:r>
      <w:bookmarkStart w:id="5" w:name="_GoBack"/>
      <w:bookmarkEnd w:id="5"/>
      <w:r>
        <w:rPr>
          <w:rFonts w:hint="eastAsia" w:ascii="仿宋" w:hAnsi="仿宋" w:eastAsia="仿宋"/>
          <w:color w:val="000000"/>
          <w:sz w:val="32"/>
          <w:szCs w:val="32"/>
        </w:rPr>
        <w:t>坚决整治三种“顽症”切实加强机关作风建设的若干规定（暂行）的通知》（淮纪〔2013〕27号）规定。</w:t>
      </w:r>
    </w:p>
    <w:p>
      <w:pPr>
        <w:pStyle w:val="6"/>
        <w:spacing w:before="0" w:beforeAutospacing="0" w:after="0" w:afterAutospacing="0" w:line="520" w:lineRule="exact"/>
        <w:ind w:firstLine="537" w:firstLineChars="168"/>
        <w:jc w:val="both"/>
        <w:rPr>
          <w:rFonts w:hint="eastAsia" w:ascii="仿宋" w:hAnsi="仿宋" w:eastAsia="仿宋"/>
          <w:color w:val="000000"/>
          <w:sz w:val="32"/>
          <w:szCs w:val="32"/>
        </w:rPr>
      </w:pPr>
      <w:r>
        <w:rPr>
          <w:rFonts w:hint="eastAsia" w:ascii="仿宋" w:hAnsi="仿宋" w:eastAsia="仿宋"/>
          <w:color w:val="000000"/>
          <w:sz w:val="32"/>
          <w:szCs w:val="32"/>
        </w:rPr>
        <w:t>（三）公务用车购置及运行费预算21.625万元，其中：公务用车运行费21.625万元，公务用车购置费0万元。经费使用严格按照中央、省和市有关公务用车配备使用管理制度执行。</w:t>
      </w:r>
    </w:p>
    <w:p>
      <w:pPr>
        <w:pStyle w:val="6"/>
        <w:spacing w:before="0" w:beforeAutospacing="0" w:after="0" w:afterAutospacing="0" w:line="520" w:lineRule="exact"/>
        <w:ind w:firstLine="537" w:firstLineChars="168"/>
        <w:jc w:val="both"/>
        <w:rPr>
          <w:rFonts w:ascii="仿宋_GB2312" w:hAnsi="Verdana" w:eastAsia="仿宋_GB2312"/>
          <w:color w:val="444444"/>
          <w:sz w:val="32"/>
          <w:szCs w:val="32"/>
        </w:rPr>
      </w:pPr>
    </w:p>
    <w:p>
      <w:pPr>
        <w:pStyle w:val="6"/>
        <w:spacing w:before="0" w:beforeAutospacing="0" w:after="0" w:afterAutospacing="0" w:line="520" w:lineRule="exact"/>
        <w:ind w:firstLine="537" w:firstLineChars="168"/>
        <w:jc w:val="both"/>
        <w:rPr>
          <w:rFonts w:ascii="仿宋_GB2312" w:hAnsi="Verdana" w:eastAsia="仿宋_GB2312"/>
          <w:color w:val="444444"/>
          <w:sz w:val="32"/>
          <w:szCs w:val="32"/>
        </w:rPr>
      </w:pPr>
    </w:p>
    <w:p>
      <w:pPr>
        <w:pStyle w:val="6"/>
        <w:spacing w:before="0" w:beforeAutospacing="0" w:after="0" w:afterAutospacing="0" w:line="520" w:lineRule="exact"/>
        <w:ind w:firstLine="537" w:firstLineChars="168"/>
        <w:jc w:val="both"/>
        <w:rPr>
          <w:rFonts w:ascii="仿宋_GB2312" w:hAnsi="Verdana" w:eastAsia="仿宋_GB2312"/>
          <w:color w:val="444444"/>
          <w:sz w:val="32"/>
          <w:szCs w:val="32"/>
        </w:rPr>
      </w:pPr>
    </w:p>
    <w:p>
      <w:pPr>
        <w:pStyle w:val="6"/>
        <w:spacing w:before="0" w:beforeAutospacing="0" w:after="0" w:afterAutospacing="0" w:line="520" w:lineRule="exact"/>
        <w:ind w:firstLine="537" w:firstLineChars="168"/>
        <w:jc w:val="both"/>
        <w:rPr>
          <w:rFonts w:ascii="仿宋_GB2312" w:hAnsi="Verdana" w:eastAsia="仿宋_GB2312"/>
          <w:color w:val="444444"/>
          <w:sz w:val="32"/>
          <w:szCs w:val="32"/>
        </w:rPr>
      </w:pPr>
    </w:p>
    <w:p>
      <w:pPr>
        <w:pStyle w:val="6"/>
        <w:spacing w:before="0" w:beforeAutospacing="0" w:after="0" w:afterAutospacing="0" w:line="600" w:lineRule="exact"/>
        <w:jc w:val="both"/>
        <w:rPr>
          <w:rStyle w:val="9"/>
          <w:rFonts w:ascii="楷体_GB2312" w:hAnsi="Times New Roman" w:eastAsia="楷体_GB2312"/>
          <w:b w:val="0"/>
          <w:kern w:val="2"/>
          <w:sz w:val="32"/>
          <w:szCs w:val="32"/>
        </w:rPr>
      </w:pPr>
    </w:p>
    <w:p>
      <w:pPr>
        <w:pStyle w:val="6"/>
        <w:spacing w:before="0" w:beforeAutospacing="0" w:after="0" w:afterAutospacing="0" w:line="600" w:lineRule="exact"/>
        <w:ind w:firstLine="480" w:firstLineChars="150"/>
        <w:jc w:val="both"/>
        <w:rPr>
          <w:rStyle w:val="9"/>
          <w:rFonts w:ascii="楷体_GB2312" w:hAnsi="Times New Roman" w:eastAsia="楷体_GB2312"/>
          <w:b w:val="0"/>
          <w:kern w:val="2"/>
          <w:sz w:val="32"/>
          <w:szCs w:val="32"/>
        </w:rPr>
      </w:pPr>
    </w:p>
    <w:sectPr>
      <w:footerReference r:id="rId3" w:type="default"/>
      <w:pgSz w:w="11906" w:h="16838"/>
      <w:pgMar w:top="1440" w:right="141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6</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4EF3"/>
    <w:rsid w:val="00001C4D"/>
    <w:rsid w:val="0000499F"/>
    <w:rsid w:val="0000665B"/>
    <w:rsid w:val="00020DE5"/>
    <w:rsid w:val="0002245A"/>
    <w:rsid w:val="000235D0"/>
    <w:rsid w:val="0002496B"/>
    <w:rsid w:val="0004172E"/>
    <w:rsid w:val="00041A3C"/>
    <w:rsid w:val="00044AF5"/>
    <w:rsid w:val="0004504D"/>
    <w:rsid w:val="00046C78"/>
    <w:rsid w:val="00050767"/>
    <w:rsid w:val="0005172D"/>
    <w:rsid w:val="000543F7"/>
    <w:rsid w:val="00054C28"/>
    <w:rsid w:val="00055535"/>
    <w:rsid w:val="00066783"/>
    <w:rsid w:val="00066E8F"/>
    <w:rsid w:val="0007222A"/>
    <w:rsid w:val="000767EB"/>
    <w:rsid w:val="00076D39"/>
    <w:rsid w:val="00080FA1"/>
    <w:rsid w:val="00086201"/>
    <w:rsid w:val="000876F2"/>
    <w:rsid w:val="00091AAC"/>
    <w:rsid w:val="000922BD"/>
    <w:rsid w:val="000A039F"/>
    <w:rsid w:val="000A2B6B"/>
    <w:rsid w:val="000A3109"/>
    <w:rsid w:val="000A4212"/>
    <w:rsid w:val="000A440A"/>
    <w:rsid w:val="000A48FF"/>
    <w:rsid w:val="000A494F"/>
    <w:rsid w:val="000A5B80"/>
    <w:rsid w:val="000A650E"/>
    <w:rsid w:val="000A7793"/>
    <w:rsid w:val="000B102E"/>
    <w:rsid w:val="000B1562"/>
    <w:rsid w:val="000B7C34"/>
    <w:rsid w:val="000C293F"/>
    <w:rsid w:val="000C3B4E"/>
    <w:rsid w:val="000C469E"/>
    <w:rsid w:val="000C751B"/>
    <w:rsid w:val="000C7F12"/>
    <w:rsid w:val="000D0688"/>
    <w:rsid w:val="000D56C5"/>
    <w:rsid w:val="000D5BE3"/>
    <w:rsid w:val="000E208B"/>
    <w:rsid w:val="000E4F06"/>
    <w:rsid w:val="000F560D"/>
    <w:rsid w:val="000F591D"/>
    <w:rsid w:val="000F678E"/>
    <w:rsid w:val="001003FB"/>
    <w:rsid w:val="00101A9A"/>
    <w:rsid w:val="00102014"/>
    <w:rsid w:val="001029DC"/>
    <w:rsid w:val="00103721"/>
    <w:rsid w:val="001055D0"/>
    <w:rsid w:val="001119B2"/>
    <w:rsid w:val="00112450"/>
    <w:rsid w:val="00112D2B"/>
    <w:rsid w:val="001140DE"/>
    <w:rsid w:val="00114110"/>
    <w:rsid w:val="00116634"/>
    <w:rsid w:val="00120CF9"/>
    <w:rsid w:val="001253A3"/>
    <w:rsid w:val="00126E5B"/>
    <w:rsid w:val="001278AA"/>
    <w:rsid w:val="00127AF9"/>
    <w:rsid w:val="00130820"/>
    <w:rsid w:val="00130975"/>
    <w:rsid w:val="00132B96"/>
    <w:rsid w:val="00137888"/>
    <w:rsid w:val="00142701"/>
    <w:rsid w:val="001431FA"/>
    <w:rsid w:val="00144CED"/>
    <w:rsid w:val="00153162"/>
    <w:rsid w:val="00154DD9"/>
    <w:rsid w:val="00154EB8"/>
    <w:rsid w:val="0015647F"/>
    <w:rsid w:val="001576E5"/>
    <w:rsid w:val="00165ECB"/>
    <w:rsid w:val="001748CD"/>
    <w:rsid w:val="0017717F"/>
    <w:rsid w:val="001822C2"/>
    <w:rsid w:val="001852B4"/>
    <w:rsid w:val="00194180"/>
    <w:rsid w:val="00196579"/>
    <w:rsid w:val="001A022B"/>
    <w:rsid w:val="001A1297"/>
    <w:rsid w:val="001A252D"/>
    <w:rsid w:val="001B3434"/>
    <w:rsid w:val="001C0BD2"/>
    <w:rsid w:val="001C0F29"/>
    <w:rsid w:val="001C6147"/>
    <w:rsid w:val="001D029A"/>
    <w:rsid w:val="001D561C"/>
    <w:rsid w:val="001D7312"/>
    <w:rsid w:val="001D73EC"/>
    <w:rsid w:val="001E36E2"/>
    <w:rsid w:val="001E46D7"/>
    <w:rsid w:val="001F0790"/>
    <w:rsid w:val="001F07F0"/>
    <w:rsid w:val="001F32D7"/>
    <w:rsid w:val="001F37B1"/>
    <w:rsid w:val="001F5422"/>
    <w:rsid w:val="0020030E"/>
    <w:rsid w:val="00201BB6"/>
    <w:rsid w:val="00204AF2"/>
    <w:rsid w:val="00204EFF"/>
    <w:rsid w:val="00206D7C"/>
    <w:rsid w:val="00210E2A"/>
    <w:rsid w:val="00212A5F"/>
    <w:rsid w:val="00213575"/>
    <w:rsid w:val="002161FA"/>
    <w:rsid w:val="00216582"/>
    <w:rsid w:val="00216F14"/>
    <w:rsid w:val="002217F7"/>
    <w:rsid w:val="00223037"/>
    <w:rsid w:val="00223DD6"/>
    <w:rsid w:val="00232957"/>
    <w:rsid w:val="00234DE6"/>
    <w:rsid w:val="0023587C"/>
    <w:rsid w:val="00235E7C"/>
    <w:rsid w:val="00240354"/>
    <w:rsid w:val="00241D6B"/>
    <w:rsid w:val="0024264B"/>
    <w:rsid w:val="00244ADF"/>
    <w:rsid w:val="0024780F"/>
    <w:rsid w:val="00262483"/>
    <w:rsid w:val="00263FFD"/>
    <w:rsid w:val="00264952"/>
    <w:rsid w:val="00264F08"/>
    <w:rsid w:val="00265181"/>
    <w:rsid w:val="00266F6F"/>
    <w:rsid w:val="00271BD2"/>
    <w:rsid w:val="002731B1"/>
    <w:rsid w:val="00274682"/>
    <w:rsid w:val="00277D06"/>
    <w:rsid w:val="00281B96"/>
    <w:rsid w:val="002822B7"/>
    <w:rsid w:val="002843F3"/>
    <w:rsid w:val="00284AD1"/>
    <w:rsid w:val="00284B1C"/>
    <w:rsid w:val="002912FF"/>
    <w:rsid w:val="0029292C"/>
    <w:rsid w:val="00293A58"/>
    <w:rsid w:val="00295F19"/>
    <w:rsid w:val="002A0119"/>
    <w:rsid w:val="002A15BD"/>
    <w:rsid w:val="002A201D"/>
    <w:rsid w:val="002A2BA9"/>
    <w:rsid w:val="002A4CEA"/>
    <w:rsid w:val="002A6E39"/>
    <w:rsid w:val="002B4F53"/>
    <w:rsid w:val="002B4FEF"/>
    <w:rsid w:val="002C451D"/>
    <w:rsid w:val="002D0B51"/>
    <w:rsid w:val="002D1FE7"/>
    <w:rsid w:val="002D2C31"/>
    <w:rsid w:val="002D328E"/>
    <w:rsid w:val="002D3774"/>
    <w:rsid w:val="002D3CBA"/>
    <w:rsid w:val="002D43CF"/>
    <w:rsid w:val="002D5BA6"/>
    <w:rsid w:val="002E2777"/>
    <w:rsid w:val="002E5F07"/>
    <w:rsid w:val="002E6EE7"/>
    <w:rsid w:val="002F50BC"/>
    <w:rsid w:val="002F6B5C"/>
    <w:rsid w:val="00300844"/>
    <w:rsid w:val="00303152"/>
    <w:rsid w:val="00303346"/>
    <w:rsid w:val="00303F50"/>
    <w:rsid w:val="00312897"/>
    <w:rsid w:val="00315AC7"/>
    <w:rsid w:val="00316959"/>
    <w:rsid w:val="003202A5"/>
    <w:rsid w:val="00322E4D"/>
    <w:rsid w:val="0033096E"/>
    <w:rsid w:val="00336AE6"/>
    <w:rsid w:val="0034241B"/>
    <w:rsid w:val="00344196"/>
    <w:rsid w:val="0034469C"/>
    <w:rsid w:val="003479E4"/>
    <w:rsid w:val="003607C5"/>
    <w:rsid w:val="003613BE"/>
    <w:rsid w:val="00361D0B"/>
    <w:rsid w:val="00364339"/>
    <w:rsid w:val="003708B2"/>
    <w:rsid w:val="0037368D"/>
    <w:rsid w:val="00374A95"/>
    <w:rsid w:val="003764C5"/>
    <w:rsid w:val="00376B6E"/>
    <w:rsid w:val="00377169"/>
    <w:rsid w:val="003853BB"/>
    <w:rsid w:val="003872E9"/>
    <w:rsid w:val="00387A5C"/>
    <w:rsid w:val="00392333"/>
    <w:rsid w:val="00394026"/>
    <w:rsid w:val="00396026"/>
    <w:rsid w:val="00397065"/>
    <w:rsid w:val="003A1262"/>
    <w:rsid w:val="003A3AB3"/>
    <w:rsid w:val="003B70C8"/>
    <w:rsid w:val="003B742B"/>
    <w:rsid w:val="003C11AF"/>
    <w:rsid w:val="003C18FB"/>
    <w:rsid w:val="003C1D28"/>
    <w:rsid w:val="003C24C9"/>
    <w:rsid w:val="003C3C10"/>
    <w:rsid w:val="003C5996"/>
    <w:rsid w:val="003C60DA"/>
    <w:rsid w:val="003C69BD"/>
    <w:rsid w:val="003D1D2A"/>
    <w:rsid w:val="003D2A66"/>
    <w:rsid w:val="003D5C34"/>
    <w:rsid w:val="003D7076"/>
    <w:rsid w:val="003D7E92"/>
    <w:rsid w:val="003D7ECD"/>
    <w:rsid w:val="003E20CD"/>
    <w:rsid w:val="003E43F8"/>
    <w:rsid w:val="003E4E65"/>
    <w:rsid w:val="003E6CE9"/>
    <w:rsid w:val="003F17B8"/>
    <w:rsid w:val="003F2586"/>
    <w:rsid w:val="003F48A6"/>
    <w:rsid w:val="003F4E12"/>
    <w:rsid w:val="003F6420"/>
    <w:rsid w:val="003F736F"/>
    <w:rsid w:val="003F7A4E"/>
    <w:rsid w:val="003F7F66"/>
    <w:rsid w:val="0040046F"/>
    <w:rsid w:val="00405697"/>
    <w:rsid w:val="004074D7"/>
    <w:rsid w:val="00414C62"/>
    <w:rsid w:val="00416F0B"/>
    <w:rsid w:val="00417956"/>
    <w:rsid w:val="004205EB"/>
    <w:rsid w:val="00421510"/>
    <w:rsid w:val="00422A81"/>
    <w:rsid w:val="004271C2"/>
    <w:rsid w:val="00427398"/>
    <w:rsid w:val="0043251E"/>
    <w:rsid w:val="004348D5"/>
    <w:rsid w:val="004369AC"/>
    <w:rsid w:val="00443AD4"/>
    <w:rsid w:val="00447E87"/>
    <w:rsid w:val="00456891"/>
    <w:rsid w:val="00457E1E"/>
    <w:rsid w:val="00464B12"/>
    <w:rsid w:val="00465648"/>
    <w:rsid w:val="00465890"/>
    <w:rsid w:val="00477601"/>
    <w:rsid w:val="00477896"/>
    <w:rsid w:val="00481181"/>
    <w:rsid w:val="0048209E"/>
    <w:rsid w:val="00486114"/>
    <w:rsid w:val="004869A4"/>
    <w:rsid w:val="0048782D"/>
    <w:rsid w:val="00491E6A"/>
    <w:rsid w:val="00492545"/>
    <w:rsid w:val="00492E81"/>
    <w:rsid w:val="004A17BF"/>
    <w:rsid w:val="004A34C0"/>
    <w:rsid w:val="004A4E47"/>
    <w:rsid w:val="004A5082"/>
    <w:rsid w:val="004A63C3"/>
    <w:rsid w:val="004B18F7"/>
    <w:rsid w:val="004B45C1"/>
    <w:rsid w:val="004C2D13"/>
    <w:rsid w:val="004C39F8"/>
    <w:rsid w:val="004D16C1"/>
    <w:rsid w:val="004D4377"/>
    <w:rsid w:val="004D5AFE"/>
    <w:rsid w:val="004E41CD"/>
    <w:rsid w:val="004E5D79"/>
    <w:rsid w:val="004F2B8B"/>
    <w:rsid w:val="004F61BA"/>
    <w:rsid w:val="004F6506"/>
    <w:rsid w:val="005035AE"/>
    <w:rsid w:val="00510577"/>
    <w:rsid w:val="00511848"/>
    <w:rsid w:val="00513252"/>
    <w:rsid w:val="00515E34"/>
    <w:rsid w:val="00517A1B"/>
    <w:rsid w:val="0052036E"/>
    <w:rsid w:val="0052098F"/>
    <w:rsid w:val="00520F09"/>
    <w:rsid w:val="00527460"/>
    <w:rsid w:val="00530BC3"/>
    <w:rsid w:val="00532451"/>
    <w:rsid w:val="00536194"/>
    <w:rsid w:val="005404B7"/>
    <w:rsid w:val="00542BBD"/>
    <w:rsid w:val="00542C85"/>
    <w:rsid w:val="00543AF0"/>
    <w:rsid w:val="00545495"/>
    <w:rsid w:val="00553882"/>
    <w:rsid w:val="005560DF"/>
    <w:rsid w:val="005566B5"/>
    <w:rsid w:val="00556ACC"/>
    <w:rsid w:val="005672DB"/>
    <w:rsid w:val="00567384"/>
    <w:rsid w:val="00570085"/>
    <w:rsid w:val="0057056C"/>
    <w:rsid w:val="005720A0"/>
    <w:rsid w:val="00573536"/>
    <w:rsid w:val="005738ED"/>
    <w:rsid w:val="00573E1B"/>
    <w:rsid w:val="005749F4"/>
    <w:rsid w:val="00585166"/>
    <w:rsid w:val="005851C2"/>
    <w:rsid w:val="0059103C"/>
    <w:rsid w:val="005A0A22"/>
    <w:rsid w:val="005A5457"/>
    <w:rsid w:val="005A689B"/>
    <w:rsid w:val="005A6DC3"/>
    <w:rsid w:val="005B0ECF"/>
    <w:rsid w:val="005B4458"/>
    <w:rsid w:val="005B68B7"/>
    <w:rsid w:val="005C28DE"/>
    <w:rsid w:val="005C2D46"/>
    <w:rsid w:val="005C542F"/>
    <w:rsid w:val="005C66FF"/>
    <w:rsid w:val="005D141D"/>
    <w:rsid w:val="005D1F22"/>
    <w:rsid w:val="005D384F"/>
    <w:rsid w:val="005D617F"/>
    <w:rsid w:val="005D7F46"/>
    <w:rsid w:val="005E0697"/>
    <w:rsid w:val="005E39D1"/>
    <w:rsid w:val="005F42CE"/>
    <w:rsid w:val="005F43C4"/>
    <w:rsid w:val="005F67C0"/>
    <w:rsid w:val="005F7E38"/>
    <w:rsid w:val="006056A7"/>
    <w:rsid w:val="00612140"/>
    <w:rsid w:val="00614EC4"/>
    <w:rsid w:val="00615A31"/>
    <w:rsid w:val="00615C41"/>
    <w:rsid w:val="00616DE7"/>
    <w:rsid w:val="006207EF"/>
    <w:rsid w:val="00620E62"/>
    <w:rsid w:val="00622F70"/>
    <w:rsid w:val="0062426F"/>
    <w:rsid w:val="00626D99"/>
    <w:rsid w:val="006308F5"/>
    <w:rsid w:val="00631013"/>
    <w:rsid w:val="00633459"/>
    <w:rsid w:val="00634A98"/>
    <w:rsid w:val="006374E0"/>
    <w:rsid w:val="006376DB"/>
    <w:rsid w:val="00641E32"/>
    <w:rsid w:val="00645436"/>
    <w:rsid w:val="006456B8"/>
    <w:rsid w:val="0064594E"/>
    <w:rsid w:val="0065047D"/>
    <w:rsid w:val="00654F07"/>
    <w:rsid w:val="00656BF5"/>
    <w:rsid w:val="00657A31"/>
    <w:rsid w:val="00660201"/>
    <w:rsid w:val="00664AC7"/>
    <w:rsid w:val="00670DCE"/>
    <w:rsid w:val="0067109A"/>
    <w:rsid w:val="00671243"/>
    <w:rsid w:val="0067384D"/>
    <w:rsid w:val="00680702"/>
    <w:rsid w:val="006825CC"/>
    <w:rsid w:val="0068788C"/>
    <w:rsid w:val="006916CD"/>
    <w:rsid w:val="00693413"/>
    <w:rsid w:val="00696430"/>
    <w:rsid w:val="006A0FCD"/>
    <w:rsid w:val="006A288D"/>
    <w:rsid w:val="006A49EE"/>
    <w:rsid w:val="006A54A2"/>
    <w:rsid w:val="006A59F4"/>
    <w:rsid w:val="006B04A0"/>
    <w:rsid w:val="006B309C"/>
    <w:rsid w:val="006B5BB8"/>
    <w:rsid w:val="006C0606"/>
    <w:rsid w:val="006C0D39"/>
    <w:rsid w:val="006C208D"/>
    <w:rsid w:val="006C5CA9"/>
    <w:rsid w:val="006E4424"/>
    <w:rsid w:val="006F077B"/>
    <w:rsid w:val="006F32B4"/>
    <w:rsid w:val="007028CE"/>
    <w:rsid w:val="00707041"/>
    <w:rsid w:val="00710E1F"/>
    <w:rsid w:val="007110A4"/>
    <w:rsid w:val="00714275"/>
    <w:rsid w:val="00714AB1"/>
    <w:rsid w:val="00715743"/>
    <w:rsid w:val="0071575A"/>
    <w:rsid w:val="00716783"/>
    <w:rsid w:val="007220E1"/>
    <w:rsid w:val="007274A8"/>
    <w:rsid w:val="00727AAB"/>
    <w:rsid w:val="00732B18"/>
    <w:rsid w:val="0073588B"/>
    <w:rsid w:val="007361AD"/>
    <w:rsid w:val="00740224"/>
    <w:rsid w:val="0074079B"/>
    <w:rsid w:val="00741687"/>
    <w:rsid w:val="007456AE"/>
    <w:rsid w:val="0074635D"/>
    <w:rsid w:val="00746CE0"/>
    <w:rsid w:val="007507F4"/>
    <w:rsid w:val="00753AFD"/>
    <w:rsid w:val="00755B89"/>
    <w:rsid w:val="00755C84"/>
    <w:rsid w:val="007616EA"/>
    <w:rsid w:val="00763351"/>
    <w:rsid w:val="00763C51"/>
    <w:rsid w:val="007647EB"/>
    <w:rsid w:val="007648E5"/>
    <w:rsid w:val="00767B3D"/>
    <w:rsid w:val="007711B0"/>
    <w:rsid w:val="00771958"/>
    <w:rsid w:val="007724D1"/>
    <w:rsid w:val="00776EE1"/>
    <w:rsid w:val="00787632"/>
    <w:rsid w:val="00792EA1"/>
    <w:rsid w:val="00795B9A"/>
    <w:rsid w:val="007A0D9E"/>
    <w:rsid w:val="007B1B53"/>
    <w:rsid w:val="007B2E66"/>
    <w:rsid w:val="007B3A89"/>
    <w:rsid w:val="007B71F4"/>
    <w:rsid w:val="007B76CC"/>
    <w:rsid w:val="007C06FB"/>
    <w:rsid w:val="007C24BB"/>
    <w:rsid w:val="007C719C"/>
    <w:rsid w:val="007D045A"/>
    <w:rsid w:val="007D16DD"/>
    <w:rsid w:val="007D70AB"/>
    <w:rsid w:val="007E33FF"/>
    <w:rsid w:val="007E78AE"/>
    <w:rsid w:val="007E795C"/>
    <w:rsid w:val="007F0D37"/>
    <w:rsid w:val="008034ED"/>
    <w:rsid w:val="0080519E"/>
    <w:rsid w:val="00814DCC"/>
    <w:rsid w:val="00816414"/>
    <w:rsid w:val="008274B3"/>
    <w:rsid w:val="008277C1"/>
    <w:rsid w:val="008277DE"/>
    <w:rsid w:val="00831FAA"/>
    <w:rsid w:val="00837C89"/>
    <w:rsid w:val="0084029F"/>
    <w:rsid w:val="008418F1"/>
    <w:rsid w:val="00850039"/>
    <w:rsid w:val="00850D77"/>
    <w:rsid w:val="00853098"/>
    <w:rsid w:val="00855475"/>
    <w:rsid w:val="008619C0"/>
    <w:rsid w:val="008671E1"/>
    <w:rsid w:val="00870B98"/>
    <w:rsid w:val="008719B7"/>
    <w:rsid w:val="00873BAD"/>
    <w:rsid w:val="00874923"/>
    <w:rsid w:val="00876DCB"/>
    <w:rsid w:val="00877781"/>
    <w:rsid w:val="00880749"/>
    <w:rsid w:val="0088165C"/>
    <w:rsid w:val="00884EF3"/>
    <w:rsid w:val="00884F63"/>
    <w:rsid w:val="00887E4C"/>
    <w:rsid w:val="008938B9"/>
    <w:rsid w:val="008A35EB"/>
    <w:rsid w:val="008A548D"/>
    <w:rsid w:val="008A5956"/>
    <w:rsid w:val="008B096B"/>
    <w:rsid w:val="008B0EC5"/>
    <w:rsid w:val="008B6CBB"/>
    <w:rsid w:val="008C4CF4"/>
    <w:rsid w:val="008C576D"/>
    <w:rsid w:val="008C7933"/>
    <w:rsid w:val="008D00D8"/>
    <w:rsid w:val="008D0B29"/>
    <w:rsid w:val="008D33EC"/>
    <w:rsid w:val="008D4556"/>
    <w:rsid w:val="008D7118"/>
    <w:rsid w:val="008E2EAA"/>
    <w:rsid w:val="008E3B53"/>
    <w:rsid w:val="008E6387"/>
    <w:rsid w:val="008E71AE"/>
    <w:rsid w:val="008F429C"/>
    <w:rsid w:val="008F430F"/>
    <w:rsid w:val="009004CD"/>
    <w:rsid w:val="009014F5"/>
    <w:rsid w:val="0090196E"/>
    <w:rsid w:val="00901EC3"/>
    <w:rsid w:val="0090208D"/>
    <w:rsid w:val="0091270C"/>
    <w:rsid w:val="00912832"/>
    <w:rsid w:val="00913636"/>
    <w:rsid w:val="0091481C"/>
    <w:rsid w:val="00916252"/>
    <w:rsid w:val="0091660C"/>
    <w:rsid w:val="009176F9"/>
    <w:rsid w:val="0092492B"/>
    <w:rsid w:val="0092511F"/>
    <w:rsid w:val="0092634C"/>
    <w:rsid w:val="009340C8"/>
    <w:rsid w:val="0094235B"/>
    <w:rsid w:val="00946992"/>
    <w:rsid w:val="00952F19"/>
    <w:rsid w:val="009531FE"/>
    <w:rsid w:val="0095408E"/>
    <w:rsid w:val="00954BA6"/>
    <w:rsid w:val="00956354"/>
    <w:rsid w:val="009636BD"/>
    <w:rsid w:val="00966E69"/>
    <w:rsid w:val="00971CE5"/>
    <w:rsid w:val="0097393E"/>
    <w:rsid w:val="0097584C"/>
    <w:rsid w:val="009772DC"/>
    <w:rsid w:val="0098072D"/>
    <w:rsid w:val="00982419"/>
    <w:rsid w:val="00984D8B"/>
    <w:rsid w:val="0098740D"/>
    <w:rsid w:val="00994F0E"/>
    <w:rsid w:val="00996894"/>
    <w:rsid w:val="00996EB5"/>
    <w:rsid w:val="009A2AC0"/>
    <w:rsid w:val="009A46F9"/>
    <w:rsid w:val="009A4818"/>
    <w:rsid w:val="009B052D"/>
    <w:rsid w:val="009B63C8"/>
    <w:rsid w:val="009C2A87"/>
    <w:rsid w:val="009C493D"/>
    <w:rsid w:val="009C7E66"/>
    <w:rsid w:val="009D6373"/>
    <w:rsid w:val="009E1917"/>
    <w:rsid w:val="009E1D5C"/>
    <w:rsid w:val="009E2DE8"/>
    <w:rsid w:val="009E4817"/>
    <w:rsid w:val="009E4968"/>
    <w:rsid w:val="009F0CB4"/>
    <w:rsid w:val="00A012BA"/>
    <w:rsid w:val="00A01DE6"/>
    <w:rsid w:val="00A04B86"/>
    <w:rsid w:val="00A051B9"/>
    <w:rsid w:val="00A067BC"/>
    <w:rsid w:val="00A0692F"/>
    <w:rsid w:val="00A07986"/>
    <w:rsid w:val="00A07B94"/>
    <w:rsid w:val="00A101B6"/>
    <w:rsid w:val="00A10362"/>
    <w:rsid w:val="00A15D6A"/>
    <w:rsid w:val="00A20EE8"/>
    <w:rsid w:val="00A22990"/>
    <w:rsid w:val="00A33E37"/>
    <w:rsid w:val="00A3675B"/>
    <w:rsid w:val="00A3678F"/>
    <w:rsid w:val="00A411E7"/>
    <w:rsid w:val="00A45394"/>
    <w:rsid w:val="00A50D06"/>
    <w:rsid w:val="00A519AE"/>
    <w:rsid w:val="00A53F09"/>
    <w:rsid w:val="00A60F6F"/>
    <w:rsid w:val="00A635B6"/>
    <w:rsid w:val="00A637EB"/>
    <w:rsid w:val="00A6402E"/>
    <w:rsid w:val="00A64936"/>
    <w:rsid w:val="00A6548D"/>
    <w:rsid w:val="00A655D0"/>
    <w:rsid w:val="00A661BA"/>
    <w:rsid w:val="00A666E6"/>
    <w:rsid w:val="00A6672B"/>
    <w:rsid w:val="00A71B8F"/>
    <w:rsid w:val="00A80281"/>
    <w:rsid w:val="00A813B4"/>
    <w:rsid w:val="00A91B46"/>
    <w:rsid w:val="00A96C2F"/>
    <w:rsid w:val="00AA6510"/>
    <w:rsid w:val="00AB18BA"/>
    <w:rsid w:val="00AB3162"/>
    <w:rsid w:val="00AB3DC4"/>
    <w:rsid w:val="00AC7180"/>
    <w:rsid w:val="00AC7D74"/>
    <w:rsid w:val="00AD022C"/>
    <w:rsid w:val="00AD303C"/>
    <w:rsid w:val="00AD4670"/>
    <w:rsid w:val="00AD48C7"/>
    <w:rsid w:val="00AE11FB"/>
    <w:rsid w:val="00AE423C"/>
    <w:rsid w:val="00AE50F7"/>
    <w:rsid w:val="00AE59A2"/>
    <w:rsid w:val="00AE6D7A"/>
    <w:rsid w:val="00AE6D95"/>
    <w:rsid w:val="00AF11AD"/>
    <w:rsid w:val="00AF35B1"/>
    <w:rsid w:val="00AF4A3B"/>
    <w:rsid w:val="00AF79A3"/>
    <w:rsid w:val="00B02744"/>
    <w:rsid w:val="00B122F7"/>
    <w:rsid w:val="00B133EB"/>
    <w:rsid w:val="00B1516E"/>
    <w:rsid w:val="00B160C4"/>
    <w:rsid w:val="00B20BA8"/>
    <w:rsid w:val="00B20F47"/>
    <w:rsid w:val="00B222C0"/>
    <w:rsid w:val="00B3176A"/>
    <w:rsid w:val="00B32A12"/>
    <w:rsid w:val="00B32CDF"/>
    <w:rsid w:val="00B346B9"/>
    <w:rsid w:val="00B34ACF"/>
    <w:rsid w:val="00B41180"/>
    <w:rsid w:val="00B421CD"/>
    <w:rsid w:val="00B43BD6"/>
    <w:rsid w:val="00B44314"/>
    <w:rsid w:val="00B451F6"/>
    <w:rsid w:val="00B459BA"/>
    <w:rsid w:val="00B47F29"/>
    <w:rsid w:val="00B509FF"/>
    <w:rsid w:val="00B613F4"/>
    <w:rsid w:val="00B624C7"/>
    <w:rsid w:val="00B62D55"/>
    <w:rsid w:val="00B67C2F"/>
    <w:rsid w:val="00B71D99"/>
    <w:rsid w:val="00B73B33"/>
    <w:rsid w:val="00B73BA8"/>
    <w:rsid w:val="00B74799"/>
    <w:rsid w:val="00B76CC5"/>
    <w:rsid w:val="00B77952"/>
    <w:rsid w:val="00B833E6"/>
    <w:rsid w:val="00B914DE"/>
    <w:rsid w:val="00B92470"/>
    <w:rsid w:val="00B93AC4"/>
    <w:rsid w:val="00B951A4"/>
    <w:rsid w:val="00B95691"/>
    <w:rsid w:val="00B96FF0"/>
    <w:rsid w:val="00BA59A0"/>
    <w:rsid w:val="00BA5EAE"/>
    <w:rsid w:val="00BA698B"/>
    <w:rsid w:val="00BB08AD"/>
    <w:rsid w:val="00BB181C"/>
    <w:rsid w:val="00BB790A"/>
    <w:rsid w:val="00BB7D79"/>
    <w:rsid w:val="00BC5748"/>
    <w:rsid w:val="00BC6A5C"/>
    <w:rsid w:val="00BC73C5"/>
    <w:rsid w:val="00BC7662"/>
    <w:rsid w:val="00BC76E7"/>
    <w:rsid w:val="00BD5856"/>
    <w:rsid w:val="00BD7B2E"/>
    <w:rsid w:val="00BE7EE3"/>
    <w:rsid w:val="00BF1A11"/>
    <w:rsid w:val="00BF30F5"/>
    <w:rsid w:val="00BF31A2"/>
    <w:rsid w:val="00BF3884"/>
    <w:rsid w:val="00BF5F40"/>
    <w:rsid w:val="00BF6887"/>
    <w:rsid w:val="00C00534"/>
    <w:rsid w:val="00C006E4"/>
    <w:rsid w:val="00C00A7D"/>
    <w:rsid w:val="00C0101E"/>
    <w:rsid w:val="00C01050"/>
    <w:rsid w:val="00C0278A"/>
    <w:rsid w:val="00C04464"/>
    <w:rsid w:val="00C04570"/>
    <w:rsid w:val="00C05735"/>
    <w:rsid w:val="00C07C17"/>
    <w:rsid w:val="00C101A5"/>
    <w:rsid w:val="00C24172"/>
    <w:rsid w:val="00C26F63"/>
    <w:rsid w:val="00C339D0"/>
    <w:rsid w:val="00C33E51"/>
    <w:rsid w:val="00C33EBC"/>
    <w:rsid w:val="00C359C1"/>
    <w:rsid w:val="00C35E4E"/>
    <w:rsid w:val="00C36363"/>
    <w:rsid w:val="00C36EB0"/>
    <w:rsid w:val="00C431B1"/>
    <w:rsid w:val="00C46747"/>
    <w:rsid w:val="00C4788B"/>
    <w:rsid w:val="00C47F0E"/>
    <w:rsid w:val="00C50415"/>
    <w:rsid w:val="00C52432"/>
    <w:rsid w:val="00C54FF6"/>
    <w:rsid w:val="00C5684C"/>
    <w:rsid w:val="00C5738B"/>
    <w:rsid w:val="00C607EA"/>
    <w:rsid w:val="00C6175F"/>
    <w:rsid w:val="00C6189A"/>
    <w:rsid w:val="00C73941"/>
    <w:rsid w:val="00C74191"/>
    <w:rsid w:val="00C76AC9"/>
    <w:rsid w:val="00C80099"/>
    <w:rsid w:val="00C8284A"/>
    <w:rsid w:val="00C82F44"/>
    <w:rsid w:val="00C84238"/>
    <w:rsid w:val="00C85201"/>
    <w:rsid w:val="00C8650E"/>
    <w:rsid w:val="00C86D04"/>
    <w:rsid w:val="00C956E8"/>
    <w:rsid w:val="00C95E76"/>
    <w:rsid w:val="00C96A16"/>
    <w:rsid w:val="00C96B2A"/>
    <w:rsid w:val="00CA0519"/>
    <w:rsid w:val="00CA0830"/>
    <w:rsid w:val="00CA0DAB"/>
    <w:rsid w:val="00CA5E16"/>
    <w:rsid w:val="00CA632A"/>
    <w:rsid w:val="00CB0AD1"/>
    <w:rsid w:val="00CB28A4"/>
    <w:rsid w:val="00CB770B"/>
    <w:rsid w:val="00CC30D2"/>
    <w:rsid w:val="00CC3738"/>
    <w:rsid w:val="00CC43B8"/>
    <w:rsid w:val="00CC5AE2"/>
    <w:rsid w:val="00CE0C13"/>
    <w:rsid w:val="00CE15C2"/>
    <w:rsid w:val="00CE486A"/>
    <w:rsid w:val="00CE4FAE"/>
    <w:rsid w:val="00CF5990"/>
    <w:rsid w:val="00CF70F3"/>
    <w:rsid w:val="00D075AC"/>
    <w:rsid w:val="00D078E9"/>
    <w:rsid w:val="00D1401D"/>
    <w:rsid w:val="00D170D2"/>
    <w:rsid w:val="00D1757B"/>
    <w:rsid w:val="00D251D8"/>
    <w:rsid w:val="00D27203"/>
    <w:rsid w:val="00D27256"/>
    <w:rsid w:val="00D274BD"/>
    <w:rsid w:val="00D37795"/>
    <w:rsid w:val="00D40487"/>
    <w:rsid w:val="00D41B2F"/>
    <w:rsid w:val="00D42C98"/>
    <w:rsid w:val="00D42D34"/>
    <w:rsid w:val="00D45982"/>
    <w:rsid w:val="00D46408"/>
    <w:rsid w:val="00D5339B"/>
    <w:rsid w:val="00D53DD9"/>
    <w:rsid w:val="00D60F41"/>
    <w:rsid w:val="00D6170A"/>
    <w:rsid w:val="00D61843"/>
    <w:rsid w:val="00D62DAF"/>
    <w:rsid w:val="00D6754B"/>
    <w:rsid w:val="00D7721D"/>
    <w:rsid w:val="00D773A8"/>
    <w:rsid w:val="00D84005"/>
    <w:rsid w:val="00D84594"/>
    <w:rsid w:val="00D90837"/>
    <w:rsid w:val="00D93D87"/>
    <w:rsid w:val="00DA10CB"/>
    <w:rsid w:val="00DB3194"/>
    <w:rsid w:val="00DB5900"/>
    <w:rsid w:val="00DB7C3C"/>
    <w:rsid w:val="00DC22CD"/>
    <w:rsid w:val="00DC5B60"/>
    <w:rsid w:val="00DD0A99"/>
    <w:rsid w:val="00DD27E8"/>
    <w:rsid w:val="00DD6909"/>
    <w:rsid w:val="00DE2AB7"/>
    <w:rsid w:val="00DF03C1"/>
    <w:rsid w:val="00DF3A65"/>
    <w:rsid w:val="00DF76BC"/>
    <w:rsid w:val="00E0276C"/>
    <w:rsid w:val="00E05F0B"/>
    <w:rsid w:val="00E05FB7"/>
    <w:rsid w:val="00E1479A"/>
    <w:rsid w:val="00E1520F"/>
    <w:rsid w:val="00E17CAB"/>
    <w:rsid w:val="00E208A8"/>
    <w:rsid w:val="00E2266D"/>
    <w:rsid w:val="00E228CE"/>
    <w:rsid w:val="00E2664B"/>
    <w:rsid w:val="00E30532"/>
    <w:rsid w:val="00E335B2"/>
    <w:rsid w:val="00E36BA2"/>
    <w:rsid w:val="00E50151"/>
    <w:rsid w:val="00E548F8"/>
    <w:rsid w:val="00E56542"/>
    <w:rsid w:val="00E6028D"/>
    <w:rsid w:val="00E615FA"/>
    <w:rsid w:val="00E70E13"/>
    <w:rsid w:val="00E7553A"/>
    <w:rsid w:val="00E76927"/>
    <w:rsid w:val="00E817E9"/>
    <w:rsid w:val="00E81888"/>
    <w:rsid w:val="00E81B96"/>
    <w:rsid w:val="00E91D5F"/>
    <w:rsid w:val="00E957C9"/>
    <w:rsid w:val="00EA0180"/>
    <w:rsid w:val="00EA03E2"/>
    <w:rsid w:val="00EA0C02"/>
    <w:rsid w:val="00EA2965"/>
    <w:rsid w:val="00EA6CBA"/>
    <w:rsid w:val="00EB0CE3"/>
    <w:rsid w:val="00EB1F3C"/>
    <w:rsid w:val="00EB34AD"/>
    <w:rsid w:val="00EC05D8"/>
    <w:rsid w:val="00EC3187"/>
    <w:rsid w:val="00EC4FE9"/>
    <w:rsid w:val="00ED307F"/>
    <w:rsid w:val="00ED414E"/>
    <w:rsid w:val="00EE32E9"/>
    <w:rsid w:val="00EE482B"/>
    <w:rsid w:val="00EE7924"/>
    <w:rsid w:val="00EE7E9C"/>
    <w:rsid w:val="00EF19F7"/>
    <w:rsid w:val="00EF4421"/>
    <w:rsid w:val="00EF44B3"/>
    <w:rsid w:val="00EF459A"/>
    <w:rsid w:val="00EF56E9"/>
    <w:rsid w:val="00F00150"/>
    <w:rsid w:val="00F00E14"/>
    <w:rsid w:val="00F0139E"/>
    <w:rsid w:val="00F03C25"/>
    <w:rsid w:val="00F051CA"/>
    <w:rsid w:val="00F05262"/>
    <w:rsid w:val="00F0626F"/>
    <w:rsid w:val="00F06647"/>
    <w:rsid w:val="00F1183E"/>
    <w:rsid w:val="00F143AE"/>
    <w:rsid w:val="00F209C2"/>
    <w:rsid w:val="00F24679"/>
    <w:rsid w:val="00F33052"/>
    <w:rsid w:val="00F33190"/>
    <w:rsid w:val="00F34855"/>
    <w:rsid w:val="00F35CFB"/>
    <w:rsid w:val="00F4131B"/>
    <w:rsid w:val="00F4165F"/>
    <w:rsid w:val="00F42834"/>
    <w:rsid w:val="00F4338B"/>
    <w:rsid w:val="00F50D15"/>
    <w:rsid w:val="00F57D7D"/>
    <w:rsid w:val="00F6132D"/>
    <w:rsid w:val="00F6277C"/>
    <w:rsid w:val="00F662EC"/>
    <w:rsid w:val="00F80253"/>
    <w:rsid w:val="00F85055"/>
    <w:rsid w:val="00F859B3"/>
    <w:rsid w:val="00F85E23"/>
    <w:rsid w:val="00F8649C"/>
    <w:rsid w:val="00F86876"/>
    <w:rsid w:val="00F9141A"/>
    <w:rsid w:val="00F91ABE"/>
    <w:rsid w:val="00FA0AEA"/>
    <w:rsid w:val="00FA1852"/>
    <w:rsid w:val="00FA3A2F"/>
    <w:rsid w:val="00FA4039"/>
    <w:rsid w:val="00FA4ECF"/>
    <w:rsid w:val="00FA4F06"/>
    <w:rsid w:val="00FB28D6"/>
    <w:rsid w:val="00FC03F4"/>
    <w:rsid w:val="00FC11B9"/>
    <w:rsid w:val="00FC5716"/>
    <w:rsid w:val="00FC6AC0"/>
    <w:rsid w:val="00FC6C4B"/>
    <w:rsid w:val="00FD2531"/>
    <w:rsid w:val="00FD2F5D"/>
    <w:rsid w:val="00FD7647"/>
    <w:rsid w:val="00FE4839"/>
    <w:rsid w:val="00FF0413"/>
    <w:rsid w:val="00FF6961"/>
    <w:rsid w:val="00FF6FB3"/>
    <w:rsid w:val="02117C25"/>
    <w:rsid w:val="05D14DBD"/>
    <w:rsid w:val="08A71940"/>
    <w:rsid w:val="0D18335F"/>
    <w:rsid w:val="0F4D5D3B"/>
    <w:rsid w:val="149D2DE5"/>
    <w:rsid w:val="16515577"/>
    <w:rsid w:val="2483194D"/>
    <w:rsid w:val="274D6682"/>
    <w:rsid w:val="28B82A64"/>
    <w:rsid w:val="45171F5F"/>
    <w:rsid w:val="4DE2243D"/>
    <w:rsid w:val="51D620DD"/>
    <w:rsid w:val="52C94A44"/>
    <w:rsid w:val="547A6A60"/>
    <w:rsid w:val="556F4099"/>
    <w:rsid w:val="5A5E709D"/>
    <w:rsid w:val="619A4C7D"/>
    <w:rsid w:val="660712E0"/>
    <w:rsid w:val="6B9923BB"/>
    <w:rsid w:val="6E7365C0"/>
    <w:rsid w:val="77874AC8"/>
    <w:rsid w:val="7FCC11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qFormat/>
    <w:uiPriority w:val="0"/>
    <w:rPr>
      <w:b/>
    </w:rPr>
  </w:style>
  <w:style w:type="character" w:customStyle="1" w:styleId="10">
    <w:name w:val="页眉 字符"/>
    <w:link w:val="5"/>
    <w:uiPriority w:val="0"/>
    <w:rPr>
      <w:kern w:val="2"/>
      <w:sz w:val="18"/>
      <w:szCs w:val="18"/>
    </w:rPr>
  </w:style>
  <w:style w:type="character" w:customStyle="1" w:styleId="11">
    <w:name w:val="页脚 字符"/>
    <w:link w:val="4"/>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51610D-3B2F-4A23-A535-2021671AD0D9}">
  <ds:schemaRefs/>
</ds:datastoreItem>
</file>

<file path=docProps/app.xml><?xml version="1.0" encoding="utf-8"?>
<Properties xmlns="http://schemas.openxmlformats.org/officeDocument/2006/extended-properties" xmlns:vt="http://schemas.openxmlformats.org/officeDocument/2006/docPropsVTypes">
  <Template>Normal</Template>
  <Pages>20</Pages>
  <Words>1360</Words>
  <Characters>7757</Characters>
  <Lines>64</Lines>
  <Paragraphs>18</Paragraphs>
  <TotalTime>3503</TotalTime>
  <ScaleCrop>false</ScaleCrop>
  <LinksUpToDate>false</LinksUpToDate>
  <CharactersWithSpaces>9099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2022-02-10T08:26:00Z</dcterms:created>
  <dc:creator>微软用户</dc:creator>
  <cp:lastModifiedBy>李海静</cp:lastModifiedBy>
  <cp:lastPrinted>2019-01-15T08:53:00Z</cp:lastPrinted>
  <dcterms:modified xsi:type="dcterms:W3CDTF">2026-03-11T08:53:25Z</dcterms:modified>
  <dc:title>安徽省财政厅2015年部门预算</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